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70A6" w:rsidRPr="008A0BDF" w:rsidRDefault="00FE70A6">
      <w:pPr>
        <w:pStyle w:val="Frslagsrubrik"/>
      </w:pPr>
      <w:r w:rsidRPr="008A0BDF">
        <w:t>Förslag till riksdagsbeslut</w:t>
      </w:r>
    </w:p>
    <w:p w:rsidR="00FE70A6" w:rsidRPr="008A0BDF" w:rsidRDefault="00FE70A6">
      <w:pPr>
        <w:pStyle w:val="Hemstlatt"/>
        <w:numPr>
          <w:ilvl w:val="0"/>
          <w:numId w:val="0"/>
        </w:numPr>
      </w:pPr>
      <w:r w:rsidRPr="008A0BDF">
        <w:t>Riksdagen tillkännager för regeringen som sin mening vad som anförs i motionen om att straffvärdet för när överskottsinformation vid hemlig rumsavlyssning får användas blir detsamma som för hemlig tel</w:t>
      </w:r>
      <w:r w:rsidRPr="008A0BDF">
        <w:t>e</w:t>
      </w:r>
      <w:r w:rsidRPr="008A0BDF">
        <w:t>avlyssning, hemlig teleövervakning eller hemlig kameraöverva</w:t>
      </w:r>
      <w:r w:rsidRPr="008A0BDF">
        <w:t>k</w:t>
      </w:r>
      <w:r w:rsidRPr="008A0BDF">
        <w:t>ning.</w:t>
      </w:r>
    </w:p>
    <w:p w:rsidR="00FE70A6" w:rsidRPr="008A0BDF" w:rsidRDefault="00FE70A6">
      <w:pPr>
        <w:pStyle w:val="Rubrik1"/>
      </w:pPr>
      <w:r w:rsidRPr="008A0BDF">
        <w:t>Motivering</w:t>
      </w:r>
    </w:p>
    <w:p w:rsidR="00FE70A6" w:rsidRPr="008A0BDF" w:rsidRDefault="00FE70A6">
      <w:r w:rsidRPr="008A0BDF">
        <w:t>När åklagare ansöker om användning av hemliga tvångsmedel specificeras vilka eventuella brott som användningen ska användas för. Under själva a</w:t>
      </w:r>
      <w:r w:rsidRPr="008A0BDF">
        <w:t>v</w:t>
      </w:r>
      <w:r w:rsidRPr="008A0BDF">
        <w:t xml:space="preserve">lyssningen kan det sedan framkomma andra typer av brott som avlyssningen inte var avsedd för. Detta kallas överskottsinformation och som systemet ser ut idag skiljer det sig när man får använda denna typ av överskottsinformation beroende på vilket tvångsmedel som använts. </w:t>
      </w:r>
    </w:p>
    <w:p w:rsidR="00FE70A6" w:rsidRPr="008A0BDF" w:rsidRDefault="00FE70A6">
      <w:pPr>
        <w:pStyle w:val="Normaltindrag"/>
      </w:pPr>
      <w:r w:rsidRPr="008A0BDF">
        <w:t>Enligt 12 § lag (2007:978) om hemlig rumsavlyssning får information om annan brottslighet än det för tillståndet angivna brottet, så kallad överskottsi</w:t>
      </w:r>
      <w:r w:rsidRPr="008A0BDF">
        <w:t>n</w:t>
      </w:r>
      <w:r w:rsidRPr="008A0BDF">
        <w:t>formation, bara användas för att utreda brottet om brottet i sig har ett sådant straffvärde att det skulle kunna föranleda ett tillstånd om hemlig rumsavlys</w:t>
      </w:r>
      <w:r w:rsidRPr="008A0BDF">
        <w:t>s</w:t>
      </w:r>
      <w:r w:rsidRPr="008A0BDF">
        <w:t>ning, det vill säga lägst fyra års fängelse. Detta innebär att information, som framkommit vid hemlig rumsavlyssning, som till exempel våldtäkt mot barn, människohandel eller rån inte får användas för inledande av förunde</w:t>
      </w:r>
      <w:r w:rsidRPr="008A0BDF">
        <w:t>r</w:t>
      </w:r>
      <w:r w:rsidRPr="008A0BDF">
        <w:t>sökning eller vidare utredning av brottet eftersom dessa brott inte uppfyller kriterierna som är satta i lagen.</w:t>
      </w:r>
    </w:p>
    <w:p w:rsidR="00FE70A6" w:rsidRPr="008A0BDF" w:rsidRDefault="00FE70A6">
      <w:pPr>
        <w:pStyle w:val="Normaltindrag"/>
      </w:pPr>
      <w:r w:rsidRPr="008A0BDF">
        <w:t>Gränsen för överskot</w:t>
      </w:r>
      <w:r w:rsidRPr="008A0BDF">
        <w:t>tsinformation skiljer sig beroende på använt tvång</w:t>
      </w:r>
      <w:r w:rsidRPr="008A0BDF">
        <w:t>s</w:t>
      </w:r>
      <w:r w:rsidRPr="008A0BDF">
        <w:t>medel. Om man vid hemlig rumsavlyssning utreder ett brott för vilket åtgä</w:t>
      </w:r>
      <w:r w:rsidRPr="008A0BDF">
        <w:t>r</w:t>
      </w:r>
      <w:r w:rsidRPr="008A0BDF">
        <w:t xml:space="preserve">den är befogad och det framkommer bevis för våldtäkt mot barn (två till sex år i fängelse), människohandel (två till tio år i fängelse) eller rån (ett till sex år i fängelse), där brottets straffvärde inte antas överstiga fyra år, får man inte använda sig av de bevisen för lagföring. Det får man däremot om det var </w:t>
      </w:r>
      <w:r w:rsidRPr="008A0BDF">
        <w:lastRenderedPageBreak/>
        <w:t>hemlig teleavlyssning som användes, vilket regleras i rättegångsbalkens</w:t>
      </w:r>
      <w:r w:rsidRPr="008A0BDF">
        <w:t xml:space="preserve"> 27 kap. 23 §. Skillnaden är att det för hemlig rumsavlyssning krävs ett straf</w:t>
      </w:r>
      <w:r w:rsidRPr="008A0BDF">
        <w:t>f</w:t>
      </w:r>
      <w:r w:rsidRPr="008A0BDF">
        <w:t>värde om minst fyra år för att överskottsinformation ska få användas medan det för hemlig teleavlyssning, hemlig teleövervakning eller hemlig kamer</w:t>
      </w:r>
      <w:r w:rsidRPr="008A0BDF">
        <w:t>a</w:t>
      </w:r>
      <w:r w:rsidRPr="008A0BDF">
        <w:t>övervakning endast krävs att det är föreskrivet fängelse i ett år eller däröver för brottet och det kan antas att brottet inte föranleder endast böter. Motive</w:t>
      </w:r>
      <w:r w:rsidRPr="008A0BDF">
        <w:t>r</w:t>
      </w:r>
      <w:r w:rsidRPr="008A0BDF">
        <w:t>ingen är att hemlig rumsavlyssning är mer integritetskränkande är vad hemlig teleavlyssning, hemlig teleövervakning eller heml</w:t>
      </w:r>
      <w:r w:rsidRPr="008A0BDF">
        <w:t xml:space="preserve">ig kameraövervakning är. </w:t>
      </w:r>
    </w:p>
    <w:p w:rsidR="00FE70A6" w:rsidRPr="008A0BDF" w:rsidRDefault="00FE70A6">
      <w:pPr>
        <w:pStyle w:val="Normaltindrag"/>
      </w:pPr>
      <w:r w:rsidRPr="008A0BDF">
        <w:t>Det är inte rimligt att de brottsbekämpande myndigheterna som redan fått del av bevismaterial om grov brottslighet är förbjudna att utreda de lagöve</w:t>
      </w:r>
      <w:r w:rsidRPr="008A0BDF">
        <w:t>r</w:t>
      </w:r>
      <w:r w:rsidRPr="008A0BDF">
        <w:t>trädelser som bevisligen har skett. Flertalet åklagare vittnar om frustration då man redan tillhandahar tillräckliga bevis för fällande dom men enligt lagens mening är förbjuden att gå vidare och utreda det.</w:t>
      </w:r>
    </w:p>
    <w:p w:rsidR="00FE70A6" w:rsidRPr="008A0BDF" w:rsidRDefault="00FE70A6">
      <w:pPr>
        <w:pStyle w:val="Normaltindrag"/>
      </w:pPr>
      <w:r w:rsidRPr="008A0BDF">
        <w:t>Svea hovrätt, Hovrätten för Västra Sverige, Åklagarmyndigheten, Ek</w:t>
      </w:r>
      <w:r w:rsidRPr="008A0BDF">
        <w:t>o</w:t>
      </w:r>
      <w:r w:rsidRPr="008A0BDF">
        <w:t>brottsmyndigheten och Kriminalvården motsatte sig denna reglering (prop. 2005/06:178) och menade att straffvärdet på brottet för att få tillåtelse att utreda bör vara betydligt lägre. Regeringen bestred detta argument med att hemlig rumsavlyssning var ett ingående ingrepp i gärningsmannens privatliv och kränkande för den personliga integriteten. Detta är återigen ett exempel där utgångspunkten är gärningsmannens perspektiv framför brottsoffret. För</w:t>
      </w:r>
      <w:r w:rsidRPr="008A0BDF">
        <w:t>e</w:t>
      </w:r>
      <w:r w:rsidRPr="008A0BDF">
        <w:t>ställ den situation där det våldtagna barnet, den som vari</w:t>
      </w:r>
      <w:r w:rsidRPr="008A0BDF">
        <w:t>t utsatt för männ</w:t>
      </w:r>
      <w:r w:rsidRPr="008A0BDF">
        <w:t>i</w:t>
      </w:r>
      <w:r w:rsidRPr="008A0BDF">
        <w:t>skohandel eller den som blivit utsatt för ett rån meddelas att det finns tillräc</w:t>
      </w:r>
      <w:r w:rsidRPr="008A0BDF">
        <w:t>k</w:t>
      </w:r>
      <w:r w:rsidRPr="008A0BDF">
        <w:t>liga bevis för fällande dom men att bevisen inte får nyttjas med hänvisning till gärningsmannens personliga integritet. Vilken sida ställer man sig på då och vad värnar man i första hand, brottsoffrets eller gärningsmannens integritet? Frågan är om vår nuvarande regering vågar göra en annan bedömning i fr</w:t>
      </w:r>
      <w:r w:rsidRPr="008A0BDF">
        <w:t>å</w:t>
      </w:r>
      <w:r w:rsidRPr="008A0BDF">
        <w:t xml:space="preserve">gan. </w:t>
      </w:r>
    </w:p>
    <w:p w:rsidR="00FE70A6" w:rsidRPr="008A0BDF" w:rsidRDefault="00FE70A6">
      <w:pPr>
        <w:pStyle w:val="Normaltindrag"/>
      </w:pPr>
      <w:r w:rsidRPr="008A0BDF">
        <w:t xml:space="preserve">Nuvarande system är otillräckligt och bör följaktligen ändras. Regler för överskottsinformation vid </w:t>
      </w:r>
      <w:r w:rsidRPr="008A0BDF">
        <w:t>hemlig rumsavlyssning bör bli detsamma som för hemlig teleavlyssning, hemlig teleövervakning eller hemlig kameraöverva</w:t>
      </w:r>
      <w:r w:rsidRPr="008A0BDF">
        <w:t>k</w:t>
      </w:r>
      <w:r w:rsidRPr="008A0BDF">
        <w:t>ning där det endast krävs att det är föreskrivet fängelse i ett år eller mer för att överskottsinformationen ska få användas.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0BDF">
        <w:trPr>
          <w:cantSplit/>
        </w:trPr>
        <w:tc>
          <w:tcPr>
            <w:tcW w:w="3046" w:type="dxa"/>
          </w:tcPr>
          <w:p w:rsidR="00FE70A6" w:rsidRPr="008A0BDF" w:rsidRDefault="00FE70A6">
            <w:pPr>
              <w:pStyle w:val="UnderskriftDatum"/>
              <w:spacing w:before="240"/>
            </w:pPr>
            <w:r w:rsidRPr="008A0BDF">
              <w:t>Stockholm den 3 oktober 2011</w:t>
            </w:r>
          </w:p>
        </w:tc>
        <w:tc>
          <w:tcPr>
            <w:tcW w:w="3047" w:type="dxa"/>
          </w:tcPr>
          <w:p w:rsidR="00FE70A6" w:rsidRPr="008A0BDF" w:rsidRDefault="00FE70A6">
            <w:pPr>
              <w:pStyle w:val="Underskrifter"/>
              <w:spacing w:before="240"/>
            </w:pPr>
          </w:p>
        </w:tc>
      </w:tr>
      <w:tr w:rsidR="00000000" w:rsidRPr="008A0BDF">
        <w:trPr>
          <w:cantSplit/>
        </w:trPr>
        <w:tc>
          <w:tcPr>
            <w:tcW w:w="3046" w:type="dxa"/>
          </w:tcPr>
          <w:p w:rsidR="00FE70A6" w:rsidRPr="008A0BDF" w:rsidRDefault="00FE70A6">
            <w:pPr>
              <w:pStyle w:val="Underskrifter"/>
            </w:pPr>
            <w:r w:rsidRPr="008A0BDF">
              <w:t>Kent Ekeroth (SD)</w:t>
            </w:r>
          </w:p>
        </w:tc>
        <w:tc>
          <w:tcPr>
            <w:tcW w:w="3046" w:type="dxa"/>
          </w:tcPr>
          <w:p w:rsidR="00FE70A6" w:rsidRPr="008A0BDF" w:rsidRDefault="00FE70A6">
            <w:pPr>
              <w:pStyle w:val="Underskrifter"/>
            </w:pPr>
          </w:p>
        </w:tc>
      </w:tr>
    </w:tbl>
    <w:p w:rsidR="00FE70A6" w:rsidRPr="008A0BDF" w:rsidRDefault="00FE70A6">
      <w:pPr>
        <w:pStyle w:val="Normaltindrag"/>
      </w:pPr>
    </w:p>
    <w:sectPr w:rsidR="00FE70A6" w:rsidRPr="008A0B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0A6" w:rsidRPr="008A0BDF" w:rsidRDefault="00FE70A6">
      <w:r w:rsidRPr="008A0BDF">
        <w:separator/>
      </w:r>
    </w:p>
  </w:endnote>
  <w:endnote w:type="continuationSeparator" w:id="0">
    <w:p w:rsidR="00FE70A6" w:rsidRPr="008A0BDF" w:rsidRDefault="00FE70A6">
      <w:r w:rsidRPr="008A0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Pr="008A0BDF" w:rsidRDefault="008A0BDF">
    <w:pPr>
      <w:pStyle w:val="Sidfot"/>
    </w:pPr>
    <w:r w:rsidRPr="008A0B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0341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A6" w:rsidRDefault="00FE70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0A6" w:rsidRDefault="00FE70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Pr="008A0BDF" w:rsidRDefault="008A0BDF">
    <w:pPr>
      <w:pStyle w:val="Sidfot"/>
    </w:pPr>
    <w:r w:rsidRPr="008A0B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5965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A6" w:rsidRDefault="00FE70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0A6" w:rsidRDefault="00FE70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Pr="008A0BDF" w:rsidRDefault="008A0BDF">
    <w:pPr>
      <w:pStyle w:val="Sidfot"/>
    </w:pPr>
    <w:r w:rsidRPr="008A0B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7608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A6" w:rsidRDefault="00FE7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0A6" w:rsidRDefault="00FE7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0A6" w:rsidRPr="008A0BDF" w:rsidRDefault="00FE70A6">
      <w:r w:rsidRPr="008A0BDF">
        <w:separator/>
      </w:r>
    </w:p>
  </w:footnote>
  <w:footnote w:type="continuationSeparator" w:id="0">
    <w:p w:rsidR="00FE70A6" w:rsidRPr="008A0BDF" w:rsidRDefault="00FE70A6">
      <w:r w:rsidRPr="008A0B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Pr="008A0BDF" w:rsidRDefault="008A0BDF">
    <w:pPr>
      <w:pStyle w:val="Sidhuvud"/>
    </w:pPr>
    <w:r w:rsidRPr="008A0B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854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A6" w:rsidRDefault="00FE70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0A6" w:rsidRDefault="00FE70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Pr="008A0BDF" w:rsidRDefault="008A0BDF">
    <w:pPr>
      <w:pStyle w:val="Sidhuvud"/>
    </w:pPr>
    <w:r w:rsidRPr="008A0B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8448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0A6" w:rsidRDefault="00FE70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0A6" w:rsidRDefault="00FE70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Pr="008A0BDF" w:rsidRDefault="00FE70A6">
    <w:pPr>
      <w:pStyle w:val="FSHNormal"/>
      <w:tabs>
        <w:tab w:val="right" w:pos="5840"/>
      </w:tabs>
    </w:pPr>
    <w:r w:rsidRPr="008A0BDF">
      <w:br/>
    </w:r>
    <w:r w:rsidRPr="008A0BDF">
      <w:fldChar w:fldCharType="begin" w:fldLock="1"/>
    </w:r>
    <w:r w:rsidRPr="008A0BDF">
      <w:instrText xml:space="preserve"> DOCPROPERTY</w:instrText>
    </w:r>
    <w:r w:rsidRPr="008A0BDF">
      <w:rPr>
        <w:sz w:val="18"/>
      </w:rPr>
      <w:instrText xml:space="preserve"> "YearUser" *\charformat </w:instrText>
    </w:r>
    <w:r w:rsidRPr="008A0BDF">
      <w:fldChar w:fldCharType="separate"/>
    </w:r>
    <w:r w:rsidRPr="008A0BDF">
      <w:t>2011/12</w:t>
    </w:r>
    <w:r w:rsidRPr="008A0BDF">
      <w:fldChar w:fldCharType="end"/>
    </w:r>
    <w:r w:rsidRPr="008A0BDF">
      <w:t xml:space="preserve"> </w:t>
    </w:r>
    <w:r w:rsidRPr="008A0BDF">
      <w:tab/>
      <w:t xml:space="preserve">mnr: </w:t>
    </w:r>
    <w:r w:rsidRPr="008A0BDF">
      <w:fldChar w:fldCharType="begin" w:fldLock="1"/>
    </w:r>
    <w:r w:rsidRPr="008A0BDF">
      <w:instrText xml:space="preserve"> DOCPROPERTY</w:instrText>
    </w:r>
    <w:r w:rsidRPr="008A0BDF">
      <w:rPr>
        <w:sz w:val="18"/>
      </w:rPr>
      <w:instrText xml:space="preserve"> "Motionsnummer" *\charformat </w:instrText>
    </w:r>
    <w:r w:rsidRPr="008A0BDF">
      <w:fldChar w:fldCharType="separate"/>
    </w:r>
    <w:r w:rsidRPr="008A0BDF">
      <w:t>Ju261</w:t>
    </w:r>
    <w:r w:rsidRPr="008A0BDF">
      <w:fldChar w:fldCharType="end"/>
    </w:r>
    <w:r w:rsidRPr="008A0BDF">
      <w:br/>
    </w:r>
    <w:r w:rsidRPr="008A0BDF">
      <w:fldChar w:fldCharType="begin" w:fldLock="1"/>
    </w:r>
    <w:r w:rsidRPr="008A0BDF">
      <w:instrText xml:space="preserve"> DOCPROPERTY</w:instrText>
    </w:r>
    <w:r w:rsidRPr="008A0BDF">
      <w:rPr>
        <w:sz w:val="18"/>
      </w:rPr>
      <w:instrText xml:space="preserve"> "Samling" *\charformat </w:instrText>
    </w:r>
    <w:r w:rsidRPr="008A0BDF">
      <w:fldChar w:fldCharType="end"/>
    </w:r>
    <w:r w:rsidRPr="008A0BDF">
      <w:tab/>
      <w:t xml:space="preserve">pnr: </w:t>
    </w:r>
    <w:r w:rsidRPr="008A0BDF">
      <w:fldChar w:fldCharType="begin" w:fldLock="1"/>
    </w:r>
    <w:r w:rsidRPr="008A0BDF">
      <w:instrText xml:space="preserve"> DOCPROPERTY</w:instrText>
    </w:r>
    <w:r w:rsidRPr="008A0BDF">
      <w:rPr>
        <w:sz w:val="18"/>
      </w:rPr>
      <w:instrText xml:space="preserve"> "Partinummer" *\charformat </w:instrText>
    </w:r>
    <w:r w:rsidRPr="008A0BDF">
      <w:fldChar w:fldCharType="separate"/>
    </w:r>
    <w:r w:rsidRPr="008A0BDF">
      <w:t>SD4</w:t>
    </w:r>
    <w:r w:rsidRPr="008A0BDF">
      <w:fldChar w:fldCharType="end"/>
    </w:r>
  </w:p>
  <w:p w:rsidR="00FE70A6" w:rsidRPr="008A0BDF" w:rsidRDefault="00FE70A6">
    <w:pPr>
      <w:pStyle w:val="FSHRub1"/>
    </w:pPr>
    <w:r w:rsidRPr="008A0BDF">
      <w:t>Motion till riksdagen</w:t>
    </w:r>
    <w:r w:rsidRPr="008A0BDF">
      <w:br/>
    </w:r>
    <w:r w:rsidRPr="008A0BDF">
      <w:fldChar w:fldCharType="begin" w:fldLock="1"/>
    </w:r>
    <w:r w:rsidRPr="008A0BDF">
      <w:instrText xml:space="preserve"> DOCPROPERTY "YearUser" *\charformat </w:instrText>
    </w:r>
    <w:r w:rsidRPr="008A0BDF">
      <w:fldChar w:fldCharType="separate"/>
    </w:r>
    <w:r w:rsidRPr="008A0BDF">
      <w:t>2011/12</w:t>
    </w:r>
    <w:r w:rsidRPr="008A0BDF">
      <w:fldChar w:fldCharType="end"/>
    </w:r>
    <w:r w:rsidRPr="008A0BDF">
      <w:t>:</w:t>
    </w:r>
    <w:r w:rsidRPr="008A0BDF">
      <w:fldChar w:fldCharType="begin" w:fldLock="1"/>
    </w:r>
    <w:r w:rsidRPr="008A0BDF">
      <w:instrText xml:space="preserve"> DOCPROPERTY "Motionsnummer" *\charformat </w:instrText>
    </w:r>
    <w:r w:rsidRPr="008A0BDF">
      <w:fldChar w:fldCharType="separate"/>
    </w:r>
    <w:r w:rsidRPr="008A0BDF">
      <w:t>Ju261</w:t>
    </w:r>
    <w:r w:rsidRPr="008A0BDF">
      <w:fldChar w:fldCharType="end"/>
    </w:r>
  </w:p>
  <w:p w:rsidR="00FE70A6" w:rsidRPr="008A0BDF" w:rsidRDefault="00FE70A6">
    <w:pPr>
      <w:pStyle w:val="FSHNormalS5"/>
    </w:pPr>
    <w:r w:rsidRPr="008A0BDF">
      <w:fldChar w:fldCharType="begin" w:fldLock="1"/>
    </w:r>
    <w:r w:rsidRPr="008A0BDF">
      <w:instrText xml:space="preserve"> DOCPROPERTY "MotionarText" *\charformat </w:instrText>
    </w:r>
    <w:r w:rsidRPr="008A0BDF">
      <w:fldChar w:fldCharType="separate"/>
    </w:r>
    <w:r w:rsidRPr="008A0BDF">
      <w:t>av Kent Ekeroth (SD)</w:t>
    </w:r>
    <w:r w:rsidRPr="008A0BDF">
      <w:fldChar w:fldCharType="end"/>
    </w:r>
    <w:r w:rsidRPr="008A0BDF">
      <w:br/>
    </w:r>
    <w:r w:rsidRPr="008A0BDF">
      <w:fldChar w:fldCharType="begin" w:fldLock="1"/>
    </w:r>
    <w:r w:rsidRPr="008A0BDF">
      <w:instrText xml:space="preserve"> DOCPROPERTY "SvarFrasKort" *\charformat </w:instrText>
    </w:r>
    <w:r w:rsidRPr="008A0BDF">
      <w:fldChar w:fldCharType="end"/>
    </w:r>
  </w:p>
  <w:p w:rsidR="00FE70A6" w:rsidRPr="008A0BDF" w:rsidRDefault="00FE70A6">
    <w:pPr>
      <w:pStyle w:val="FSHTitel"/>
    </w:pPr>
    <w:r w:rsidRPr="008A0BDF">
      <w:fldChar w:fldCharType="begin" w:fldLock="1"/>
    </w:r>
    <w:r w:rsidRPr="008A0BDF">
      <w:instrText xml:space="preserve"> DOCPROPERTY</w:instrText>
    </w:r>
    <w:r w:rsidRPr="008A0BDF">
      <w:rPr>
        <w:sz w:val="18"/>
      </w:rPr>
      <w:instrText xml:space="preserve"> "RubrikSvar" *\charformat </w:instrText>
    </w:r>
    <w:r w:rsidRPr="008A0BDF">
      <w:fldChar w:fldCharType="separate"/>
    </w:r>
    <w:r w:rsidRPr="008A0BDF">
      <w:t>Överskottsinformation</w:t>
    </w:r>
    <w:r w:rsidRPr="008A0BDF">
      <w:fldChar w:fldCharType="end"/>
    </w:r>
  </w:p>
  <w:p w:rsidR="00FE70A6" w:rsidRPr="008A0BDF" w:rsidRDefault="00FE70A6">
    <w:pPr>
      <w:pStyle w:val="Normal00"/>
    </w:pPr>
  </w:p>
  <w:p w:rsidR="00FE70A6" w:rsidRPr="008A0BDF" w:rsidRDefault="00FE7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E05FB4"/>
    <w:multiLevelType w:val="hybridMultilevel"/>
    <w:tmpl w:val="65CCC5B0"/>
    <w:lvl w:ilvl="0" w:tplc="46883B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662165B"/>
    <w:multiLevelType w:val="hybridMultilevel"/>
    <w:tmpl w:val="4830EBE6"/>
    <w:lvl w:ilvl="0" w:tplc="86D291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4798490">
    <w:abstractNumId w:val="3"/>
  </w:num>
  <w:num w:numId="2" w16cid:durableId="1683973881">
    <w:abstractNumId w:val="2"/>
  </w:num>
  <w:num w:numId="3" w16cid:durableId="729378137">
    <w:abstractNumId w:val="1"/>
  </w:num>
  <w:num w:numId="4" w16cid:durableId="818765320">
    <w:abstractNumId w:val="0"/>
  </w:num>
  <w:num w:numId="5" w16cid:durableId="687216729">
    <w:abstractNumId w:val="7"/>
  </w:num>
  <w:num w:numId="6" w16cid:durableId="1421946918">
    <w:abstractNumId w:val="6"/>
  </w:num>
  <w:num w:numId="7" w16cid:durableId="1405687076">
    <w:abstractNumId w:val="5"/>
  </w:num>
  <w:num w:numId="8" w16cid:durableId="1072313315">
    <w:abstractNumId w:val="4"/>
  </w:num>
  <w:num w:numId="9" w16cid:durableId="1458177762">
    <w:abstractNumId w:val="8"/>
  </w:num>
  <w:num w:numId="10" w16cid:durableId="1209681327">
    <w:abstractNumId w:val="9"/>
  </w:num>
  <w:num w:numId="11" w16cid:durableId="139351681">
    <w:abstractNumId w:val="10"/>
  </w:num>
  <w:num w:numId="12" w16cid:durableId="1266765540">
    <w:abstractNumId w:val="13"/>
  </w:num>
  <w:num w:numId="13" w16cid:durableId="876158387">
    <w:abstractNumId w:val="15"/>
  </w:num>
  <w:num w:numId="14" w16cid:durableId="453865835">
    <w:abstractNumId w:val="17"/>
  </w:num>
  <w:num w:numId="15" w16cid:durableId="1701197400">
    <w:abstractNumId w:val="11"/>
  </w:num>
  <w:num w:numId="16" w16cid:durableId="400761154">
    <w:abstractNumId w:val="20"/>
  </w:num>
  <w:num w:numId="17" w16cid:durableId="578759582">
    <w:abstractNumId w:val="18"/>
  </w:num>
  <w:num w:numId="18" w16cid:durableId="422801204">
    <w:abstractNumId w:val="14"/>
  </w:num>
  <w:num w:numId="19" w16cid:durableId="1768425377">
    <w:abstractNumId w:val="12"/>
  </w:num>
  <w:num w:numId="20" w16cid:durableId="1713382102">
    <w:abstractNumId w:val="19"/>
  </w:num>
  <w:num w:numId="21" w16cid:durableId="604925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24"/>
    <w:docVar w:name="PersonGUIDs" w:val="{832D3DBE-A180-4988-9880-AE30D81C3DDE}"/>
  </w:docVars>
  <w:rsids>
    <w:rsidRoot w:val="008545B6"/>
    <w:rsid w:val="008545B6"/>
    <w:rsid w:val="008A0BDF"/>
    <w:rsid w:val="00FE70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6C1674-960D-4BFE-A1DD-D55BF60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28611">
      <w:bodyDiv w:val="1"/>
      <w:marLeft w:val="0"/>
      <w:marRight w:val="0"/>
      <w:marTop w:val="0"/>
      <w:marBottom w:val="0"/>
      <w:divBdr>
        <w:top w:val="none" w:sz="0" w:space="0" w:color="auto"/>
        <w:left w:val="none" w:sz="0" w:space="0" w:color="auto"/>
        <w:bottom w:val="none" w:sz="0" w:space="0" w:color="auto"/>
        <w:right w:val="none" w:sz="0" w:space="0" w:color="auto"/>
      </w:divBdr>
      <w:divsChild>
        <w:div w:id="389808510">
          <w:marLeft w:val="0"/>
          <w:marRight w:val="0"/>
          <w:marTop w:val="0"/>
          <w:marBottom w:val="0"/>
          <w:divBdr>
            <w:top w:val="none" w:sz="0" w:space="0" w:color="auto"/>
            <w:left w:val="none" w:sz="0" w:space="0" w:color="auto"/>
            <w:bottom w:val="none" w:sz="0" w:space="0" w:color="auto"/>
            <w:right w:val="none" w:sz="0" w:space="0" w:color="auto"/>
          </w:divBdr>
        </w:div>
        <w:div w:id="555554117">
          <w:marLeft w:val="0"/>
          <w:marRight w:val="0"/>
          <w:marTop w:val="0"/>
          <w:marBottom w:val="0"/>
          <w:divBdr>
            <w:top w:val="none" w:sz="0" w:space="0" w:color="auto"/>
            <w:left w:val="none" w:sz="0" w:space="0" w:color="auto"/>
            <w:bottom w:val="none" w:sz="0" w:space="0" w:color="auto"/>
            <w:right w:val="none" w:sz="0" w:space="0" w:color="auto"/>
          </w:divBdr>
        </w:div>
        <w:div w:id="765266529">
          <w:marLeft w:val="0"/>
          <w:marRight w:val="0"/>
          <w:marTop w:val="0"/>
          <w:marBottom w:val="0"/>
          <w:divBdr>
            <w:top w:val="none" w:sz="0" w:space="0" w:color="auto"/>
            <w:left w:val="none" w:sz="0" w:space="0" w:color="auto"/>
            <w:bottom w:val="none" w:sz="0" w:space="0" w:color="auto"/>
            <w:right w:val="none" w:sz="0" w:space="0" w:color="auto"/>
          </w:divBdr>
        </w:div>
        <w:div w:id="866210576">
          <w:marLeft w:val="0"/>
          <w:marRight w:val="0"/>
          <w:marTop w:val="0"/>
          <w:marBottom w:val="0"/>
          <w:divBdr>
            <w:top w:val="none" w:sz="0" w:space="0" w:color="auto"/>
            <w:left w:val="none" w:sz="0" w:space="0" w:color="auto"/>
            <w:bottom w:val="none" w:sz="0" w:space="0" w:color="auto"/>
            <w:right w:val="none" w:sz="0" w:space="0" w:color="auto"/>
          </w:divBdr>
        </w:div>
        <w:div w:id="107558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3584</Characters>
  <Application>Microsoft Office Word</Application>
  <DocSecurity>4</DocSecurity>
  <Lines>64</Lines>
  <Paragraphs>12</Paragraphs>
  <ScaleCrop>false</ScaleCrop>
  <HeadingPairs>
    <vt:vector size="2" baseType="variant">
      <vt:variant>
        <vt:lpstr>Rubrik</vt:lpstr>
      </vt:variant>
      <vt:variant>
        <vt:i4>1</vt:i4>
      </vt:variant>
    </vt:vector>
  </HeadingPairs>
  <TitlesOfParts>
    <vt:vector size="1" baseType="lpstr">
      <vt:lpstr>SD4</vt:lpstr>
    </vt:vector>
  </TitlesOfParts>
  <Company>Riksdagen</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dc:title>
  <dc:subject>SD4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2011-10-12T11:02:00Z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mot2000_533_2011-05-24</vt:lpwstr>
  </property>
  <property fmtid="{D5CDD505-2E9C-101B-9397-08002B2CF9AE}" pid="3" name="version">
    <vt:lpwstr>mot2000_533_2011-05-24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Överskottsinformation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Överskottsinformation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20112012000000830068000000040075</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20112012000000830068000000040075</vt:lpwstr>
  </property>
  <property fmtid="{D5CDD505-2E9C-101B-9397-08002B2CF9AE}" pid="50" name="nummer">
    <vt:lpwstr>261</vt:lpwstr>
  </property>
  <property fmtid="{D5CDD505-2E9C-101B-9397-08002B2CF9AE}" pid="51" name="utskottsbeteckning">
    <vt:lpwstr>Ju</vt:lpwstr>
  </property>
  <property fmtid="{D5CDD505-2E9C-101B-9397-08002B2CF9AE}" pid="52" name="GlobalUID">
    <vt:lpwstr>{2B383FE1-7457-438E-8B53-26E945F4D048}</vt:lpwstr>
  </property>
  <property fmtid="{D5CDD505-2E9C-101B-9397-08002B2CF9AE}" pid="53" name="Överföringar">
    <vt:i4>0</vt:i4>
  </property>
  <property fmtid="{D5CDD505-2E9C-101B-9397-08002B2CF9AE}" pid="54" name="Checksum">
    <vt:lpwstr>*1004546501174*</vt:lpwstr>
  </property>
  <property fmtid="{D5CDD505-2E9C-101B-9397-08002B2CF9AE}" pid="55" name="skuggnummer">
    <vt:lpwstr>942</vt:lpwstr>
  </property>
  <property fmtid="{D5CDD505-2E9C-101B-9397-08002B2CF9AE}" pid="56" name="urixVersion">
    <vt:lpwstr>4.5.0.25</vt:lpwstr>
  </property>
  <property fmtid="{D5CDD505-2E9C-101B-9397-08002B2CF9AE}" pid="57" name="urixOrigin">
    <vt:lpwstr>111012 13:02:53.916</vt:lpwstr>
  </property>
  <property fmtid="{D5CDD505-2E9C-101B-9397-08002B2CF9AE}" pid="58" name="urixGuid">
    <vt:lpwstr>{7935F20B-2818-41BE-9F3B-1CDD7B0E0206}</vt:lpwstr>
  </property>
</Properties>
</file>