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FD3D4A">
        <w:tblPrEx>
          <w:tblCellMar>
            <w:top w:w="0" w:type="dxa"/>
            <w:bottom w:w="0" w:type="dxa"/>
          </w:tblCellMar>
        </w:tblPrEx>
        <w:tc>
          <w:tcPr>
            <w:tcW w:w="2268" w:type="dxa"/>
          </w:tcPr>
          <w:p w:rsidR="006B06E4" w:rsidRPr="00FD3D4A" w:rsidRDefault="006B06E4">
            <w:pPr>
              <w:framePr w:w="4400" w:h="1644" w:wrap="notBeside" w:vAnchor="page" w:hAnchor="page" w:x="6573" w:y="721"/>
              <w:rPr>
                <w:rFonts w:ascii="TradeGothic" w:hAnsi="TradeGothic"/>
                <w:i/>
                <w:sz w:val="18"/>
              </w:rPr>
            </w:pPr>
          </w:p>
        </w:tc>
        <w:tc>
          <w:tcPr>
            <w:tcW w:w="2347" w:type="dxa"/>
            <w:gridSpan w:val="2"/>
          </w:tcPr>
          <w:p w:rsidR="006B06E4" w:rsidRPr="00FD3D4A" w:rsidRDefault="006B06E4">
            <w:pPr>
              <w:framePr w:w="4400" w:h="1644" w:wrap="notBeside" w:vAnchor="page" w:hAnchor="page" w:x="6573" w:y="721"/>
              <w:rPr>
                <w:rFonts w:ascii="TradeGothic" w:hAnsi="TradeGothic"/>
                <w:i/>
                <w:sz w:val="18"/>
              </w:rPr>
            </w:pPr>
          </w:p>
        </w:tc>
      </w:tr>
      <w:tr w:rsidR="00000000" w:rsidRPr="00FD3D4A">
        <w:tblPrEx>
          <w:tblCellMar>
            <w:top w:w="0" w:type="dxa"/>
            <w:bottom w:w="0" w:type="dxa"/>
          </w:tblCellMar>
        </w:tblPrEx>
        <w:tc>
          <w:tcPr>
            <w:tcW w:w="2268" w:type="dxa"/>
          </w:tcPr>
          <w:p w:rsidR="006B06E4" w:rsidRPr="00FD3D4A" w:rsidRDefault="006B06E4">
            <w:pPr>
              <w:framePr w:w="4400" w:h="1644" w:wrap="notBeside" w:vAnchor="page" w:hAnchor="page" w:x="6573" w:y="721"/>
              <w:rPr>
                <w:rFonts w:ascii="TradeGothic" w:hAnsi="TradeGothic"/>
                <w:b/>
                <w:sz w:val="22"/>
              </w:rPr>
            </w:pPr>
            <w:r w:rsidRPr="00FD3D4A">
              <w:rPr>
                <w:rFonts w:ascii="TradeGothic" w:hAnsi="TradeGothic"/>
                <w:b/>
                <w:sz w:val="22"/>
              </w:rPr>
              <w:t xml:space="preserve">Kommenterad dagordning </w:t>
            </w:r>
          </w:p>
        </w:tc>
        <w:tc>
          <w:tcPr>
            <w:tcW w:w="2347" w:type="dxa"/>
            <w:gridSpan w:val="2"/>
          </w:tcPr>
          <w:p w:rsidR="006B06E4" w:rsidRPr="00FD3D4A" w:rsidRDefault="006B06E4">
            <w:pPr>
              <w:framePr w:w="4400" w:h="1644" w:wrap="notBeside" w:vAnchor="page" w:hAnchor="page" w:x="6573" w:y="721"/>
              <w:rPr>
                <w:rFonts w:ascii="TradeGothic" w:hAnsi="TradeGothic"/>
                <w:b/>
                <w:sz w:val="22"/>
              </w:rPr>
            </w:pPr>
          </w:p>
        </w:tc>
      </w:tr>
      <w:tr w:rsidR="00000000" w:rsidRPr="00FD3D4A">
        <w:tblPrEx>
          <w:tblCellMar>
            <w:top w:w="0" w:type="dxa"/>
            <w:bottom w:w="0" w:type="dxa"/>
          </w:tblCellMar>
        </w:tblPrEx>
        <w:tc>
          <w:tcPr>
            <w:tcW w:w="3402" w:type="dxa"/>
            <w:gridSpan w:val="2"/>
          </w:tcPr>
          <w:p w:rsidR="006B06E4" w:rsidRPr="00FD3D4A" w:rsidRDefault="006B06E4">
            <w:pPr>
              <w:framePr w:w="4400" w:h="1644" w:wrap="notBeside" w:vAnchor="page" w:hAnchor="page" w:x="6573" w:y="721"/>
            </w:pPr>
          </w:p>
        </w:tc>
        <w:tc>
          <w:tcPr>
            <w:tcW w:w="1213" w:type="dxa"/>
          </w:tcPr>
          <w:p w:rsidR="006B06E4" w:rsidRPr="00FD3D4A" w:rsidRDefault="006B06E4">
            <w:pPr>
              <w:framePr w:w="4400" w:h="1644" w:wrap="notBeside" w:vAnchor="page" w:hAnchor="page" w:x="6573" w:y="721"/>
            </w:pPr>
          </w:p>
        </w:tc>
      </w:tr>
      <w:tr w:rsidR="00000000" w:rsidRPr="00FD3D4A">
        <w:tblPrEx>
          <w:tblCellMar>
            <w:top w:w="0" w:type="dxa"/>
            <w:bottom w:w="0" w:type="dxa"/>
          </w:tblCellMar>
        </w:tblPrEx>
        <w:tc>
          <w:tcPr>
            <w:tcW w:w="2268" w:type="dxa"/>
          </w:tcPr>
          <w:p w:rsidR="006B06E4" w:rsidRPr="00FD3D4A" w:rsidRDefault="006B06E4">
            <w:pPr>
              <w:framePr w:w="4400" w:h="1644" w:wrap="notBeside" w:vAnchor="page" w:hAnchor="page" w:x="6573" w:y="721"/>
            </w:pPr>
            <w:r w:rsidRPr="00FD3D4A">
              <w:t>2006-09-29</w:t>
            </w:r>
          </w:p>
        </w:tc>
        <w:tc>
          <w:tcPr>
            <w:tcW w:w="2347" w:type="dxa"/>
            <w:gridSpan w:val="2"/>
          </w:tcPr>
          <w:p w:rsidR="006B06E4" w:rsidRPr="00FD3D4A" w:rsidRDefault="006B06E4">
            <w:pPr>
              <w:framePr w:w="4400" w:h="1644" w:wrap="notBeside" w:vAnchor="page" w:hAnchor="page" w:x="6573" w:y="721"/>
            </w:pPr>
          </w:p>
        </w:tc>
      </w:tr>
      <w:tr w:rsidR="00000000" w:rsidRPr="00FD3D4A">
        <w:tblPrEx>
          <w:tblCellMar>
            <w:top w:w="0" w:type="dxa"/>
            <w:bottom w:w="0" w:type="dxa"/>
          </w:tblCellMar>
        </w:tblPrEx>
        <w:tc>
          <w:tcPr>
            <w:tcW w:w="2268" w:type="dxa"/>
          </w:tcPr>
          <w:p w:rsidR="006B06E4" w:rsidRPr="00FD3D4A" w:rsidRDefault="006B06E4">
            <w:pPr>
              <w:framePr w:w="4400" w:h="1644" w:wrap="notBeside" w:vAnchor="page" w:hAnchor="page" w:x="6573" w:y="721"/>
            </w:pPr>
          </w:p>
        </w:tc>
        <w:tc>
          <w:tcPr>
            <w:tcW w:w="2347" w:type="dxa"/>
            <w:gridSpan w:val="2"/>
          </w:tcPr>
          <w:p w:rsidR="006B06E4" w:rsidRPr="00FD3D4A" w:rsidRDefault="006B06E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rPr>
                <w:b/>
                <w:i w:val="0"/>
                <w:sz w:val="22"/>
              </w:rPr>
            </w:pPr>
            <w:r w:rsidRPr="00FD3D4A">
              <w:rPr>
                <w:b/>
                <w:i w:val="0"/>
                <w:sz w:val="22"/>
              </w:rPr>
              <w:t>Finansdepartementet</w:t>
            </w: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r w:rsidRPr="00FD3D4A">
              <w:t>Peter Holmgren</w:t>
            </w: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r w:rsidR="00000000" w:rsidRPr="00FD3D4A">
        <w:tblPrEx>
          <w:tblCellMar>
            <w:top w:w="0" w:type="dxa"/>
            <w:bottom w:w="0" w:type="dxa"/>
          </w:tblCellMar>
        </w:tblPrEx>
        <w:trPr>
          <w:trHeight w:val="284"/>
        </w:trPr>
        <w:tc>
          <w:tcPr>
            <w:tcW w:w="4911" w:type="dxa"/>
          </w:tcPr>
          <w:p w:rsidR="006B06E4" w:rsidRPr="00FD3D4A" w:rsidRDefault="006B06E4">
            <w:pPr>
              <w:pStyle w:val="Avsndare"/>
              <w:framePr w:h="2483" w:wrap="notBeside" w:x="1504"/>
            </w:pPr>
          </w:p>
        </w:tc>
      </w:tr>
    </w:tbl>
    <w:p w:rsidR="006B06E4" w:rsidRPr="00FD3D4A" w:rsidRDefault="006B06E4">
      <w:pPr>
        <w:framePr w:w="4400" w:h="2523" w:wrap="notBeside" w:vAnchor="page" w:hAnchor="page" w:x="6453" w:y="2445"/>
        <w:ind w:left="142"/>
      </w:pPr>
    </w:p>
    <w:p w:rsidR="006B06E4" w:rsidRPr="00FD3D4A" w:rsidRDefault="006B06E4">
      <w:pPr>
        <w:pStyle w:val="RKrubrik"/>
        <w:pBdr>
          <w:bottom w:val="single" w:sz="4" w:space="1" w:color="000000"/>
        </w:pBdr>
        <w:spacing w:before="0" w:after="0"/>
        <w:rPr>
          <w:lang w:val="sv-SE"/>
        </w:rPr>
      </w:pPr>
      <w:r w:rsidRPr="00FD3D4A">
        <w:rPr>
          <w:lang w:val="sv-SE"/>
        </w:rPr>
        <w:t>Ekofin-rådets möte den 10 oktober 2006 i Luxemburg</w:t>
      </w:r>
    </w:p>
    <w:p w:rsidR="006B06E4" w:rsidRPr="00FD3D4A" w:rsidRDefault="006B06E4">
      <w:pPr>
        <w:pStyle w:val="RKrubrik"/>
        <w:pBdr>
          <w:bottom w:val="single" w:sz="4" w:space="1" w:color="000000"/>
        </w:pBdr>
        <w:spacing w:before="0" w:after="0"/>
        <w:rPr>
          <w:rFonts w:ascii="OrigGarmnd BT" w:hAnsi="OrigGarmnd BT"/>
          <w:b w:val="0"/>
          <w:lang w:val="sv-SE"/>
        </w:rPr>
      </w:pPr>
      <w:r w:rsidRPr="00FD3D4A">
        <w:rPr>
          <w:rFonts w:ascii="OrigGarmnd BT" w:hAnsi="OrigGarmnd BT"/>
          <w:b w:val="0"/>
          <w:lang w:val="sv-SE"/>
        </w:rPr>
        <w:t xml:space="preserve">- enligt den preliminära dagordning som framkom vid Coreper den 27 september  </w:t>
      </w:r>
    </w:p>
    <w:p w:rsidR="006B06E4" w:rsidRPr="00FD3D4A" w:rsidRDefault="006B06E4">
      <w:pPr>
        <w:pStyle w:val="RKnormal"/>
        <w:tabs>
          <w:tab w:val="clear" w:pos="1701"/>
          <w:tab w:val="left" w:pos="567"/>
        </w:tabs>
        <w:rPr>
          <w:lang w:val="sv-SE"/>
        </w:rPr>
      </w:pPr>
    </w:p>
    <w:p w:rsidR="006B06E4" w:rsidRPr="00FD3D4A" w:rsidRDefault="006B06E4">
      <w:pPr>
        <w:pStyle w:val="RKnormal"/>
        <w:tabs>
          <w:tab w:val="clear" w:pos="1701"/>
          <w:tab w:val="left" w:pos="567"/>
        </w:tabs>
        <w:rPr>
          <w:rFonts w:ascii="OrigGarmnd BT" w:hAnsi="OrigGarmnd BT"/>
          <w:b/>
          <w:sz w:val="24"/>
          <w:lang w:val="sv-SE"/>
        </w:rPr>
      </w:pPr>
      <w:r w:rsidRPr="00FD3D4A">
        <w:rPr>
          <w:rFonts w:ascii="OrigGarmnd BT" w:hAnsi="OrigGarmnd BT"/>
          <w:b/>
          <w:sz w:val="24"/>
          <w:lang w:val="sv-SE"/>
        </w:rPr>
        <w:t>1.</w:t>
      </w:r>
      <w:r w:rsidRPr="00FD3D4A">
        <w:rPr>
          <w:rFonts w:ascii="OrigGarmnd BT" w:hAnsi="OrigGarmnd BT"/>
          <w:b/>
          <w:sz w:val="24"/>
          <w:lang w:val="sv-SE"/>
        </w:rPr>
        <w:tab/>
        <w:t>Antagande av den preliminära dagordningen</w:t>
      </w:r>
    </w:p>
    <w:p w:rsidR="006B06E4" w:rsidRPr="00FD3D4A" w:rsidRDefault="006B06E4">
      <w:pPr>
        <w:pStyle w:val="RKnormal"/>
        <w:tabs>
          <w:tab w:val="clear" w:pos="1701"/>
          <w:tab w:val="left" w:pos="567"/>
        </w:tabs>
        <w:rPr>
          <w:rFonts w:ascii="OrigGarmnd BT" w:hAnsi="OrigGarmnd BT"/>
          <w:sz w:val="24"/>
          <w:lang w:val="sv-SE"/>
        </w:rPr>
      </w:pPr>
    </w:p>
    <w:p w:rsidR="006B06E4" w:rsidRPr="00FD3D4A" w:rsidRDefault="006B06E4">
      <w:pPr>
        <w:pStyle w:val="RKnormal"/>
        <w:tabs>
          <w:tab w:val="clear" w:pos="1701"/>
          <w:tab w:val="left" w:pos="567"/>
        </w:tabs>
        <w:rPr>
          <w:rFonts w:ascii="OrigGarmnd BT" w:hAnsi="OrigGarmnd BT"/>
          <w:b/>
          <w:sz w:val="24"/>
          <w:lang w:val="sv-SE"/>
        </w:rPr>
      </w:pPr>
      <w:r w:rsidRPr="00FD3D4A">
        <w:rPr>
          <w:rFonts w:ascii="OrigGarmnd BT" w:hAnsi="OrigGarmnd BT"/>
          <w:b/>
          <w:sz w:val="24"/>
          <w:lang w:val="sv-SE"/>
        </w:rPr>
        <w:t>2.</w:t>
      </w:r>
      <w:r w:rsidRPr="00FD3D4A">
        <w:rPr>
          <w:rFonts w:ascii="OrigGarmnd BT" w:hAnsi="OrigGarmnd BT"/>
          <w:b/>
          <w:sz w:val="24"/>
          <w:lang w:val="sv-SE"/>
        </w:rPr>
        <w:tab/>
        <w:t>Godkännande av A-punktslistan</w:t>
      </w:r>
    </w:p>
    <w:p w:rsidR="006B06E4" w:rsidRPr="00FD3D4A" w:rsidRDefault="006B06E4">
      <w:pPr>
        <w:pStyle w:val="RKnormal"/>
        <w:tabs>
          <w:tab w:val="clear" w:pos="1701"/>
          <w:tab w:val="left" w:pos="567"/>
        </w:tabs>
        <w:rPr>
          <w:rFonts w:ascii="OrigGarmnd BT" w:hAnsi="OrigGarmnd BT"/>
          <w:sz w:val="24"/>
          <w:lang w:val="sv-SE"/>
        </w:rPr>
      </w:pPr>
    </w:p>
    <w:p w:rsidR="006B06E4" w:rsidRPr="00FD3D4A" w:rsidRDefault="006B06E4">
      <w:pPr>
        <w:pStyle w:val="RKnormal"/>
        <w:tabs>
          <w:tab w:val="clear" w:pos="1701"/>
          <w:tab w:val="left" w:pos="567"/>
        </w:tabs>
        <w:rPr>
          <w:rFonts w:ascii="OrigGarmnd BT" w:hAnsi="OrigGarmnd BT"/>
          <w:b/>
          <w:bCs/>
          <w:sz w:val="24"/>
          <w:lang w:val="sv-SE"/>
        </w:rPr>
      </w:pPr>
      <w:r w:rsidRPr="00FD3D4A">
        <w:rPr>
          <w:rFonts w:ascii="OrigGarmnd BT" w:hAnsi="OrigGarmnd BT"/>
          <w:b/>
          <w:bCs/>
          <w:sz w:val="24"/>
          <w:lang w:val="sv-SE"/>
        </w:rPr>
        <w:t>3.</w:t>
      </w:r>
      <w:r w:rsidRPr="00FD3D4A">
        <w:rPr>
          <w:rFonts w:ascii="OrigGarmnd BT" w:hAnsi="OrigGarmnd BT"/>
          <w:b/>
          <w:bCs/>
          <w:sz w:val="24"/>
          <w:lang w:val="sv-SE"/>
        </w:rPr>
        <w:tab/>
        <w:t>Tillämpningen av prisstabilitetskriteriet</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Ordföranden i Ekonomiska och finansiella kommittén (EFK) kommer att redogöra för de diskussioner som ägt rum i kommittén om kriteriet rörande prisstabilitet vid prövning för införande av euron. Rådet förutses inte fatta något beslut.</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Vid vårens konvergensprövning gjorde kommissionen och Europeiska centralbanken (ECB) bedömningen att Litauen inte uppfyllde kriteriet för prisstabilitet för ett deltagande i valutaunionen. Flera nya medlemsstater stödde Litauen om att få ett klargörande av tillämpningen av inflationskriteriet. </w:t>
      </w:r>
    </w:p>
    <w:p w:rsidR="006B06E4" w:rsidRPr="00FD3D4A" w:rsidRDefault="006B06E4">
      <w:pPr>
        <w:overflowPunct/>
        <w:spacing w:line="240" w:lineRule="atLeast"/>
        <w:textAlignment w:val="auto"/>
        <w:rPr>
          <w:color w:val="000000"/>
          <w:szCs w:val="24"/>
        </w:rPr>
      </w:pPr>
    </w:p>
    <w:p w:rsidR="006B06E4" w:rsidRPr="00FD3D4A" w:rsidRDefault="006B06E4">
      <w:pPr>
        <w:pStyle w:val="RKnormal"/>
        <w:tabs>
          <w:tab w:val="clear" w:pos="1701"/>
          <w:tab w:val="left" w:pos="0"/>
        </w:tabs>
        <w:rPr>
          <w:rFonts w:ascii="OrigGarmnd BT" w:hAnsi="OrigGarmnd BT"/>
          <w:bCs/>
          <w:sz w:val="24"/>
          <w:lang w:val="sv-SE"/>
        </w:rPr>
      </w:pPr>
      <w:r w:rsidRPr="00FD3D4A">
        <w:rPr>
          <w:rFonts w:ascii="OrigGarmnd BT" w:hAnsi="OrigGarmnd BT"/>
          <w:sz w:val="24"/>
          <w:szCs w:val="24"/>
          <w:lang w:val="sv-SE"/>
        </w:rPr>
        <w:t>Kommissionen och ECB har därefter inför EFK redovisat sina respektive tillämpningar. Vid diskussionerna i EFK har det fortsatt funnits åsiktsskillnader mellan medlemsstaterna. Från svensk sida har inte kommissionens och ECB:s bedömningar ifrågasatts.</w:t>
      </w:r>
    </w:p>
    <w:p w:rsidR="006B06E4" w:rsidRPr="00FD3D4A" w:rsidRDefault="006B06E4">
      <w:pPr>
        <w:pStyle w:val="RKnormal"/>
        <w:ind w:left="1695" w:hanging="1695"/>
        <w:rPr>
          <w:rFonts w:ascii="OrigGarmnd BT" w:hAnsi="OrigGarmnd BT"/>
          <w:bCs/>
          <w:sz w:val="24"/>
          <w:lang w:val="sv-SE"/>
        </w:rPr>
      </w:pPr>
    </w:p>
    <w:p w:rsidR="006B06E4" w:rsidRPr="00FD3D4A" w:rsidRDefault="006B06E4">
      <w:pPr>
        <w:pStyle w:val="RKnormal"/>
        <w:ind w:left="1695" w:hanging="1695"/>
        <w:rPr>
          <w:rFonts w:ascii="OrigGarmnd BT" w:hAnsi="OrigGarmnd BT"/>
          <w:b/>
          <w:sz w:val="24"/>
          <w:lang w:val="sv-SE"/>
        </w:rPr>
      </w:pPr>
    </w:p>
    <w:p w:rsidR="006B06E4" w:rsidRPr="00FD3D4A" w:rsidRDefault="006B06E4">
      <w:pPr>
        <w:pStyle w:val="RKnormal"/>
        <w:tabs>
          <w:tab w:val="clear" w:pos="1701"/>
          <w:tab w:val="left" w:pos="567"/>
        </w:tabs>
        <w:ind w:left="1695" w:hanging="1695"/>
        <w:rPr>
          <w:rFonts w:ascii="OrigGarmnd BT" w:hAnsi="OrigGarmnd BT"/>
          <w:b/>
          <w:sz w:val="24"/>
          <w:lang w:val="sv-SE"/>
        </w:rPr>
      </w:pPr>
      <w:r w:rsidRPr="00FD3D4A">
        <w:rPr>
          <w:rFonts w:ascii="OrigGarmnd BT" w:hAnsi="OrigGarmnd BT"/>
          <w:b/>
          <w:sz w:val="24"/>
          <w:lang w:val="sv-SE"/>
        </w:rPr>
        <w:t>4.</w:t>
      </w:r>
      <w:r w:rsidRPr="00FD3D4A">
        <w:rPr>
          <w:rFonts w:ascii="OrigGarmnd BT" w:hAnsi="OrigGarmnd BT"/>
          <w:b/>
          <w:sz w:val="24"/>
          <w:lang w:val="sv-SE"/>
        </w:rPr>
        <w:tab/>
        <w:t>Genomförande av Stabilitets- och tillväxtpakten</w:t>
      </w:r>
    </w:p>
    <w:p w:rsidR="006B06E4" w:rsidRPr="00FD3D4A" w:rsidRDefault="006B06E4">
      <w:pPr>
        <w:pStyle w:val="RKnormal"/>
        <w:tabs>
          <w:tab w:val="clear" w:pos="1701"/>
          <w:tab w:val="left" w:pos="567"/>
        </w:tabs>
        <w:spacing w:line="320" w:lineRule="atLeast"/>
        <w:rPr>
          <w:rFonts w:ascii="OrigGarmnd BT" w:hAnsi="OrigGarmnd BT"/>
          <w:i/>
          <w:iCs/>
          <w:sz w:val="24"/>
          <w:lang w:val="sv-SE"/>
        </w:rPr>
      </w:pPr>
      <w:r w:rsidRPr="00FD3D4A">
        <w:rPr>
          <w:rFonts w:ascii="OrigGarmnd BT" w:hAnsi="OrigGarmnd BT"/>
          <w:i/>
          <w:iCs/>
          <w:sz w:val="24"/>
          <w:lang w:val="sv-SE"/>
        </w:rPr>
        <w:tab/>
        <w:t>-granskning av Storbritannien, Tyskland och Ungern</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Rådet skall formellt anta ett uttalande till protokollet om att </w:t>
      </w:r>
      <w:r w:rsidRPr="00FD3D4A">
        <w:rPr>
          <w:rFonts w:ascii="OrigGarmnd BT" w:hAnsi="OrigGarmnd BT"/>
          <w:b/>
          <w:bCs/>
          <w:sz w:val="24"/>
          <w:lang w:val="sv-SE"/>
        </w:rPr>
        <w:t>Tyskland</w:t>
      </w:r>
      <w:r w:rsidRPr="00FD3D4A">
        <w:rPr>
          <w:rFonts w:ascii="OrigGarmnd BT" w:hAnsi="OrigGarmnd BT"/>
          <w:sz w:val="24"/>
          <w:lang w:val="sv-SE"/>
        </w:rPr>
        <w:t xml:space="preserve"> har gjort tillräckligt för att komma tillrätta med sitt alltför stora underskott. Frågan diskuterades vid informella Ekofin då enighet fanns om att inte trappa upp underskottsförfarandet gentemot Tyskland. Motivet var att den tyska regeringens åtgärder bedömdes leda till att landet under 2007 skulle komma under 3 procent i underskott av BNP.</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lastRenderedPageBreak/>
        <w:t xml:space="preserve">Rådet skall anta ett uttalande till protokollet avseende </w:t>
      </w:r>
      <w:r w:rsidRPr="00FD3D4A">
        <w:rPr>
          <w:rFonts w:ascii="OrigGarmnd BT" w:hAnsi="OrigGarmnd BT"/>
          <w:b/>
          <w:bCs/>
          <w:sz w:val="24"/>
          <w:lang w:val="sv-SE"/>
        </w:rPr>
        <w:t>Storbritanniens</w:t>
      </w:r>
      <w:r w:rsidRPr="00FD3D4A">
        <w:rPr>
          <w:rFonts w:ascii="OrigGarmnd BT" w:hAnsi="OrigGarmnd BT"/>
          <w:sz w:val="24"/>
          <w:lang w:val="sv-SE"/>
        </w:rPr>
        <w:t xml:space="preserve"> åtgärder för att komma tillrätta med sitt alltför stora underskott. I kommissionens meddelande förväntas att Storbritannien kommer att åtgärda sitt underskott senast 2007. Dock rekommenderas att kommissionen och rådet fortsätter att noga följa utvecklingen av Storbritanniens offentliga finanser.</w:t>
      </w:r>
    </w:p>
    <w:p w:rsidR="006B06E4" w:rsidRPr="00FD3D4A" w:rsidRDefault="006B06E4">
      <w:pPr>
        <w:pStyle w:val="RKnormal"/>
        <w:rPr>
          <w:rFonts w:ascii="OrigGarmnd BT" w:hAnsi="OrigGarmnd BT"/>
          <w:sz w:val="24"/>
          <w:lang w:val="sv-SE"/>
        </w:rPr>
      </w:pPr>
    </w:p>
    <w:p w:rsidR="006B06E4" w:rsidRPr="00FD3D4A" w:rsidRDefault="006B06E4">
      <w:pPr>
        <w:pStyle w:val="RKnormal"/>
        <w:spacing w:line="320" w:lineRule="atLeast"/>
        <w:rPr>
          <w:rFonts w:ascii="OrigGarmnd BT" w:hAnsi="OrigGarmnd BT"/>
          <w:sz w:val="24"/>
          <w:lang w:val="sv-SE"/>
        </w:rPr>
      </w:pPr>
      <w:r w:rsidRPr="00FD3D4A">
        <w:rPr>
          <w:rFonts w:ascii="OrigGarmnd BT" w:hAnsi="OrigGarmnd BT"/>
          <w:sz w:val="24"/>
          <w:lang w:val="sv-SE"/>
        </w:rPr>
        <w:t xml:space="preserve">Kommissionen rekommenderar rådet att yttra sig över det reviderade ungerska konvergensprogrammet samt att framföra en rekommendation enligt art. 104.7 till </w:t>
      </w:r>
      <w:r w:rsidRPr="00FD3D4A">
        <w:rPr>
          <w:rFonts w:ascii="OrigGarmnd BT" w:hAnsi="OrigGarmnd BT"/>
          <w:b/>
          <w:bCs/>
          <w:sz w:val="24"/>
          <w:lang w:val="sv-SE"/>
        </w:rPr>
        <w:t>Ungern</w:t>
      </w:r>
      <w:r w:rsidRPr="00FD3D4A">
        <w:rPr>
          <w:rFonts w:ascii="OrigGarmnd BT" w:hAnsi="OrigGarmnd BT"/>
          <w:sz w:val="24"/>
          <w:lang w:val="sv-SE"/>
        </w:rPr>
        <w:t xml:space="preserve">. Med hänsyn till underskottets storlek förslår kommissionen i sitt meddelande att slutåret för när Ungern skall åtgärda underskottet senareläggs med ett år till år 2009. Kommissionen rekommenderar rådet att ställa sig bakom Ungerns planer på att minska budgetunderskottet från 10,1 % av BNP i år till 3,2 % 2009. Vidare rekommenderas att de annonserade åtgärderna strikt genomföras. Kommissionen anser ändå att det finns stora risker. Slutligen förväntas den ungerska regeringen rapportera två gånger per </w:t>
      </w:r>
      <w:r w:rsidRPr="00FD3D4A">
        <w:rPr>
          <w:rFonts w:ascii="OrigGarmnd BT" w:hAnsi="OrigGarmnd BT"/>
          <w:sz w:val="24"/>
          <w:lang w:val="sv-SE"/>
        </w:rPr>
        <w:t xml:space="preserve">år hur genomförandet av det reviderade programmet framskrider. </w:t>
      </w:r>
    </w:p>
    <w:p w:rsidR="006B06E4" w:rsidRPr="00FD3D4A" w:rsidRDefault="006B06E4">
      <w:pPr>
        <w:pStyle w:val="RKnormal"/>
        <w:rPr>
          <w:rFonts w:ascii="OrigGarmnd BT" w:hAnsi="OrigGarmnd BT"/>
          <w:sz w:val="24"/>
          <w:lang w:val="sv-SE"/>
        </w:rPr>
      </w:pPr>
    </w:p>
    <w:p w:rsidR="006B06E4" w:rsidRPr="00FD3D4A" w:rsidRDefault="006B06E4">
      <w:pPr>
        <w:pStyle w:val="RKnormal"/>
        <w:spacing w:line="320" w:lineRule="atLeast"/>
        <w:rPr>
          <w:rFonts w:ascii="OrigGarmnd BT" w:hAnsi="OrigGarmnd BT"/>
          <w:sz w:val="24"/>
          <w:lang w:val="sv-SE"/>
        </w:rPr>
      </w:pPr>
      <w:r w:rsidRPr="00FD3D4A">
        <w:rPr>
          <w:rFonts w:ascii="OrigGarmnd BT" w:hAnsi="OrigGarmnd BT"/>
          <w:sz w:val="24"/>
          <w:lang w:val="sv-SE"/>
        </w:rPr>
        <w:t>Det förväntas bli en oproblematisk behandling av de tre länderna.</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r w:rsidRPr="00FD3D4A">
        <w:rPr>
          <w:rFonts w:ascii="OrigGarmnd BT" w:hAnsi="OrigGarmnd BT"/>
          <w:b/>
          <w:bCs/>
          <w:sz w:val="24"/>
          <w:lang w:val="sv-SE"/>
        </w:rPr>
        <w:t>5.</w:t>
      </w:r>
      <w:r w:rsidRPr="00FD3D4A">
        <w:rPr>
          <w:rFonts w:ascii="OrigGarmnd BT" w:hAnsi="OrigGarmnd BT"/>
          <w:b/>
          <w:bCs/>
          <w:sz w:val="24"/>
          <w:lang w:val="sv-SE"/>
        </w:rPr>
        <w:tab/>
        <w:t>Uppföljning av informella Ekofin i Helsingfors</w:t>
      </w:r>
    </w:p>
    <w:p w:rsidR="006B06E4" w:rsidRPr="00FD3D4A" w:rsidRDefault="006B06E4">
      <w:pPr>
        <w:pStyle w:val="RKnormal"/>
        <w:tabs>
          <w:tab w:val="clear" w:pos="1701"/>
          <w:tab w:val="left" w:pos="567"/>
        </w:tabs>
        <w:spacing w:line="320" w:lineRule="atLeast"/>
        <w:rPr>
          <w:rFonts w:ascii="OrigGarmnd BT" w:hAnsi="OrigGarmnd BT"/>
          <w:i/>
          <w:iCs/>
          <w:sz w:val="24"/>
          <w:lang w:val="sv-SE"/>
        </w:rPr>
      </w:pPr>
      <w:r w:rsidRPr="00FD3D4A">
        <w:rPr>
          <w:rFonts w:ascii="OrigGarmnd BT" w:hAnsi="OrigGarmnd BT"/>
          <w:i/>
          <w:iCs/>
          <w:sz w:val="24"/>
          <w:lang w:val="sv-SE"/>
        </w:rPr>
        <w:tab/>
        <w:t>- rådsslutsatser</w:t>
      </w:r>
    </w:p>
    <w:p w:rsidR="006B06E4" w:rsidRPr="00FD3D4A" w:rsidRDefault="006B06E4">
      <w:pPr>
        <w:pStyle w:val="RKnormal"/>
        <w:spacing w:line="320" w:lineRule="atLeast"/>
        <w:rPr>
          <w:rFonts w:ascii="OrigGarmnd BT" w:hAnsi="OrigGarmnd BT"/>
          <w:sz w:val="24"/>
          <w:lang w:val="sv-SE"/>
        </w:rPr>
      </w:pPr>
      <w:r w:rsidRPr="00FD3D4A">
        <w:rPr>
          <w:rFonts w:ascii="OrigGarmnd BT" w:hAnsi="OrigGarmnd BT"/>
          <w:sz w:val="24"/>
          <w:lang w:val="sv-SE"/>
        </w:rPr>
        <w:t xml:space="preserve"> </w:t>
      </w:r>
    </w:p>
    <w:p w:rsidR="006B06E4" w:rsidRPr="00FD3D4A" w:rsidRDefault="006B06E4">
      <w:pPr>
        <w:pStyle w:val="RKnormal"/>
        <w:spacing w:line="320" w:lineRule="atLeast"/>
        <w:rPr>
          <w:rFonts w:ascii="OrigGarmnd BT" w:hAnsi="OrigGarmnd BT"/>
          <w:sz w:val="24"/>
          <w:lang w:val="sv-SE"/>
        </w:rPr>
      </w:pPr>
      <w:r w:rsidRPr="00FD3D4A">
        <w:rPr>
          <w:rFonts w:ascii="OrigGarmnd BT" w:hAnsi="OrigGarmnd BT"/>
          <w:sz w:val="24"/>
          <w:lang w:val="sv-SE"/>
        </w:rPr>
        <w:t>Det finska ordförandeskapet har för avsikt att förelägga Ekofin-rådet ett förslag till slutsatser som redovisar uppföljningsinsatser från ett antal ärenden som avhandlades vid det informella Ekofin-mötet i Helsingfors den 8-9 september. Det väntas handla om följande ärenden:</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numPr>
          <w:ilvl w:val="0"/>
          <w:numId w:val="8"/>
        </w:numPr>
        <w:spacing w:line="320" w:lineRule="atLeast"/>
        <w:rPr>
          <w:rFonts w:ascii="OrigGarmnd BT" w:hAnsi="OrigGarmnd BT"/>
          <w:sz w:val="24"/>
          <w:lang w:val="sv-SE"/>
        </w:rPr>
      </w:pPr>
      <w:r w:rsidRPr="00FD3D4A">
        <w:rPr>
          <w:rFonts w:ascii="OrigGarmnd BT" w:hAnsi="OrigGarmnd BT"/>
          <w:sz w:val="24"/>
          <w:lang w:val="sv-SE"/>
        </w:rPr>
        <w:t xml:space="preserve">Ekofin-rådets arbetsformer </w:t>
      </w:r>
    </w:p>
    <w:p w:rsidR="006B06E4" w:rsidRPr="00FD3D4A" w:rsidRDefault="006B06E4">
      <w:pPr>
        <w:pStyle w:val="RKnormal"/>
        <w:numPr>
          <w:ilvl w:val="0"/>
          <w:numId w:val="8"/>
        </w:numPr>
        <w:spacing w:line="320" w:lineRule="atLeast"/>
        <w:rPr>
          <w:rFonts w:ascii="OrigGarmnd BT" w:hAnsi="OrigGarmnd BT"/>
          <w:sz w:val="24"/>
          <w:lang w:val="sv-SE"/>
        </w:rPr>
      </w:pPr>
      <w:r w:rsidRPr="00FD3D4A">
        <w:rPr>
          <w:rFonts w:ascii="OrigGarmnd BT" w:hAnsi="OrigGarmnd BT"/>
          <w:sz w:val="24"/>
          <w:lang w:val="sv-SE"/>
        </w:rPr>
        <w:t xml:space="preserve">Ekonomiska och finansiella aspekter av energipolitiken </w:t>
      </w:r>
    </w:p>
    <w:p w:rsidR="006B06E4" w:rsidRPr="00FD3D4A" w:rsidRDefault="006B06E4">
      <w:pPr>
        <w:pStyle w:val="RKnormal"/>
        <w:numPr>
          <w:ilvl w:val="0"/>
          <w:numId w:val="8"/>
        </w:numPr>
        <w:spacing w:line="320" w:lineRule="atLeast"/>
        <w:rPr>
          <w:rFonts w:ascii="OrigGarmnd BT" w:hAnsi="OrigGarmnd BT"/>
          <w:sz w:val="24"/>
          <w:lang w:val="sv-SE"/>
        </w:rPr>
      </w:pPr>
      <w:r w:rsidRPr="00FD3D4A">
        <w:rPr>
          <w:rFonts w:ascii="OrigGarmnd BT" w:hAnsi="OrigGarmnd BT"/>
          <w:sz w:val="24"/>
          <w:lang w:val="sv-SE"/>
        </w:rPr>
        <w:t xml:space="preserve">Utveckling av riskkapitalmarknaderna för att främja innovationer </w:t>
      </w:r>
    </w:p>
    <w:p w:rsidR="006B06E4" w:rsidRPr="00FD3D4A" w:rsidRDefault="006B06E4">
      <w:pPr>
        <w:pStyle w:val="RKnormal"/>
        <w:numPr>
          <w:ilvl w:val="0"/>
          <w:numId w:val="8"/>
        </w:numPr>
        <w:spacing w:line="320" w:lineRule="atLeast"/>
        <w:rPr>
          <w:rFonts w:ascii="OrigGarmnd BT" w:hAnsi="OrigGarmnd BT"/>
          <w:sz w:val="24"/>
          <w:lang w:val="sv-SE"/>
        </w:rPr>
      </w:pPr>
      <w:r w:rsidRPr="00FD3D4A">
        <w:rPr>
          <w:rFonts w:ascii="OrigGarmnd BT" w:hAnsi="OrigGarmnd BT"/>
          <w:sz w:val="24"/>
          <w:lang w:val="sv-SE"/>
        </w:rPr>
        <w:t>Det fortsatta arbetet med att säkra finansiell stabilitet i Europa.</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spacing w:line="320" w:lineRule="atLeast"/>
        <w:rPr>
          <w:rFonts w:ascii="OrigGarmnd BT" w:hAnsi="OrigGarmnd BT"/>
          <w:sz w:val="24"/>
          <w:lang w:val="sv-SE"/>
        </w:rPr>
      </w:pPr>
      <w:r w:rsidRPr="00FD3D4A">
        <w:rPr>
          <w:rFonts w:ascii="OrigGarmnd BT" w:hAnsi="OrigGarmnd BT"/>
          <w:sz w:val="24"/>
          <w:lang w:val="sv-SE"/>
        </w:rPr>
        <w:t xml:space="preserve">Förslaget till slutsatser har ännu inte distribuerats. </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r w:rsidRPr="00FD3D4A">
        <w:rPr>
          <w:rFonts w:ascii="OrigGarmnd BT" w:hAnsi="OrigGarmnd BT"/>
          <w:b/>
          <w:bCs/>
          <w:sz w:val="24"/>
          <w:lang w:val="sv-SE"/>
        </w:rPr>
        <w:t>6.</w:t>
      </w:r>
      <w:r w:rsidRPr="00FD3D4A">
        <w:rPr>
          <w:rFonts w:ascii="OrigGarmnd BT" w:hAnsi="OrigGarmnd BT"/>
          <w:b/>
          <w:bCs/>
          <w:sz w:val="24"/>
          <w:lang w:val="sv-SE"/>
        </w:rPr>
        <w:tab/>
        <w:t>Bättre lagstiftning; administrativa bördor</w:t>
      </w:r>
    </w:p>
    <w:p w:rsidR="006B06E4" w:rsidRPr="00FD3D4A" w:rsidRDefault="006B06E4">
      <w:pPr>
        <w:pStyle w:val="RKnormal"/>
        <w:tabs>
          <w:tab w:val="clear" w:pos="1701"/>
          <w:tab w:val="left" w:pos="567"/>
        </w:tabs>
        <w:spacing w:line="320" w:lineRule="atLeast"/>
        <w:rPr>
          <w:rFonts w:ascii="OrigGarmnd BT" w:hAnsi="OrigGarmnd BT"/>
          <w:i/>
          <w:iCs/>
          <w:sz w:val="24"/>
          <w:lang w:val="sv-SE"/>
        </w:rPr>
      </w:pPr>
      <w:r w:rsidRPr="00FD3D4A">
        <w:rPr>
          <w:rFonts w:ascii="OrigGarmnd BT" w:hAnsi="OrigGarmnd BT"/>
          <w:i/>
          <w:iCs/>
          <w:sz w:val="24"/>
          <w:lang w:val="sv-SE"/>
        </w:rPr>
        <w:tab/>
        <w:t>- rådsslutsatser</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Rådet skall anta slutsatser om inriktningen av arbetet med att minska administrativa bördor av lagstiftning för företag.  </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Preliminära resultat från kommissionens utredning visar att en stor del av bördorna av lagstiftning för företag härrör från EU-lagstiftning och att prioritet därför, vid sidan av arbetet på nationell nivå, måste ges åt konkreta framsteg på gemenskapsnivå. Rådet avser att senare ta upp frågan om ”statistiska bördor” i november 2006 och slutligen återkomma med hela frågan om administrativa bördor i mars 2007 inför Vårtoppmötet 2007.</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szCs w:val="24"/>
          <w:lang w:val="sv-SE"/>
        </w:rPr>
        <w:t>Den svenska linjen har varit pådrivande i EU:s regelförbättringsarbete och det har från svensk sida påpekats att det är angeläget att minska rapporteringsbördan, särskilt för småföretag inom EU.</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overflowPunct/>
        <w:spacing w:line="240" w:lineRule="atLeast"/>
        <w:textAlignment w:val="auto"/>
        <w:rPr>
          <w:color w:val="000000"/>
          <w:szCs w:val="24"/>
        </w:rPr>
      </w:pPr>
    </w:p>
    <w:p w:rsidR="006B06E4" w:rsidRPr="00FD3D4A" w:rsidRDefault="006B06E4">
      <w:pPr>
        <w:pStyle w:val="RKnormal"/>
        <w:tabs>
          <w:tab w:val="clear" w:pos="1701"/>
          <w:tab w:val="left" w:pos="567"/>
        </w:tabs>
        <w:spacing w:line="320" w:lineRule="atLeast"/>
        <w:rPr>
          <w:rFonts w:ascii="OrigGarmnd BT" w:hAnsi="OrigGarmnd BT"/>
          <w:b/>
          <w:bCs/>
          <w:sz w:val="24"/>
          <w:lang w:val="sv-SE"/>
        </w:rPr>
      </w:pPr>
      <w:r w:rsidRPr="00FD3D4A">
        <w:rPr>
          <w:rFonts w:ascii="OrigGarmnd BT" w:hAnsi="OrigGarmnd BT"/>
          <w:b/>
          <w:bCs/>
          <w:sz w:val="24"/>
          <w:lang w:val="sv-SE"/>
        </w:rPr>
        <w:t>7.</w:t>
      </w:r>
      <w:r w:rsidRPr="00FD3D4A">
        <w:rPr>
          <w:rFonts w:ascii="OrigGarmnd BT" w:hAnsi="OrigGarmnd BT"/>
          <w:b/>
          <w:bCs/>
          <w:sz w:val="24"/>
          <w:lang w:val="sv-SE"/>
        </w:rPr>
        <w:tab/>
        <w:t>Kvalitet i de offentliga finanserna</w:t>
      </w:r>
    </w:p>
    <w:p w:rsidR="006B06E4" w:rsidRPr="00FD3D4A" w:rsidRDefault="006B06E4">
      <w:pPr>
        <w:pStyle w:val="RKnormal"/>
        <w:tabs>
          <w:tab w:val="clear" w:pos="1701"/>
          <w:tab w:val="left" w:pos="567"/>
        </w:tabs>
        <w:spacing w:line="320" w:lineRule="atLeast"/>
        <w:rPr>
          <w:rFonts w:ascii="OrigGarmnd BT" w:hAnsi="OrigGarmnd BT"/>
          <w:i/>
          <w:iCs/>
          <w:sz w:val="24"/>
          <w:lang w:val="sv-SE"/>
        </w:rPr>
      </w:pPr>
      <w:r w:rsidRPr="00FD3D4A">
        <w:rPr>
          <w:rFonts w:ascii="OrigGarmnd BT" w:hAnsi="OrigGarmnd BT"/>
          <w:i/>
          <w:iCs/>
          <w:sz w:val="24"/>
          <w:lang w:val="sv-SE"/>
        </w:rPr>
        <w:tab/>
        <w:t>- rådsslutsatser</w:t>
      </w:r>
    </w:p>
    <w:p w:rsidR="006B06E4" w:rsidRPr="00FD3D4A" w:rsidRDefault="006B06E4">
      <w:pPr>
        <w:pStyle w:val="RKnormal"/>
        <w:spacing w:line="320" w:lineRule="atLeast"/>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Rådet skall anta slutsatser om en rapport rörande kvalitet i de offentliga finanserna. Ärendet handlar om hur det finanspolitiska ramverket kan bidra till en mer tillväxtorienterad ekonomisk politik och utgör ett bidrag till att förverkliga Lissabon-strategin. Rapporten visar bl.a. på vikten av budgetpolitiska ramverk för sunda offentliga finanser och för att undvika en ”pro-cyklisk” finanspolitik. </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Rapportens slutsatser stämmer väl överens om svenska erfarenheter på området. </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     </w:t>
      </w:r>
    </w:p>
    <w:p w:rsidR="006B06E4" w:rsidRPr="00FD3D4A" w:rsidRDefault="006B06E4">
      <w:pPr>
        <w:pStyle w:val="RKnormal"/>
        <w:tabs>
          <w:tab w:val="clear" w:pos="1701"/>
          <w:tab w:val="left" w:pos="567"/>
        </w:tabs>
        <w:rPr>
          <w:rFonts w:ascii="OrigGarmnd BT" w:hAnsi="OrigGarmnd BT"/>
          <w:b/>
          <w:bCs/>
          <w:sz w:val="24"/>
          <w:lang w:val="sv-SE"/>
        </w:rPr>
      </w:pPr>
      <w:r w:rsidRPr="00FD3D4A">
        <w:rPr>
          <w:rFonts w:ascii="OrigGarmnd BT" w:hAnsi="OrigGarmnd BT"/>
          <w:b/>
          <w:bCs/>
          <w:sz w:val="24"/>
          <w:lang w:val="sv-SE"/>
        </w:rPr>
        <w:t xml:space="preserve">8. </w:t>
      </w:r>
      <w:r w:rsidRPr="00FD3D4A">
        <w:rPr>
          <w:rFonts w:ascii="OrigGarmnd BT" w:hAnsi="OrigGarmnd BT"/>
          <w:b/>
          <w:bCs/>
          <w:sz w:val="24"/>
          <w:lang w:val="sv-SE"/>
        </w:rPr>
        <w:tab/>
        <w:t>Huvuddragen i EIB:s externa utlåningsmandat</w:t>
      </w:r>
    </w:p>
    <w:p w:rsidR="006B06E4" w:rsidRPr="00FD3D4A" w:rsidRDefault="006B06E4">
      <w:pPr>
        <w:pStyle w:val="RKnormal"/>
        <w:tabs>
          <w:tab w:val="clear" w:pos="1701"/>
          <w:tab w:val="left" w:pos="567"/>
        </w:tabs>
        <w:rPr>
          <w:rFonts w:ascii="OrigGarmnd BT" w:hAnsi="OrigGarmnd BT"/>
          <w:i/>
          <w:iCs/>
          <w:sz w:val="24"/>
          <w:lang w:val="sv-SE"/>
        </w:rPr>
      </w:pPr>
      <w:r w:rsidRPr="00FD3D4A">
        <w:rPr>
          <w:rFonts w:ascii="OrigGarmnd BT" w:hAnsi="OrigGarmnd BT"/>
          <w:i/>
          <w:iCs/>
          <w:sz w:val="24"/>
          <w:lang w:val="sv-SE"/>
        </w:rPr>
        <w:tab/>
        <w:t>- politisk orienteringsdebatt</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Diskussioner om ett nytt mandatet för Europeiska investeringsbankens (EIB) utlåning utanför EU åren 2007-2013 har pågått sedan årets början. Frågan behandlades senast vid Ekofin-rådets julimöte. Kommissionens förslag har mött motstånd från ett antal medlemsstater, däribland Sverige, på flera punkter. Det finska ordförandeskapet har lagt fram förslag till kompromisser på de mest kontroversiella punkterna, nämligen den totala utlåningsvolymen och dess regionala fördelning.</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För den totala volymen anger ordförandeskapet ett intervall mellan 23,9 miljarder euro, som innebär oförändrad volym i reala termer jämfört med innevarande mandat, och 27,2 miljarder euro. Kommissionens förslag var 33 miljarder euro, vilket vore en ökning av låneramen med ca 60 procent.</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Den svenska utgångspunkten i diskussionerna har varit att den totala volymen begränsas till en realt oförändrad nivå. Denna uppfattning delas av andra budgetrestriktiva länder. Sverige anser att EU:s närområde bör prioriteras. Sverige har vidare hävdat att det krävs en bättre balans mellan olika externa regioner, vilket innebär att de belopp som avsätts för lån till de östra grannländerna bör öka väsentligt jämfört med nuvarande mandat.    </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p>
    <w:p w:rsidR="006B06E4" w:rsidRPr="00FD3D4A" w:rsidRDefault="006B06E4">
      <w:pPr>
        <w:pStyle w:val="RKnormal"/>
        <w:tabs>
          <w:tab w:val="clear" w:pos="1701"/>
          <w:tab w:val="left" w:pos="567"/>
        </w:tabs>
        <w:rPr>
          <w:rFonts w:ascii="OrigGarmnd BT" w:hAnsi="OrigGarmnd BT"/>
          <w:b/>
          <w:bCs/>
          <w:sz w:val="24"/>
          <w:lang w:val="sv-SE"/>
        </w:rPr>
      </w:pPr>
      <w:r w:rsidRPr="00FD3D4A">
        <w:rPr>
          <w:rFonts w:ascii="OrigGarmnd BT" w:hAnsi="OrigGarmnd BT"/>
          <w:b/>
          <w:bCs/>
          <w:sz w:val="24"/>
          <w:lang w:val="sv-SE"/>
        </w:rPr>
        <w:t>9.      Finansiella tjänster</w:t>
      </w:r>
    </w:p>
    <w:p w:rsidR="006B06E4" w:rsidRPr="00FD3D4A" w:rsidRDefault="006B06E4">
      <w:pPr>
        <w:pStyle w:val="RKnormal"/>
        <w:tabs>
          <w:tab w:val="clear" w:pos="1701"/>
          <w:tab w:val="left" w:pos="567"/>
        </w:tabs>
        <w:rPr>
          <w:rFonts w:ascii="OrigGarmnd BT" w:hAnsi="OrigGarmnd BT"/>
          <w:b/>
          <w:bCs/>
          <w:sz w:val="24"/>
          <w:lang w:val="sv-SE"/>
        </w:rPr>
      </w:pPr>
      <w:r w:rsidRPr="00FD3D4A">
        <w:rPr>
          <w:rFonts w:ascii="OrigGarmnd BT" w:hAnsi="OrigGarmnd BT"/>
          <w:b/>
          <w:bCs/>
          <w:sz w:val="24"/>
          <w:lang w:val="sv-SE"/>
        </w:rPr>
        <w:t xml:space="preserve">         9.1   Clearing &amp; avveckling</w:t>
      </w:r>
    </w:p>
    <w:p w:rsidR="006B06E4" w:rsidRPr="00FD3D4A" w:rsidRDefault="006B06E4">
      <w:pPr>
        <w:pStyle w:val="RKnormal"/>
        <w:tabs>
          <w:tab w:val="clear" w:pos="1701"/>
          <w:tab w:val="left" w:pos="567"/>
        </w:tabs>
        <w:rPr>
          <w:rFonts w:ascii="OrigGarmnd BT" w:hAnsi="OrigGarmnd BT"/>
          <w:i/>
          <w:iCs/>
          <w:sz w:val="24"/>
          <w:lang w:val="sv-SE"/>
        </w:rPr>
      </w:pPr>
      <w:r w:rsidRPr="00FD3D4A">
        <w:rPr>
          <w:rFonts w:ascii="OrigGarmnd BT" w:hAnsi="OrigGarmnd BT"/>
          <w:i/>
          <w:iCs/>
          <w:sz w:val="24"/>
          <w:lang w:val="sv-SE"/>
        </w:rPr>
        <w:t xml:space="preserve">                  - meningsutbyte</w:t>
      </w:r>
    </w:p>
    <w:p w:rsidR="006B06E4" w:rsidRPr="00FD3D4A" w:rsidRDefault="006B06E4">
      <w:pPr>
        <w:pStyle w:val="RKnormal"/>
        <w:tabs>
          <w:tab w:val="clear" w:pos="1701"/>
          <w:tab w:val="left" w:pos="567"/>
        </w:tabs>
        <w:rPr>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Avsikten är att diskutera kommissionens strategi på området clearing och avveckling (formerna för genomförande och avslut av värdepappersaffärer). I stället för att gå fram med lagstiftning har kommissionen valt att överlåta åt marknadsparterna att utarbeta en uppförandekod. Avsikten är att koden redan under nästa år skall bidra till lösningar på problemen kring bl.a. marknadstillträde, tekniska länkar mellan datasystem och genomlysning av priser. Från svensk sida har under lång tid efterlyst harmoniserade </w:t>
      </w:r>
      <w:r w:rsidRPr="00FD3D4A">
        <w:rPr>
          <w:rFonts w:ascii="OrigGarmnd BT" w:hAnsi="OrigGarmnd BT"/>
          <w:sz w:val="24"/>
          <w:lang w:val="sv-SE"/>
        </w:rPr>
        <w:t>regler på detta område. Marknadsaktörerna har hittills misslyckats med att hitta en lösning på problemen. Därför kan det ifrågasättas om kommissionens strategi är en framkomlig väg.</w:t>
      </w:r>
    </w:p>
    <w:p w:rsidR="006B06E4" w:rsidRPr="00FD3D4A" w:rsidRDefault="006B06E4">
      <w:pPr>
        <w:pStyle w:val="RKnormal"/>
        <w:tabs>
          <w:tab w:val="clear" w:pos="1701"/>
          <w:tab w:val="left" w:pos="567"/>
        </w:tabs>
        <w:rPr>
          <w:rFonts w:ascii="OrigGarmnd BT" w:hAnsi="OrigGarmnd BT"/>
          <w:sz w:val="24"/>
          <w:lang w:val="sv-SE"/>
        </w:rPr>
      </w:pPr>
    </w:p>
    <w:p w:rsidR="006B06E4" w:rsidRPr="00FD3D4A" w:rsidRDefault="006B06E4">
      <w:pPr>
        <w:pStyle w:val="RKnormal"/>
        <w:tabs>
          <w:tab w:val="clear" w:pos="1701"/>
          <w:tab w:val="left" w:pos="567"/>
        </w:tabs>
        <w:rPr>
          <w:rFonts w:ascii="OrigGarmnd BT" w:hAnsi="OrigGarmnd BT"/>
          <w:sz w:val="24"/>
          <w:lang w:val="sv-SE"/>
        </w:rPr>
      </w:pPr>
    </w:p>
    <w:p w:rsidR="006B06E4" w:rsidRPr="00FD3D4A" w:rsidRDefault="006B06E4">
      <w:pPr>
        <w:pStyle w:val="RKnormal"/>
        <w:tabs>
          <w:tab w:val="clear" w:pos="1701"/>
          <w:tab w:val="left" w:pos="567"/>
        </w:tabs>
        <w:ind w:left="567"/>
        <w:rPr>
          <w:rFonts w:ascii="OrigGarmnd BT" w:hAnsi="OrigGarmnd BT"/>
          <w:b/>
          <w:bCs/>
          <w:sz w:val="24"/>
          <w:lang w:val="sv-SE"/>
        </w:rPr>
      </w:pPr>
      <w:r w:rsidRPr="00FD3D4A">
        <w:rPr>
          <w:rFonts w:ascii="OrigGarmnd BT" w:hAnsi="OrigGarmnd BT"/>
          <w:b/>
          <w:bCs/>
          <w:sz w:val="24"/>
          <w:lang w:val="sv-SE"/>
        </w:rPr>
        <w:t>9.2   En integrerad marknad för betalningstjänster inom EU</w:t>
      </w:r>
    </w:p>
    <w:p w:rsidR="006B06E4" w:rsidRPr="00FD3D4A" w:rsidRDefault="006B06E4">
      <w:pPr>
        <w:pStyle w:val="RKnormal"/>
        <w:tabs>
          <w:tab w:val="clear" w:pos="1701"/>
          <w:tab w:val="left" w:pos="567"/>
        </w:tabs>
        <w:rPr>
          <w:rFonts w:ascii="OrigGarmnd BT" w:hAnsi="OrigGarmnd BT"/>
          <w:i/>
          <w:iCs/>
          <w:sz w:val="24"/>
          <w:lang w:val="sv-SE"/>
        </w:rPr>
      </w:pPr>
      <w:r w:rsidRPr="00FD3D4A">
        <w:rPr>
          <w:rFonts w:ascii="OrigGarmnd BT" w:hAnsi="OrigGarmnd BT"/>
          <w:i/>
          <w:iCs/>
          <w:sz w:val="24"/>
          <w:lang w:val="sv-SE"/>
        </w:rPr>
        <w:tab/>
        <w:t xml:space="preserve">        - rådsslutsatser</w:t>
      </w:r>
    </w:p>
    <w:p w:rsidR="006B06E4" w:rsidRPr="00FD3D4A" w:rsidRDefault="006B06E4">
      <w:pPr>
        <w:pStyle w:val="RKnormal"/>
        <w:tabs>
          <w:tab w:val="clear" w:pos="1701"/>
          <w:tab w:val="left" w:pos="567"/>
        </w:tabs>
        <w:ind w:hanging="567"/>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De europeiska bankföreningarna har tagit ett initiativ för att tillskapa en integrerad marknad för betalningstjänster inom EU (SEPA – Single European Payments Area).  Bankerna har inrättat ett råd för att leda arbetet med att utveckla ett regelverk och etablera de standarder som behövs för att uppfylla de krav som kommer att ställas enligt kommande lagstiftning.</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 xml:space="preserve">Inom EU pågår förhandlingar om antagandet av ett direktiv för betalningstjänster. Direktivförslaget handlar om de krav som uppställs i samband med nationella och gränsöverskridande betalningar inom EU. I förslaget finns bestämmelser om bl.a. auktorisations- och tillsynskrav, ansvarsregler och överföringstid. Direktivet kommer att utgöra den rättsliga grunden för de produkter m.m. som utarbetas inom ramen för SEPA. </w:t>
      </w:r>
    </w:p>
    <w:p w:rsidR="006B06E4" w:rsidRPr="00FD3D4A" w:rsidRDefault="006B06E4">
      <w:pPr>
        <w:pStyle w:val="RKnormal"/>
        <w:rPr>
          <w:rFonts w:ascii="OrigGarmnd BT" w:hAnsi="OrigGarmnd BT"/>
          <w:sz w:val="24"/>
          <w:lang w:val="sv-SE"/>
        </w:rPr>
      </w:pPr>
    </w:p>
    <w:p w:rsidR="006B06E4" w:rsidRPr="00FD3D4A" w:rsidRDefault="006B06E4">
      <w:pPr>
        <w:tabs>
          <w:tab w:val="left" w:pos="1701"/>
        </w:tabs>
        <w:overflowPunct/>
        <w:spacing w:line="240" w:lineRule="atLeast"/>
        <w:textAlignment w:val="auto"/>
        <w:rPr>
          <w:color w:val="000000"/>
          <w:szCs w:val="24"/>
        </w:rPr>
      </w:pPr>
      <w:r w:rsidRPr="00FD3D4A">
        <w:rPr>
          <w:color w:val="000000"/>
          <w:szCs w:val="24"/>
        </w:rPr>
        <w:t>Sverige har verkat för att det s.k. betalningsdirektivet skall antas snarast eftersom det är en förutsättning för att SEPA skall kunna genomföras 2010.</w:t>
      </w:r>
      <w:r w:rsidRPr="00FD3D4A">
        <w:rPr>
          <w:b/>
          <w:bCs/>
          <w:color w:val="000000"/>
          <w:szCs w:val="24"/>
        </w:rPr>
        <w:t xml:space="preserve"> </w:t>
      </w:r>
      <w:r w:rsidRPr="00FD3D4A">
        <w:rPr>
          <w:color w:val="000000"/>
          <w:szCs w:val="24"/>
        </w:rPr>
        <w:t>Utkastet till slutsatser kan ses som ett stöd för denna ambition.</w:t>
      </w:r>
    </w:p>
    <w:p w:rsidR="006B06E4" w:rsidRPr="00FD3D4A" w:rsidRDefault="006B06E4">
      <w:pPr>
        <w:pStyle w:val="RKnormal"/>
        <w:tabs>
          <w:tab w:val="clear" w:pos="1701"/>
          <w:tab w:val="left" w:pos="567"/>
        </w:tabs>
        <w:rPr>
          <w:rFonts w:ascii="OrigGarmnd BT" w:hAnsi="OrigGarmnd BT"/>
          <w:b/>
          <w:bCs/>
          <w:sz w:val="24"/>
          <w:lang w:val="sv-SE"/>
        </w:rPr>
      </w:pPr>
    </w:p>
    <w:p w:rsidR="006B06E4" w:rsidRPr="00FD3D4A" w:rsidRDefault="006B06E4">
      <w:pPr>
        <w:pStyle w:val="RKnormal"/>
        <w:tabs>
          <w:tab w:val="clear" w:pos="1701"/>
          <w:tab w:val="left" w:pos="567"/>
        </w:tabs>
        <w:rPr>
          <w:rFonts w:ascii="OrigGarmnd BT" w:hAnsi="OrigGarmnd BT"/>
          <w:b/>
          <w:bCs/>
          <w:sz w:val="24"/>
          <w:lang w:val="sv-SE"/>
        </w:rPr>
      </w:pPr>
    </w:p>
    <w:p w:rsidR="006B06E4" w:rsidRPr="00FD3D4A" w:rsidRDefault="006B06E4">
      <w:pPr>
        <w:pStyle w:val="RKnormal"/>
        <w:tabs>
          <w:tab w:val="clear" w:pos="1701"/>
          <w:tab w:val="left" w:pos="567"/>
        </w:tabs>
        <w:rPr>
          <w:rFonts w:ascii="OrigGarmnd BT" w:hAnsi="OrigGarmnd BT"/>
          <w:b/>
          <w:bCs/>
          <w:sz w:val="24"/>
          <w:lang w:val="sv-SE"/>
        </w:rPr>
      </w:pPr>
      <w:r w:rsidRPr="00FD3D4A">
        <w:rPr>
          <w:rFonts w:ascii="OrigGarmnd BT" w:hAnsi="OrigGarmnd BT"/>
          <w:b/>
          <w:bCs/>
          <w:sz w:val="24"/>
          <w:lang w:val="sv-SE"/>
        </w:rPr>
        <w:t>10.</w:t>
      </w:r>
      <w:r w:rsidRPr="00FD3D4A">
        <w:rPr>
          <w:rFonts w:ascii="OrigGarmnd BT" w:hAnsi="OrigGarmnd BT"/>
          <w:b/>
          <w:bCs/>
          <w:sz w:val="24"/>
          <w:lang w:val="sv-SE"/>
        </w:rPr>
        <w:tab/>
        <w:t>Övriga ärenden</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r w:rsidRPr="00FD3D4A">
        <w:rPr>
          <w:rFonts w:ascii="OrigGarmnd BT" w:hAnsi="OrigGarmnd BT"/>
          <w:sz w:val="24"/>
          <w:lang w:val="sv-SE"/>
        </w:rPr>
        <w:t>Inga övriga ärenden har anmälts.</w:t>
      </w:r>
    </w:p>
    <w:p w:rsidR="006B06E4" w:rsidRPr="00FD3D4A" w:rsidRDefault="006B06E4">
      <w:pPr>
        <w:pStyle w:val="RKnormal"/>
        <w:rPr>
          <w:rFonts w:ascii="OrigGarmnd BT" w:hAnsi="OrigGarmnd BT"/>
          <w:sz w:val="24"/>
          <w:lang w:val="sv-SE"/>
        </w:rPr>
      </w:pPr>
    </w:p>
    <w:p w:rsidR="006B06E4" w:rsidRPr="00FD3D4A" w:rsidRDefault="006B06E4">
      <w:pPr>
        <w:pStyle w:val="RKnormal"/>
        <w:rPr>
          <w:rFonts w:ascii="OrigGarmnd BT" w:hAnsi="OrigGarmnd BT"/>
          <w:sz w:val="24"/>
          <w:lang w:val="sv-SE"/>
        </w:rPr>
      </w:pPr>
    </w:p>
    <w:p w:rsidR="006B06E4" w:rsidRPr="00FD3D4A" w:rsidRDefault="006B06E4">
      <w:pPr>
        <w:pStyle w:val="RKnormal"/>
        <w:jc w:val="center"/>
        <w:rPr>
          <w:rFonts w:ascii="OrigGarmnd BT" w:hAnsi="OrigGarmnd BT"/>
          <w:b/>
          <w:bCs/>
          <w:sz w:val="24"/>
          <w:lang w:val="sv-SE"/>
        </w:rPr>
      </w:pPr>
      <w:r w:rsidRPr="00FD3D4A">
        <w:rPr>
          <w:rFonts w:ascii="OrigGarmnd BT" w:hAnsi="OrigGarmnd BT"/>
          <w:b/>
          <w:bCs/>
          <w:sz w:val="24"/>
          <w:lang w:val="sv-SE"/>
        </w:rPr>
        <w:t>_____________________________</w:t>
      </w:r>
    </w:p>
    <w:sectPr w:rsidR="006B06E4" w:rsidRPr="00FD3D4A">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6E4" w:rsidRPr="00FD3D4A" w:rsidRDefault="006B06E4">
      <w:pPr>
        <w:spacing w:line="240" w:lineRule="auto"/>
      </w:pPr>
      <w:r w:rsidRPr="00FD3D4A">
        <w:separator/>
      </w:r>
    </w:p>
  </w:endnote>
  <w:endnote w:type="continuationSeparator" w:id="0">
    <w:p w:rsidR="006B06E4" w:rsidRPr="00FD3D4A" w:rsidRDefault="006B06E4">
      <w:pPr>
        <w:spacing w:line="240" w:lineRule="auto"/>
      </w:pPr>
      <w:r w:rsidRPr="00FD3D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6E4" w:rsidRPr="00FD3D4A" w:rsidRDefault="006B06E4">
      <w:pPr>
        <w:spacing w:line="240" w:lineRule="auto"/>
      </w:pPr>
      <w:r w:rsidRPr="00FD3D4A">
        <w:separator/>
      </w:r>
    </w:p>
  </w:footnote>
  <w:footnote w:type="continuationSeparator" w:id="0">
    <w:p w:rsidR="006B06E4" w:rsidRPr="00FD3D4A" w:rsidRDefault="006B06E4">
      <w:pPr>
        <w:spacing w:line="240" w:lineRule="auto"/>
      </w:pPr>
      <w:r w:rsidRPr="00FD3D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6E4" w:rsidRPr="00FD3D4A" w:rsidRDefault="006B06E4">
    <w:pPr>
      <w:pStyle w:val="Sidhuvud"/>
      <w:framePr w:wrap="around" w:vAnchor="text" w:hAnchor="margin" w:xAlign="right" w:y="1"/>
      <w:rPr>
        <w:rStyle w:val="Sidnummer"/>
      </w:rPr>
    </w:pPr>
    <w:r w:rsidRPr="00FD3D4A">
      <w:rPr>
        <w:rStyle w:val="Sidnummer"/>
      </w:rPr>
      <w:fldChar w:fldCharType="begin" w:fldLock="1"/>
    </w:r>
    <w:r w:rsidRPr="00FD3D4A">
      <w:rPr>
        <w:rStyle w:val="Sidnummer"/>
      </w:rPr>
      <w:instrText xml:space="preserve">PAGE  </w:instrText>
    </w:r>
    <w:r w:rsidRPr="00FD3D4A">
      <w:rPr>
        <w:rStyle w:val="Sidnummer"/>
      </w:rPr>
      <w:fldChar w:fldCharType="separate"/>
    </w:r>
    <w:r w:rsidRPr="00FD3D4A">
      <w:rPr>
        <w:rStyle w:val="Sidnummer"/>
      </w:rPr>
      <w:t>4</w:t>
    </w:r>
    <w:r w:rsidRPr="00FD3D4A">
      <w:rPr>
        <w:rStyle w:val="Sidnummer"/>
      </w:rPr>
      <w:fldChar w:fldCharType="end"/>
    </w:r>
  </w:p>
  <w:p w:rsidR="006B06E4" w:rsidRPr="00FD3D4A" w:rsidRDefault="006B06E4">
    <w:pPr>
      <w:pStyle w:val="Sidhuvud"/>
      <w:ind w:right="360"/>
    </w:pPr>
  </w:p>
  <w:p w:rsidR="006B06E4" w:rsidRPr="00FD3D4A" w:rsidRDefault="006B06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6E4" w:rsidRPr="00FD3D4A" w:rsidRDefault="006B06E4">
    <w:pPr>
      <w:pStyle w:val="Sidhuvud"/>
      <w:framePr w:wrap="around" w:vAnchor="text" w:hAnchor="margin" w:xAlign="right" w:y="1"/>
      <w:rPr>
        <w:rStyle w:val="Sidnummer"/>
      </w:rPr>
    </w:pPr>
    <w:r w:rsidRPr="00FD3D4A">
      <w:rPr>
        <w:rStyle w:val="Sidnummer"/>
      </w:rPr>
      <w:fldChar w:fldCharType="begin" w:fldLock="1"/>
    </w:r>
    <w:r w:rsidRPr="00FD3D4A">
      <w:rPr>
        <w:rStyle w:val="Sidnummer"/>
      </w:rPr>
      <w:instrText xml:space="preserve">PAGE  </w:instrText>
    </w:r>
    <w:r w:rsidRPr="00FD3D4A">
      <w:rPr>
        <w:rStyle w:val="Sidnummer"/>
      </w:rPr>
      <w:fldChar w:fldCharType="separate"/>
    </w:r>
    <w:r w:rsidRPr="00FD3D4A">
      <w:rPr>
        <w:rStyle w:val="Sidnummer"/>
      </w:rPr>
      <w:t>5</w:t>
    </w:r>
    <w:r w:rsidRPr="00FD3D4A">
      <w:rPr>
        <w:rStyle w:val="Sidnummer"/>
      </w:rPr>
      <w:fldChar w:fldCharType="end"/>
    </w:r>
  </w:p>
  <w:p w:rsidR="006B06E4" w:rsidRPr="00FD3D4A" w:rsidRDefault="006B06E4">
    <w:pPr>
      <w:pStyle w:val="Sidhuvud"/>
      <w:ind w:right="360"/>
    </w:pPr>
  </w:p>
  <w:p w:rsidR="006B06E4" w:rsidRPr="00FD3D4A" w:rsidRDefault="006B06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6E4" w:rsidRPr="00FD3D4A" w:rsidRDefault="00FD3D4A">
    <w:pPr>
      <w:framePr w:w="2948" w:h="1321" w:hRule="exact" w:wrap="notBeside" w:vAnchor="page" w:hAnchor="page" w:x="1362" w:y="653"/>
    </w:pPr>
    <w:r w:rsidRPr="00FD3D4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B06E4" w:rsidRPr="00FD3D4A" w:rsidRDefault="006B06E4">
    <w:pPr>
      <w:pStyle w:val="RKrubrik"/>
      <w:keepNext w:val="0"/>
      <w:tabs>
        <w:tab w:val="clear" w:pos="1134"/>
      </w:tabs>
      <w:spacing w:before="0" w:after="0" w:line="320" w:lineRule="atLeast"/>
      <w:rPr>
        <w:lang w:val="sv-SE"/>
      </w:rPr>
    </w:pPr>
  </w:p>
  <w:p w:rsidR="006B06E4" w:rsidRPr="00FD3D4A" w:rsidRDefault="006B06E4">
    <w:pPr>
      <w:rPr>
        <w:rFonts w:ascii="TradeGothic" w:hAnsi="TradeGothic"/>
        <w:b/>
        <w:spacing w:val="12"/>
        <w:sz w:val="22"/>
      </w:rPr>
    </w:pPr>
  </w:p>
  <w:p w:rsidR="006B06E4" w:rsidRPr="00FD3D4A" w:rsidRDefault="006B06E4">
    <w:pPr>
      <w:pStyle w:val="RKrubrik"/>
      <w:keepNext w:val="0"/>
      <w:tabs>
        <w:tab w:val="clear" w:pos="1134"/>
      </w:tabs>
      <w:spacing w:before="0" w:after="0" w:line="320" w:lineRule="atLeast"/>
      <w:rPr>
        <w:lang w:val="sv-SE"/>
      </w:rPr>
    </w:pPr>
  </w:p>
  <w:p w:rsidR="006B06E4" w:rsidRPr="00FD3D4A" w:rsidRDefault="006B06E4">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7353887">
    <w:abstractNumId w:val="4"/>
  </w:num>
  <w:num w:numId="2" w16cid:durableId="207183460">
    <w:abstractNumId w:val="1"/>
  </w:num>
  <w:num w:numId="3" w16cid:durableId="1636988788">
    <w:abstractNumId w:val="2"/>
  </w:num>
  <w:num w:numId="4" w16cid:durableId="1721633672">
    <w:abstractNumId w:val="6"/>
  </w:num>
  <w:num w:numId="5" w16cid:durableId="97916067">
    <w:abstractNumId w:val="0"/>
  </w:num>
  <w:num w:numId="6" w16cid:durableId="1434282590">
    <w:abstractNumId w:val="5"/>
  </w:num>
  <w:num w:numId="7" w16cid:durableId="1903130156">
    <w:abstractNumId w:val="3"/>
  </w:num>
  <w:num w:numId="8" w16cid:durableId="1064449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776413"/>
    <w:rsid w:val="006B06E4"/>
    <w:rsid w:val="00776413"/>
    <w:rsid w:val="00FD3D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881C6A-5C34-4595-A99A-0224540B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1113</Words>
  <Characters>6990</Characters>
  <Application>Microsoft Office Word</Application>
  <DocSecurity>4</DocSecurity>
  <Lines>205</Lines>
  <Paragraphs>61</Paragraphs>
  <ScaleCrop>false</ScaleCrop>
  <HeadingPairs>
    <vt:vector size="2" baseType="variant">
      <vt:variant>
        <vt:lpstr>Titel</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2006-09-29T07:28:00Z</cp:lastPrinted>
  <dcterms:created xsi:type="dcterms:W3CDTF">2025-12-17T03:55:00Z</dcterms:created>
  <dcterms:modified xsi:type="dcterms:W3CDTF">2025-12-17T03:55:00Z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