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70DC1" w:rsidRPr="00F7424F">
        <w:tblPrEx>
          <w:tblCellMar>
            <w:top w:w="0" w:type="dxa"/>
            <w:bottom w:w="0" w:type="dxa"/>
          </w:tblCellMar>
        </w:tblPrEx>
        <w:tc>
          <w:tcPr>
            <w:tcW w:w="2268" w:type="dxa"/>
          </w:tcPr>
          <w:p w:rsidR="00670DC1" w:rsidRPr="00F7424F" w:rsidRDefault="00670DC1" w:rsidP="00FA3D87">
            <w:pPr>
              <w:framePr w:w="4400" w:h="1644" w:wrap="notBeside" w:vAnchor="page" w:hAnchor="page" w:x="6573" w:y="721"/>
              <w:spacing w:line="240" w:lineRule="auto"/>
              <w:rPr>
                <w:rFonts w:ascii="TradeGothic" w:hAnsi="TradeGothic"/>
                <w:i/>
                <w:sz w:val="18"/>
              </w:rPr>
            </w:pPr>
          </w:p>
        </w:tc>
        <w:tc>
          <w:tcPr>
            <w:tcW w:w="2347" w:type="dxa"/>
            <w:gridSpan w:val="2"/>
          </w:tcPr>
          <w:p w:rsidR="00670DC1" w:rsidRPr="00F7424F" w:rsidRDefault="00670DC1" w:rsidP="00FA3D87">
            <w:pPr>
              <w:framePr w:w="4400" w:h="1644" w:wrap="notBeside" w:vAnchor="page" w:hAnchor="page" w:x="6573" w:y="721"/>
              <w:spacing w:line="240" w:lineRule="auto"/>
              <w:rPr>
                <w:rFonts w:ascii="TradeGothic" w:hAnsi="TradeGothic"/>
                <w:i/>
                <w:sz w:val="18"/>
              </w:rPr>
            </w:pPr>
          </w:p>
        </w:tc>
      </w:tr>
      <w:tr w:rsidR="00670DC1" w:rsidRPr="00F7424F">
        <w:tblPrEx>
          <w:tblCellMar>
            <w:top w:w="0" w:type="dxa"/>
            <w:bottom w:w="0" w:type="dxa"/>
          </w:tblCellMar>
        </w:tblPrEx>
        <w:trPr>
          <w:cantSplit/>
        </w:trPr>
        <w:tc>
          <w:tcPr>
            <w:tcW w:w="4615" w:type="dxa"/>
            <w:gridSpan w:val="3"/>
          </w:tcPr>
          <w:p w:rsidR="00670DC1" w:rsidRPr="00F7424F" w:rsidRDefault="00670DC1" w:rsidP="00FA3D87">
            <w:pPr>
              <w:framePr w:w="4400" w:h="1644" w:wrap="notBeside" w:vAnchor="page" w:hAnchor="page" w:x="6573" w:y="721"/>
              <w:spacing w:line="240" w:lineRule="auto"/>
              <w:rPr>
                <w:rFonts w:ascii="TradeGothic" w:hAnsi="TradeGothic"/>
                <w:b/>
                <w:sz w:val="22"/>
              </w:rPr>
            </w:pPr>
            <w:r w:rsidRPr="00F7424F">
              <w:rPr>
                <w:rFonts w:ascii="TradeGothic" w:hAnsi="TradeGothic"/>
                <w:b/>
                <w:sz w:val="22"/>
              </w:rPr>
              <w:t>Rådspromemoria</w:t>
            </w:r>
          </w:p>
        </w:tc>
      </w:tr>
      <w:tr w:rsidR="00670DC1" w:rsidRPr="00F7424F">
        <w:tblPrEx>
          <w:tblCellMar>
            <w:top w:w="0" w:type="dxa"/>
            <w:bottom w:w="0" w:type="dxa"/>
          </w:tblCellMar>
        </w:tblPrEx>
        <w:tc>
          <w:tcPr>
            <w:tcW w:w="3402" w:type="dxa"/>
            <w:gridSpan w:val="2"/>
          </w:tcPr>
          <w:p w:rsidR="00670DC1" w:rsidRPr="00F7424F" w:rsidRDefault="00670DC1" w:rsidP="00FA3D87">
            <w:pPr>
              <w:framePr w:w="4400" w:h="1644" w:wrap="notBeside" w:vAnchor="page" w:hAnchor="page" w:x="6573" w:y="721"/>
              <w:spacing w:line="240" w:lineRule="auto"/>
            </w:pPr>
          </w:p>
        </w:tc>
        <w:tc>
          <w:tcPr>
            <w:tcW w:w="1213" w:type="dxa"/>
          </w:tcPr>
          <w:p w:rsidR="00670DC1" w:rsidRPr="00F7424F" w:rsidRDefault="00670DC1" w:rsidP="00FA3D87">
            <w:pPr>
              <w:framePr w:w="4400" w:h="1644" w:wrap="notBeside" w:vAnchor="page" w:hAnchor="page" w:x="6573" w:y="721"/>
              <w:spacing w:line="240" w:lineRule="auto"/>
            </w:pPr>
          </w:p>
        </w:tc>
      </w:tr>
      <w:tr w:rsidR="00670DC1" w:rsidRPr="00F7424F">
        <w:tblPrEx>
          <w:tblCellMar>
            <w:top w:w="0" w:type="dxa"/>
            <w:bottom w:w="0" w:type="dxa"/>
          </w:tblCellMar>
        </w:tblPrEx>
        <w:tc>
          <w:tcPr>
            <w:tcW w:w="2268" w:type="dxa"/>
          </w:tcPr>
          <w:p w:rsidR="00670DC1" w:rsidRPr="00F7424F" w:rsidRDefault="00670DC1" w:rsidP="00FA3D87">
            <w:pPr>
              <w:framePr w:w="4400" w:h="1644" w:wrap="notBeside" w:vAnchor="page" w:hAnchor="page" w:x="6573" w:y="721"/>
              <w:spacing w:line="240" w:lineRule="auto"/>
            </w:pPr>
            <w:r w:rsidRPr="00F7424F">
              <w:t>200</w:t>
            </w:r>
            <w:r w:rsidR="007243CE" w:rsidRPr="00F7424F">
              <w:t>7</w:t>
            </w:r>
            <w:r w:rsidRPr="00F7424F">
              <w:t>-</w:t>
            </w:r>
            <w:r w:rsidR="00E6480E" w:rsidRPr="00F7424F">
              <w:t>11-2</w:t>
            </w:r>
            <w:r w:rsidR="004378B2" w:rsidRPr="00F7424F">
              <w:t>3</w:t>
            </w:r>
          </w:p>
        </w:tc>
        <w:tc>
          <w:tcPr>
            <w:tcW w:w="2347" w:type="dxa"/>
            <w:gridSpan w:val="2"/>
          </w:tcPr>
          <w:p w:rsidR="00670DC1" w:rsidRPr="00F7424F" w:rsidRDefault="00670DC1" w:rsidP="00FA3D87">
            <w:pPr>
              <w:framePr w:w="4400" w:h="1644" w:wrap="notBeside" w:vAnchor="page" w:hAnchor="page" w:x="6573" w:y="721"/>
              <w:spacing w:line="240" w:lineRule="auto"/>
            </w:pPr>
          </w:p>
        </w:tc>
      </w:tr>
      <w:tr w:rsidR="00670DC1" w:rsidRPr="00F7424F">
        <w:tblPrEx>
          <w:tblCellMar>
            <w:top w:w="0" w:type="dxa"/>
            <w:bottom w:w="0" w:type="dxa"/>
          </w:tblCellMar>
        </w:tblPrEx>
        <w:tc>
          <w:tcPr>
            <w:tcW w:w="2268" w:type="dxa"/>
          </w:tcPr>
          <w:p w:rsidR="00670DC1" w:rsidRPr="00F7424F" w:rsidRDefault="00670DC1" w:rsidP="00FA3D87">
            <w:pPr>
              <w:framePr w:w="4400" w:h="1644" w:wrap="notBeside" w:vAnchor="page" w:hAnchor="page" w:x="6573" w:y="721"/>
              <w:spacing w:line="240" w:lineRule="auto"/>
            </w:pPr>
          </w:p>
        </w:tc>
        <w:tc>
          <w:tcPr>
            <w:tcW w:w="2347" w:type="dxa"/>
            <w:gridSpan w:val="2"/>
          </w:tcPr>
          <w:p w:rsidR="00670DC1" w:rsidRPr="00F7424F" w:rsidRDefault="00670DC1" w:rsidP="00FA3D87">
            <w:pPr>
              <w:framePr w:w="4400" w:h="1644" w:wrap="notBeside" w:vAnchor="page" w:hAnchor="page" w:x="6573" w:y="721"/>
              <w:spacing w:line="240" w:lineRule="auto"/>
            </w:pPr>
          </w:p>
        </w:tc>
      </w:tr>
    </w:tbl>
    <w:tbl>
      <w:tblPr>
        <w:tblW w:w="0" w:type="auto"/>
        <w:tblLayout w:type="fixed"/>
        <w:tblLook w:val="0000" w:firstRow="0" w:lastRow="0" w:firstColumn="0" w:lastColumn="0" w:noHBand="0" w:noVBand="0"/>
      </w:tblPr>
      <w:tblGrid>
        <w:gridCol w:w="4911"/>
      </w:tblGrid>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
                <w:i w:val="0"/>
                <w:sz w:val="22"/>
              </w:rPr>
            </w:pPr>
            <w:r w:rsidRPr="00F7424F">
              <w:rPr>
                <w:b/>
                <w:i w:val="0"/>
                <w:sz w:val="22"/>
              </w:rPr>
              <w:t>Socialdepartementet</w:t>
            </w: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r w:rsidRPr="00F7424F">
              <w:rPr>
                <w:bCs/>
                <w:iCs/>
              </w:rPr>
              <w:t>Socialförsäkringsenheten</w:t>
            </w: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p>
        </w:tc>
      </w:tr>
      <w:tr w:rsidR="00670DC1" w:rsidRPr="00F7424F">
        <w:tblPrEx>
          <w:tblCellMar>
            <w:top w:w="0" w:type="dxa"/>
            <w:bottom w:w="0" w:type="dxa"/>
          </w:tblCellMar>
        </w:tblPrEx>
        <w:trPr>
          <w:trHeight w:val="284"/>
        </w:trPr>
        <w:tc>
          <w:tcPr>
            <w:tcW w:w="4911" w:type="dxa"/>
          </w:tcPr>
          <w:p w:rsidR="00670DC1" w:rsidRPr="00F7424F" w:rsidRDefault="00670DC1" w:rsidP="00FA3D87">
            <w:pPr>
              <w:pStyle w:val="Avsndare"/>
              <w:framePr w:h="2483" w:wrap="notBeside" w:x="1504"/>
              <w:spacing w:line="240" w:lineRule="auto"/>
              <w:rPr>
                <w:bCs/>
                <w:iCs/>
              </w:rPr>
            </w:pPr>
          </w:p>
        </w:tc>
      </w:tr>
    </w:tbl>
    <w:p w:rsidR="00670DC1" w:rsidRPr="00F7424F" w:rsidRDefault="00670DC1" w:rsidP="00FA3D87">
      <w:pPr>
        <w:framePr w:w="4400" w:h="2523" w:wrap="notBeside" w:vAnchor="page" w:hAnchor="page" w:x="6453" w:y="2445"/>
        <w:spacing w:line="240" w:lineRule="auto"/>
        <w:ind w:left="142"/>
        <w:rPr>
          <w:b/>
        </w:rPr>
      </w:pPr>
    </w:p>
    <w:p w:rsidR="00670DC1" w:rsidRPr="00F7424F" w:rsidRDefault="00670DC1" w:rsidP="00FA3D87">
      <w:pPr>
        <w:pStyle w:val="RKrubrik"/>
        <w:pBdr>
          <w:bottom w:val="single" w:sz="6" w:space="1" w:color="auto"/>
        </w:pBdr>
        <w:spacing w:line="240" w:lineRule="auto"/>
      </w:pPr>
      <w:bookmarkStart w:id="0" w:name="bRubrik"/>
      <w:bookmarkEnd w:id="0"/>
      <w:r w:rsidRPr="00F7424F">
        <w:t xml:space="preserve">EPSCO rådets möte den </w:t>
      </w:r>
      <w:r w:rsidR="00E6480E" w:rsidRPr="00F7424F">
        <w:t>5 december</w:t>
      </w:r>
      <w:r w:rsidRPr="00F7424F">
        <w:t xml:space="preserve"> 200</w:t>
      </w:r>
      <w:r w:rsidR="007243CE" w:rsidRPr="00F7424F">
        <w:t>7</w:t>
      </w:r>
      <w:r w:rsidR="00271182" w:rsidRPr="00F7424F">
        <w:t xml:space="preserve"> – dagordningspunkt 8</w:t>
      </w:r>
      <w:r w:rsidR="007243CE" w:rsidRPr="00F7424F">
        <w:t>.</w:t>
      </w:r>
    </w:p>
    <w:p w:rsidR="00670DC1" w:rsidRPr="00F7424F" w:rsidRDefault="00670DC1" w:rsidP="00FA3D87">
      <w:pPr>
        <w:pStyle w:val="RKnormal"/>
        <w:spacing w:line="240" w:lineRule="auto"/>
      </w:pPr>
    </w:p>
    <w:p w:rsidR="00E6480E" w:rsidRPr="00F7424F" w:rsidRDefault="00E6480E" w:rsidP="00FA3D87">
      <w:pPr>
        <w:pStyle w:val="RKnormal"/>
        <w:spacing w:line="240" w:lineRule="auto"/>
      </w:pPr>
      <w:r w:rsidRPr="00F7424F">
        <w:t>Förslag till Europaparlamentets och rådets förordning för tillämpning av förordning (EG) nr 883/2004 om samordning av de sociala trygghetssystemen.</w:t>
      </w:r>
    </w:p>
    <w:p w:rsidR="00E6480E" w:rsidRPr="00F7424F" w:rsidRDefault="00E6480E" w:rsidP="00FA3D87">
      <w:pPr>
        <w:pStyle w:val="RKnormal"/>
        <w:spacing w:line="240" w:lineRule="auto"/>
      </w:pPr>
    </w:p>
    <w:p w:rsidR="00E6480E" w:rsidRPr="00F7424F" w:rsidRDefault="00E6480E" w:rsidP="00FA3D87">
      <w:pPr>
        <w:pStyle w:val="RKnormal"/>
        <w:spacing w:line="240" w:lineRule="auto"/>
      </w:pPr>
      <w:r w:rsidRPr="00F7424F">
        <w:t>Dokument</w:t>
      </w:r>
      <w:r w:rsidR="004378B2" w:rsidRPr="00F7424F">
        <w:t>: 15211/07 SOC 458 CODEC 1255</w:t>
      </w:r>
    </w:p>
    <w:p w:rsidR="00E6480E" w:rsidRPr="00F7424F" w:rsidRDefault="00E6480E" w:rsidP="00FA3D87">
      <w:pPr>
        <w:pStyle w:val="RKnormal"/>
        <w:spacing w:line="240" w:lineRule="auto"/>
      </w:pPr>
    </w:p>
    <w:p w:rsidR="00E6480E" w:rsidRPr="00F7424F" w:rsidRDefault="00E6480E" w:rsidP="00FA3D87">
      <w:pPr>
        <w:pStyle w:val="RKnormal"/>
        <w:spacing w:line="240" w:lineRule="auto"/>
      </w:pPr>
      <w:r w:rsidRPr="00F7424F">
        <w:t>Tidigare dokument:</w:t>
      </w:r>
      <w:r w:rsidRPr="00F7424F">
        <w:rPr>
          <w:color w:val="000000"/>
        </w:rPr>
        <w:t xml:space="preserve"> KOM (2006) 16 final,</w:t>
      </w:r>
      <w:r w:rsidRPr="00F7424F">
        <w:rPr>
          <w:rFonts w:ascii="Times New Roman" w:hAnsi="Times New Roman"/>
          <w:color w:val="000000"/>
        </w:rPr>
        <w:t xml:space="preserve"> KOM (2006) 7 slutlig, f</w:t>
      </w:r>
      <w:r w:rsidRPr="00F7424F">
        <w:t>akta-PM socialdepartementet 2005/2006 FPM76</w:t>
      </w:r>
    </w:p>
    <w:p w:rsidR="00644707" w:rsidRPr="00F7424F" w:rsidRDefault="00644707" w:rsidP="00FA3D87">
      <w:pPr>
        <w:pStyle w:val="RKnormal"/>
        <w:spacing w:line="240" w:lineRule="auto"/>
      </w:pPr>
    </w:p>
    <w:p w:rsidR="00670DC1" w:rsidRPr="00F7424F" w:rsidRDefault="00670DC1" w:rsidP="00FA3D87">
      <w:pPr>
        <w:pStyle w:val="RKrubrik"/>
        <w:spacing w:line="240" w:lineRule="auto"/>
      </w:pPr>
      <w:r w:rsidRPr="00F7424F">
        <w:t>Bakgrund</w:t>
      </w:r>
    </w:p>
    <w:p w:rsidR="00E6480E" w:rsidRPr="00F7424F" w:rsidRDefault="00D0731E" w:rsidP="00FA3D87">
      <w:pPr>
        <w:spacing w:before="240" w:line="240" w:lineRule="auto"/>
      </w:pPr>
      <w:r w:rsidRPr="00F7424F">
        <w:t>Europaparlamentet</w:t>
      </w:r>
      <w:r w:rsidR="00E6480E" w:rsidRPr="00F7424F">
        <w:t xml:space="preserve"> och rådet antog den 29 april 2004 en ny förordning 883/2004 om samordning av de sociala trygghetssystemen. I artikel 89 i denna förordning anges att tillämpningsföreskrifter till förordningen måste utfärdas innan förordningen </w:t>
      </w:r>
      <w:smartTag w:uri="urn:schemas-microsoft-com:office:smarttags" w:element="State">
        <w:smartTag w:uri="urn:schemas-microsoft-com:office:smarttags" w:element="place">
          <w:r w:rsidR="00E6480E" w:rsidRPr="00F7424F">
            <w:t>kan</w:t>
          </w:r>
        </w:smartTag>
      </w:smartTag>
      <w:r w:rsidR="00E6480E" w:rsidRPr="00F7424F">
        <w:t xml:space="preserve"> börja ti</w:t>
      </w:r>
      <w:r w:rsidRPr="00F7424F">
        <w:t>llämpas. En arbetsgrupp i rådet</w:t>
      </w:r>
      <w:r w:rsidR="00E6480E" w:rsidRPr="00F7424F">
        <w:t xml:space="preserve"> har under det portugisiska ordförandeskapet fortsatt behandlingen i kapitlen V och VI arbetslöshetsförmåner och familjeförmåner </w:t>
      </w:r>
      <w:r w:rsidR="004378B2" w:rsidRPr="00F7424F">
        <w:t>samt återbetalning av arbetslöshetsförmåner enligt kapitel II enligt artikel 69 i förordningen.</w:t>
      </w:r>
    </w:p>
    <w:p w:rsidR="00670DC1" w:rsidRPr="00F7424F" w:rsidRDefault="00670DC1" w:rsidP="00FA3D87">
      <w:pPr>
        <w:pStyle w:val="RKrubrik"/>
        <w:spacing w:line="240" w:lineRule="auto"/>
      </w:pPr>
      <w:r w:rsidRPr="00F7424F">
        <w:t>Rättslig grund och beslutsförfarande</w:t>
      </w:r>
    </w:p>
    <w:p w:rsidR="00670DC1" w:rsidRPr="00F7424F" w:rsidRDefault="00670DC1" w:rsidP="00FA3D87">
      <w:pPr>
        <w:spacing w:before="240" w:line="240" w:lineRule="auto"/>
        <w:rPr>
          <w:rFonts w:ascii="Times New Roman" w:hAnsi="Times New Roman"/>
          <w:color w:val="000000"/>
        </w:rPr>
      </w:pPr>
      <w:r w:rsidRPr="00F7424F">
        <w:rPr>
          <w:rFonts w:ascii="Times New Roman" w:hAnsi="Times New Roman"/>
          <w:color w:val="000000"/>
        </w:rPr>
        <w:t>Artikel 42 och 308 i EF. Enhällighet och medbeslutande EP</w:t>
      </w:r>
    </w:p>
    <w:p w:rsidR="00670DC1" w:rsidRPr="00F7424F" w:rsidRDefault="00670DC1" w:rsidP="00FA3D87">
      <w:pPr>
        <w:pStyle w:val="RKnormal"/>
        <w:spacing w:line="240" w:lineRule="auto"/>
      </w:pPr>
    </w:p>
    <w:p w:rsidR="00670DC1" w:rsidRPr="00F7424F" w:rsidRDefault="00670DC1" w:rsidP="00FA3D87">
      <w:pPr>
        <w:pStyle w:val="RKrubrik"/>
        <w:spacing w:line="240" w:lineRule="auto"/>
        <w:rPr>
          <w:i/>
          <w:iCs/>
        </w:rPr>
      </w:pPr>
      <w:r w:rsidRPr="00F7424F">
        <w:rPr>
          <w:i/>
          <w:iCs/>
        </w:rPr>
        <w:t>Svensk ståndpunkt</w:t>
      </w:r>
    </w:p>
    <w:p w:rsidR="00670DC1" w:rsidRPr="00F7424F" w:rsidRDefault="00D0731E" w:rsidP="00FA3D87">
      <w:pPr>
        <w:pStyle w:val="RKnormal"/>
        <w:spacing w:line="240" w:lineRule="auto"/>
      </w:pPr>
      <w:r w:rsidRPr="00F7424F">
        <w:t>Familjeförmåner:</w:t>
      </w:r>
      <w:r w:rsidR="005F5DB1" w:rsidRPr="00F7424F">
        <w:t xml:space="preserve"> </w:t>
      </w:r>
      <w:r w:rsidRPr="00F7424F">
        <w:t xml:space="preserve">Sverige </w:t>
      </w:r>
      <w:r w:rsidR="005F5DB1" w:rsidRPr="00F7424F">
        <w:t>stöder förslaget och är öppna till båda alternativen till beräkning av tilläggsbeloppet.</w:t>
      </w:r>
    </w:p>
    <w:p w:rsidR="005F5DB1" w:rsidRPr="00F7424F" w:rsidRDefault="00D0731E" w:rsidP="00FA3D87">
      <w:pPr>
        <w:pStyle w:val="RKnormal"/>
        <w:spacing w:line="240" w:lineRule="auto"/>
      </w:pPr>
      <w:r w:rsidRPr="00F7424F">
        <w:t xml:space="preserve">Arbetslöshetsförsäkring: Sverige </w:t>
      </w:r>
      <w:r w:rsidR="005F5DB1" w:rsidRPr="00F7424F">
        <w:t>stöder förslaget.</w:t>
      </w:r>
    </w:p>
    <w:p w:rsidR="00670DC1" w:rsidRPr="00F7424F" w:rsidRDefault="00670DC1" w:rsidP="00FA3D87">
      <w:pPr>
        <w:pStyle w:val="RKrubrik"/>
        <w:spacing w:line="240" w:lineRule="auto"/>
      </w:pPr>
      <w:r w:rsidRPr="00F7424F">
        <w:lastRenderedPageBreak/>
        <w:t>Europaparlamentets inställning</w:t>
      </w:r>
    </w:p>
    <w:p w:rsidR="00670DC1" w:rsidRPr="00F7424F" w:rsidRDefault="00670DC1" w:rsidP="00FA3D87">
      <w:pPr>
        <w:pStyle w:val="RKnormal"/>
        <w:spacing w:line="240" w:lineRule="auto"/>
      </w:pPr>
      <w:r w:rsidRPr="00F7424F">
        <w:t>Inte känd.</w:t>
      </w:r>
    </w:p>
    <w:p w:rsidR="00670DC1" w:rsidRPr="00F7424F" w:rsidRDefault="00670DC1" w:rsidP="00FA3D87">
      <w:pPr>
        <w:pStyle w:val="RKrubrik"/>
        <w:spacing w:line="240" w:lineRule="auto"/>
        <w:rPr>
          <w:i/>
          <w:iCs/>
        </w:rPr>
      </w:pPr>
      <w:r w:rsidRPr="00F7424F">
        <w:rPr>
          <w:i/>
          <w:iCs/>
        </w:rPr>
        <w:t>Förslaget</w:t>
      </w:r>
    </w:p>
    <w:p w:rsidR="009A0076" w:rsidRPr="00F7424F" w:rsidRDefault="009A0076" w:rsidP="00FA3D87">
      <w:pPr>
        <w:pStyle w:val="Brdtext"/>
        <w:spacing w:line="240" w:lineRule="auto"/>
        <w:rPr>
          <w:rFonts w:ascii="OrigGarmnd BT" w:hAnsi="OrigGarmnd BT"/>
        </w:rPr>
      </w:pPr>
      <w:r w:rsidRPr="00F7424F">
        <w:rPr>
          <w:rFonts w:ascii="OrigGarmnd BT" w:hAnsi="OrigGarmnd BT"/>
        </w:rPr>
        <w:t xml:space="preserve">Förslaget avser att slutföra moderniseringen av samordningsbestämmelserna för social trygghet i förordningen 883/2004 genom att införa en ny tillämpningsförordning som skall ersätta den nu gällande tillämpningsförordningen 574/72. </w:t>
      </w:r>
    </w:p>
    <w:p w:rsidR="009A0076" w:rsidRPr="00F7424F" w:rsidRDefault="009A0076" w:rsidP="00FA3D87">
      <w:pPr>
        <w:pStyle w:val="Brdtext"/>
        <w:spacing w:line="240" w:lineRule="auto"/>
        <w:rPr>
          <w:rFonts w:ascii="OrigGarmnd BT" w:hAnsi="OrigGarmnd BT"/>
        </w:rPr>
      </w:pPr>
    </w:p>
    <w:p w:rsidR="009A0076" w:rsidRPr="00F7424F" w:rsidRDefault="005F6ABD" w:rsidP="00FA3D87">
      <w:pPr>
        <w:pStyle w:val="RKnormal"/>
        <w:spacing w:line="240" w:lineRule="auto"/>
      </w:pPr>
      <w:r w:rsidRPr="00F7424F">
        <w:t xml:space="preserve">Under det portugisiska ordförandeskapet har enighet nåtts om avsnitten om arbetslöshetsförmåner och familjeförmåner. </w:t>
      </w:r>
    </w:p>
    <w:p w:rsidR="00896511" w:rsidRPr="00F7424F" w:rsidRDefault="00896511" w:rsidP="00FA3D87">
      <w:pPr>
        <w:pStyle w:val="Punktlista"/>
        <w:numPr>
          <w:ilvl w:val="0"/>
          <w:numId w:val="0"/>
        </w:numPr>
        <w:spacing w:line="240" w:lineRule="auto"/>
        <w:rPr>
          <w:szCs w:val="24"/>
        </w:rPr>
      </w:pPr>
      <w:r w:rsidRPr="00F7424F">
        <w:rPr>
          <w:szCs w:val="24"/>
        </w:rPr>
        <w:t xml:space="preserve">Reglerna berör främst den administrativa hanteringen av förmånsslagen och samarbetet mellan myndigheterna. Målsättningen är att rådet i december ska anta ett delbeslut om dessa avsnitt. </w:t>
      </w:r>
    </w:p>
    <w:p w:rsidR="00896511" w:rsidRPr="00F7424F" w:rsidRDefault="00896511" w:rsidP="00FA3D87">
      <w:pPr>
        <w:pStyle w:val="Punktlista"/>
        <w:numPr>
          <w:ilvl w:val="0"/>
          <w:numId w:val="0"/>
        </w:numPr>
        <w:spacing w:line="240" w:lineRule="auto"/>
        <w:rPr>
          <w:i/>
          <w:szCs w:val="24"/>
        </w:rPr>
      </w:pPr>
    </w:p>
    <w:p w:rsidR="00896511" w:rsidRPr="00F7424F" w:rsidRDefault="00896511" w:rsidP="00FA3D87">
      <w:pPr>
        <w:pStyle w:val="Punktlista"/>
        <w:numPr>
          <w:ilvl w:val="0"/>
          <w:numId w:val="0"/>
        </w:numPr>
        <w:spacing w:line="240" w:lineRule="auto"/>
        <w:rPr>
          <w:i/>
          <w:szCs w:val="24"/>
        </w:rPr>
      </w:pPr>
      <w:r w:rsidRPr="00F7424F">
        <w:rPr>
          <w:i/>
          <w:szCs w:val="24"/>
        </w:rPr>
        <w:t>Familjeförmåner</w:t>
      </w:r>
    </w:p>
    <w:p w:rsidR="00896511" w:rsidRPr="00F7424F" w:rsidRDefault="00896511" w:rsidP="00FA3D87">
      <w:pPr>
        <w:pStyle w:val="Punktlista"/>
        <w:numPr>
          <w:ilvl w:val="0"/>
          <w:numId w:val="0"/>
        </w:numPr>
        <w:spacing w:line="240" w:lineRule="auto"/>
        <w:rPr>
          <w:szCs w:val="24"/>
        </w:rPr>
      </w:pPr>
      <w:r w:rsidRPr="00F7424F">
        <w:rPr>
          <w:rFonts w:cs="OrigGarmnd BT"/>
          <w:color w:val="000000"/>
          <w:szCs w:val="24"/>
          <w:lang w:eastAsia="sv-SE"/>
        </w:rPr>
        <w:t>På familjeförmånernas område handlar det om samordning av familjeförmåner i situationer där föräldrar bor och arbetar i olika medlemsstater. Beroende på var familjemedlemmarna arbetar eller var barnen är bosatta gäller olika regler för vilket lands försäkring som gäller i första hand. Om ersättningen är högre i den medlemsstat som är ansvarig i andra hand ska den medlemsstaten betala ut ett tilläggsbelopp. Tilläggsbeloppet är skillnaden mellan de sammanlagda familjeförmånerna i de båda medlemsstaterna.</w:t>
      </w:r>
    </w:p>
    <w:p w:rsidR="00896511" w:rsidRPr="00F7424F" w:rsidRDefault="00896511" w:rsidP="00FA3D87">
      <w:pPr>
        <w:pStyle w:val="Punktlista"/>
        <w:numPr>
          <w:ilvl w:val="0"/>
          <w:numId w:val="0"/>
        </w:numPr>
        <w:spacing w:line="240" w:lineRule="auto"/>
        <w:rPr>
          <w:szCs w:val="24"/>
        </w:rPr>
      </w:pPr>
    </w:p>
    <w:p w:rsidR="00896511" w:rsidRPr="00F7424F" w:rsidRDefault="00896511" w:rsidP="00FA3D87">
      <w:pPr>
        <w:pStyle w:val="Punktlista"/>
        <w:numPr>
          <w:ilvl w:val="0"/>
          <w:numId w:val="0"/>
        </w:numPr>
        <w:spacing w:line="240" w:lineRule="auto"/>
        <w:rPr>
          <w:szCs w:val="24"/>
        </w:rPr>
      </w:pPr>
      <w:r w:rsidRPr="00F7424F">
        <w:rPr>
          <w:szCs w:val="24"/>
        </w:rPr>
        <w:t>När det gäller tilläggsbeloppet för familjeförmånerna har nya förutsättningar skapats för att kunna dela upp familjeförmånerna så att föräldra</w:t>
      </w:r>
      <w:r w:rsidRPr="00F7424F">
        <w:rPr>
          <w:szCs w:val="24"/>
        </w:rPr>
        <w:softHyphen/>
      </w:r>
      <w:r w:rsidRPr="00F7424F">
        <w:rPr>
          <w:szCs w:val="24"/>
        </w:rPr>
        <w:softHyphen/>
        <w:t xml:space="preserve">penning som är kopplad till inkomstförlust när en förälder avstår från förvärvsarbete för att vårda ett barn ska samordnas separat och de mer allmänna bidragen till en familj som t.ex. barnbidrag ska samordnas separat för sig. Avsikten med uppdelningen är att få en bättre överensstämmelse mellan olika typer av förmåner än idag då olika slags förmåner läggs samman för jämföra vilket belopp som är högst. </w:t>
      </w:r>
    </w:p>
    <w:p w:rsidR="004378B2" w:rsidRPr="00F7424F" w:rsidRDefault="004378B2" w:rsidP="00FA3D87">
      <w:pPr>
        <w:pStyle w:val="Punktlista"/>
        <w:numPr>
          <w:ilvl w:val="0"/>
          <w:numId w:val="0"/>
        </w:numPr>
        <w:spacing w:line="240" w:lineRule="auto"/>
        <w:rPr>
          <w:szCs w:val="24"/>
        </w:rPr>
      </w:pPr>
    </w:p>
    <w:p w:rsidR="004378B2" w:rsidRPr="00F7424F" w:rsidRDefault="004378B2" w:rsidP="00FA3D87">
      <w:pPr>
        <w:pStyle w:val="Punktlista"/>
        <w:numPr>
          <w:ilvl w:val="0"/>
          <w:numId w:val="0"/>
        </w:numPr>
        <w:spacing w:line="240" w:lineRule="auto"/>
        <w:rPr>
          <w:szCs w:val="24"/>
        </w:rPr>
      </w:pPr>
      <w:r w:rsidRPr="00F7424F">
        <w:rPr>
          <w:szCs w:val="24"/>
        </w:rPr>
        <w:t>När det gäller metoden att fastställa tilläggsbeloppet enligt artikel 59 a har enighet inte kunna uppnås</w:t>
      </w:r>
      <w:r w:rsidR="00194A2D" w:rsidRPr="00F7424F">
        <w:rPr>
          <w:szCs w:val="24"/>
        </w:rPr>
        <w:t xml:space="preserve"> på rådsarbetsgruppsnivå</w:t>
      </w:r>
      <w:r w:rsidRPr="00F7424F">
        <w:rPr>
          <w:szCs w:val="24"/>
        </w:rPr>
        <w:t xml:space="preserve"> varför frågan lämnas över till COREPER. Ett antal medlemsstater (5 stycken) anser att tilläggsbeloppet beräknas genom att jämföra alla förmåner per familj är det som ger bästa resultat. Ett antal </w:t>
      </w:r>
      <w:r w:rsidR="00194A2D" w:rsidRPr="00F7424F">
        <w:rPr>
          <w:szCs w:val="24"/>
        </w:rPr>
        <w:t xml:space="preserve">medlemsstater </w:t>
      </w:r>
      <w:r w:rsidRPr="00F7424F">
        <w:rPr>
          <w:szCs w:val="24"/>
        </w:rPr>
        <w:t>och kommissionen är däremot emot att beräkningen görs per familj eftersom denna modell kan missgynna familjer i vissa fall</w:t>
      </w:r>
      <w:r w:rsidR="00194A2D" w:rsidRPr="00F7424F">
        <w:rPr>
          <w:szCs w:val="24"/>
        </w:rPr>
        <w:t>. De</w:t>
      </w:r>
      <w:r w:rsidRPr="00F7424F">
        <w:rPr>
          <w:szCs w:val="24"/>
        </w:rPr>
        <w:t xml:space="preserve"> vill istället att jämförelsen skall göras per barn vilket är den modell som tillämpas enligt gällande förordning. </w:t>
      </w:r>
      <w:r w:rsidR="005F5DB1" w:rsidRPr="00F7424F">
        <w:rPr>
          <w:szCs w:val="24"/>
        </w:rPr>
        <w:t>M</w:t>
      </w:r>
      <w:r w:rsidRPr="00F7424F">
        <w:rPr>
          <w:szCs w:val="24"/>
        </w:rPr>
        <w:t>ajo</w:t>
      </w:r>
      <w:r w:rsidR="005F5DB1" w:rsidRPr="00F7424F">
        <w:rPr>
          <w:szCs w:val="24"/>
        </w:rPr>
        <w:t>riteten av medlemsst</w:t>
      </w:r>
      <w:r w:rsidR="00194A2D" w:rsidRPr="00F7424F">
        <w:rPr>
          <w:szCs w:val="24"/>
        </w:rPr>
        <w:t>a</w:t>
      </w:r>
      <w:r w:rsidR="005F5DB1" w:rsidRPr="00F7424F">
        <w:rPr>
          <w:szCs w:val="24"/>
        </w:rPr>
        <w:t>ter</w:t>
      </w:r>
      <w:r w:rsidR="00194A2D" w:rsidRPr="00F7424F">
        <w:rPr>
          <w:szCs w:val="24"/>
        </w:rPr>
        <w:t>na</w:t>
      </w:r>
      <w:r w:rsidRPr="00F7424F">
        <w:rPr>
          <w:szCs w:val="24"/>
        </w:rPr>
        <w:t xml:space="preserve"> är emellertid flexibla och kan tänka sig beräkningar enligt båda metoderna.</w:t>
      </w:r>
    </w:p>
    <w:p w:rsidR="005F5DB1" w:rsidRPr="00F7424F" w:rsidRDefault="005F5DB1" w:rsidP="00FA3D87">
      <w:pPr>
        <w:pStyle w:val="Punktlista"/>
        <w:numPr>
          <w:ilvl w:val="0"/>
          <w:numId w:val="0"/>
        </w:numPr>
        <w:spacing w:line="240" w:lineRule="auto"/>
        <w:rPr>
          <w:szCs w:val="24"/>
        </w:rPr>
      </w:pPr>
    </w:p>
    <w:p w:rsidR="000A72E7" w:rsidRPr="00F7424F" w:rsidRDefault="000A72E7" w:rsidP="00FA3D87">
      <w:pPr>
        <w:pStyle w:val="Punktlista"/>
        <w:numPr>
          <w:ilvl w:val="0"/>
          <w:numId w:val="0"/>
        </w:numPr>
        <w:spacing w:line="240" w:lineRule="auto"/>
        <w:rPr>
          <w:szCs w:val="24"/>
        </w:rPr>
      </w:pPr>
    </w:p>
    <w:p w:rsidR="000A72E7" w:rsidRPr="00F7424F" w:rsidRDefault="000A72E7" w:rsidP="00FA3D87">
      <w:pPr>
        <w:pStyle w:val="Punktlista"/>
        <w:numPr>
          <w:ilvl w:val="0"/>
          <w:numId w:val="0"/>
        </w:numPr>
        <w:spacing w:line="240" w:lineRule="auto"/>
        <w:rPr>
          <w:szCs w:val="24"/>
        </w:rPr>
      </w:pPr>
    </w:p>
    <w:p w:rsidR="00FA3D87" w:rsidRPr="00F7424F" w:rsidRDefault="00FA3D87" w:rsidP="00FA3D87">
      <w:pPr>
        <w:pStyle w:val="Punktlista"/>
        <w:numPr>
          <w:ilvl w:val="0"/>
          <w:numId w:val="0"/>
        </w:numPr>
        <w:spacing w:line="240" w:lineRule="auto"/>
        <w:rPr>
          <w:i/>
        </w:rPr>
      </w:pPr>
      <w:r w:rsidRPr="00F7424F">
        <w:rPr>
          <w:i/>
        </w:rPr>
        <w:t>Arbetslöshetsförmåner</w:t>
      </w:r>
    </w:p>
    <w:p w:rsidR="00194A2D" w:rsidRPr="00F7424F" w:rsidRDefault="00194A2D" w:rsidP="00194A2D">
      <w:pPr>
        <w:pStyle w:val="Punktlista"/>
        <w:numPr>
          <w:ilvl w:val="0"/>
          <w:numId w:val="0"/>
        </w:numPr>
        <w:spacing w:line="240" w:lineRule="auto"/>
      </w:pPr>
      <w:r w:rsidRPr="00F7424F">
        <w:t>Avsnittet om arbetslöshetsförmåner avser i huvudsak tre olika frågor. Det handlar om beräkningen av förmånens storlek för gränsarbetare som vid arbetslöshet byter försäkringstillhörighet från arbetslandet till bosättningslandet. Det handlar om kontroll av arbetslösa personer som behåller sin rätt till ersättning när de vistas i en annan medlemsstat för att söka arbete där. Det handlar även om ersättning för utbetalda förmåner mellan medlemsstaterna när en arbetslös gränsgångares försäkringstillhörighet övergår från arbetslandets försäkring till bosättningslandet. Enligt reglerna i förordning nr 883/04 ska det före detta arbetslandet ersätta bosättningslandet för kostnaderna för den ersättning som utbetalas under de första tre månaderna.</w:t>
      </w:r>
    </w:p>
    <w:p w:rsidR="00FA3D87" w:rsidRPr="00F7424F" w:rsidRDefault="005F5DB1" w:rsidP="00FA3D87">
      <w:pPr>
        <w:pStyle w:val="Punktlista"/>
        <w:numPr>
          <w:ilvl w:val="0"/>
          <w:numId w:val="0"/>
        </w:numPr>
        <w:spacing w:line="240" w:lineRule="auto"/>
        <w:rPr>
          <w:szCs w:val="24"/>
        </w:rPr>
      </w:pPr>
      <w:r w:rsidRPr="00F7424F">
        <w:t>Återbetalning</w:t>
      </w:r>
      <w:r w:rsidR="00194A2D" w:rsidRPr="00F7424F">
        <w:t>arna</w:t>
      </w:r>
      <w:r w:rsidRPr="00F7424F">
        <w:t xml:space="preserve"> kan göras enligt olika alternativ, antingen som verkliga kostnader eller som genomsnittskostnader</w:t>
      </w:r>
      <w:r w:rsidR="00194A2D" w:rsidRPr="00F7424F">
        <w:t>,</w:t>
      </w:r>
      <w:r w:rsidRPr="00F7424F">
        <w:t xml:space="preserve"> eller på annat sätt som medlemsstaterna kan avtala om sinsemellan. </w:t>
      </w:r>
    </w:p>
    <w:p w:rsidR="00896511" w:rsidRPr="00F7424F" w:rsidRDefault="00896511" w:rsidP="00FA3D87">
      <w:pPr>
        <w:pStyle w:val="Punktlista"/>
        <w:numPr>
          <w:ilvl w:val="0"/>
          <w:numId w:val="0"/>
        </w:numPr>
        <w:spacing w:line="240" w:lineRule="auto"/>
        <w:rPr>
          <w:szCs w:val="24"/>
        </w:rPr>
      </w:pPr>
    </w:p>
    <w:p w:rsidR="00670DC1" w:rsidRPr="00F7424F" w:rsidRDefault="00670DC1" w:rsidP="00FA3D87">
      <w:pPr>
        <w:pStyle w:val="RKrubrik"/>
        <w:spacing w:line="240" w:lineRule="auto"/>
        <w:rPr>
          <w:i/>
          <w:iCs/>
        </w:rPr>
      </w:pPr>
      <w:r w:rsidRPr="00F7424F">
        <w:rPr>
          <w:i/>
          <w:iCs/>
        </w:rPr>
        <w:t>Gällande svenska regler och förslagets effekter på dessa</w:t>
      </w:r>
    </w:p>
    <w:p w:rsidR="00670DC1" w:rsidRPr="00F7424F" w:rsidRDefault="00670DC1" w:rsidP="00FA3D87">
      <w:pPr>
        <w:pStyle w:val="RKrubrik"/>
        <w:spacing w:line="240" w:lineRule="auto"/>
      </w:pPr>
      <w:r w:rsidRPr="00F7424F">
        <w:t>Ekonomiska konsekvenser</w:t>
      </w:r>
    </w:p>
    <w:p w:rsidR="00670DC1" w:rsidRPr="00F7424F" w:rsidRDefault="00670DC1" w:rsidP="00FA3D87">
      <w:pPr>
        <w:pStyle w:val="RKnormal"/>
        <w:spacing w:line="240" w:lineRule="auto"/>
      </w:pPr>
      <w:r w:rsidRPr="00F7424F">
        <w:t>Inga kända</w:t>
      </w:r>
    </w:p>
    <w:p w:rsidR="00670DC1" w:rsidRPr="00F7424F" w:rsidRDefault="00670DC1" w:rsidP="00FA3D87">
      <w:pPr>
        <w:pStyle w:val="RKrubrik"/>
        <w:spacing w:line="240" w:lineRule="auto"/>
      </w:pPr>
      <w:r w:rsidRPr="00F7424F">
        <w:t>Övrigt</w:t>
      </w:r>
    </w:p>
    <w:p w:rsidR="00670DC1" w:rsidRPr="00F7424F" w:rsidRDefault="00670DC1" w:rsidP="00FA3D87">
      <w:pPr>
        <w:pStyle w:val="RKnormal"/>
        <w:spacing w:line="240" w:lineRule="auto"/>
      </w:pPr>
    </w:p>
    <w:p w:rsidR="00670DC1" w:rsidRPr="00F7424F" w:rsidRDefault="00670DC1" w:rsidP="00FA3D87">
      <w:pPr>
        <w:pStyle w:val="RKnormal"/>
        <w:spacing w:line="240" w:lineRule="auto"/>
        <w:rPr>
          <w:i/>
          <w:iCs/>
        </w:rPr>
      </w:pPr>
    </w:p>
    <w:p w:rsidR="00670DC1" w:rsidRPr="00F7424F" w:rsidRDefault="00670DC1" w:rsidP="00FA3D87">
      <w:pPr>
        <w:pStyle w:val="RKnormal"/>
        <w:spacing w:line="240" w:lineRule="auto"/>
        <w:ind w:left="-1134"/>
      </w:pPr>
    </w:p>
    <w:p w:rsidR="00670DC1" w:rsidRPr="00F7424F" w:rsidRDefault="00670DC1" w:rsidP="00FA3D87">
      <w:pPr>
        <w:pStyle w:val="RKrubrik"/>
        <w:spacing w:before="0" w:after="0" w:line="240" w:lineRule="auto"/>
      </w:pPr>
    </w:p>
    <w:p w:rsidR="00670DC1" w:rsidRPr="00F7424F" w:rsidRDefault="00670DC1" w:rsidP="00FA3D87">
      <w:pPr>
        <w:pStyle w:val="RKnormal"/>
        <w:spacing w:line="240" w:lineRule="auto"/>
      </w:pPr>
    </w:p>
    <w:p w:rsidR="00670DC1" w:rsidRPr="00F7424F" w:rsidRDefault="00670DC1" w:rsidP="00FA3D87">
      <w:pPr>
        <w:pStyle w:val="RKnormal"/>
        <w:spacing w:line="240" w:lineRule="auto"/>
      </w:pPr>
    </w:p>
    <w:sectPr w:rsidR="00670DC1" w:rsidRPr="00F7424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457" w:rsidRPr="00F7424F" w:rsidRDefault="00B66457">
      <w:r w:rsidRPr="00F7424F">
        <w:separator/>
      </w:r>
    </w:p>
  </w:endnote>
  <w:endnote w:type="continuationSeparator" w:id="0">
    <w:p w:rsidR="00B66457" w:rsidRPr="00F7424F" w:rsidRDefault="00B66457">
      <w:r w:rsidRPr="00F74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457" w:rsidRPr="00F7424F" w:rsidRDefault="00B66457">
      <w:r w:rsidRPr="00F7424F">
        <w:separator/>
      </w:r>
    </w:p>
  </w:footnote>
  <w:footnote w:type="continuationSeparator" w:id="0">
    <w:p w:rsidR="00B66457" w:rsidRPr="00F7424F" w:rsidRDefault="00B66457">
      <w:r w:rsidRPr="00F74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182" w:rsidRPr="00F7424F" w:rsidRDefault="00271182">
    <w:pPr>
      <w:pStyle w:val="Sidhuvud"/>
      <w:framePr w:wrap="around" w:vAnchor="text" w:hAnchor="margin" w:xAlign="right" w:y="1"/>
      <w:rPr>
        <w:rStyle w:val="Sidnummer"/>
      </w:rPr>
    </w:pPr>
    <w:r w:rsidRPr="00F7424F">
      <w:rPr>
        <w:rStyle w:val="Sidnummer"/>
      </w:rPr>
      <w:fldChar w:fldCharType="begin" w:fldLock="1"/>
    </w:r>
    <w:r w:rsidRPr="00F7424F">
      <w:rPr>
        <w:rStyle w:val="Sidnummer"/>
      </w:rPr>
      <w:instrText xml:space="preserve">PAGE  </w:instrText>
    </w:r>
    <w:r w:rsidRPr="00F7424F">
      <w:rPr>
        <w:rStyle w:val="Sidnummer"/>
      </w:rPr>
      <w:fldChar w:fldCharType="separate"/>
    </w:r>
    <w:r w:rsidR="000A72E7" w:rsidRPr="00F7424F">
      <w:rPr>
        <w:rStyle w:val="Sidnummer"/>
      </w:rPr>
      <w:t>2</w:t>
    </w:r>
    <w:r w:rsidRPr="00F742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71182" w:rsidRPr="00F7424F">
      <w:tblPrEx>
        <w:tblCellMar>
          <w:top w:w="0" w:type="dxa"/>
          <w:bottom w:w="0" w:type="dxa"/>
        </w:tblCellMar>
      </w:tblPrEx>
      <w:trPr>
        <w:cantSplit/>
      </w:trPr>
      <w:tc>
        <w:tcPr>
          <w:tcW w:w="3119" w:type="dxa"/>
        </w:tcPr>
        <w:p w:rsidR="00271182" w:rsidRPr="00F7424F" w:rsidRDefault="00271182">
          <w:pPr>
            <w:pStyle w:val="Sidhuvud"/>
            <w:spacing w:line="200" w:lineRule="atLeast"/>
            <w:ind w:right="357"/>
            <w:rPr>
              <w:rFonts w:ascii="TradeGothic" w:hAnsi="TradeGothic"/>
              <w:b/>
              <w:bCs/>
              <w:sz w:val="16"/>
            </w:rPr>
          </w:pPr>
        </w:p>
      </w:tc>
      <w:tc>
        <w:tcPr>
          <w:tcW w:w="4111" w:type="dxa"/>
          <w:tcMar>
            <w:left w:w="567" w:type="dxa"/>
          </w:tcMar>
        </w:tcPr>
        <w:p w:rsidR="00271182" w:rsidRPr="00F7424F" w:rsidRDefault="00271182">
          <w:pPr>
            <w:pStyle w:val="Sidhuvud"/>
            <w:ind w:right="360"/>
          </w:pPr>
        </w:p>
      </w:tc>
      <w:tc>
        <w:tcPr>
          <w:tcW w:w="1525" w:type="dxa"/>
        </w:tcPr>
        <w:p w:rsidR="00271182" w:rsidRPr="00F7424F" w:rsidRDefault="00271182">
          <w:pPr>
            <w:pStyle w:val="Sidhuvud"/>
            <w:ind w:right="360"/>
          </w:pPr>
        </w:p>
      </w:tc>
    </w:tr>
  </w:tbl>
  <w:p w:rsidR="00271182" w:rsidRPr="00F7424F" w:rsidRDefault="0027118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182" w:rsidRPr="00F7424F" w:rsidRDefault="00271182">
    <w:pPr>
      <w:pStyle w:val="Sidhuvud"/>
      <w:framePr w:wrap="around" w:vAnchor="text" w:hAnchor="margin" w:xAlign="right" w:y="1"/>
      <w:rPr>
        <w:rStyle w:val="Sidnummer"/>
      </w:rPr>
    </w:pPr>
    <w:r w:rsidRPr="00F7424F">
      <w:rPr>
        <w:rStyle w:val="Sidnummer"/>
      </w:rPr>
      <w:fldChar w:fldCharType="begin" w:fldLock="1"/>
    </w:r>
    <w:r w:rsidRPr="00F7424F">
      <w:rPr>
        <w:rStyle w:val="Sidnummer"/>
      </w:rPr>
      <w:instrText xml:space="preserve">PAGE  </w:instrText>
    </w:r>
    <w:r w:rsidRPr="00F7424F">
      <w:rPr>
        <w:rStyle w:val="Sidnummer"/>
      </w:rPr>
      <w:fldChar w:fldCharType="separate"/>
    </w:r>
    <w:r w:rsidR="000A72E7" w:rsidRPr="00F7424F">
      <w:rPr>
        <w:rStyle w:val="Sidnummer"/>
      </w:rPr>
      <w:t>3</w:t>
    </w:r>
    <w:r w:rsidRPr="00F7424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71182" w:rsidRPr="00F7424F">
      <w:tblPrEx>
        <w:tblCellMar>
          <w:top w:w="0" w:type="dxa"/>
          <w:bottom w:w="0" w:type="dxa"/>
        </w:tblCellMar>
      </w:tblPrEx>
      <w:trPr>
        <w:cantSplit/>
      </w:trPr>
      <w:tc>
        <w:tcPr>
          <w:tcW w:w="3119" w:type="dxa"/>
        </w:tcPr>
        <w:p w:rsidR="00271182" w:rsidRPr="00F7424F" w:rsidRDefault="00271182">
          <w:pPr>
            <w:pStyle w:val="Sidhuvud"/>
            <w:spacing w:line="200" w:lineRule="atLeast"/>
            <w:ind w:right="357"/>
            <w:rPr>
              <w:rFonts w:ascii="TradeGothic" w:hAnsi="TradeGothic"/>
              <w:b/>
              <w:bCs/>
              <w:sz w:val="16"/>
            </w:rPr>
          </w:pPr>
        </w:p>
      </w:tc>
      <w:tc>
        <w:tcPr>
          <w:tcW w:w="4111" w:type="dxa"/>
          <w:tcMar>
            <w:left w:w="567" w:type="dxa"/>
          </w:tcMar>
        </w:tcPr>
        <w:p w:rsidR="00271182" w:rsidRPr="00F7424F" w:rsidRDefault="00271182">
          <w:pPr>
            <w:pStyle w:val="Sidhuvud"/>
            <w:ind w:right="360"/>
          </w:pPr>
        </w:p>
      </w:tc>
      <w:tc>
        <w:tcPr>
          <w:tcW w:w="1525" w:type="dxa"/>
        </w:tcPr>
        <w:p w:rsidR="00271182" w:rsidRPr="00F7424F" w:rsidRDefault="00271182">
          <w:pPr>
            <w:pStyle w:val="Sidhuvud"/>
            <w:ind w:right="360"/>
          </w:pPr>
        </w:p>
      </w:tc>
    </w:tr>
  </w:tbl>
  <w:p w:rsidR="00271182" w:rsidRPr="00F7424F" w:rsidRDefault="0027118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182" w:rsidRPr="00F7424F" w:rsidRDefault="00F7424F">
    <w:pPr>
      <w:framePr w:w="2948" w:h="1321" w:hRule="exact" w:wrap="notBeside" w:vAnchor="page" w:hAnchor="page" w:x="1362" w:y="653"/>
    </w:pPr>
    <w:r w:rsidRPr="00F7424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71182" w:rsidRPr="00F7424F" w:rsidRDefault="00271182">
    <w:pPr>
      <w:pStyle w:val="RKrubrik"/>
      <w:keepNext w:val="0"/>
      <w:tabs>
        <w:tab w:val="clear" w:pos="1134"/>
        <w:tab w:val="clear" w:pos="2835"/>
      </w:tabs>
      <w:spacing w:before="0" w:after="0" w:line="320" w:lineRule="atLeast"/>
      <w:rPr>
        <w:bCs/>
      </w:rPr>
    </w:pPr>
  </w:p>
  <w:p w:rsidR="00271182" w:rsidRPr="00F7424F" w:rsidRDefault="00271182">
    <w:pPr>
      <w:rPr>
        <w:rFonts w:ascii="TradeGothic" w:hAnsi="TradeGothic"/>
        <w:b/>
        <w:bCs/>
        <w:spacing w:val="12"/>
        <w:sz w:val="22"/>
      </w:rPr>
    </w:pPr>
  </w:p>
  <w:p w:rsidR="00271182" w:rsidRPr="00F7424F" w:rsidRDefault="00271182">
    <w:pPr>
      <w:pStyle w:val="RKrubrik"/>
      <w:keepNext w:val="0"/>
      <w:tabs>
        <w:tab w:val="clear" w:pos="1134"/>
        <w:tab w:val="clear" w:pos="2835"/>
      </w:tabs>
      <w:spacing w:before="0" w:after="0" w:line="320" w:lineRule="atLeast"/>
      <w:rPr>
        <w:bCs/>
      </w:rPr>
    </w:pPr>
  </w:p>
  <w:p w:rsidR="00271182" w:rsidRPr="00F7424F" w:rsidRDefault="0027118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8A60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F741E8"/>
    <w:multiLevelType w:val="hybridMultilevel"/>
    <w:tmpl w:val="EFBED730"/>
    <w:lvl w:ilvl="0" w:tplc="6464B142">
      <w:start w:val="1"/>
      <w:numFmt w:val="bullet"/>
      <w:lvlRestart w:val="0"/>
      <w:pStyle w:val="Punktlista"/>
      <w:lvlText w:val=""/>
      <w:lvlJc w:val="left"/>
      <w:pPr>
        <w:tabs>
          <w:tab w:val="num" w:pos="499"/>
        </w:tabs>
        <w:ind w:left="499"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0925011">
    <w:abstractNumId w:val="1"/>
  </w:num>
  <w:num w:numId="2" w16cid:durableId="29251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7243CE"/>
    <w:rsid w:val="00001D4F"/>
    <w:rsid w:val="00036A95"/>
    <w:rsid w:val="000A72E7"/>
    <w:rsid w:val="001571E2"/>
    <w:rsid w:val="00194A2D"/>
    <w:rsid w:val="00271182"/>
    <w:rsid w:val="004378B2"/>
    <w:rsid w:val="0046635C"/>
    <w:rsid w:val="00547C4D"/>
    <w:rsid w:val="005F5DB1"/>
    <w:rsid w:val="005F6ABD"/>
    <w:rsid w:val="00631E6D"/>
    <w:rsid w:val="00644707"/>
    <w:rsid w:val="00670DC1"/>
    <w:rsid w:val="0069573C"/>
    <w:rsid w:val="006E4B61"/>
    <w:rsid w:val="007243CE"/>
    <w:rsid w:val="007E4CDE"/>
    <w:rsid w:val="008807CA"/>
    <w:rsid w:val="00896511"/>
    <w:rsid w:val="008A0F26"/>
    <w:rsid w:val="008E577C"/>
    <w:rsid w:val="00944992"/>
    <w:rsid w:val="00994DB5"/>
    <w:rsid w:val="009A0076"/>
    <w:rsid w:val="00B66457"/>
    <w:rsid w:val="00D0731E"/>
    <w:rsid w:val="00D5685E"/>
    <w:rsid w:val="00E60B5D"/>
    <w:rsid w:val="00E6480E"/>
    <w:rsid w:val="00F7424F"/>
    <w:rsid w:val="00FA3D87"/>
    <w:rsid w:val="00FF4E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5FDC54EA-0B66-43B6-B564-E5B61A7E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rsid w:val="008965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622</Words>
  <Characters>4053</Characters>
  <Application>Microsoft Office Word</Application>
  <DocSecurity>4</DocSecurity>
  <Lines>119</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2007-11-26T13:46:00Z</cp:lastPrinted>
  <dcterms:created xsi:type="dcterms:W3CDTF">2025-12-17T13:22:00Z</dcterms:created>
  <dcterms:modified xsi:type="dcterms:W3CDTF">2025-12-17T13:22:00Z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ies>
</file>