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3DB" w:rsidRPr="001833DB" w:rsidRDefault="001833DB">
      <w:pPr>
        <w:pStyle w:val="Frslagsrubrik"/>
      </w:pPr>
      <w:r w:rsidRPr="001833DB">
        <w:t>Förslag till riksdagsbeslut</w:t>
      </w:r>
    </w:p>
    <w:p w:rsidR="001833DB" w:rsidRPr="001833DB" w:rsidRDefault="001833DB">
      <w:pPr>
        <w:pStyle w:val="Hemstlatt"/>
        <w:ind w:left="0"/>
      </w:pPr>
      <w:r w:rsidRPr="001833DB">
        <w:t>Riksdagen tillkännager för regeringen som sin mening vad som anförs i motionen om att i infrastrukturplaneringen beakta behovet av en bättre infrastruktur i Västsverige.</w:t>
      </w:r>
    </w:p>
    <w:p w:rsidR="001833DB" w:rsidRPr="001833DB" w:rsidRDefault="001833DB">
      <w:pPr>
        <w:pStyle w:val="Rubrik1"/>
      </w:pPr>
      <w:r w:rsidRPr="001833DB">
        <w:t>Motivering</w:t>
      </w:r>
    </w:p>
    <w:p w:rsidR="001833DB" w:rsidRPr="001833DB" w:rsidRDefault="001833DB">
      <w:r w:rsidRPr="001833DB">
        <w:t>Västsverig</w:t>
      </w:r>
      <w:r w:rsidRPr="001833DB">
        <w:rPr>
          <w:color w:val="000000"/>
        </w:rPr>
        <w:t xml:space="preserve">e har med sitt strategiska läge mellan tre av Nordens huvudstäder en mycket stor utvecklingspotential. </w:t>
      </w:r>
      <w:r w:rsidRPr="001833DB">
        <w:t>Här bor och verkar över 1,8 miljoner människor</w:t>
      </w:r>
      <w:r w:rsidRPr="001833DB">
        <w:rPr>
          <w:color w:val="000000"/>
        </w:rPr>
        <w:t xml:space="preserve"> och området är en naturlig </w:t>
      </w:r>
      <w:r w:rsidRPr="001833DB">
        <w:t>knutpunkt för handel, industri och i</w:t>
      </w:r>
      <w:r w:rsidRPr="001833DB">
        <w:t>n</w:t>
      </w:r>
      <w:r w:rsidRPr="001833DB">
        <w:t>ternationella utbyten. Västsverige står idag för en fjärdedel av landets tran</w:t>
      </w:r>
      <w:r w:rsidRPr="001833DB">
        <w:t>s</w:t>
      </w:r>
      <w:r w:rsidRPr="001833DB">
        <w:t>porter och är det område i Sverige som har störst flöde av gods.</w:t>
      </w:r>
    </w:p>
    <w:p w:rsidR="001833DB" w:rsidRPr="001833DB" w:rsidRDefault="001833DB">
      <w:pPr>
        <w:pStyle w:val="Normaltindrag"/>
      </w:pPr>
      <w:r w:rsidRPr="001833DB">
        <w:t xml:space="preserve">Regionen är ur sysselsättningsperspektiv landets viktigaste industrilän med den för Sverige så betydelsefulla fordonsindustrin. </w:t>
      </w:r>
      <w:r w:rsidRPr="001833DB">
        <w:rPr>
          <w:color w:val="000000"/>
        </w:rPr>
        <w:t>Regionen blandar tung verkstadsin</w:t>
      </w:r>
      <w:r w:rsidRPr="001833DB">
        <w:t>dustri, medicinteknisk industri, läkemedelsindustri, IT-industri, textil- och konfektionsindustri, livsmedelsindustri, trä- och möbelindustri med jord- och skogsbruk och turism.</w:t>
      </w:r>
    </w:p>
    <w:p w:rsidR="001833DB" w:rsidRPr="001833DB" w:rsidRDefault="001833DB">
      <w:pPr>
        <w:pStyle w:val="Normaltindrag"/>
      </w:pPr>
      <w:r w:rsidRPr="001833DB">
        <w:t>Lågkonjunkturen har slagit särskilt hårt mot Västsverige. Främst fordon</w:t>
      </w:r>
      <w:r w:rsidRPr="001833DB">
        <w:t>s</w:t>
      </w:r>
      <w:r w:rsidRPr="001833DB">
        <w:t>industrin och övrig verkstadsindustri har drabbats men precis som i övriga landet har även handels- och tjänstebranschen påverkats negativt. För att stärka regionens konkurrenskraft behövs därför nu en rad investeringar, inte minst i infrastrukturen.</w:t>
      </w:r>
    </w:p>
    <w:p w:rsidR="001833DB" w:rsidRPr="001833DB" w:rsidRDefault="001833DB">
      <w:pPr>
        <w:pStyle w:val="Normaltindrag"/>
      </w:pPr>
      <w:r w:rsidRPr="001833DB">
        <w:t>Vi tycker det är viktigt att satsa på infrastrukturlösningar som kan unde</w:t>
      </w:r>
      <w:r w:rsidRPr="001833DB">
        <w:t>r</w:t>
      </w:r>
      <w:r w:rsidRPr="001833DB">
        <w:t>lätta fordonsindustrins framtida utveckling. Fordonstillverkarna med sina underleverantörer är spridda över hela Västsverige. Modern fordonstillver</w:t>
      </w:r>
      <w:r w:rsidRPr="001833DB">
        <w:t>k</w:t>
      </w:r>
      <w:r w:rsidRPr="001833DB">
        <w:t>ning innebär ofta liten lagerhållning och därmed dagliga leveranser från olika underleverantörer. Det ställer krav på en väl utbyggd och fungerande infr</w:t>
      </w:r>
      <w:r w:rsidRPr="001833DB">
        <w:t>a</w:t>
      </w:r>
      <w:r w:rsidRPr="001833DB">
        <w:t xml:space="preserve">struktur. Olika fordonstillverkare kan dessutom ha samma underleverantörer, så om en tillverkare krisar så kan underleverantören istället behöva ändra sitt </w:t>
      </w:r>
      <w:r w:rsidRPr="001833DB">
        <w:lastRenderedPageBreak/>
        <w:t xml:space="preserve">transportmönster. Det ställer förstås ännu högre krav </w:t>
      </w:r>
      <w:r w:rsidRPr="001833DB">
        <w:t>på transportsystemet i Västsverige.</w:t>
      </w:r>
    </w:p>
    <w:p w:rsidR="001833DB" w:rsidRPr="001833DB" w:rsidRDefault="001833DB">
      <w:pPr>
        <w:pStyle w:val="Normaltindrag"/>
      </w:pPr>
      <w:r w:rsidRPr="001833DB">
        <w:t>I lågkonjunkturen, då enskilda orter kan drabbas mycket hårt av företag</w:t>
      </w:r>
      <w:r w:rsidRPr="001833DB">
        <w:t>s</w:t>
      </w:r>
      <w:r w:rsidRPr="001833DB">
        <w:t>nedläggningar, är det särskilt angeläget att underlätta arbetspendling. En u</w:t>
      </w:r>
      <w:r w:rsidRPr="001833DB">
        <w:t>t</w:t>
      </w:r>
      <w:r w:rsidRPr="001833DB">
        <w:t>byggd infrastruktur kan leda till en regionförstoring med ett större och mer varierat näringsliv. Ett utbyggt väg- och järnvägsnät är viktigt för att underlä</w:t>
      </w:r>
      <w:r w:rsidRPr="001833DB">
        <w:t>t</w:t>
      </w:r>
      <w:r w:rsidRPr="001833DB">
        <w:t>ta industrins varutransporter och för att invånarna ska kunna resa till sina arbeten. Därmed blir det också en bredare och mindre sårbar marknad för både företag och människor. Samtidigt måste en hållbar utveckling vara en självklar utgångspunkt när vi diskuterar morgondagens</w:t>
      </w:r>
      <w:r w:rsidRPr="001833DB">
        <w:t xml:space="preserve"> infrastruktursatsnin</w:t>
      </w:r>
      <w:r w:rsidRPr="001833DB">
        <w:t>g</w:t>
      </w:r>
      <w:r w:rsidRPr="001833DB">
        <w:t>ar.</w:t>
      </w:r>
    </w:p>
    <w:p w:rsidR="001833DB" w:rsidRPr="001833DB" w:rsidRDefault="001833DB">
      <w:pPr>
        <w:pStyle w:val="Normaltindrag"/>
      </w:pPr>
      <w:r w:rsidRPr="001833DB">
        <w:t>Som alltid så överstiger behoven av ny infrastruktur de ekonomiska medel som finns att tillgå.</w:t>
      </w:r>
    </w:p>
    <w:p w:rsidR="001833DB" w:rsidRPr="001833DB" w:rsidRDefault="001833DB">
      <w:pPr>
        <w:pStyle w:val="Normaltindrag"/>
      </w:pPr>
      <w:r w:rsidRPr="001833DB">
        <w:t>Vår inställning är att staten ska fortsätta att ha huvudansvaret för finansi</w:t>
      </w:r>
      <w:r w:rsidRPr="001833DB">
        <w:t>e</w:t>
      </w:r>
      <w:r w:rsidRPr="001833DB">
        <w:t>ring av statliga och regionala vägar och järnvägar. Men om det kan leda till snabbare genomförande och till lägre kostnader så anser vi att det är rimligt att överväga nya former av finansiering av infrastruktur. Det kan gälla sa</w:t>
      </w:r>
      <w:r w:rsidRPr="001833DB">
        <w:t>m</w:t>
      </w:r>
      <w:r w:rsidRPr="001833DB">
        <w:t>verkan med det regionala näringslivet och att använda EU:s strukturfonder. Vi är även positiva till olika former av trängselskatt eller banavgifter när medlen återinvesteras i kollektivtrafiken. Vi tycker också det är rimligt att i större grad än hittills lånefinansiera ny infrast</w:t>
      </w:r>
      <w:r w:rsidRPr="001833DB">
        <w:t>ruktur via Riksgälden. Det inn</w:t>
      </w:r>
      <w:r w:rsidRPr="001833DB">
        <w:t>e</w:t>
      </w:r>
      <w:r w:rsidRPr="001833DB">
        <w:t>bär att kapitalutgifterna i stället för att bokföras i sin helhet på ett år fördelas under investeringens ekonomiska livslängd. Kapitalutgifterna på investerin</w:t>
      </w:r>
      <w:r w:rsidRPr="001833DB">
        <w:t>g</w:t>
      </w:r>
      <w:r w:rsidRPr="001833DB">
        <w:t>en i form av amorteringar och räntor finansieras därmed löpande med anslag. Alla projekt måste dock vägas mot de nationella prioriteringarna, och de pr</w:t>
      </w:r>
      <w:r w:rsidRPr="001833DB">
        <w:t>o</w:t>
      </w:r>
      <w:r w:rsidRPr="001833DB">
        <w:t>jekt som ger störst effekt på sysselsättningen ska särskilt prioriteras. Samt</w:t>
      </w:r>
      <w:r w:rsidRPr="001833DB">
        <w:t>i</w:t>
      </w:r>
      <w:r w:rsidRPr="001833DB">
        <w:t>digt är det förstås viktigt att staten långsiktigt kan bära de utgifter som kos</w:t>
      </w:r>
      <w:r w:rsidRPr="001833DB">
        <w:t>t</w:t>
      </w:r>
      <w:r w:rsidRPr="001833DB">
        <w:t>naderna för</w:t>
      </w:r>
      <w:r w:rsidRPr="001833DB">
        <w:t xml:space="preserve"> samtliga tagna lån betingar.</w:t>
      </w:r>
    </w:p>
    <w:p w:rsidR="001833DB" w:rsidRPr="001833DB" w:rsidRDefault="001833DB">
      <w:pPr>
        <w:pStyle w:val="Normaltindrag"/>
      </w:pPr>
      <w:r w:rsidRPr="001833DB">
        <w:t>Det västsvenska infrastrukturprojektet som presenterades i september 2009 är ett jättekliv framåt för att förbättra regionens transporter. Särskilt glädjande är klartecknet för Västlänken som kraftigt kommer att förenkla kommunik</w:t>
      </w:r>
      <w:r w:rsidRPr="001833DB">
        <w:t>a</w:t>
      </w:r>
      <w:r w:rsidRPr="001833DB">
        <w:t xml:space="preserve">tionerna </w:t>
      </w:r>
      <w:r w:rsidRPr="001833DB">
        <w:rPr>
          <w:color w:val="000000"/>
        </w:rPr>
        <w:t>genom</w:t>
      </w:r>
      <w:r w:rsidRPr="001833DB">
        <w:t xml:space="preserve"> Göteborg, Västsverige och hela landet. Bygget av Mari</w:t>
      </w:r>
      <w:r w:rsidRPr="001833DB">
        <w:t>e</w:t>
      </w:r>
      <w:r w:rsidRPr="001833DB">
        <w:t>holmstunneln och ersättningen av den gamla Götaälvsbron är också mycket efterlängtade satsningar för Göteborg. Finansieringen via dels statliga anslag, dels trängselskatt/banavgifter samt bidrag från Halland och Västra Götaland</w:t>
      </w:r>
      <w:r w:rsidRPr="001833DB">
        <w:t>s</w:t>
      </w:r>
      <w:r w:rsidRPr="001833DB">
        <w:t xml:space="preserve">regionen är rimlig då satsningen troligen annars inte skulle bli av. Vi kan dock konstatera att Västra Götalandsregionen redan tidigare har tagit ett stort ekonomiskt ansvar då den förskotterat medel för bygget av </w:t>
      </w:r>
      <w:r w:rsidRPr="001833DB">
        <w:t>Partihallsförbi</w:t>
      </w:r>
      <w:r w:rsidRPr="001833DB">
        <w:t>n</w:t>
      </w:r>
      <w:r w:rsidRPr="001833DB">
        <w:t>delsen mellan E20 och E45.</w:t>
      </w:r>
    </w:p>
    <w:p w:rsidR="001833DB" w:rsidRPr="001833DB" w:rsidRDefault="001833DB">
      <w:pPr>
        <w:pStyle w:val="Normaltindrag"/>
      </w:pPr>
      <w:r w:rsidRPr="001833DB">
        <w:t>Trots det västsvenska infrastrukturpaketet, och trots regeringens tidigare beslutade närtidssatsning på infrastrukturen, är Västsverige fortfarande i stort behov av väg- och järnvägsinvesteringar.</w:t>
      </w:r>
    </w:p>
    <w:p w:rsidR="001833DB" w:rsidRPr="001833DB" w:rsidRDefault="001833DB">
      <w:pPr>
        <w:pStyle w:val="Normaltindrag"/>
      </w:pPr>
      <w:r w:rsidRPr="001833DB">
        <w:t>Det handlar om investeringar i E6, E20 och E45 samt riksvägarna 40 och 44. För att öka möjligheterna att flytta transporter från vägarna till mer milj</w:t>
      </w:r>
      <w:r w:rsidRPr="001833DB">
        <w:t>ö</w:t>
      </w:r>
      <w:r w:rsidRPr="001833DB">
        <w:t>vänliga transporter på järnväg krävs flera satsningar. Det handlar framför allt om att få bort flaskhalsen genom Lerum och bygga ut Västra stambanan med fyrspår hela vägen till Stockholm. Gällande Lerum har de lokala moderaterna ett tungt ansvar att nå en överenskommelse med Banverket. Det är även vi</w:t>
      </w:r>
      <w:r w:rsidRPr="001833DB">
        <w:t>k</w:t>
      </w:r>
      <w:r w:rsidRPr="001833DB">
        <w:t>tigt att den pågående utbyggnaden av Norge–Vänernbanan går enligt planerna och att Västkustbanan färdigställs i sin helhet.</w:t>
      </w:r>
    </w:p>
    <w:p w:rsidR="001833DB" w:rsidRPr="001833DB" w:rsidRDefault="001833DB">
      <w:pPr>
        <w:pStyle w:val="Normaltindrag"/>
      </w:pPr>
      <w:r w:rsidRPr="001833DB">
        <w:t>Under de närmaste tio åren är utrymmet för större satsningar intecknade och redan kän</w:t>
      </w:r>
      <w:r w:rsidRPr="001833DB">
        <w:t>da men det innebär inte att behoven är täckta. Andra viktiga projekt som sedan måste till är bl.a. den resterande delen av E20 och bygget av Götalandsbanan.</w:t>
      </w:r>
    </w:p>
    <w:p w:rsidR="001833DB" w:rsidRPr="001833DB" w:rsidRDefault="001833DB">
      <w:pPr>
        <w:pStyle w:val="Normaltindrag"/>
      </w:pPr>
      <w:r w:rsidRPr="001833DB">
        <w:t>Att flytta över fler godstransporter från land till sjöar, hav och inre vatte</w:t>
      </w:r>
      <w:r w:rsidRPr="001833DB">
        <w:t>n</w:t>
      </w:r>
      <w:r w:rsidRPr="001833DB">
        <w:t>vägar är angeläget från både miljö- och trängselsynpunkt. Västsverige har en stor potential på området med närheten till havet, den strategiskt viktiga G</w:t>
      </w:r>
      <w:r w:rsidRPr="001833DB">
        <w:t>ö</w:t>
      </w:r>
      <w:r w:rsidRPr="001833DB">
        <w:t>teborgshamnen och vattenvägen via Trollhättan upp till Vänern.</w:t>
      </w:r>
    </w:p>
    <w:p w:rsidR="001833DB" w:rsidRPr="001833DB" w:rsidRDefault="001833DB">
      <w:pPr>
        <w:pStyle w:val="Normaltindrag"/>
      </w:pPr>
      <w:r w:rsidRPr="001833DB">
        <w:t xml:space="preserve">Vi anser att fordonsindustrin och Västra Götaland är en idealisk testregion för att utveckla världens bästa transportsystem. Förutom investeringar i vägar och järnvägar vill vi också genomföra stora satsningar i kombicentraler och intelligent infrastruktur. Målsättningen måste vara att snabbt </w:t>
      </w:r>
      <w:r w:rsidRPr="001833DB">
        <w:t>införa och testa ny teknik för att se hur det kan effektivisera transporterna.</w:t>
      </w:r>
    </w:p>
    <w:p w:rsidR="001833DB" w:rsidRPr="001833DB" w:rsidRDefault="001833DB">
      <w:pPr>
        <w:pStyle w:val="Normaltindrag"/>
      </w:pPr>
      <w:r w:rsidRPr="001833DB">
        <w:t>För att Västsverige ska kunna utvecklas som arbetsmarknadsregion och för att människor ska kunna leva och bo i regionen behövs investeringar för fra</w:t>
      </w:r>
      <w:r w:rsidRPr="001833DB">
        <w:t>m</w:t>
      </w:r>
      <w:r w:rsidRPr="001833DB">
        <w:t>tiden. Det behövs stora satsningar på infrastrukturen för att stärka näringsl</w:t>
      </w:r>
      <w:r w:rsidRPr="001833DB">
        <w:t>i</w:t>
      </w:r>
      <w:r w:rsidRPr="001833DB">
        <w:t>vets konkurrenskraft och skapa större arbetsmarknadsregioner för invånarna. Tiden är också den rätta då kostnaderna för ny infrastruktur inte längre skenar som de gjorde under den brinnande högkonjunkturen. Räntan är dessutom rekordlåg, vilket gör det mer förmånligt att lånefinansiera den infrastruktur som behövs.</w:t>
      </w:r>
    </w:p>
    <w:p w:rsidR="001833DB" w:rsidRPr="001833DB" w:rsidRDefault="001833DB">
      <w:pPr>
        <w:pStyle w:val="Normaltindrag"/>
      </w:pPr>
      <w:r w:rsidRPr="001833DB">
        <w:t>Det är hög tid för att investera Västsverige ur krisen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33DB">
        <w:trPr>
          <w:cantSplit/>
        </w:trPr>
        <w:tc>
          <w:tcPr>
            <w:tcW w:w="3046" w:type="dxa"/>
          </w:tcPr>
          <w:p w:rsidR="001833DB" w:rsidRPr="001833DB" w:rsidRDefault="001833DB">
            <w:pPr>
              <w:pStyle w:val="UnderskriftDatum"/>
              <w:spacing w:before="240"/>
            </w:pPr>
            <w:r w:rsidRPr="001833DB">
              <w:t>Stockholm den 5 oktober 2009</w:t>
            </w:r>
          </w:p>
        </w:tc>
        <w:tc>
          <w:tcPr>
            <w:tcW w:w="3047" w:type="dxa"/>
          </w:tcPr>
          <w:p w:rsidR="001833DB" w:rsidRPr="001833DB" w:rsidRDefault="001833DB">
            <w:pPr>
              <w:pStyle w:val="Underskrifter"/>
              <w:spacing w:before="240"/>
            </w:pPr>
          </w:p>
        </w:tc>
      </w:tr>
      <w:tr w:rsidR="00000000" w:rsidRPr="001833DB">
        <w:trPr>
          <w:cantSplit/>
        </w:trPr>
        <w:tc>
          <w:tcPr>
            <w:tcW w:w="3046" w:type="dxa"/>
          </w:tcPr>
          <w:p w:rsidR="001833DB" w:rsidRPr="001833DB" w:rsidRDefault="001833DB">
            <w:pPr>
              <w:pStyle w:val="Underskrifter"/>
            </w:pPr>
            <w:r w:rsidRPr="001833DB">
              <w:t>Gunilla Carlsson i Hisings Backa (s)</w:t>
            </w:r>
          </w:p>
        </w:tc>
        <w:tc>
          <w:tcPr>
            <w:tcW w:w="3046" w:type="dxa"/>
          </w:tcPr>
          <w:p w:rsidR="001833DB" w:rsidRPr="001833DB" w:rsidRDefault="001833DB">
            <w:pPr>
              <w:pStyle w:val="Underskrifter"/>
            </w:pPr>
          </w:p>
        </w:tc>
      </w:tr>
      <w:tr w:rsidR="00000000" w:rsidRPr="001833DB">
        <w:trPr>
          <w:cantSplit/>
        </w:trPr>
        <w:tc>
          <w:tcPr>
            <w:tcW w:w="3046" w:type="dxa"/>
          </w:tcPr>
          <w:p w:rsidR="001833DB" w:rsidRPr="001833DB" w:rsidRDefault="001833DB">
            <w:pPr>
              <w:pStyle w:val="Underskrifter"/>
            </w:pPr>
            <w:r w:rsidRPr="001833DB">
              <w:t>Alf Eriksson (s)</w:t>
            </w:r>
          </w:p>
        </w:tc>
        <w:tc>
          <w:tcPr>
            <w:tcW w:w="3046" w:type="dxa"/>
          </w:tcPr>
          <w:p w:rsidR="001833DB" w:rsidRPr="001833DB" w:rsidRDefault="001833DB">
            <w:pPr>
              <w:pStyle w:val="Underskrifter"/>
            </w:pPr>
            <w:r w:rsidRPr="001833DB">
              <w:t>Catharina Bråkenhielm (s)</w:t>
            </w:r>
          </w:p>
        </w:tc>
      </w:tr>
      <w:tr w:rsidR="00000000" w:rsidRPr="001833DB">
        <w:trPr>
          <w:cantSplit/>
        </w:trPr>
        <w:tc>
          <w:tcPr>
            <w:tcW w:w="3046" w:type="dxa"/>
          </w:tcPr>
          <w:p w:rsidR="001833DB" w:rsidRPr="001833DB" w:rsidRDefault="001833DB">
            <w:pPr>
              <w:pStyle w:val="Underskrifter"/>
            </w:pPr>
            <w:r w:rsidRPr="001833DB">
              <w:t>Hans Olsson (s)</w:t>
            </w:r>
          </w:p>
        </w:tc>
        <w:tc>
          <w:tcPr>
            <w:tcW w:w="3046" w:type="dxa"/>
          </w:tcPr>
          <w:p w:rsidR="001833DB" w:rsidRPr="001833DB" w:rsidRDefault="001833DB">
            <w:pPr>
              <w:pStyle w:val="Underskrifter"/>
            </w:pPr>
            <w:r w:rsidRPr="001833DB">
              <w:t>Monica Green (s)</w:t>
            </w:r>
          </w:p>
        </w:tc>
      </w:tr>
      <w:tr w:rsidR="00000000" w:rsidRPr="001833DB">
        <w:trPr>
          <w:cantSplit/>
        </w:trPr>
        <w:tc>
          <w:tcPr>
            <w:tcW w:w="3046" w:type="dxa"/>
          </w:tcPr>
          <w:p w:rsidR="001833DB" w:rsidRPr="001833DB" w:rsidRDefault="001833DB">
            <w:pPr>
              <w:pStyle w:val="Underskrifter"/>
            </w:pPr>
            <w:r w:rsidRPr="001833DB">
              <w:t>Peter Jonsson (s)</w:t>
            </w:r>
          </w:p>
        </w:tc>
        <w:tc>
          <w:tcPr>
            <w:tcW w:w="3046" w:type="dxa"/>
          </w:tcPr>
          <w:p w:rsidR="001833DB" w:rsidRPr="001833DB" w:rsidRDefault="001833DB">
            <w:pPr>
              <w:pStyle w:val="Underskrifter"/>
            </w:pPr>
          </w:p>
        </w:tc>
      </w:tr>
    </w:tbl>
    <w:p w:rsidR="001833DB" w:rsidRPr="001833DB" w:rsidRDefault="001833DB">
      <w:pPr>
        <w:pStyle w:val="Normaltindrag"/>
      </w:pPr>
    </w:p>
    <w:sectPr w:rsidR="00000000" w:rsidRPr="001833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3DB" w:rsidRPr="001833DB" w:rsidRDefault="001833DB">
      <w:r w:rsidRPr="001833DB">
        <w:separator/>
      </w:r>
    </w:p>
  </w:endnote>
  <w:endnote w:type="continuationSeparator" w:id="0">
    <w:p w:rsidR="001833DB" w:rsidRPr="001833DB" w:rsidRDefault="001833DB">
      <w:r w:rsidRPr="001833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DB" w:rsidRPr="001833DB" w:rsidRDefault="001833DB">
    <w:pPr>
      <w:pStyle w:val="Sidfot"/>
    </w:pPr>
    <w:r w:rsidRPr="001833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6400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DB" w:rsidRDefault="001833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3DB" w:rsidRDefault="001833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DB" w:rsidRPr="001833DB" w:rsidRDefault="001833DB">
    <w:pPr>
      <w:pStyle w:val="Sidfot"/>
    </w:pPr>
    <w:r w:rsidRPr="001833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37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DB" w:rsidRDefault="001833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3DB" w:rsidRDefault="001833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DB" w:rsidRPr="001833DB" w:rsidRDefault="001833DB">
    <w:pPr>
      <w:pStyle w:val="Sidfot"/>
    </w:pPr>
    <w:r w:rsidRPr="001833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254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DB" w:rsidRDefault="001833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3DB" w:rsidRDefault="001833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3DB" w:rsidRPr="001833DB" w:rsidRDefault="001833DB">
      <w:r w:rsidRPr="001833DB">
        <w:separator/>
      </w:r>
    </w:p>
  </w:footnote>
  <w:footnote w:type="continuationSeparator" w:id="0">
    <w:p w:rsidR="001833DB" w:rsidRPr="001833DB" w:rsidRDefault="001833DB">
      <w:r w:rsidRPr="001833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DB" w:rsidRPr="001833DB" w:rsidRDefault="001833DB">
    <w:pPr>
      <w:pStyle w:val="Sidhuvud"/>
    </w:pPr>
    <w:r w:rsidRPr="001833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7069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DB" w:rsidRDefault="001833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3DB" w:rsidRDefault="001833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DB" w:rsidRPr="001833DB" w:rsidRDefault="001833DB">
    <w:pPr>
      <w:pStyle w:val="Sidhuvud"/>
    </w:pPr>
    <w:r w:rsidRPr="001833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6581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3DB" w:rsidRDefault="001833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3DB" w:rsidRDefault="001833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3DB" w:rsidRPr="001833DB" w:rsidRDefault="001833DB">
    <w:pPr>
      <w:pStyle w:val="FSHNormal"/>
      <w:tabs>
        <w:tab w:val="right" w:pos="5840"/>
      </w:tabs>
    </w:pPr>
    <w:r w:rsidRPr="001833DB">
      <w:br/>
    </w:r>
    <w:r w:rsidRPr="001833DB">
      <w:fldChar w:fldCharType="begin" w:fldLock="1"/>
    </w:r>
    <w:r w:rsidRPr="001833DB">
      <w:instrText xml:space="preserve"> DOCPROPERTY</w:instrText>
    </w:r>
    <w:r w:rsidRPr="001833DB">
      <w:rPr>
        <w:sz w:val="18"/>
      </w:rPr>
      <w:instrText xml:space="preserve"> "YearUser" *\charformat </w:instrText>
    </w:r>
    <w:r w:rsidRPr="001833DB">
      <w:fldChar w:fldCharType="separate"/>
    </w:r>
    <w:r w:rsidRPr="001833DB">
      <w:t>2009/10</w:t>
    </w:r>
    <w:r w:rsidRPr="001833DB">
      <w:fldChar w:fldCharType="end"/>
    </w:r>
    <w:r w:rsidRPr="001833DB">
      <w:t xml:space="preserve"> </w:t>
    </w:r>
    <w:r w:rsidRPr="001833DB">
      <w:tab/>
      <w:t xml:space="preserve">mnr: </w:t>
    </w:r>
    <w:r w:rsidRPr="001833DB">
      <w:fldChar w:fldCharType="begin" w:fldLock="1"/>
    </w:r>
    <w:r w:rsidRPr="001833DB">
      <w:instrText xml:space="preserve"> DOCPROPERTY</w:instrText>
    </w:r>
    <w:r w:rsidRPr="001833DB">
      <w:rPr>
        <w:sz w:val="18"/>
      </w:rPr>
      <w:instrText xml:space="preserve"> "Motionsnummer" *\charformat </w:instrText>
    </w:r>
    <w:r w:rsidRPr="001833DB">
      <w:fldChar w:fldCharType="separate"/>
    </w:r>
    <w:r w:rsidRPr="001833DB">
      <w:t>T509</w:t>
    </w:r>
    <w:r w:rsidRPr="001833DB">
      <w:fldChar w:fldCharType="end"/>
    </w:r>
    <w:r w:rsidRPr="001833DB">
      <w:br/>
    </w:r>
    <w:r w:rsidRPr="001833DB">
      <w:fldChar w:fldCharType="begin" w:fldLock="1"/>
    </w:r>
    <w:r w:rsidRPr="001833DB">
      <w:instrText xml:space="preserve"> DOCPROPERTY</w:instrText>
    </w:r>
    <w:r w:rsidRPr="001833DB">
      <w:rPr>
        <w:sz w:val="18"/>
      </w:rPr>
      <w:instrText xml:space="preserve"> "Samling" *\charformat </w:instrText>
    </w:r>
    <w:r w:rsidRPr="001833DB">
      <w:fldChar w:fldCharType="end"/>
    </w:r>
    <w:r w:rsidRPr="001833DB">
      <w:tab/>
      <w:t xml:space="preserve">pnr: </w:t>
    </w:r>
    <w:r w:rsidRPr="001833DB">
      <w:fldChar w:fldCharType="begin" w:fldLock="1"/>
    </w:r>
    <w:r w:rsidRPr="001833DB">
      <w:instrText xml:space="preserve"> DOCPROPERTY</w:instrText>
    </w:r>
    <w:r w:rsidRPr="001833DB">
      <w:rPr>
        <w:sz w:val="18"/>
      </w:rPr>
      <w:instrText xml:space="preserve"> "Partinummer" *\charformat </w:instrText>
    </w:r>
    <w:r w:rsidRPr="001833DB">
      <w:fldChar w:fldCharType="separate"/>
    </w:r>
    <w:r w:rsidRPr="001833DB">
      <w:t>s78018</w:t>
    </w:r>
    <w:r w:rsidRPr="001833DB">
      <w:fldChar w:fldCharType="end"/>
    </w:r>
  </w:p>
  <w:p w:rsidR="001833DB" w:rsidRPr="001833DB" w:rsidRDefault="001833DB">
    <w:pPr>
      <w:pStyle w:val="FSHRub1"/>
    </w:pPr>
    <w:r w:rsidRPr="001833DB">
      <w:t>Motion till riksdagen</w:t>
    </w:r>
    <w:r w:rsidRPr="001833DB">
      <w:br/>
    </w:r>
    <w:r w:rsidRPr="001833DB">
      <w:fldChar w:fldCharType="begin" w:fldLock="1"/>
    </w:r>
    <w:r w:rsidRPr="001833DB">
      <w:instrText xml:space="preserve"> DOCPROPERTY "YearUser" *\charformat </w:instrText>
    </w:r>
    <w:r w:rsidRPr="001833DB">
      <w:fldChar w:fldCharType="separate"/>
    </w:r>
    <w:r w:rsidRPr="001833DB">
      <w:t>2009/10</w:t>
    </w:r>
    <w:r w:rsidRPr="001833DB">
      <w:fldChar w:fldCharType="end"/>
    </w:r>
    <w:r w:rsidRPr="001833DB">
      <w:t>:</w:t>
    </w:r>
    <w:r w:rsidRPr="001833DB">
      <w:fldChar w:fldCharType="begin" w:fldLock="1"/>
    </w:r>
    <w:r w:rsidRPr="001833DB">
      <w:instrText xml:space="preserve"> DOCPROPERTY "Motionsnummer" *\charformat </w:instrText>
    </w:r>
    <w:r w:rsidRPr="001833DB">
      <w:fldChar w:fldCharType="separate"/>
    </w:r>
    <w:r w:rsidRPr="001833DB">
      <w:t>T509</w:t>
    </w:r>
    <w:r w:rsidRPr="001833DB">
      <w:fldChar w:fldCharType="end"/>
    </w:r>
  </w:p>
  <w:p w:rsidR="001833DB" w:rsidRPr="001833DB" w:rsidRDefault="001833DB">
    <w:pPr>
      <w:pStyle w:val="FSHNormalS5"/>
    </w:pPr>
    <w:r w:rsidRPr="001833DB">
      <w:fldChar w:fldCharType="begin" w:fldLock="1"/>
    </w:r>
    <w:r w:rsidRPr="001833DB">
      <w:instrText xml:space="preserve"> DOCPROPERTY "MotionarText" *\charformat </w:instrText>
    </w:r>
    <w:r w:rsidRPr="001833DB">
      <w:fldChar w:fldCharType="separate"/>
    </w:r>
    <w:r w:rsidRPr="001833DB">
      <w:t>av Gunilla Carlsson i Hisings Backa m.fl. (s)</w:t>
    </w:r>
    <w:r w:rsidRPr="001833DB">
      <w:fldChar w:fldCharType="end"/>
    </w:r>
    <w:r w:rsidRPr="001833DB">
      <w:br/>
    </w:r>
    <w:r w:rsidRPr="001833DB">
      <w:fldChar w:fldCharType="begin" w:fldLock="1"/>
    </w:r>
    <w:r w:rsidRPr="001833DB">
      <w:instrText xml:space="preserve"> DOCPROPERTY "SvarFrasKort" *\charformat </w:instrText>
    </w:r>
    <w:r w:rsidRPr="001833DB">
      <w:fldChar w:fldCharType="end"/>
    </w:r>
  </w:p>
  <w:p w:rsidR="001833DB" w:rsidRPr="001833DB" w:rsidRDefault="001833DB">
    <w:pPr>
      <w:pStyle w:val="FSHTitel"/>
    </w:pPr>
    <w:r w:rsidRPr="001833DB">
      <w:fldChar w:fldCharType="begin" w:fldLock="1"/>
    </w:r>
    <w:r w:rsidRPr="001833DB">
      <w:instrText xml:space="preserve"> DOCPROPERTY</w:instrText>
    </w:r>
    <w:r w:rsidRPr="001833DB">
      <w:rPr>
        <w:sz w:val="18"/>
      </w:rPr>
      <w:instrText xml:space="preserve"> "RubrikSvar" *\charformat </w:instrText>
    </w:r>
    <w:r w:rsidRPr="001833DB">
      <w:fldChar w:fldCharType="separate"/>
    </w:r>
    <w:r w:rsidRPr="001833DB">
      <w:t>Infrastrukturen i Västsverige</w:t>
    </w:r>
    <w:r w:rsidRPr="001833DB">
      <w:fldChar w:fldCharType="end"/>
    </w:r>
  </w:p>
  <w:p w:rsidR="001833DB" w:rsidRPr="001833DB" w:rsidRDefault="001833DB">
    <w:pPr>
      <w:pStyle w:val="Normal00"/>
    </w:pPr>
  </w:p>
  <w:p w:rsidR="001833DB" w:rsidRPr="001833DB" w:rsidRDefault="001833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6964363">
    <w:abstractNumId w:val="8"/>
  </w:num>
  <w:num w:numId="2" w16cid:durableId="1473400907">
    <w:abstractNumId w:val="9"/>
  </w:num>
  <w:num w:numId="3" w16cid:durableId="450829795">
    <w:abstractNumId w:val="8"/>
  </w:num>
  <w:num w:numId="4" w16cid:durableId="1371370851">
    <w:abstractNumId w:val="9"/>
  </w:num>
  <w:num w:numId="5" w16cid:durableId="639965378">
    <w:abstractNumId w:val="13"/>
  </w:num>
  <w:num w:numId="6" w16cid:durableId="5906926">
    <w:abstractNumId w:val="10"/>
  </w:num>
  <w:num w:numId="7" w16cid:durableId="1353842734">
    <w:abstractNumId w:val="11"/>
  </w:num>
  <w:num w:numId="8" w16cid:durableId="82606107">
    <w:abstractNumId w:val="12"/>
  </w:num>
  <w:num w:numId="9" w16cid:durableId="1819565308">
    <w:abstractNumId w:val="8"/>
  </w:num>
  <w:num w:numId="10" w16cid:durableId="83189916">
    <w:abstractNumId w:val="3"/>
  </w:num>
  <w:num w:numId="11" w16cid:durableId="387610692">
    <w:abstractNumId w:val="2"/>
  </w:num>
  <w:num w:numId="12" w16cid:durableId="628897575">
    <w:abstractNumId w:val="1"/>
  </w:num>
  <w:num w:numId="13" w16cid:durableId="536744191">
    <w:abstractNumId w:val="0"/>
  </w:num>
  <w:num w:numId="14" w16cid:durableId="916284912">
    <w:abstractNumId w:val="9"/>
  </w:num>
  <w:num w:numId="15" w16cid:durableId="28192288">
    <w:abstractNumId w:val="7"/>
  </w:num>
  <w:num w:numId="16" w16cid:durableId="889223478">
    <w:abstractNumId w:val="6"/>
  </w:num>
  <w:num w:numId="17" w16cid:durableId="1304433194">
    <w:abstractNumId w:val="5"/>
  </w:num>
  <w:num w:numId="18" w16cid:durableId="122164319">
    <w:abstractNumId w:val="4"/>
  </w:num>
  <w:num w:numId="19" w16cid:durableId="965887026">
    <w:abstractNumId w:val="11"/>
  </w:num>
  <w:num w:numId="20" w16cid:durableId="1798797334">
    <w:abstractNumId w:val="10"/>
  </w:num>
  <w:num w:numId="21" w16cid:durableId="602960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F01CF0C-53D4-4C7A-B501-69C90218D11F},{622BAC93-598F-4CA9-AD94-75479E0DCA7F},{7C8C8FEA-CFC8-4DA7-939F-B31067DC5BB4},{0912A012-88B0-4A29-9CC0-F34767E4305F},{1BC77BF2-1434-48AB-A11D-A22928463538},{452D8401-E789-4AD7-BDFD-997D6CAC822B}"/>
  </w:docVars>
  <w:rsids>
    <w:rsidRoot w:val="00842571"/>
    <w:rsid w:val="001833DB"/>
    <w:rsid w:val="008425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E9E44E6-E3B9-47C4-9568-AE615E2B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5968</Characters>
  <Application>Microsoft Office Word</Application>
  <DocSecurity>4</DocSecurity>
  <Lines>110</Lines>
  <Paragraphs>29</Paragraphs>
  <ScaleCrop>false</ScaleCrop>
  <HeadingPairs>
    <vt:vector size="2" baseType="variant">
      <vt:variant>
        <vt:lpstr>Rubrik</vt:lpstr>
      </vt:variant>
      <vt:variant>
        <vt:i4>1</vt:i4>
      </vt:variant>
    </vt:vector>
  </HeadingPairs>
  <TitlesOfParts>
    <vt:vector size="1" baseType="lpstr">
      <vt:lpstr>s78018</vt:lpstr>
    </vt:vector>
  </TitlesOfParts>
  <Company>Riksdagen</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s78018</dc:title>
  <dc:subject>s78018</dc:subject>
  <dc:creator>Riksdagen</dc:creator>
  <cp:keywords>Riksdagen</cp:keywords>
  <dc:description>Nya formatmallshantering för förslag+urix bakåtkomp+könamn</dc:description>
  <cp:lastModifiedBy>Lars Brink</cp:lastModifiedBy>
  <cp:revision>2</cp:revision>
  <cp:lastPrinted>2009-12-19T11:19:00Z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Infrastrukturen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Carlsson i Hisings Backa m.fl. (s)</vt:lpwstr>
  </property>
  <property fmtid="{D5CDD505-2E9C-101B-9397-08002B2CF9AE}" pid="26" name="MotionarLista">
    <vt:lpwstr>Carlsson i Hisings Backa, Gunilla (s)\Eriksson, Alf (s)\Bråkenhielm, Catharina (s)\Olsson, Hans (s)\Green, Monica (s)\Jonsson,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Alf Eriksson (s), Catharina Bråkenhielm (s), Hans Olsson (s), Monica Green (s), Peter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T509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20092010000000000115000780180069</vt:lpwstr>
  </property>
  <property fmtid="{D5CDD505-2E9C-101B-9397-08002B2CF9AE}" pid="47" name="datum">
    <vt:lpwstr>091005</vt:lpwstr>
  </property>
  <property fmtid="{D5CDD505-2E9C-101B-9397-08002B2CF9AE}" pid="48" name="avsändar-e-post">
    <vt:lpwstr>gun.aulin@riksdagen.se</vt:lpwstr>
  </property>
  <property fmtid="{D5CDD505-2E9C-101B-9397-08002B2CF9AE}" pid="49" name="id">
    <vt:lpwstr>20092010000000000115000780180069</vt:lpwstr>
  </property>
  <property fmtid="{D5CDD505-2E9C-101B-9397-08002B2CF9AE}" pid="50" name="nummer">
    <vt:lpwstr>509</vt:lpwstr>
  </property>
  <property fmtid="{D5CDD505-2E9C-101B-9397-08002B2CF9AE}" pid="51" name="utskottsbeteckning">
    <vt:lpwstr>T</vt:lpwstr>
  </property>
  <property fmtid="{D5CDD505-2E9C-101B-9397-08002B2CF9AE}" pid="52" name="GlobalUID">
    <vt:lpwstr>{D0D48E2B-33A5-48FF-BAB4-113CFCAE00AE}</vt:lpwstr>
  </property>
  <property fmtid="{D5CDD505-2E9C-101B-9397-08002B2CF9AE}" pid="53" name="Överföringar">
    <vt:i4>0</vt:i4>
  </property>
  <property fmtid="{D5CDD505-2E9C-101B-9397-08002B2CF9AE}" pid="54" name="Checksum">
    <vt:lpwstr>*0008530348173*</vt:lpwstr>
  </property>
  <property fmtid="{D5CDD505-2E9C-101B-9397-08002B2CF9AE}" pid="55" name="skuggnummer">
    <vt:lpwstr>3330</vt:lpwstr>
  </property>
  <property fmtid="{D5CDD505-2E9C-101B-9397-08002B2CF9AE}" pid="56" name="urixVersion">
    <vt:lpwstr>4.0.0.9</vt:lpwstr>
  </property>
  <property fmtid="{D5CDD505-2E9C-101B-9397-08002B2CF9AE}" pid="57" name="urixOrigin">
    <vt:lpwstr>091219 12:19:24.742</vt:lpwstr>
  </property>
  <property fmtid="{D5CDD505-2E9C-101B-9397-08002B2CF9AE}" pid="58" name="urixGuid">
    <vt:lpwstr>{AE0FC9D7-8304-476A-AAFF-C5DB3BB1F1B2}</vt:lpwstr>
  </property>
</Properties>
</file>