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EA081B8EC94CBF84FAD58F8234198E"/>
        </w:placeholder>
        <w:text/>
      </w:sdtPr>
      <w:sdtEndPr/>
      <w:sdtContent>
        <w:p w:rsidRPr="009B062B" w:rsidR="00AF30DD" w:rsidP="00DA28CE" w:rsidRDefault="00AF30DD" w14:paraId="79271D68" w14:textId="77777777">
          <w:pPr>
            <w:pStyle w:val="Rubrik1"/>
            <w:spacing w:after="300"/>
          </w:pPr>
          <w:r w:rsidRPr="009B062B">
            <w:t>Förslag till riksdagsbeslut</w:t>
          </w:r>
        </w:p>
      </w:sdtContent>
    </w:sdt>
    <w:bookmarkStart w:name="_Hlk20398146" w:displacedByCustomXml="next" w:id="0"/>
    <w:sdt>
      <w:sdtPr>
        <w:alias w:val="Yrkande 1"/>
        <w:tag w:val="433ec585-f8d3-4ad6-b546-cb8b92021d46"/>
        <w:id w:val="-290064493"/>
        <w:lock w:val="sdtLocked"/>
      </w:sdtPr>
      <w:sdtEndPr/>
      <w:sdtContent>
        <w:p w:rsidR="00B728FE" w:rsidRDefault="00AD5AA4" w14:paraId="6CA021D4" w14:textId="77777777">
          <w:pPr>
            <w:pStyle w:val="Frslagstext"/>
            <w:numPr>
              <w:ilvl w:val="0"/>
              <w:numId w:val="0"/>
            </w:numPr>
          </w:pPr>
          <w:r>
            <w:t>Riksdagen ställer sig bakom det som anförs i motionen om att se över möjligheten till förbättrad tillgång till tandvård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685A6D3B3C84DD38E0DAD8F50C63AE0"/>
        </w:placeholder>
        <w:text/>
      </w:sdtPr>
      <w:sdtEndPr/>
      <w:sdtContent>
        <w:p w:rsidRPr="009B062B" w:rsidR="006D79C9" w:rsidP="00333E95" w:rsidRDefault="006D79C9" w14:paraId="563EB661" w14:textId="77777777">
          <w:pPr>
            <w:pStyle w:val="Rubrik1"/>
          </w:pPr>
          <w:r>
            <w:t>Motivering</w:t>
          </w:r>
        </w:p>
      </w:sdtContent>
    </w:sdt>
    <w:p w:rsidR="00357006" w:rsidP="00214750" w:rsidRDefault="00357006" w14:paraId="3EE78486" w14:textId="77777777">
      <w:pPr>
        <w:pStyle w:val="Normalutanindragellerluft"/>
      </w:pPr>
      <w:r>
        <w:t xml:space="preserve">Tandhygien och tandvård är viktigt för en persons välmående och totala hälsa. Alla har dock inte möjlighet att lägga de resurser som kan krävas för tandvården. Det har skett förbättringar och olika lösningar för att förhindra höga kostnader vid tandvård har införts. Dessa har dock varit långt ifrån tillräckliga. Det finns fortfarande skillnader </w:t>
      </w:r>
      <w:bookmarkStart w:name="_GoBack" w:id="2"/>
      <w:bookmarkEnd w:id="2"/>
      <w:r>
        <w:t xml:space="preserve">både vad gäller tillgången till behandlande tandvård som till en förebyggande tandvård. Inte minst vad gäller möjligheten att lägga egna resurser. </w:t>
      </w:r>
    </w:p>
    <w:p w:rsidR="00357006" w:rsidP="00214750" w:rsidRDefault="00357006" w14:paraId="2677B08D" w14:textId="77777777">
      <w:r>
        <w:t xml:space="preserve">Har du en ekonomi som gör att du måste prioritera vad du ska lägga dina pengar på så kan det innebära att just tandvården inte är det du har möjlighet att prioritera. Särskilt inte besök hos tandhygienist och förebyggande tandvård. Det kan i sin tur leda till att behovet blir istället svårare och dyrare behandlande tandvård längre fram. Samtidigt som de ekonomiska resurserna troligen inte är bättre än tidigare. Istället så leder det i sin tur till sämre munhälsa och som en följd av det också sämre hälsa i ett större perspektiv. </w:t>
      </w:r>
    </w:p>
    <w:p w:rsidRPr="00422B9E" w:rsidR="00422B9E" w:rsidP="00214750" w:rsidRDefault="00357006" w14:paraId="5DAA6F00" w14:textId="77777777">
      <w:r>
        <w:t>Det behöver snabbt göras mer för att förbättra tillgången till god tandvård, oberoende av egen ekonomisk möjlighet. Ett första steg kan vara att se över hur man kan lindra kostnaden vid besök hos tandhygienist med förebyggande vård.</w:t>
      </w:r>
    </w:p>
    <w:sdt>
      <w:sdtPr>
        <w:rPr>
          <w:i/>
          <w:noProof/>
        </w:rPr>
        <w:alias w:val="CC_Underskrifter"/>
        <w:tag w:val="CC_Underskrifter"/>
        <w:id w:val="583496634"/>
        <w:lock w:val="sdtContentLocked"/>
        <w:placeholder>
          <w:docPart w:val="87CD91D855434C428D3354C9BA3453DA"/>
        </w:placeholder>
      </w:sdtPr>
      <w:sdtEndPr>
        <w:rPr>
          <w:i w:val="0"/>
          <w:noProof w:val="0"/>
        </w:rPr>
      </w:sdtEndPr>
      <w:sdtContent>
        <w:p w:rsidR="007B6F66" w:rsidP="009C5D59" w:rsidRDefault="007B6F66" w14:paraId="066D6A4F" w14:textId="77777777"/>
        <w:p w:rsidRPr="008E0FE2" w:rsidR="004801AC" w:rsidP="009C5D59" w:rsidRDefault="00214750" w14:paraId="2E9402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810582" w:rsidRDefault="00810582" w14:paraId="3BCF8B13" w14:textId="77777777"/>
    <w:sectPr w:rsidR="008105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CC326" w14:textId="77777777" w:rsidR="00357006" w:rsidRDefault="00357006" w:rsidP="000C1CAD">
      <w:pPr>
        <w:spacing w:line="240" w:lineRule="auto"/>
      </w:pPr>
      <w:r>
        <w:separator/>
      </w:r>
    </w:p>
  </w:endnote>
  <w:endnote w:type="continuationSeparator" w:id="0">
    <w:p w14:paraId="3295FC5C" w14:textId="77777777" w:rsidR="00357006" w:rsidRDefault="003570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E77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E92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5D5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7CCA7" w14:textId="77777777" w:rsidR="00264BAF" w:rsidRDefault="00264B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BBE61" w14:textId="77777777" w:rsidR="00357006" w:rsidRDefault="00357006" w:rsidP="000C1CAD">
      <w:pPr>
        <w:spacing w:line="240" w:lineRule="auto"/>
      </w:pPr>
      <w:r>
        <w:separator/>
      </w:r>
    </w:p>
  </w:footnote>
  <w:footnote w:type="continuationSeparator" w:id="0">
    <w:p w14:paraId="69D3F098" w14:textId="77777777" w:rsidR="00357006" w:rsidRDefault="003570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1BAD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44CC5A" wp14:anchorId="3A5D10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4750" w14:paraId="34E65D24" w14:textId="77777777">
                          <w:pPr>
                            <w:jc w:val="right"/>
                          </w:pPr>
                          <w:sdt>
                            <w:sdtPr>
                              <w:alias w:val="CC_Noformat_Partikod"/>
                              <w:tag w:val="CC_Noformat_Partikod"/>
                              <w:id w:val="-53464382"/>
                              <w:placeholder>
                                <w:docPart w:val="5CB8495E87AF44B28316B67E742F36FF"/>
                              </w:placeholder>
                              <w:text/>
                            </w:sdtPr>
                            <w:sdtEndPr/>
                            <w:sdtContent>
                              <w:r w:rsidR="00357006">
                                <w:t>C</w:t>
                              </w:r>
                            </w:sdtContent>
                          </w:sdt>
                          <w:sdt>
                            <w:sdtPr>
                              <w:alias w:val="CC_Noformat_Partinummer"/>
                              <w:tag w:val="CC_Noformat_Partinummer"/>
                              <w:id w:val="-1709555926"/>
                              <w:placeholder>
                                <w:docPart w:val="536F6BF7871C405F871C9145D3AA5D9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5D10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4750" w14:paraId="34E65D24" w14:textId="77777777">
                    <w:pPr>
                      <w:jc w:val="right"/>
                    </w:pPr>
                    <w:sdt>
                      <w:sdtPr>
                        <w:alias w:val="CC_Noformat_Partikod"/>
                        <w:tag w:val="CC_Noformat_Partikod"/>
                        <w:id w:val="-53464382"/>
                        <w:placeholder>
                          <w:docPart w:val="5CB8495E87AF44B28316B67E742F36FF"/>
                        </w:placeholder>
                        <w:text/>
                      </w:sdtPr>
                      <w:sdtEndPr/>
                      <w:sdtContent>
                        <w:r w:rsidR="00357006">
                          <w:t>C</w:t>
                        </w:r>
                      </w:sdtContent>
                    </w:sdt>
                    <w:sdt>
                      <w:sdtPr>
                        <w:alias w:val="CC_Noformat_Partinummer"/>
                        <w:tag w:val="CC_Noformat_Partinummer"/>
                        <w:id w:val="-1709555926"/>
                        <w:placeholder>
                          <w:docPart w:val="536F6BF7871C405F871C9145D3AA5D9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E217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A676F1" w14:textId="77777777">
    <w:pPr>
      <w:jc w:val="right"/>
    </w:pPr>
  </w:p>
  <w:p w:rsidR="00262EA3" w:rsidP="00776B74" w:rsidRDefault="00262EA3" w14:paraId="322DF9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14750" w14:paraId="238A69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E33147" wp14:anchorId="2D606A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4750" w14:paraId="0FF0C5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5700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14750" w14:paraId="22DD37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4750" w14:paraId="1B9E4A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:398</w:t>
        </w:r>
      </w:sdtContent>
    </w:sdt>
  </w:p>
  <w:p w:rsidR="00262EA3" w:rsidP="00E03A3D" w:rsidRDefault="00214750" w14:paraId="22A49FCD"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text/>
    </w:sdtPr>
    <w:sdtEndPr/>
    <w:sdtContent>
      <w:p w:rsidR="00262EA3" w:rsidP="00283E0F" w:rsidRDefault="00357006" w14:paraId="20934F18" w14:textId="77777777">
        <w:pPr>
          <w:pStyle w:val="FSHRub2"/>
        </w:pPr>
        <w:r>
          <w:t>Förbättrad tillgång till tandvård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4E4E1A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570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DA6"/>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750"/>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BAF"/>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006"/>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6F66"/>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582"/>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D59"/>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AA4"/>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8FE"/>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0B6"/>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6BC"/>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CE3719"/>
  <w15:chartTrackingRefBased/>
  <w15:docId w15:val="{97816BCB-A1CD-494C-A27F-01FA79ED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EA081B8EC94CBF84FAD58F8234198E"/>
        <w:category>
          <w:name w:val="Allmänt"/>
          <w:gallery w:val="placeholder"/>
        </w:category>
        <w:types>
          <w:type w:val="bbPlcHdr"/>
        </w:types>
        <w:behaviors>
          <w:behavior w:val="content"/>
        </w:behaviors>
        <w:guid w:val="{1F75E9E7-40E0-4CBF-A665-5AE68946C8F1}"/>
      </w:docPartPr>
      <w:docPartBody>
        <w:p w:rsidR="00250BFC" w:rsidRDefault="00250BFC">
          <w:pPr>
            <w:pStyle w:val="BAEA081B8EC94CBF84FAD58F8234198E"/>
          </w:pPr>
          <w:r w:rsidRPr="005A0A93">
            <w:rPr>
              <w:rStyle w:val="Platshllartext"/>
            </w:rPr>
            <w:t>Förslag till riksdagsbeslut</w:t>
          </w:r>
        </w:p>
      </w:docPartBody>
    </w:docPart>
    <w:docPart>
      <w:docPartPr>
        <w:name w:val="4685A6D3B3C84DD38E0DAD8F50C63AE0"/>
        <w:category>
          <w:name w:val="Allmänt"/>
          <w:gallery w:val="placeholder"/>
        </w:category>
        <w:types>
          <w:type w:val="bbPlcHdr"/>
        </w:types>
        <w:behaviors>
          <w:behavior w:val="content"/>
        </w:behaviors>
        <w:guid w:val="{F7A13D64-30EF-4980-9CA3-0F173A3524CA}"/>
      </w:docPartPr>
      <w:docPartBody>
        <w:p w:rsidR="00250BFC" w:rsidRDefault="00250BFC">
          <w:pPr>
            <w:pStyle w:val="4685A6D3B3C84DD38E0DAD8F50C63AE0"/>
          </w:pPr>
          <w:r w:rsidRPr="005A0A93">
            <w:rPr>
              <w:rStyle w:val="Platshllartext"/>
            </w:rPr>
            <w:t>Motivering</w:t>
          </w:r>
        </w:p>
      </w:docPartBody>
    </w:docPart>
    <w:docPart>
      <w:docPartPr>
        <w:name w:val="5CB8495E87AF44B28316B67E742F36FF"/>
        <w:category>
          <w:name w:val="Allmänt"/>
          <w:gallery w:val="placeholder"/>
        </w:category>
        <w:types>
          <w:type w:val="bbPlcHdr"/>
        </w:types>
        <w:behaviors>
          <w:behavior w:val="content"/>
        </w:behaviors>
        <w:guid w:val="{4009B999-F4F4-4EB9-AC10-FD3C4A926A3D}"/>
      </w:docPartPr>
      <w:docPartBody>
        <w:p w:rsidR="00250BFC" w:rsidRDefault="00250BFC">
          <w:pPr>
            <w:pStyle w:val="5CB8495E87AF44B28316B67E742F36FF"/>
          </w:pPr>
          <w:r>
            <w:rPr>
              <w:rStyle w:val="Platshllartext"/>
            </w:rPr>
            <w:t xml:space="preserve"> </w:t>
          </w:r>
        </w:p>
      </w:docPartBody>
    </w:docPart>
    <w:docPart>
      <w:docPartPr>
        <w:name w:val="536F6BF7871C405F871C9145D3AA5D93"/>
        <w:category>
          <w:name w:val="Allmänt"/>
          <w:gallery w:val="placeholder"/>
        </w:category>
        <w:types>
          <w:type w:val="bbPlcHdr"/>
        </w:types>
        <w:behaviors>
          <w:behavior w:val="content"/>
        </w:behaviors>
        <w:guid w:val="{73067353-ABBB-4D4A-8C2A-4C1BB7205042}"/>
      </w:docPartPr>
      <w:docPartBody>
        <w:p w:rsidR="00250BFC" w:rsidRDefault="00250BFC">
          <w:pPr>
            <w:pStyle w:val="536F6BF7871C405F871C9145D3AA5D93"/>
          </w:pPr>
          <w:r>
            <w:t xml:space="preserve"> </w:t>
          </w:r>
        </w:p>
      </w:docPartBody>
    </w:docPart>
    <w:docPart>
      <w:docPartPr>
        <w:name w:val="87CD91D855434C428D3354C9BA3453DA"/>
        <w:category>
          <w:name w:val="Allmänt"/>
          <w:gallery w:val="placeholder"/>
        </w:category>
        <w:types>
          <w:type w:val="bbPlcHdr"/>
        </w:types>
        <w:behaviors>
          <w:behavior w:val="content"/>
        </w:behaviors>
        <w:guid w:val="{30E98ADE-B310-402C-A98C-BBB7F9E1F801}"/>
      </w:docPartPr>
      <w:docPartBody>
        <w:p w:rsidR="001A5BA7" w:rsidRDefault="001A5B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FC"/>
    <w:rsid w:val="001A5BA7"/>
    <w:rsid w:val="00250B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EA081B8EC94CBF84FAD58F8234198E">
    <w:name w:val="BAEA081B8EC94CBF84FAD58F8234198E"/>
  </w:style>
  <w:style w:type="paragraph" w:customStyle="1" w:styleId="0F3E2697EFDE4340AE07C960A57C9E97">
    <w:name w:val="0F3E2697EFDE4340AE07C960A57C9E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CDE7B74D0E4513B47E8640588648ED">
    <w:name w:val="02CDE7B74D0E4513B47E8640588648ED"/>
  </w:style>
  <w:style w:type="paragraph" w:customStyle="1" w:styleId="4685A6D3B3C84DD38E0DAD8F50C63AE0">
    <w:name w:val="4685A6D3B3C84DD38E0DAD8F50C63AE0"/>
  </w:style>
  <w:style w:type="paragraph" w:customStyle="1" w:styleId="B2252C0F7CA34AFA86ACA8C11113DD52">
    <w:name w:val="B2252C0F7CA34AFA86ACA8C11113DD52"/>
  </w:style>
  <w:style w:type="paragraph" w:customStyle="1" w:styleId="2AB1DEB525DC49DB87E9D0B3CF9E223E">
    <w:name w:val="2AB1DEB525DC49DB87E9D0B3CF9E223E"/>
  </w:style>
  <w:style w:type="paragraph" w:customStyle="1" w:styleId="5CB8495E87AF44B28316B67E742F36FF">
    <w:name w:val="5CB8495E87AF44B28316B67E742F36FF"/>
  </w:style>
  <w:style w:type="paragraph" w:customStyle="1" w:styleId="536F6BF7871C405F871C9145D3AA5D93">
    <w:name w:val="536F6BF7871C405F871C9145D3AA5D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184F9F-EF69-4A60-82AC-BAE9E08CEED7}"/>
</file>

<file path=customXml/itemProps2.xml><?xml version="1.0" encoding="utf-8"?>
<ds:datastoreItem xmlns:ds="http://schemas.openxmlformats.org/officeDocument/2006/customXml" ds:itemID="{CCA02A46-8502-4821-A517-1D2296CD06BE}"/>
</file>

<file path=customXml/itemProps3.xml><?xml version="1.0" encoding="utf-8"?>
<ds:datastoreItem xmlns:ds="http://schemas.openxmlformats.org/officeDocument/2006/customXml" ds:itemID="{E0142668-5094-49A5-AECE-D3A52AFACCA3}"/>
</file>

<file path=docProps/app.xml><?xml version="1.0" encoding="utf-8"?>
<Properties xmlns="http://schemas.openxmlformats.org/officeDocument/2006/extended-properties" xmlns:vt="http://schemas.openxmlformats.org/officeDocument/2006/docPropsVTypes">
  <Template>Normal</Template>
  <TotalTime>3</TotalTime>
  <Pages>1</Pages>
  <Words>236</Words>
  <Characters>1255</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Förbättrad tillgång till tandvård</vt:lpstr>
      <vt:lpstr>
      </vt:lpstr>
    </vt:vector>
  </TitlesOfParts>
  <Company>Sveriges riksdag</Company>
  <LinksUpToDate>false</LinksUpToDate>
  <CharactersWithSpaces>1483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