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53A97">
        <w:tblPrEx>
          <w:tblCellMar>
            <w:top w:w="0" w:type="dxa"/>
            <w:bottom w:w="0" w:type="dxa"/>
          </w:tblCellMar>
        </w:tblPrEx>
        <w:tc>
          <w:tcPr>
            <w:tcW w:w="2268" w:type="dxa"/>
          </w:tcPr>
          <w:p w:rsidR="006E4E11" w:rsidRPr="00653A9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53A97" w:rsidRDefault="006E4E11" w:rsidP="007242A3">
            <w:pPr>
              <w:framePr w:w="5035" w:h="1644" w:wrap="notBeside" w:vAnchor="page" w:hAnchor="page" w:x="6573" w:y="721"/>
              <w:rPr>
                <w:rFonts w:ascii="TradeGothic" w:hAnsi="TradeGothic"/>
                <w:i/>
                <w:sz w:val="18"/>
              </w:rPr>
            </w:pPr>
          </w:p>
        </w:tc>
      </w:tr>
      <w:tr w:rsidR="006E4E11" w:rsidRPr="00653A97">
        <w:tblPrEx>
          <w:tblCellMar>
            <w:top w:w="0" w:type="dxa"/>
            <w:bottom w:w="0" w:type="dxa"/>
          </w:tblCellMar>
        </w:tblPrEx>
        <w:tc>
          <w:tcPr>
            <w:tcW w:w="2268" w:type="dxa"/>
          </w:tcPr>
          <w:p w:rsidR="006E4E11" w:rsidRPr="00653A97" w:rsidRDefault="00742D97" w:rsidP="007242A3">
            <w:pPr>
              <w:framePr w:w="5035" w:h="1644" w:wrap="notBeside" w:vAnchor="page" w:hAnchor="page" w:x="6573" w:y="721"/>
              <w:rPr>
                <w:rFonts w:ascii="TradeGothic" w:hAnsi="TradeGothic"/>
                <w:i/>
                <w:sz w:val="18"/>
                <w:szCs w:val="18"/>
              </w:rPr>
            </w:pPr>
            <w:r w:rsidRPr="00653A97">
              <w:rPr>
                <w:rFonts w:ascii="TradeGothic" w:hAnsi="TradeGothic"/>
                <w:i/>
                <w:sz w:val="18"/>
                <w:szCs w:val="18"/>
              </w:rPr>
              <w:t>Slutlig</w:t>
            </w:r>
          </w:p>
        </w:tc>
        <w:tc>
          <w:tcPr>
            <w:tcW w:w="2999" w:type="dxa"/>
            <w:gridSpan w:val="2"/>
          </w:tcPr>
          <w:p w:rsidR="006E4E11" w:rsidRPr="00653A97" w:rsidRDefault="006E4E11" w:rsidP="007242A3">
            <w:pPr>
              <w:framePr w:w="5035" w:h="1644" w:wrap="notBeside" w:vAnchor="page" w:hAnchor="page" w:x="6573" w:y="721"/>
              <w:rPr>
                <w:rFonts w:ascii="TradeGothic" w:hAnsi="TradeGothic"/>
                <w:b/>
                <w:sz w:val="22"/>
              </w:rPr>
            </w:pPr>
          </w:p>
        </w:tc>
      </w:tr>
      <w:tr w:rsidR="006E4E11" w:rsidRPr="00653A97">
        <w:tblPrEx>
          <w:tblCellMar>
            <w:top w:w="0" w:type="dxa"/>
            <w:bottom w:w="0" w:type="dxa"/>
          </w:tblCellMar>
        </w:tblPrEx>
        <w:tc>
          <w:tcPr>
            <w:tcW w:w="3402" w:type="dxa"/>
            <w:gridSpan w:val="2"/>
          </w:tcPr>
          <w:p w:rsidR="006E4E11" w:rsidRPr="00653A97" w:rsidRDefault="006E4E11" w:rsidP="007242A3">
            <w:pPr>
              <w:framePr w:w="5035" w:h="1644" w:wrap="notBeside" w:vAnchor="page" w:hAnchor="page" w:x="6573" w:y="721"/>
            </w:pPr>
          </w:p>
        </w:tc>
        <w:tc>
          <w:tcPr>
            <w:tcW w:w="1865" w:type="dxa"/>
          </w:tcPr>
          <w:p w:rsidR="006E4E11" w:rsidRPr="00653A97" w:rsidRDefault="006E4E11" w:rsidP="007242A3">
            <w:pPr>
              <w:framePr w:w="5035" w:h="1644" w:wrap="notBeside" w:vAnchor="page" w:hAnchor="page" w:x="6573" w:y="721"/>
            </w:pPr>
          </w:p>
        </w:tc>
      </w:tr>
      <w:tr w:rsidR="006E4E11" w:rsidRPr="00653A97">
        <w:tblPrEx>
          <w:tblCellMar>
            <w:top w:w="0" w:type="dxa"/>
            <w:bottom w:w="0" w:type="dxa"/>
          </w:tblCellMar>
        </w:tblPrEx>
        <w:tc>
          <w:tcPr>
            <w:tcW w:w="2268" w:type="dxa"/>
          </w:tcPr>
          <w:p w:rsidR="006E4E11" w:rsidRPr="00653A97" w:rsidRDefault="00CA5D09" w:rsidP="007242A3">
            <w:pPr>
              <w:framePr w:w="5035" w:h="1644" w:wrap="notBeside" w:vAnchor="page" w:hAnchor="page" w:x="6573" w:y="721"/>
            </w:pPr>
            <w:r w:rsidRPr="00653A97">
              <w:t>2011-0</w:t>
            </w:r>
            <w:r w:rsidR="00B20FEA" w:rsidRPr="00653A97">
              <w:t>5</w:t>
            </w:r>
            <w:r w:rsidR="00C31E4A" w:rsidRPr="00653A97">
              <w:t>-</w:t>
            </w:r>
            <w:r w:rsidRPr="00653A97">
              <w:t>0</w:t>
            </w:r>
            <w:r w:rsidR="00ED0919" w:rsidRPr="00653A97">
              <w:t>9</w:t>
            </w:r>
          </w:p>
        </w:tc>
        <w:tc>
          <w:tcPr>
            <w:tcW w:w="2999" w:type="dxa"/>
            <w:gridSpan w:val="2"/>
          </w:tcPr>
          <w:p w:rsidR="006E4E11" w:rsidRPr="00653A97" w:rsidRDefault="006E4E11" w:rsidP="007242A3">
            <w:pPr>
              <w:framePr w:w="5035" w:h="1644" w:wrap="notBeside" w:vAnchor="page" w:hAnchor="page" w:x="6573" w:y="721"/>
              <w:rPr>
                <w:sz w:val="20"/>
              </w:rPr>
            </w:pPr>
          </w:p>
        </w:tc>
      </w:tr>
      <w:tr w:rsidR="006E4E11" w:rsidRPr="00653A97">
        <w:tblPrEx>
          <w:tblCellMar>
            <w:top w:w="0" w:type="dxa"/>
            <w:bottom w:w="0" w:type="dxa"/>
          </w:tblCellMar>
        </w:tblPrEx>
        <w:tc>
          <w:tcPr>
            <w:tcW w:w="2268" w:type="dxa"/>
          </w:tcPr>
          <w:p w:rsidR="006E4E11" w:rsidRPr="00653A97" w:rsidRDefault="006E4E11" w:rsidP="007242A3">
            <w:pPr>
              <w:framePr w:w="5035" w:h="1644" w:wrap="notBeside" w:vAnchor="page" w:hAnchor="page" w:x="6573" w:y="721"/>
            </w:pPr>
          </w:p>
        </w:tc>
        <w:tc>
          <w:tcPr>
            <w:tcW w:w="2999" w:type="dxa"/>
            <w:gridSpan w:val="2"/>
          </w:tcPr>
          <w:p w:rsidR="006E4E11" w:rsidRPr="00653A9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53A97">
        <w:tblPrEx>
          <w:tblCellMar>
            <w:top w:w="0" w:type="dxa"/>
            <w:bottom w:w="0" w:type="dxa"/>
          </w:tblCellMar>
        </w:tblPrEx>
        <w:trPr>
          <w:trHeight w:val="284"/>
        </w:trPr>
        <w:tc>
          <w:tcPr>
            <w:tcW w:w="4911" w:type="dxa"/>
          </w:tcPr>
          <w:p w:rsidR="006E4E11" w:rsidRPr="00653A97" w:rsidRDefault="00C31E4A">
            <w:pPr>
              <w:pStyle w:val="Avsndare"/>
              <w:framePr w:h="2483" w:wrap="notBeside" w:x="1504"/>
              <w:rPr>
                <w:b/>
                <w:i w:val="0"/>
                <w:sz w:val="22"/>
              </w:rPr>
            </w:pPr>
            <w:r w:rsidRPr="00653A97">
              <w:rPr>
                <w:b/>
                <w:i w:val="0"/>
                <w:sz w:val="22"/>
              </w:rPr>
              <w:t>Landsbygdsdepartementet</w:t>
            </w:r>
          </w:p>
        </w:tc>
      </w:tr>
      <w:tr w:rsidR="006E4E11" w:rsidRPr="00653A97" w:rsidTr="00C31E4A">
        <w:tblPrEx>
          <w:tblCellMar>
            <w:top w:w="0" w:type="dxa"/>
            <w:bottom w:w="0" w:type="dxa"/>
          </w:tblCellMar>
        </w:tblPrEx>
        <w:trPr>
          <w:trHeight w:val="678"/>
        </w:trPr>
        <w:tc>
          <w:tcPr>
            <w:tcW w:w="4911" w:type="dxa"/>
          </w:tcPr>
          <w:p w:rsidR="006E4E11" w:rsidRPr="00653A97" w:rsidRDefault="006E4E11">
            <w:pPr>
              <w:pStyle w:val="Avsndare"/>
              <w:framePr w:h="2483" w:wrap="notBeside" w:x="1504"/>
              <w:rPr>
                <w:bCs/>
                <w:iCs/>
              </w:rPr>
            </w:pPr>
          </w:p>
        </w:tc>
      </w:tr>
      <w:tr w:rsidR="006E4E11" w:rsidRPr="00653A97">
        <w:tblPrEx>
          <w:tblCellMar>
            <w:top w:w="0" w:type="dxa"/>
            <w:bottom w:w="0" w:type="dxa"/>
          </w:tblCellMar>
        </w:tblPrEx>
        <w:trPr>
          <w:trHeight w:val="284"/>
        </w:trPr>
        <w:tc>
          <w:tcPr>
            <w:tcW w:w="4911" w:type="dxa"/>
          </w:tcPr>
          <w:p w:rsidR="006E4E11" w:rsidRPr="00653A97" w:rsidRDefault="006E4E11">
            <w:pPr>
              <w:pStyle w:val="Avsndare"/>
              <w:framePr w:h="2483" w:wrap="notBeside" w:x="1504"/>
              <w:rPr>
                <w:bCs/>
                <w:iCs/>
              </w:rPr>
            </w:pPr>
          </w:p>
        </w:tc>
      </w:tr>
      <w:tr w:rsidR="006E4E11" w:rsidRPr="00653A97">
        <w:tblPrEx>
          <w:tblCellMar>
            <w:top w:w="0" w:type="dxa"/>
            <w:bottom w:w="0" w:type="dxa"/>
          </w:tblCellMar>
        </w:tblPrEx>
        <w:trPr>
          <w:trHeight w:val="284"/>
        </w:trPr>
        <w:tc>
          <w:tcPr>
            <w:tcW w:w="4911" w:type="dxa"/>
          </w:tcPr>
          <w:p w:rsidR="006E4E11" w:rsidRPr="00653A97" w:rsidRDefault="006E4E11">
            <w:pPr>
              <w:pStyle w:val="Avsndare"/>
              <w:framePr w:h="2483" w:wrap="notBeside" w:x="1504"/>
              <w:rPr>
                <w:bCs/>
                <w:iCs/>
              </w:rPr>
            </w:pPr>
          </w:p>
        </w:tc>
      </w:tr>
      <w:tr w:rsidR="006E4E11" w:rsidRPr="00653A97">
        <w:tblPrEx>
          <w:tblCellMar>
            <w:top w:w="0" w:type="dxa"/>
            <w:bottom w:w="0" w:type="dxa"/>
          </w:tblCellMar>
        </w:tblPrEx>
        <w:trPr>
          <w:trHeight w:val="284"/>
        </w:trPr>
        <w:tc>
          <w:tcPr>
            <w:tcW w:w="4911" w:type="dxa"/>
          </w:tcPr>
          <w:p w:rsidR="006E4E11" w:rsidRPr="00653A97" w:rsidRDefault="006E4E11">
            <w:pPr>
              <w:pStyle w:val="Avsndare"/>
              <w:framePr w:h="2483" w:wrap="notBeside" w:x="1504"/>
              <w:rPr>
                <w:bCs/>
                <w:iCs/>
              </w:rPr>
            </w:pPr>
          </w:p>
        </w:tc>
      </w:tr>
      <w:tr w:rsidR="006E4E11" w:rsidRPr="00653A97">
        <w:tblPrEx>
          <w:tblCellMar>
            <w:top w:w="0" w:type="dxa"/>
            <w:bottom w:w="0" w:type="dxa"/>
          </w:tblCellMar>
        </w:tblPrEx>
        <w:trPr>
          <w:trHeight w:val="284"/>
        </w:trPr>
        <w:tc>
          <w:tcPr>
            <w:tcW w:w="4911" w:type="dxa"/>
          </w:tcPr>
          <w:p w:rsidR="006E4E11" w:rsidRPr="00653A97" w:rsidRDefault="006E4E11">
            <w:pPr>
              <w:pStyle w:val="Avsndare"/>
              <w:framePr w:h="2483" w:wrap="notBeside" w:x="1504"/>
              <w:rPr>
                <w:bCs/>
                <w:iCs/>
              </w:rPr>
            </w:pPr>
          </w:p>
        </w:tc>
      </w:tr>
      <w:tr w:rsidR="006E4E11" w:rsidRPr="00653A97">
        <w:tblPrEx>
          <w:tblCellMar>
            <w:top w:w="0" w:type="dxa"/>
            <w:bottom w:w="0" w:type="dxa"/>
          </w:tblCellMar>
        </w:tblPrEx>
        <w:trPr>
          <w:trHeight w:val="284"/>
        </w:trPr>
        <w:tc>
          <w:tcPr>
            <w:tcW w:w="4911" w:type="dxa"/>
          </w:tcPr>
          <w:p w:rsidR="006E4E11" w:rsidRPr="00653A97" w:rsidRDefault="006E4E11">
            <w:pPr>
              <w:pStyle w:val="Avsndare"/>
              <w:framePr w:h="2483" w:wrap="notBeside" w:x="1504"/>
              <w:rPr>
                <w:bCs/>
                <w:iCs/>
              </w:rPr>
            </w:pPr>
          </w:p>
        </w:tc>
      </w:tr>
      <w:tr w:rsidR="00C31E4A" w:rsidRPr="00653A97">
        <w:tblPrEx>
          <w:tblCellMar>
            <w:top w:w="0" w:type="dxa"/>
            <w:bottom w:w="0" w:type="dxa"/>
          </w:tblCellMar>
        </w:tblPrEx>
        <w:trPr>
          <w:trHeight w:val="284"/>
        </w:trPr>
        <w:tc>
          <w:tcPr>
            <w:tcW w:w="4911" w:type="dxa"/>
          </w:tcPr>
          <w:p w:rsidR="00C31E4A" w:rsidRPr="00653A97" w:rsidRDefault="00C31E4A">
            <w:pPr>
              <w:pStyle w:val="Avsndare"/>
              <w:framePr w:h="2483" w:wrap="notBeside" w:x="1504"/>
              <w:rPr>
                <w:bCs/>
                <w:iCs/>
              </w:rPr>
            </w:pPr>
          </w:p>
        </w:tc>
      </w:tr>
    </w:tbl>
    <w:p w:rsidR="006E4E11" w:rsidRPr="00653A97" w:rsidRDefault="006E4E11">
      <w:pPr>
        <w:framePr w:w="4400" w:h="2523" w:wrap="notBeside" w:vAnchor="page" w:hAnchor="page" w:x="6453" w:y="2445"/>
        <w:ind w:left="142"/>
      </w:pPr>
    </w:p>
    <w:p w:rsidR="006E4E11" w:rsidRPr="00653A97" w:rsidRDefault="006E4E11">
      <w:pPr>
        <w:pStyle w:val="RKnormal"/>
      </w:pPr>
    </w:p>
    <w:p w:rsidR="00C31E4A" w:rsidRPr="00653A97" w:rsidRDefault="00C31E4A" w:rsidP="00C31E4A">
      <w:pPr>
        <w:pStyle w:val="RKrubrik"/>
        <w:pBdr>
          <w:bottom w:val="single" w:sz="4" w:space="1" w:color="000000"/>
        </w:pBdr>
        <w:spacing w:before="0" w:after="0"/>
      </w:pPr>
      <w:r w:rsidRPr="00653A97">
        <w:t xml:space="preserve">Kommenterad dagordning inför Jordbruks- och fiskerådet den </w:t>
      </w:r>
      <w:r w:rsidR="003010E3" w:rsidRPr="00653A97">
        <w:t>17 maj</w:t>
      </w:r>
      <w:r w:rsidR="008E147C" w:rsidRPr="00653A97">
        <w:t xml:space="preserve"> </w:t>
      </w:r>
      <w:r w:rsidRPr="00653A97">
        <w:t>2011</w:t>
      </w:r>
    </w:p>
    <w:p w:rsidR="00C31E4A" w:rsidRPr="00653A97" w:rsidRDefault="00C31E4A" w:rsidP="00C31E4A">
      <w:pPr>
        <w:pStyle w:val="RKrubrik"/>
      </w:pPr>
      <w:r w:rsidRPr="00653A97">
        <w:t>1. Godkännande av dagordningen</w:t>
      </w:r>
    </w:p>
    <w:p w:rsidR="00C31E4A" w:rsidRPr="00653A97" w:rsidRDefault="00C31E4A" w:rsidP="00C31E4A">
      <w:pPr>
        <w:pStyle w:val="RKrubrik"/>
      </w:pPr>
      <w:r w:rsidRPr="00653A97">
        <w:t>2. Lagstiftningsöverläggning –godkännande av a-punktslistan</w:t>
      </w:r>
    </w:p>
    <w:p w:rsidR="00C31E4A" w:rsidRPr="00653A97" w:rsidRDefault="00C31E4A" w:rsidP="00C31E4A">
      <w:pPr>
        <w:pStyle w:val="RKrubrik"/>
        <w:rPr>
          <w:u w:val="single"/>
        </w:rPr>
      </w:pPr>
      <w:r w:rsidRPr="00653A97">
        <w:t>3. Icke lagstiftande verksamhet - godkännande av a-punktslistan</w:t>
      </w:r>
    </w:p>
    <w:p w:rsidR="00C31E4A" w:rsidRPr="00653A97" w:rsidRDefault="00C31E4A" w:rsidP="00C31E4A">
      <w:pPr>
        <w:pStyle w:val="RKrubrik"/>
        <w:rPr>
          <w:sz w:val="28"/>
          <w:szCs w:val="28"/>
          <w:u w:val="single"/>
        </w:rPr>
      </w:pPr>
      <w:r w:rsidRPr="00653A97">
        <w:rPr>
          <w:sz w:val="28"/>
          <w:szCs w:val="28"/>
          <w:u w:val="single"/>
        </w:rPr>
        <w:t>Coreperfrågor</w:t>
      </w:r>
    </w:p>
    <w:p w:rsidR="00C31E4A" w:rsidRPr="00653A97" w:rsidRDefault="00B20FEA" w:rsidP="00C31E4A">
      <w:pPr>
        <w:pStyle w:val="RKrubrik"/>
        <w:rPr>
          <w:u w:val="single"/>
        </w:rPr>
      </w:pPr>
      <w:r w:rsidRPr="00653A97">
        <w:rPr>
          <w:u w:val="single"/>
        </w:rPr>
        <w:t>L</w:t>
      </w:r>
      <w:r w:rsidR="00C31E4A" w:rsidRPr="00653A97">
        <w:rPr>
          <w:u w:val="single"/>
        </w:rPr>
        <w:t>agstiftande verksamhet</w:t>
      </w:r>
    </w:p>
    <w:p w:rsidR="00E23A14" w:rsidRPr="00653A97" w:rsidRDefault="00E23A14" w:rsidP="00E23A14">
      <w:pPr>
        <w:overflowPunct/>
        <w:spacing w:line="240" w:lineRule="auto"/>
        <w:ind w:left="15"/>
        <w:textAlignment w:val="auto"/>
        <w:rPr>
          <w:rFonts w:ascii="TradeGothic" w:hAnsi="TradeGothic" w:cs="TradeGothic"/>
          <w:b/>
          <w:bCs/>
          <w:color w:val="000000"/>
          <w:sz w:val="22"/>
          <w:szCs w:val="22"/>
          <w:lang w:eastAsia="sv-SE"/>
        </w:rPr>
      </w:pPr>
      <w:r w:rsidRPr="00653A97">
        <w:rPr>
          <w:rFonts w:ascii="TradeGothic" w:hAnsi="TradeGothic" w:cs="TradeGothic"/>
          <w:b/>
          <w:bCs/>
          <w:color w:val="000000"/>
          <w:sz w:val="22"/>
          <w:szCs w:val="22"/>
          <w:lang w:eastAsia="sv-SE"/>
        </w:rPr>
        <w:t>4. Rättsligt bindande avtal om skog i Europa</w:t>
      </w:r>
    </w:p>
    <w:p w:rsidR="00E23A14" w:rsidRPr="00653A97" w:rsidRDefault="00E23A14" w:rsidP="00E23A14">
      <w:pPr>
        <w:tabs>
          <w:tab w:val="left" w:pos="2835"/>
        </w:tabs>
        <w:overflowPunct/>
        <w:spacing w:line="240" w:lineRule="auto"/>
        <w:jc w:val="both"/>
        <w:textAlignment w:val="auto"/>
        <w:rPr>
          <w:rFonts w:cs="OrigGarmnd BT"/>
          <w:b/>
          <w:bCs/>
          <w:i/>
          <w:iCs/>
          <w:color w:val="000000"/>
          <w:szCs w:val="24"/>
          <w:lang w:eastAsia="sv-SE"/>
        </w:rPr>
      </w:pPr>
      <w:r w:rsidRPr="00653A97">
        <w:rPr>
          <w:rFonts w:cs="OrigGarmnd BT"/>
          <w:b/>
          <w:bCs/>
          <w:i/>
          <w:iCs/>
          <w:color w:val="000000"/>
          <w:szCs w:val="24"/>
          <w:lang w:eastAsia="sv-SE"/>
        </w:rPr>
        <w:t>- Mandat för att inleda förhandlingar</w:t>
      </w:r>
    </w:p>
    <w:p w:rsidR="00E23A14" w:rsidRPr="00653A97" w:rsidRDefault="00E23A14" w:rsidP="00E23A14">
      <w:pPr>
        <w:tabs>
          <w:tab w:val="left" w:pos="2835"/>
        </w:tabs>
        <w:overflowPunct/>
        <w:spacing w:line="240" w:lineRule="auto"/>
        <w:jc w:val="both"/>
        <w:textAlignment w:val="auto"/>
        <w:rPr>
          <w:rFonts w:cs="OrigGarmnd BT"/>
          <w:b/>
          <w:bCs/>
          <w:i/>
          <w:iCs/>
          <w:color w:val="000000"/>
          <w:szCs w:val="24"/>
          <w:lang w:eastAsia="sv-SE"/>
        </w:rPr>
      </w:pPr>
    </w:p>
    <w:p w:rsidR="00E23A14" w:rsidRPr="00653A97" w:rsidRDefault="00E23A14" w:rsidP="00E23A14">
      <w:pPr>
        <w:tabs>
          <w:tab w:val="left" w:pos="2835"/>
        </w:tabs>
        <w:overflowPunct/>
        <w:spacing w:line="240" w:lineRule="auto"/>
        <w:jc w:val="both"/>
        <w:textAlignment w:val="auto"/>
        <w:rPr>
          <w:rFonts w:cs="OrigGarmnd BT"/>
          <w:b/>
          <w:bCs/>
          <w:i/>
          <w:iCs/>
          <w:color w:val="000000"/>
          <w:szCs w:val="24"/>
          <w:lang w:eastAsia="sv-SE"/>
        </w:rPr>
      </w:pPr>
    </w:p>
    <w:p w:rsidR="00E23A14" w:rsidRPr="00653A97" w:rsidRDefault="00E23A14" w:rsidP="00E23A14">
      <w:pPr>
        <w:tabs>
          <w:tab w:val="left" w:pos="2835"/>
        </w:tabs>
        <w:overflowPunct/>
        <w:spacing w:line="240" w:lineRule="auto"/>
        <w:jc w:val="both"/>
        <w:textAlignment w:val="auto"/>
        <w:rPr>
          <w:rFonts w:cs="OrigGarmnd BT"/>
          <w:i/>
          <w:iCs/>
          <w:color w:val="000000"/>
          <w:szCs w:val="24"/>
          <w:lang w:eastAsia="sv-SE"/>
        </w:rPr>
      </w:pPr>
      <w:r w:rsidRPr="00653A97">
        <w:rPr>
          <w:rFonts w:cs="OrigGarmnd BT"/>
          <w:i/>
          <w:iCs/>
          <w:color w:val="000000"/>
          <w:szCs w:val="24"/>
          <w:lang w:eastAsia="sv-SE"/>
        </w:rPr>
        <w:t>Dokumentbeteckning</w:t>
      </w:r>
    </w:p>
    <w:p w:rsidR="00E23A14" w:rsidRPr="00653A97" w:rsidRDefault="00E23A14" w:rsidP="00E23A14">
      <w:pPr>
        <w:tabs>
          <w:tab w:val="left" w:pos="2835"/>
        </w:tabs>
        <w:overflowPunct/>
        <w:spacing w:line="240" w:lineRule="auto"/>
        <w:jc w:val="both"/>
        <w:textAlignment w:val="auto"/>
        <w:rPr>
          <w:rFonts w:cs="OrigGarmnd BT"/>
          <w:color w:val="000000"/>
          <w:szCs w:val="24"/>
          <w:lang w:eastAsia="sv-SE"/>
        </w:rPr>
      </w:pPr>
      <w:r w:rsidRPr="00653A97">
        <w:rPr>
          <w:rFonts w:cs="OrigGarmnd BT"/>
          <w:color w:val="000000"/>
          <w:szCs w:val="24"/>
          <w:lang w:eastAsia="sv-SE"/>
        </w:rPr>
        <w:t>9354/11 RESTREINT</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i/>
          <w:iCs/>
          <w:color w:val="000000"/>
          <w:szCs w:val="24"/>
          <w:lang w:eastAsia="sv-SE"/>
        </w:rPr>
      </w:pPr>
      <w:r w:rsidRPr="00653A97">
        <w:rPr>
          <w:rFonts w:cs="OrigGarmnd BT"/>
          <w:i/>
          <w:iCs/>
          <w:color w:val="000000"/>
          <w:szCs w:val="24"/>
          <w:lang w:eastAsia="sv-SE"/>
        </w:rPr>
        <w:t>Rättslig grund</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 xml:space="preserve">Artikel 218 i fördraget om Europeiska unionens funktionssätt (nedan kallat </w:t>
      </w:r>
      <w:r w:rsidRPr="00653A97">
        <w:rPr>
          <w:rFonts w:cs="OrigGarmnd BT"/>
          <w:i/>
          <w:iCs/>
          <w:color w:val="000000"/>
          <w:szCs w:val="24"/>
          <w:lang w:eastAsia="sv-SE"/>
        </w:rPr>
        <w:t>EUF-fördraget</w:t>
      </w:r>
      <w:r w:rsidRPr="00653A97">
        <w:rPr>
          <w:rFonts w:cs="OrigGarmnd BT"/>
          <w:color w:val="000000"/>
          <w:szCs w:val="24"/>
          <w:lang w:eastAsia="sv-SE"/>
        </w:rPr>
        <w:t xml:space="preserve">). Rådet ger bemyndigande att inleda förhandlingar. Rådsbesluten fattas med kvalificerad majoritet. </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 xml:space="preserve">I de fall där MS behöver komma överens på EU-nivå inom områden där nationell kompetens råder, ska besluten enligt internationell praxis antas med enhällighet. </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i/>
          <w:iCs/>
          <w:color w:val="000000"/>
          <w:szCs w:val="24"/>
          <w:lang w:eastAsia="sv-SE"/>
        </w:rPr>
      </w:pPr>
      <w:r w:rsidRPr="00653A97">
        <w:rPr>
          <w:rFonts w:cs="OrigGarmnd BT"/>
          <w:i/>
          <w:iCs/>
          <w:color w:val="000000"/>
          <w:szCs w:val="24"/>
          <w:lang w:eastAsia="sv-SE"/>
        </w:rPr>
        <w:t>Bakgrund</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 xml:space="preserve">Det regionala skogssamarbetet, Forest Europe, förbereder sin sjätte ministerkonferens 14-16 juni 2011 i Oslo. Vid ministerkonferensen ska Forest Europes signatärer ta ställning till frågan om samarbetets framtid. Ministerkonferensen ska besluta dels om en framtidsstrategi, dels </w:t>
      </w:r>
      <w:r w:rsidRPr="00653A97">
        <w:rPr>
          <w:rFonts w:cs="OrigGarmnd BT"/>
          <w:color w:val="000000"/>
          <w:szCs w:val="24"/>
          <w:lang w:eastAsia="sv-SE"/>
        </w:rPr>
        <w:lastRenderedPageBreak/>
        <w:t>om signatärerna ska inleda förhandlingar om ett rättsligt bindande avtal för de paneuropeiska skogarna (</w:t>
      </w:r>
      <w:r w:rsidRPr="00653A97">
        <w:rPr>
          <w:rFonts w:cs="OrigGarmnd BT"/>
          <w:i/>
          <w:color w:val="000000"/>
          <w:szCs w:val="24"/>
          <w:lang w:eastAsia="sv-SE"/>
        </w:rPr>
        <w:t>LBA - Lagligt bindande avtal för de paneuropeiska skogarna).</w:t>
      </w:r>
      <w:r w:rsidRPr="00653A97">
        <w:rPr>
          <w:rFonts w:cs="OrigGarmnd BT"/>
          <w:color w:val="000000"/>
          <w:szCs w:val="24"/>
          <w:lang w:eastAsia="sv-SE"/>
        </w:rPr>
        <w:t xml:space="preserve"> </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Samtliga EU:s medlemsstater är signatärer till Forest Europe och så även Europeiska kommissionen, som företrädare för EU. Vid  ministerkonferensen måste således medlemsstaterna ta ställning till hur unionen ska förhålla sig till Forest Europes framtidsfrågor och vilka förfaranden för internationella förhandlingar som ska gälla.</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 xml:space="preserve">Vid rådsmötet den 17 maj föreslås medlemsstaterna  besluta om förhandlingsbemyndigande för EU. Detta bemyndigande är det mandatet unionsrepresentanterna har att följa vid de kommande förhandlingarna givet att länderna vid ministerkonferensen väljer att inleda förhandlingar om en skogskonvention. Vid samma rådsmöte förväntas medlemsstaterna fatta ett mellanstatligt beslut, med enhällighet, om de vill inleda förhandlingar om en regional skogskonvention avseende deras nationella kompetens. </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i/>
          <w:iCs/>
          <w:color w:val="000000"/>
          <w:szCs w:val="24"/>
          <w:lang w:eastAsia="sv-SE"/>
        </w:rPr>
      </w:pPr>
      <w:r w:rsidRPr="00653A97">
        <w:rPr>
          <w:rFonts w:cs="OrigGarmnd BT"/>
          <w:i/>
          <w:iCs/>
          <w:color w:val="000000"/>
          <w:szCs w:val="24"/>
          <w:lang w:eastAsia="sv-SE"/>
        </w:rPr>
        <w:t>Förslag till svensk ståndpunkt</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 xml:space="preserve">Regeringen har analyserat det eventuella mervärdet av att inleda förhandlingar som syftar till att nå en överenskommelse om ett rättsligt bindande avtal i regionen, dvs. en paneuropeisk skogskonvention. Regeringen har även noggrant analyserat EU-rättsläget och de implikationer som följer av unionsförpliktelserna i samband med internationella förhandlingar. </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Sammanfattningsvis har nackdelarna bedömts överväga fördelarna utifrån ett politiskt perspektiv. Regeringen anser inte att ett rättsligt instrument är rätt väg att gå för att stärka arbetet med hållbart skogsbruk. Regeringen förordar att ministerkonferensen fortsätter arbeta med frivilliga lösningar. Regeringen avvisar därför i dagsläget att förhandlingar om en paneuropeisk skogskonvention inleds, på basis av såväl unionskompetens som nationell kompetens.</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 xml:space="preserve">Regeringen vill dock betona att vi gärna ser att det rådande samarbetet inom Forest Europe utvecklas, i syfte att stärka principen om hållbart skogsbruk och dess genomförandet i regionen. </w:t>
      </w:r>
    </w:p>
    <w:p w:rsidR="00E23A14" w:rsidRPr="00653A97" w:rsidRDefault="00E23A14" w:rsidP="00E23A14">
      <w:pPr>
        <w:tabs>
          <w:tab w:val="left" w:pos="2835"/>
        </w:tabs>
        <w:overflowPunct/>
        <w:spacing w:line="240" w:lineRule="auto"/>
        <w:textAlignment w:val="auto"/>
        <w:rPr>
          <w:rFonts w:cs="OrigGarmnd BT"/>
          <w:b/>
          <w:bCs/>
          <w:color w:val="000000"/>
          <w:szCs w:val="24"/>
          <w:lang w:eastAsia="sv-SE"/>
        </w:rPr>
      </w:pPr>
    </w:p>
    <w:p w:rsidR="00E23A14" w:rsidRPr="00653A97" w:rsidRDefault="00E23A14" w:rsidP="00E23A14">
      <w:pPr>
        <w:tabs>
          <w:tab w:val="left" w:pos="2835"/>
        </w:tabs>
        <w:overflowPunct/>
        <w:spacing w:line="240" w:lineRule="auto"/>
        <w:textAlignment w:val="auto"/>
        <w:rPr>
          <w:rFonts w:cs="OrigGarmnd BT"/>
          <w:i/>
          <w:iCs/>
          <w:color w:val="000000"/>
          <w:szCs w:val="24"/>
          <w:lang w:eastAsia="sv-SE"/>
        </w:rPr>
      </w:pPr>
      <w:r w:rsidRPr="00653A97">
        <w:rPr>
          <w:rFonts w:cs="OrigGarmnd BT"/>
          <w:i/>
          <w:iCs/>
          <w:color w:val="000000"/>
          <w:szCs w:val="24"/>
          <w:lang w:eastAsia="sv-SE"/>
        </w:rPr>
        <w:t>EU-nämnden och MJU</w:t>
      </w:r>
    </w:p>
    <w:p w:rsidR="00E23A14" w:rsidRPr="00653A97" w:rsidRDefault="00E23A14" w:rsidP="00E23A14">
      <w:pPr>
        <w:tabs>
          <w:tab w:val="left" w:pos="2835"/>
        </w:tabs>
        <w:overflowPunct/>
        <w:spacing w:line="240" w:lineRule="auto"/>
        <w:textAlignment w:val="auto"/>
        <w:rPr>
          <w:rFonts w:cs="OrigGarmnd BT"/>
          <w:color w:val="000000"/>
          <w:szCs w:val="24"/>
          <w:lang w:eastAsia="sv-SE"/>
        </w:rPr>
      </w:pPr>
      <w:r w:rsidRPr="00653A97">
        <w:rPr>
          <w:rFonts w:cs="OrigGarmnd BT"/>
          <w:color w:val="000000"/>
          <w:szCs w:val="24"/>
          <w:lang w:eastAsia="sv-SE"/>
        </w:rPr>
        <w:t>Frågan har inte tidigare varit föremål för samråd med EU-nämnden eller information i MJU. En särskild överläggning om frågan i MJU är planerad till 12 maj 2011.</w:t>
      </w:r>
    </w:p>
    <w:p w:rsidR="00E23A14" w:rsidRPr="00653A97" w:rsidRDefault="00E23A14" w:rsidP="00E23A14">
      <w:pPr>
        <w:tabs>
          <w:tab w:val="left" w:pos="2835"/>
        </w:tabs>
        <w:overflowPunct/>
        <w:spacing w:line="240" w:lineRule="auto"/>
        <w:textAlignment w:val="auto"/>
        <w:rPr>
          <w:rFonts w:cs="OrigGarmnd BT"/>
          <w:i/>
          <w:iCs/>
          <w:color w:val="000000"/>
          <w:szCs w:val="24"/>
          <w:lang w:eastAsia="sv-SE"/>
        </w:rPr>
      </w:pPr>
      <w:r w:rsidRPr="00653A97">
        <w:rPr>
          <w:rFonts w:cs="OrigGarmnd BT"/>
          <w:i/>
          <w:iCs/>
          <w:color w:val="000000"/>
          <w:szCs w:val="24"/>
          <w:lang w:eastAsia="sv-SE"/>
        </w:rPr>
        <w:t>(För mer information om bakgrund och analys av sakfrågan hänvisas till bifogad rådspromemoria).</w:t>
      </w:r>
    </w:p>
    <w:p w:rsidR="00C31E4A" w:rsidRPr="00653A97" w:rsidRDefault="00B20FEA" w:rsidP="00C31E4A">
      <w:pPr>
        <w:pStyle w:val="RKrubrik"/>
        <w:rPr>
          <w:u w:val="single"/>
        </w:rPr>
      </w:pPr>
      <w:r w:rsidRPr="00653A97">
        <w:rPr>
          <w:u w:val="single"/>
        </w:rPr>
        <w:t>ÖVRIGA FRÅGOR</w:t>
      </w:r>
    </w:p>
    <w:p w:rsidR="00EC2DB8" w:rsidRPr="00653A97" w:rsidRDefault="00C31E4A" w:rsidP="00EC2DB8">
      <w:pPr>
        <w:pStyle w:val="RKrubrik"/>
      </w:pPr>
      <w:r w:rsidRPr="00653A97">
        <w:t>5</w:t>
      </w:r>
      <w:r w:rsidR="00B20FEA" w:rsidRPr="00653A97">
        <w:t>a</w:t>
      </w:r>
      <w:r w:rsidR="00897823" w:rsidRPr="00653A97">
        <w:t>)</w:t>
      </w:r>
      <w:r w:rsidRPr="00653A97">
        <w:t xml:space="preserve"> </w:t>
      </w:r>
      <w:r w:rsidR="00EC2DB8" w:rsidRPr="00653A97">
        <w:t xml:space="preserve">Kommissionens rapport om skydd av djur under transport  </w:t>
      </w:r>
    </w:p>
    <w:p w:rsidR="00EC2DB8" w:rsidRPr="00653A97" w:rsidRDefault="00EC2DB8" w:rsidP="00EC2DB8">
      <w:pPr>
        <w:pStyle w:val="RKnormal"/>
      </w:pPr>
    </w:p>
    <w:p w:rsidR="00EC2DB8" w:rsidRPr="00653A97" w:rsidRDefault="00EC2DB8" w:rsidP="00EC2DB8">
      <w:pPr>
        <w:pStyle w:val="RKnormal"/>
        <w:rPr>
          <w:b/>
          <w:bCs/>
          <w:i/>
          <w:iCs/>
        </w:rPr>
      </w:pPr>
      <w:r w:rsidRPr="00653A97">
        <w:rPr>
          <w:b/>
          <w:bCs/>
          <w:i/>
          <w:iCs/>
        </w:rPr>
        <w:t>- Information från den svenska delegationen</w:t>
      </w:r>
    </w:p>
    <w:p w:rsidR="00EC2DB8" w:rsidRPr="00653A97" w:rsidRDefault="00EC2DB8" w:rsidP="00EC2DB8">
      <w:pPr>
        <w:pStyle w:val="RKnormal"/>
        <w:rPr>
          <w:i/>
          <w:iCs/>
        </w:rPr>
      </w:pPr>
    </w:p>
    <w:p w:rsidR="00EC2DB8" w:rsidRPr="00653A97" w:rsidRDefault="00EC2DB8" w:rsidP="00EC2DB8">
      <w:pPr>
        <w:pStyle w:val="RKnormal"/>
        <w:rPr>
          <w:i/>
          <w:iCs/>
        </w:rPr>
      </w:pPr>
      <w:r w:rsidRPr="00653A97">
        <w:rPr>
          <w:i/>
          <w:iCs/>
        </w:rPr>
        <w:t>Dokumentbeteckning</w:t>
      </w:r>
    </w:p>
    <w:p w:rsidR="00EC2DB8" w:rsidRPr="00653A97" w:rsidRDefault="00C77193" w:rsidP="00EC2DB8">
      <w:pPr>
        <w:pStyle w:val="RKnormal"/>
        <w:rPr>
          <w:iCs/>
        </w:rPr>
      </w:pPr>
      <w:r w:rsidRPr="00653A97">
        <w:rPr>
          <w:iCs/>
        </w:rPr>
        <w:t>9538/11</w:t>
      </w:r>
    </w:p>
    <w:p w:rsidR="00ED0919" w:rsidRPr="00653A97" w:rsidRDefault="00ED0919" w:rsidP="00EC2DB8">
      <w:pPr>
        <w:pStyle w:val="RKnormal"/>
        <w:rPr>
          <w:i/>
          <w:iCs/>
        </w:rPr>
      </w:pPr>
    </w:p>
    <w:p w:rsidR="00EC2DB8" w:rsidRPr="00653A97" w:rsidRDefault="00EC2DB8" w:rsidP="00EC2DB8">
      <w:pPr>
        <w:pStyle w:val="RKnormal"/>
        <w:rPr>
          <w:i/>
          <w:iCs/>
        </w:rPr>
      </w:pPr>
      <w:r w:rsidRPr="00653A97">
        <w:rPr>
          <w:i/>
          <w:iCs/>
        </w:rPr>
        <w:t>Rättslig grund</w:t>
      </w:r>
    </w:p>
    <w:p w:rsidR="00EC2DB8" w:rsidRPr="00653A97" w:rsidRDefault="00EC2DB8" w:rsidP="00EC2DB8">
      <w:pPr>
        <w:pStyle w:val="RKnormal"/>
        <w:rPr>
          <w:i/>
          <w:iCs/>
        </w:rPr>
      </w:pPr>
      <w:r w:rsidRPr="00653A97">
        <w:rPr>
          <w:i/>
          <w:iCs/>
        </w:rPr>
        <w:t>-</w:t>
      </w:r>
    </w:p>
    <w:p w:rsidR="00EC2DB8" w:rsidRPr="00653A97" w:rsidRDefault="00EC2DB8" w:rsidP="00EC2DB8">
      <w:pPr>
        <w:pStyle w:val="RKnormal"/>
        <w:rPr>
          <w:i/>
          <w:iCs/>
        </w:rPr>
      </w:pPr>
    </w:p>
    <w:p w:rsidR="00EC2DB8" w:rsidRPr="00653A97" w:rsidRDefault="00EC2DB8" w:rsidP="00EC2DB8">
      <w:pPr>
        <w:pStyle w:val="RKnormal"/>
        <w:rPr>
          <w:i/>
          <w:iCs/>
        </w:rPr>
      </w:pPr>
      <w:r w:rsidRPr="00653A97">
        <w:rPr>
          <w:i/>
          <w:iCs/>
        </w:rPr>
        <w:t>Bakgrund</w:t>
      </w:r>
    </w:p>
    <w:p w:rsidR="00EC2DB8" w:rsidRPr="00653A97" w:rsidRDefault="00EC2DB8" w:rsidP="00EC2DB8">
      <w:pPr>
        <w:pStyle w:val="RKnormal"/>
        <w:rPr>
          <w:iCs/>
        </w:rPr>
      </w:pPr>
      <w:r w:rsidRPr="00653A97">
        <w:rPr>
          <w:iCs/>
        </w:rPr>
        <w:t xml:space="preserve">Enligt Förordning (EG) nr. 1/2005 om skydd av djur under transport skulle kommissionen senast den 5 januari 2011 lagt fram en rapport om bl.a. hur förordningen har påverkat djurskyddet. </w:t>
      </w:r>
      <w:r w:rsidR="007458F7" w:rsidRPr="00653A97">
        <w:rPr>
          <w:iCs/>
        </w:rPr>
        <w:t xml:space="preserve">Regeringen </w:t>
      </w:r>
      <w:r w:rsidRPr="00653A97">
        <w:rPr>
          <w:iCs/>
        </w:rPr>
        <w:t xml:space="preserve">vill ta tillfället i akt att på rådet påminna om kommissionens rapport som nu beräknas antas i september 2011. </w:t>
      </w:r>
      <w:r w:rsidR="007458F7" w:rsidRPr="00653A97">
        <w:rPr>
          <w:iCs/>
        </w:rPr>
        <w:t xml:space="preserve">Regeringen </w:t>
      </w:r>
      <w:r w:rsidRPr="00653A97">
        <w:rPr>
          <w:iCs/>
        </w:rPr>
        <w:t xml:space="preserve">hoppas att rapporten ska åtföljas av lagförslag </w:t>
      </w:r>
      <w:r w:rsidRPr="00653A97">
        <w:t>som rör långa transporter</w:t>
      </w:r>
      <w:r w:rsidR="00C77193" w:rsidRPr="00653A97">
        <w:t>.</w:t>
      </w:r>
      <w:r w:rsidRPr="00653A97">
        <w:t xml:space="preserve"> </w:t>
      </w:r>
    </w:p>
    <w:p w:rsidR="00EC2DB8" w:rsidRPr="00653A97" w:rsidRDefault="00EC2DB8" w:rsidP="00EC2DB8">
      <w:pPr>
        <w:pStyle w:val="RKnormal"/>
        <w:rPr>
          <w:iCs/>
        </w:rPr>
      </w:pPr>
      <w:r w:rsidRPr="00653A97">
        <w:rPr>
          <w:iCs/>
        </w:rPr>
        <w:t xml:space="preserve">Europeiska livsmedelssäkerhetsmyndigheten (EFSA) har presenterat en vetenskaplig rapport om djurskydd under transport. Rapporten  innehåller flera intressanta slutsatser. Bland annat nämner EFSA att hästar för slakt inte bör transporteras mer än tolv timmar, </w:t>
      </w:r>
      <w:r w:rsidR="006C65C7" w:rsidRPr="00653A97">
        <w:rPr>
          <w:iCs/>
        </w:rPr>
        <w:t xml:space="preserve">samt </w:t>
      </w:r>
      <w:r w:rsidRPr="00653A97">
        <w:rPr>
          <w:iCs/>
        </w:rPr>
        <w:t xml:space="preserve">att transporttider och utrymmen för nötkreatur bör ses över. </w:t>
      </w:r>
    </w:p>
    <w:p w:rsidR="00EC2DB8" w:rsidRPr="00653A97" w:rsidRDefault="00EC2DB8" w:rsidP="00EC2DB8">
      <w:pPr>
        <w:pStyle w:val="RKnormal"/>
        <w:rPr>
          <w:i/>
          <w:iCs/>
        </w:rPr>
      </w:pPr>
    </w:p>
    <w:p w:rsidR="00EC2DB8" w:rsidRPr="00653A97" w:rsidRDefault="00EC2DB8" w:rsidP="00EC2DB8">
      <w:pPr>
        <w:pStyle w:val="RKnormal"/>
        <w:rPr>
          <w:i/>
          <w:iCs/>
        </w:rPr>
      </w:pPr>
      <w:r w:rsidRPr="00653A97">
        <w:rPr>
          <w:i/>
          <w:iCs/>
        </w:rPr>
        <w:t>Förslag till svensk ståndpunkt</w:t>
      </w:r>
    </w:p>
    <w:p w:rsidR="00EC2DB8" w:rsidRPr="00653A97" w:rsidRDefault="00EC2DB8" w:rsidP="00EC2DB8">
      <w:pPr>
        <w:pStyle w:val="RKnormal"/>
        <w:rPr>
          <w:iCs/>
        </w:rPr>
      </w:pPr>
      <w:r w:rsidRPr="00653A97">
        <w:rPr>
          <w:iCs/>
        </w:rPr>
        <w:t xml:space="preserve">Frågan om skydd av djur under transport är mycket angelägen . </w:t>
      </w:r>
      <w:r w:rsidR="00153547" w:rsidRPr="00653A97">
        <w:rPr>
          <w:iCs/>
        </w:rPr>
        <w:t xml:space="preserve">Regeringen </w:t>
      </w:r>
      <w:r w:rsidRPr="00653A97">
        <w:rPr>
          <w:iCs/>
        </w:rPr>
        <w:t xml:space="preserve">ser därför fram emot kommissionens rapport och hoppas att den ska åtföljas av lagförslag som rör långa transporter. </w:t>
      </w:r>
      <w:r w:rsidR="00153547" w:rsidRPr="00653A97">
        <w:rPr>
          <w:iCs/>
        </w:rPr>
        <w:t xml:space="preserve">Regeringen </w:t>
      </w:r>
      <w:r w:rsidRPr="00653A97">
        <w:rPr>
          <w:iCs/>
        </w:rPr>
        <w:t>vill se rejäla begränsningar och minskningar av transporttider, att slakttransporter begränsas till max åtta timmar, och att utrymmen för djur under transport och viloperioder ses över. Vidare bör kommissionen i sin rapport ta fasta på EFSA:s yttrande om djurskydd under transport då detta är ett viktigt vetenskapligt underlag som talar för att förkorta transporttider</w:t>
      </w:r>
      <w:r w:rsidR="006C65C7" w:rsidRPr="00653A97">
        <w:rPr>
          <w:iCs/>
        </w:rPr>
        <w:t>na</w:t>
      </w:r>
      <w:r w:rsidRPr="00653A97">
        <w:rPr>
          <w:iCs/>
        </w:rPr>
        <w:t>.</w:t>
      </w:r>
    </w:p>
    <w:p w:rsidR="00EC2DB8" w:rsidRPr="00653A97" w:rsidRDefault="00EC2DB8" w:rsidP="00EC2DB8">
      <w:pPr>
        <w:pStyle w:val="RKnormal"/>
        <w:rPr>
          <w:iCs/>
        </w:rPr>
      </w:pPr>
    </w:p>
    <w:p w:rsidR="00EC2DB8" w:rsidRPr="00653A97" w:rsidRDefault="00153547" w:rsidP="00EC2DB8">
      <w:pPr>
        <w:pStyle w:val="RKnormal"/>
        <w:rPr>
          <w:i/>
          <w:iCs/>
        </w:rPr>
      </w:pPr>
      <w:r w:rsidRPr="00653A97">
        <w:rPr>
          <w:iCs/>
        </w:rPr>
        <w:t xml:space="preserve">Regeringen </w:t>
      </w:r>
      <w:r w:rsidR="00EC2DB8" w:rsidRPr="00653A97">
        <w:rPr>
          <w:iCs/>
        </w:rPr>
        <w:t xml:space="preserve">anser också att alla EU:s medlemsstater har ett stort ansvar gällande efterlevnaden av lagstiftningen om skydd av djur under transport. Djurtransporter måste kontrolleras i tillräcklig omfattning och åtgärder vidtas vid brister. </w:t>
      </w:r>
    </w:p>
    <w:p w:rsidR="00EC2DB8" w:rsidRPr="00653A97" w:rsidRDefault="00EC2DB8" w:rsidP="00EC2DB8">
      <w:pPr>
        <w:pStyle w:val="RKnormal"/>
        <w:rPr>
          <w:i/>
          <w:iCs/>
        </w:rPr>
      </w:pPr>
    </w:p>
    <w:p w:rsidR="00EC2DB8" w:rsidRPr="00653A97" w:rsidRDefault="00EC2DB8" w:rsidP="00EC2DB8">
      <w:pPr>
        <w:pStyle w:val="RKnormal"/>
        <w:rPr>
          <w:i/>
          <w:iCs/>
        </w:rPr>
      </w:pPr>
      <w:r w:rsidRPr="00653A97">
        <w:rPr>
          <w:i/>
          <w:iCs/>
        </w:rPr>
        <w:t>EU-nämnden och MJU</w:t>
      </w:r>
    </w:p>
    <w:p w:rsidR="00EC2DB8" w:rsidRPr="00653A97" w:rsidRDefault="00EC2DB8" w:rsidP="00EC2DB8">
      <w:pPr>
        <w:pStyle w:val="RKnormal"/>
      </w:pPr>
      <w:r w:rsidRPr="00653A97">
        <w:t>Frågan har inte tidigare varit föremål för samråd med EU-nämnden eller information i MJU</w:t>
      </w:r>
      <w:r w:rsidR="003010E3" w:rsidRPr="00653A97">
        <w:t>.</w:t>
      </w:r>
    </w:p>
    <w:p w:rsidR="003010E3" w:rsidRPr="00653A97" w:rsidRDefault="003010E3" w:rsidP="00EC2DB8">
      <w:pPr>
        <w:pStyle w:val="RKnormal"/>
        <w:rPr>
          <w:i/>
          <w:iCs/>
        </w:rPr>
      </w:pPr>
    </w:p>
    <w:p w:rsidR="00C31E4A" w:rsidRPr="00653A97" w:rsidRDefault="00EC2DB8" w:rsidP="00EC2DB8">
      <w:pPr>
        <w:pStyle w:val="RKrubrik"/>
      </w:pPr>
      <w:r w:rsidRPr="00653A97">
        <w:t>5b.</w:t>
      </w:r>
      <w:r w:rsidR="00C31E4A" w:rsidRPr="00653A97">
        <w:t>För</w:t>
      </w:r>
      <w:r w:rsidR="00B20FEA" w:rsidRPr="00653A97">
        <w:t xml:space="preserve">handlingarna inom Codex Alimentarus </w:t>
      </w:r>
    </w:p>
    <w:p w:rsidR="00C31E4A" w:rsidRPr="00653A97" w:rsidRDefault="00C31E4A" w:rsidP="00C31E4A">
      <w:pPr>
        <w:pStyle w:val="RKnormal"/>
        <w:rPr>
          <w:b/>
          <w:bCs/>
          <w:i/>
          <w:iCs/>
        </w:rPr>
      </w:pPr>
      <w:r w:rsidRPr="00653A97">
        <w:rPr>
          <w:b/>
          <w:bCs/>
          <w:i/>
          <w:iCs/>
        </w:rPr>
        <w:t xml:space="preserve">- </w:t>
      </w:r>
      <w:r w:rsidR="00B20FEA" w:rsidRPr="00653A97">
        <w:rPr>
          <w:b/>
          <w:bCs/>
          <w:i/>
          <w:iCs/>
        </w:rPr>
        <w:t>Information från ordförandeskapet</w:t>
      </w:r>
    </w:p>
    <w:p w:rsidR="00C31E4A" w:rsidRPr="00653A97" w:rsidRDefault="00C31E4A" w:rsidP="00C31E4A">
      <w:pPr>
        <w:pStyle w:val="RKnormal"/>
        <w:rPr>
          <w:i/>
          <w:iCs/>
        </w:rPr>
      </w:pPr>
    </w:p>
    <w:p w:rsidR="00C31E4A" w:rsidRPr="00653A97" w:rsidRDefault="00C31E4A" w:rsidP="00C31E4A">
      <w:pPr>
        <w:pStyle w:val="RKnormal"/>
        <w:rPr>
          <w:i/>
          <w:iCs/>
        </w:rPr>
      </w:pPr>
      <w:r w:rsidRPr="00653A97">
        <w:rPr>
          <w:i/>
          <w:iCs/>
        </w:rPr>
        <w:t>Dokumentbeteckning</w:t>
      </w:r>
    </w:p>
    <w:p w:rsidR="00C31E4A" w:rsidRPr="00653A97" w:rsidRDefault="00B20FEA" w:rsidP="00C31E4A">
      <w:pPr>
        <w:pStyle w:val="RKnormal"/>
        <w:rPr>
          <w:i/>
          <w:iCs/>
        </w:rPr>
      </w:pPr>
      <w:r w:rsidRPr="00653A97">
        <w:t>-</w:t>
      </w:r>
    </w:p>
    <w:p w:rsidR="00C31E4A" w:rsidRPr="00653A97" w:rsidRDefault="00C31E4A" w:rsidP="00C31E4A">
      <w:pPr>
        <w:pStyle w:val="RKnormal"/>
        <w:rPr>
          <w:i/>
          <w:iCs/>
        </w:rPr>
      </w:pPr>
    </w:p>
    <w:p w:rsidR="00C31E4A" w:rsidRPr="00653A97" w:rsidRDefault="00C31E4A" w:rsidP="00C31E4A">
      <w:pPr>
        <w:pStyle w:val="RKnormal"/>
        <w:rPr>
          <w:i/>
          <w:iCs/>
        </w:rPr>
      </w:pPr>
      <w:r w:rsidRPr="00653A97">
        <w:rPr>
          <w:i/>
          <w:iCs/>
        </w:rPr>
        <w:t>Rättslig grund</w:t>
      </w:r>
    </w:p>
    <w:p w:rsidR="00C31E4A" w:rsidRPr="00653A97" w:rsidRDefault="003E1BDA" w:rsidP="00C31E4A">
      <w:pPr>
        <w:pStyle w:val="RKnormal"/>
      </w:pPr>
      <w:r w:rsidRPr="00653A97">
        <w:t>-</w:t>
      </w:r>
    </w:p>
    <w:p w:rsidR="003E1BDA" w:rsidRPr="00653A97" w:rsidRDefault="003E1BDA" w:rsidP="00C31E4A">
      <w:pPr>
        <w:pStyle w:val="RKnormal"/>
      </w:pPr>
    </w:p>
    <w:p w:rsidR="00C31E4A" w:rsidRPr="00653A97" w:rsidRDefault="00C31E4A" w:rsidP="00C31E4A">
      <w:pPr>
        <w:pStyle w:val="RKnormal"/>
        <w:rPr>
          <w:i/>
          <w:iCs/>
        </w:rPr>
      </w:pPr>
      <w:r w:rsidRPr="00653A97">
        <w:rPr>
          <w:i/>
          <w:iCs/>
        </w:rPr>
        <w:t>Bakgrund</w:t>
      </w:r>
    </w:p>
    <w:p w:rsidR="007458F7" w:rsidRPr="00653A97" w:rsidRDefault="007458F7" w:rsidP="00C31E4A">
      <w:pPr>
        <w:pStyle w:val="RKnormal"/>
        <w:rPr>
          <w:rFonts w:cs="OrigGarmnd BT"/>
          <w:color w:val="000000"/>
          <w:szCs w:val="24"/>
          <w:lang w:eastAsia="sv-SE"/>
        </w:rPr>
      </w:pPr>
      <w:r w:rsidRPr="00653A97">
        <w:rPr>
          <w:rFonts w:cs="OrigGarmnd BT"/>
          <w:color w:val="000000"/>
          <w:szCs w:val="24"/>
          <w:lang w:eastAsia="sv-SE"/>
        </w:rPr>
        <w:t xml:space="preserve">Codex Alimentarius är namnet på det regelverk för livsmedel som utarbetats inom FN:s ram under namnet FAO/WHO Food Standards Programme. </w:t>
      </w:r>
    </w:p>
    <w:p w:rsidR="003010E3" w:rsidRPr="00653A97" w:rsidRDefault="003010E3" w:rsidP="00C31E4A">
      <w:pPr>
        <w:pStyle w:val="RKnormal"/>
        <w:rPr>
          <w:rFonts w:cs="OrigGarmnd BT"/>
          <w:color w:val="000000"/>
          <w:szCs w:val="24"/>
          <w:lang w:eastAsia="sv-SE"/>
        </w:rPr>
      </w:pPr>
    </w:p>
    <w:p w:rsidR="0003330B" w:rsidRPr="00653A97" w:rsidRDefault="007458F7" w:rsidP="0003330B">
      <w:pPr>
        <w:pStyle w:val="RKnormal"/>
        <w:rPr>
          <w:iCs/>
        </w:rPr>
      </w:pPr>
      <w:r w:rsidRPr="00653A97">
        <w:rPr>
          <w:iCs/>
        </w:rPr>
        <w:t>Dagordningsp</w:t>
      </w:r>
      <w:r w:rsidR="0003330B" w:rsidRPr="00653A97">
        <w:rPr>
          <w:iCs/>
        </w:rPr>
        <w:t xml:space="preserve">unkten är en informationspunkt från </w:t>
      </w:r>
      <w:r w:rsidRPr="00653A97">
        <w:rPr>
          <w:iCs/>
        </w:rPr>
        <w:t xml:space="preserve">det ungerska </w:t>
      </w:r>
      <w:r w:rsidR="0003330B" w:rsidRPr="00653A97">
        <w:rPr>
          <w:iCs/>
        </w:rPr>
        <w:t>ordförandeskapet</w:t>
      </w:r>
      <w:r w:rsidR="003010E3" w:rsidRPr="00653A97">
        <w:rPr>
          <w:iCs/>
        </w:rPr>
        <w:t>. I</w:t>
      </w:r>
      <w:r w:rsidR="00CE5F43" w:rsidRPr="00653A97">
        <w:rPr>
          <w:iCs/>
        </w:rPr>
        <w:t xml:space="preserve"> dagsläget föreligger ingen skriftlig information</w:t>
      </w:r>
      <w:r w:rsidR="0003330B" w:rsidRPr="00653A97">
        <w:rPr>
          <w:iCs/>
        </w:rPr>
        <w:t xml:space="preserve">. </w:t>
      </w:r>
      <w:r w:rsidR="0003330B" w:rsidRPr="00653A97">
        <w:rPr>
          <w:rFonts w:cs="OrigGarmnd BT"/>
          <w:color w:val="000000"/>
          <w:szCs w:val="24"/>
          <w:lang w:eastAsia="sv-SE"/>
        </w:rPr>
        <w:t xml:space="preserve">Enligt uppgift kommer ordförandeskapet redovisa </w:t>
      </w:r>
      <w:r w:rsidR="008B73B0" w:rsidRPr="00653A97">
        <w:rPr>
          <w:rFonts w:cs="OrigGarmnd BT"/>
          <w:color w:val="000000"/>
          <w:szCs w:val="24"/>
          <w:lang w:eastAsia="sv-SE"/>
        </w:rPr>
        <w:t xml:space="preserve">resultaten av </w:t>
      </w:r>
      <w:r w:rsidR="00CE5F43" w:rsidRPr="00653A97">
        <w:rPr>
          <w:rFonts w:cs="OrigGarmnd BT"/>
          <w:color w:val="000000"/>
          <w:szCs w:val="24"/>
          <w:lang w:eastAsia="sv-SE"/>
        </w:rPr>
        <w:t>arbetet inom Co</w:t>
      </w:r>
      <w:r w:rsidR="003010E3" w:rsidRPr="00653A97">
        <w:rPr>
          <w:rFonts w:cs="OrigGarmnd BT"/>
          <w:color w:val="000000"/>
          <w:szCs w:val="24"/>
          <w:lang w:eastAsia="sv-SE"/>
        </w:rPr>
        <w:t xml:space="preserve">dex </w:t>
      </w:r>
      <w:r w:rsidR="0003330B" w:rsidRPr="00653A97">
        <w:rPr>
          <w:rFonts w:cs="OrigGarmnd BT"/>
          <w:color w:val="000000"/>
          <w:szCs w:val="24"/>
          <w:lang w:eastAsia="sv-SE"/>
        </w:rPr>
        <w:t>under första halvåret 2011</w:t>
      </w:r>
      <w:r w:rsidR="003010E3" w:rsidRPr="00653A97">
        <w:rPr>
          <w:rFonts w:cs="OrigGarmnd BT"/>
          <w:color w:val="000000"/>
          <w:szCs w:val="24"/>
          <w:lang w:eastAsia="sv-SE"/>
        </w:rPr>
        <w:t xml:space="preserve"> </w:t>
      </w:r>
      <w:r w:rsidR="00CE5F43" w:rsidRPr="00653A97">
        <w:rPr>
          <w:rFonts w:cs="OrigGarmnd BT"/>
          <w:color w:val="000000"/>
          <w:szCs w:val="24"/>
          <w:lang w:eastAsia="sv-SE"/>
        </w:rPr>
        <w:t xml:space="preserve">och </w:t>
      </w:r>
      <w:r w:rsidR="0003330B" w:rsidRPr="00653A97">
        <w:rPr>
          <w:rFonts w:cs="OrigGarmnd BT"/>
          <w:szCs w:val="24"/>
          <w:lang w:eastAsia="sv-SE"/>
        </w:rPr>
        <w:t>redogöra för</w:t>
      </w:r>
      <w:r w:rsidR="0003330B" w:rsidRPr="00653A97">
        <w:rPr>
          <w:rFonts w:cs="OrigGarmnd BT"/>
          <w:color w:val="000000"/>
          <w:szCs w:val="24"/>
          <w:lang w:eastAsia="sv-SE"/>
        </w:rPr>
        <w:t xml:space="preserve"> de viktigaste frågorna som varit uppe till diskussion. Vidare </w:t>
      </w:r>
      <w:r w:rsidR="0003330B" w:rsidRPr="00653A97">
        <w:rPr>
          <w:rFonts w:cs="OrigGarmnd BT"/>
          <w:szCs w:val="24"/>
          <w:lang w:eastAsia="sv-SE"/>
        </w:rPr>
        <w:t>avser ordförandeskapet</w:t>
      </w:r>
      <w:r w:rsidR="0003330B" w:rsidRPr="00653A97">
        <w:rPr>
          <w:rFonts w:cs="OrigGarmnd BT"/>
          <w:color w:val="FF1F35"/>
          <w:szCs w:val="24"/>
          <w:lang w:eastAsia="sv-SE"/>
        </w:rPr>
        <w:t xml:space="preserve"> </w:t>
      </w:r>
      <w:r w:rsidR="0003330B" w:rsidRPr="00653A97">
        <w:rPr>
          <w:rFonts w:cs="OrigGarmnd BT"/>
          <w:color w:val="000000"/>
          <w:szCs w:val="24"/>
          <w:lang w:eastAsia="sv-SE"/>
        </w:rPr>
        <w:t xml:space="preserve">ge </w:t>
      </w:r>
      <w:r w:rsidR="0003330B" w:rsidRPr="00653A97">
        <w:rPr>
          <w:rFonts w:cs="OrigGarmnd BT"/>
          <w:szCs w:val="24"/>
          <w:lang w:eastAsia="sv-SE"/>
        </w:rPr>
        <w:t>rådet</w:t>
      </w:r>
      <w:r w:rsidR="0003330B" w:rsidRPr="00653A97">
        <w:rPr>
          <w:rFonts w:cs="OrigGarmnd BT"/>
          <w:color w:val="000000"/>
          <w:szCs w:val="24"/>
          <w:lang w:eastAsia="sv-SE"/>
        </w:rPr>
        <w:t xml:space="preserve"> en uppdatering inför Codexkommissionen i Genève som äger rum den första veckan i juli 2011. </w:t>
      </w:r>
    </w:p>
    <w:p w:rsidR="0003330B" w:rsidRPr="00653A97" w:rsidRDefault="0003330B" w:rsidP="0003330B">
      <w:pPr>
        <w:pStyle w:val="RKnormal"/>
        <w:rPr>
          <w:iCs/>
        </w:rPr>
      </w:pPr>
    </w:p>
    <w:p w:rsidR="0003330B" w:rsidRPr="00653A97" w:rsidRDefault="0003330B" w:rsidP="0003330B">
      <w:pPr>
        <w:pStyle w:val="RKnormal"/>
        <w:rPr>
          <w:i/>
          <w:iCs/>
        </w:rPr>
      </w:pPr>
      <w:r w:rsidRPr="00653A97">
        <w:rPr>
          <w:i/>
          <w:iCs/>
        </w:rPr>
        <w:t>Förslag till svensk ståndpunkt</w:t>
      </w:r>
    </w:p>
    <w:p w:rsidR="00BF680C" w:rsidRPr="00653A97" w:rsidRDefault="00153547" w:rsidP="00BF680C">
      <w:pPr>
        <w:pStyle w:val="RKnormal"/>
        <w:rPr>
          <w:iCs/>
        </w:rPr>
      </w:pPr>
      <w:r w:rsidRPr="00653A97">
        <w:rPr>
          <w:iCs/>
        </w:rPr>
        <w:t>Regeringen</w:t>
      </w:r>
      <w:r w:rsidR="007458F7" w:rsidRPr="00653A97">
        <w:rPr>
          <w:iCs/>
        </w:rPr>
        <w:t xml:space="preserve"> välkomnar att ordförandeskapet </w:t>
      </w:r>
      <w:r w:rsidR="00CE5F43" w:rsidRPr="00653A97">
        <w:rPr>
          <w:iCs/>
        </w:rPr>
        <w:t xml:space="preserve">övergripande </w:t>
      </w:r>
      <w:r w:rsidR="007458F7" w:rsidRPr="00653A97">
        <w:rPr>
          <w:iCs/>
        </w:rPr>
        <w:t xml:space="preserve">presenterar arbetet i Codex </w:t>
      </w:r>
      <w:r w:rsidR="00CE5F43" w:rsidRPr="00653A97">
        <w:rPr>
          <w:iCs/>
        </w:rPr>
        <w:t>på ministe</w:t>
      </w:r>
      <w:r w:rsidR="003C6343" w:rsidRPr="00653A97">
        <w:rPr>
          <w:iCs/>
        </w:rPr>
        <w:t>r</w:t>
      </w:r>
      <w:r w:rsidR="00CE5F43" w:rsidRPr="00653A97">
        <w:rPr>
          <w:iCs/>
        </w:rPr>
        <w:t xml:space="preserve">rådet i maj. </w:t>
      </w:r>
    </w:p>
    <w:p w:rsidR="0003330B" w:rsidRPr="00653A97" w:rsidRDefault="0003330B" w:rsidP="00BF680C">
      <w:pPr>
        <w:pStyle w:val="RKnormal"/>
        <w:rPr>
          <w:iCs/>
        </w:rPr>
      </w:pPr>
    </w:p>
    <w:p w:rsidR="00BF680C" w:rsidRPr="00653A97" w:rsidRDefault="00BF680C" w:rsidP="00BF680C">
      <w:pPr>
        <w:pStyle w:val="RKnormal"/>
        <w:rPr>
          <w:i/>
          <w:iCs/>
        </w:rPr>
      </w:pPr>
      <w:r w:rsidRPr="00653A97">
        <w:rPr>
          <w:i/>
          <w:iCs/>
        </w:rPr>
        <w:t>EU-nämnden och MJU</w:t>
      </w:r>
    </w:p>
    <w:p w:rsidR="00C31E4A" w:rsidRPr="00653A97" w:rsidRDefault="00C31E4A" w:rsidP="00C31E4A">
      <w:pPr>
        <w:pStyle w:val="RKnormal"/>
      </w:pPr>
      <w:r w:rsidRPr="00653A97">
        <w:t>Frågan har inte tidigare varit föremål för samråd med EU-nämnden eller information i MJU.</w:t>
      </w:r>
    </w:p>
    <w:p w:rsidR="008E147C" w:rsidRPr="00653A97" w:rsidRDefault="008E147C" w:rsidP="00C31E4A">
      <w:pPr>
        <w:pStyle w:val="RKnormal"/>
      </w:pPr>
    </w:p>
    <w:p w:rsidR="00EC2DB8" w:rsidRPr="00653A97" w:rsidRDefault="00EC2DB8" w:rsidP="00897823">
      <w:pPr>
        <w:pStyle w:val="RKrubrik"/>
      </w:pPr>
      <w:r w:rsidRPr="00653A97">
        <w:rPr>
          <w:color w:val="000000"/>
          <w:szCs w:val="24"/>
        </w:rPr>
        <w:t>5</w:t>
      </w:r>
      <w:r w:rsidR="00897823" w:rsidRPr="00653A97">
        <w:rPr>
          <w:color w:val="000000"/>
          <w:szCs w:val="24"/>
        </w:rPr>
        <w:t xml:space="preserve">c) </w:t>
      </w:r>
      <w:r w:rsidRPr="00653A97">
        <w:rPr>
          <w:color w:val="000000"/>
          <w:szCs w:val="24"/>
        </w:rPr>
        <w:t xml:space="preserve">Konferens på temat </w:t>
      </w:r>
      <w:r w:rsidRPr="00653A97">
        <w:t>"Transition towards sustainable food consumption and production in a resource constrained world" (4-5 May 2011 in Budapest)</w:t>
      </w:r>
    </w:p>
    <w:p w:rsidR="008B73B0" w:rsidRPr="00653A97" w:rsidRDefault="008B73B0" w:rsidP="008B73B0">
      <w:pPr>
        <w:pStyle w:val="RKnormal"/>
        <w:rPr>
          <w:b/>
          <w:bCs/>
          <w:i/>
          <w:iCs/>
        </w:rPr>
      </w:pPr>
      <w:r w:rsidRPr="00653A97">
        <w:rPr>
          <w:b/>
          <w:bCs/>
          <w:i/>
          <w:iCs/>
        </w:rPr>
        <w:t>- Information från ordförandeskapet</w:t>
      </w:r>
    </w:p>
    <w:p w:rsidR="008B73B0" w:rsidRPr="00653A97" w:rsidRDefault="008B73B0" w:rsidP="008B73B0">
      <w:pPr>
        <w:pStyle w:val="RKnormal"/>
      </w:pPr>
    </w:p>
    <w:p w:rsidR="00EC2DB8" w:rsidRPr="00653A97" w:rsidRDefault="00EC2DB8" w:rsidP="00EC2DB8">
      <w:pPr>
        <w:pStyle w:val="RKnormal"/>
        <w:rPr>
          <w:i/>
        </w:rPr>
      </w:pPr>
      <w:r w:rsidRPr="00653A97">
        <w:rPr>
          <w:i/>
        </w:rPr>
        <w:t>Dokumentbeteckning:</w:t>
      </w:r>
    </w:p>
    <w:p w:rsidR="00EC2DB8" w:rsidRPr="00653A97" w:rsidRDefault="00EC2DB8" w:rsidP="00EC2DB8">
      <w:pPr>
        <w:pStyle w:val="RKnormal"/>
      </w:pPr>
      <w:r w:rsidRPr="00653A97">
        <w:t>-</w:t>
      </w:r>
    </w:p>
    <w:p w:rsidR="00EC2DB8" w:rsidRPr="00653A97" w:rsidRDefault="00EC2DB8" w:rsidP="00EC2DB8">
      <w:pPr>
        <w:pStyle w:val="RKnormal"/>
        <w:rPr>
          <w:i/>
        </w:rPr>
      </w:pPr>
      <w:r w:rsidRPr="00653A97">
        <w:rPr>
          <w:i/>
        </w:rPr>
        <w:t>Rättslig grund:</w:t>
      </w:r>
    </w:p>
    <w:p w:rsidR="00EC2DB8" w:rsidRPr="00653A97" w:rsidRDefault="00EC2DB8" w:rsidP="00EC2DB8">
      <w:pPr>
        <w:pStyle w:val="RKnormal"/>
      </w:pPr>
      <w:r w:rsidRPr="00653A97">
        <w:t>-</w:t>
      </w:r>
    </w:p>
    <w:p w:rsidR="00EC2DB8" w:rsidRPr="00653A97" w:rsidRDefault="00EC2DB8" w:rsidP="00EC2DB8">
      <w:pPr>
        <w:rPr>
          <w:i/>
        </w:rPr>
      </w:pPr>
      <w:r w:rsidRPr="00653A97">
        <w:rPr>
          <w:i/>
        </w:rPr>
        <w:t>Bakgrund</w:t>
      </w:r>
    </w:p>
    <w:p w:rsidR="00EC2DB8" w:rsidRPr="00653A97" w:rsidRDefault="00EC2DB8" w:rsidP="00EC2DB8">
      <w:pPr>
        <w:pStyle w:val="RKnormal"/>
      </w:pPr>
      <w:r w:rsidRPr="00653A97">
        <w:t xml:space="preserve">Konferensen </w:t>
      </w:r>
      <w:r w:rsidR="008B73B0" w:rsidRPr="00653A97">
        <w:t xml:space="preserve">”Transition towards sustainable food consumption and production in a resource constrained world” </w:t>
      </w:r>
      <w:r w:rsidRPr="00653A97">
        <w:t>anordna</w:t>
      </w:r>
      <w:r w:rsidR="003E1BDA" w:rsidRPr="00653A97">
        <w:t>de</w:t>
      </w:r>
      <w:r w:rsidRPr="00653A97">
        <w:t>s av Europeiska kommissionen, Generaldirektoratet för forskning och innovation i nära samarbete med det ungerska ordförandeskapet och Standing Committe on Agricultural Research (SCAR).</w:t>
      </w:r>
    </w:p>
    <w:p w:rsidR="00EC2DB8" w:rsidRPr="00653A97" w:rsidRDefault="00EC2DB8" w:rsidP="00EC2DB8">
      <w:pPr>
        <w:pStyle w:val="RKnormal"/>
      </w:pPr>
    </w:p>
    <w:p w:rsidR="00EC2DB8" w:rsidRPr="00653A97" w:rsidRDefault="003E1BDA" w:rsidP="00EC2DB8">
      <w:pPr>
        <w:pStyle w:val="RKnormal"/>
      </w:pPr>
      <w:r w:rsidRPr="00653A97">
        <w:t>Resultatet från k</w:t>
      </w:r>
      <w:r w:rsidR="00EC2DB8" w:rsidRPr="00653A97">
        <w:t xml:space="preserve">onferensen förväntas bli en hörnsten i den </w:t>
      </w:r>
      <w:r w:rsidR="008B6710" w:rsidRPr="00653A97">
        <w:t>framtidsanalys</w:t>
      </w:r>
      <w:r w:rsidR="008B73B0" w:rsidRPr="00653A97">
        <w:t xml:space="preserve"> </w:t>
      </w:r>
      <w:r w:rsidR="00EC2DB8" w:rsidRPr="00653A97">
        <w:t>som inleddes av SCAR under 2006</w:t>
      </w:r>
      <w:r w:rsidR="00430783" w:rsidRPr="00653A97">
        <w:t xml:space="preserve"> </w:t>
      </w:r>
      <w:r w:rsidR="00EC2DB8" w:rsidRPr="00653A97">
        <w:t xml:space="preserve">och </w:t>
      </w:r>
      <w:r w:rsidR="00430783" w:rsidRPr="00653A97">
        <w:t xml:space="preserve">som </w:t>
      </w:r>
      <w:r w:rsidR="00EC2DB8" w:rsidRPr="00653A97">
        <w:t>syftar till att identifiera forskningsbehov och innovativa lösningar</w:t>
      </w:r>
      <w:r w:rsidR="00430783" w:rsidRPr="00653A97">
        <w:t>. Detta för att</w:t>
      </w:r>
      <w:r w:rsidR="00ED0919" w:rsidRPr="00653A97">
        <w:t xml:space="preserve"> </w:t>
      </w:r>
      <w:r w:rsidR="00EC2DB8" w:rsidRPr="00653A97">
        <w:t>möjlig</w:t>
      </w:r>
      <w:r w:rsidR="00430783" w:rsidRPr="00653A97">
        <w:t>göra</w:t>
      </w:r>
      <w:r w:rsidR="00EC2DB8" w:rsidRPr="00653A97">
        <w:t xml:space="preserve"> för jordbruket att klara av en rad komplexa och sammanlänkade utmaningar under de kommande 30-40 åren. Fokus </w:t>
      </w:r>
      <w:r w:rsidR="006C65C7" w:rsidRPr="00653A97">
        <w:t xml:space="preserve">i analysen </w:t>
      </w:r>
      <w:r w:rsidR="00EC2DB8" w:rsidRPr="00653A97">
        <w:t xml:space="preserve">är på behovet av en tryggad livsmedelsförsörjning för att möta en </w:t>
      </w:r>
      <w:r w:rsidR="006C65C7" w:rsidRPr="00653A97">
        <w:t xml:space="preserve">femtioprocentig </w:t>
      </w:r>
      <w:r w:rsidR="00EC2DB8" w:rsidRPr="00653A97">
        <w:t xml:space="preserve">global befolkningsökning i ljuset </w:t>
      </w:r>
      <w:r w:rsidR="006C65C7" w:rsidRPr="00653A97">
        <w:t xml:space="preserve">av </w:t>
      </w:r>
      <w:r w:rsidR="00EC2DB8" w:rsidRPr="00653A97">
        <w:t>krympande naturresurser som fossila bränslen, mark, vatten, energi, biologisk mångfald och gödningsmedel</w:t>
      </w:r>
      <w:r w:rsidR="006C65C7" w:rsidRPr="00653A97">
        <w:t xml:space="preserve">. Analysen tar även upp behovet </w:t>
      </w:r>
      <w:r w:rsidR="00EC2DB8" w:rsidRPr="00653A97">
        <w:t>av att ta itu med klimatförändringens effekter.</w:t>
      </w:r>
    </w:p>
    <w:p w:rsidR="00EC2DB8" w:rsidRPr="00653A97" w:rsidRDefault="00EC2DB8" w:rsidP="00EC2DB8">
      <w:pPr>
        <w:pStyle w:val="RKnormal"/>
      </w:pPr>
    </w:p>
    <w:p w:rsidR="00EC2DB8" w:rsidRPr="00653A97" w:rsidRDefault="003E1BDA" w:rsidP="00EC2DB8">
      <w:pPr>
        <w:pStyle w:val="RKnormal"/>
        <w:rPr>
          <w:i/>
        </w:rPr>
      </w:pPr>
      <w:r w:rsidRPr="00653A97">
        <w:rPr>
          <w:i/>
        </w:rPr>
        <w:t>Förslag till s</w:t>
      </w:r>
      <w:r w:rsidR="00EC2DB8" w:rsidRPr="00653A97">
        <w:rPr>
          <w:i/>
        </w:rPr>
        <w:t>vensk ståndpunkt</w:t>
      </w:r>
    </w:p>
    <w:p w:rsidR="00EC2DB8" w:rsidRPr="00653A97" w:rsidRDefault="00153547" w:rsidP="00EC2DB8">
      <w:pPr>
        <w:pStyle w:val="RKnormal"/>
      </w:pPr>
      <w:r w:rsidRPr="00653A97">
        <w:t>Regeringen</w:t>
      </w:r>
      <w:r w:rsidR="008B73B0" w:rsidRPr="00653A97">
        <w:t xml:space="preserve"> välko</w:t>
      </w:r>
      <w:r w:rsidR="00CE5F43" w:rsidRPr="00653A97">
        <w:t>mnar att ämnet belyses och att k</w:t>
      </w:r>
      <w:r w:rsidR="008B73B0" w:rsidRPr="00653A97">
        <w:t>ommissionen</w:t>
      </w:r>
      <w:r w:rsidR="003010E3" w:rsidRPr="00653A97">
        <w:t>,</w:t>
      </w:r>
      <w:r w:rsidR="008B73B0" w:rsidRPr="00653A97">
        <w:t xml:space="preserve"> </w:t>
      </w:r>
      <w:r w:rsidR="00430783" w:rsidRPr="00653A97">
        <w:t xml:space="preserve">under </w:t>
      </w:r>
      <w:r w:rsidR="003C6343" w:rsidRPr="00653A97">
        <w:t>det ungerska</w:t>
      </w:r>
      <w:r w:rsidR="00430783" w:rsidRPr="00653A97">
        <w:t xml:space="preserve"> ordförandeskap</w:t>
      </w:r>
      <w:r w:rsidR="00CE5F43" w:rsidRPr="00653A97">
        <w:t>ets värdskap</w:t>
      </w:r>
      <w:r w:rsidR="003010E3" w:rsidRPr="00653A97">
        <w:t>,</w:t>
      </w:r>
      <w:r w:rsidR="00430783" w:rsidRPr="00653A97">
        <w:t xml:space="preserve"> </w:t>
      </w:r>
      <w:r w:rsidR="008348E6" w:rsidRPr="00653A97">
        <w:t>anordna</w:t>
      </w:r>
      <w:r w:rsidR="00ED0919" w:rsidRPr="00653A97">
        <w:t>de</w:t>
      </w:r>
      <w:r w:rsidR="008B73B0" w:rsidRPr="00653A97">
        <w:t xml:space="preserve"> en konferens på detta tema. </w:t>
      </w:r>
    </w:p>
    <w:p w:rsidR="00EC2DB8" w:rsidRPr="00653A97" w:rsidRDefault="00EC2DB8" w:rsidP="00EC2DB8">
      <w:pPr>
        <w:pStyle w:val="RKnormal"/>
      </w:pPr>
    </w:p>
    <w:p w:rsidR="00ED0919" w:rsidRPr="00653A97" w:rsidRDefault="00ED0919" w:rsidP="00ED0919">
      <w:pPr>
        <w:pStyle w:val="RKnormal"/>
        <w:rPr>
          <w:i/>
          <w:iCs/>
        </w:rPr>
      </w:pPr>
      <w:r w:rsidRPr="00653A97">
        <w:rPr>
          <w:i/>
          <w:iCs/>
        </w:rPr>
        <w:t>EU-nämnden och MJU</w:t>
      </w:r>
    </w:p>
    <w:p w:rsidR="00ED0919" w:rsidRPr="00653A97" w:rsidRDefault="00ED0919" w:rsidP="00ED0919">
      <w:pPr>
        <w:pStyle w:val="RKnormal"/>
      </w:pPr>
      <w:r w:rsidRPr="00653A97">
        <w:t>Frågan har inte tidigare varit föremål för samråd med EU-nämnden eller information i MJU.</w:t>
      </w:r>
    </w:p>
    <w:p w:rsidR="00ED0919" w:rsidRPr="00653A97" w:rsidRDefault="00ED0919" w:rsidP="00EC2DB8">
      <w:pPr>
        <w:pStyle w:val="RKnormal"/>
      </w:pPr>
    </w:p>
    <w:p w:rsidR="00EC2DB8" w:rsidRPr="00653A97" w:rsidRDefault="00A81E41" w:rsidP="00897823">
      <w:pPr>
        <w:pStyle w:val="RKrubrik"/>
        <w:rPr>
          <w:color w:val="000000"/>
          <w:szCs w:val="24"/>
        </w:rPr>
      </w:pPr>
      <w:r w:rsidRPr="00653A97">
        <w:rPr>
          <w:color w:val="000000"/>
          <w:szCs w:val="24"/>
        </w:rPr>
        <w:t xml:space="preserve">5d) Olika kvalitet och sammansättning hos produkter som säljs under samma märke i olika medlemsstater </w:t>
      </w:r>
    </w:p>
    <w:p w:rsidR="00A81E41" w:rsidRPr="00653A97" w:rsidRDefault="00A81E41" w:rsidP="00A81E41">
      <w:pPr>
        <w:pStyle w:val="RKnormal"/>
        <w:rPr>
          <w:b/>
          <w:i/>
        </w:rPr>
      </w:pPr>
      <w:r w:rsidRPr="00653A97">
        <w:rPr>
          <w:b/>
          <w:i/>
        </w:rPr>
        <w:t>- På begäran av Bulgarien</w:t>
      </w:r>
    </w:p>
    <w:p w:rsidR="00A81E41" w:rsidRPr="00653A97" w:rsidRDefault="00A81E41" w:rsidP="00A81E41">
      <w:pPr>
        <w:pStyle w:val="RKnormal"/>
        <w:rPr>
          <w:b/>
          <w:i/>
        </w:rPr>
      </w:pPr>
    </w:p>
    <w:p w:rsidR="00EC2DB8" w:rsidRPr="00653A97" w:rsidRDefault="008B73B0" w:rsidP="003010E3">
      <w:pPr>
        <w:pStyle w:val="RKnormal"/>
        <w:rPr>
          <w:i/>
        </w:rPr>
      </w:pPr>
      <w:r w:rsidRPr="00653A97">
        <w:rPr>
          <w:i/>
        </w:rPr>
        <w:t xml:space="preserve">För närvarande finns ingen specificerad information angående denna dagordningspunkt. </w:t>
      </w:r>
    </w:p>
    <w:p w:rsidR="00A81E41" w:rsidRPr="00653A97" w:rsidRDefault="00A81E41" w:rsidP="00A81E41">
      <w:pPr>
        <w:pStyle w:val="RKrubrik"/>
      </w:pPr>
      <w:r w:rsidRPr="00653A97">
        <w:rPr>
          <w:color w:val="000000"/>
          <w:szCs w:val="24"/>
        </w:rPr>
        <w:t xml:space="preserve">5e) </w:t>
      </w:r>
      <w:r w:rsidRPr="00653A97">
        <w:t>Avrapportering utökad expertgrupp situationen på marknaden för griskött</w:t>
      </w:r>
    </w:p>
    <w:p w:rsidR="00A81E41" w:rsidRPr="00653A97" w:rsidRDefault="00A81E41" w:rsidP="00A81E41">
      <w:pPr>
        <w:pStyle w:val="RKnormal"/>
      </w:pPr>
    </w:p>
    <w:p w:rsidR="00A81E41" w:rsidRPr="00653A97" w:rsidRDefault="00A81E41" w:rsidP="00A81E41">
      <w:pPr>
        <w:pStyle w:val="RKnormal"/>
        <w:rPr>
          <w:b/>
          <w:bCs/>
          <w:i/>
          <w:iCs/>
        </w:rPr>
      </w:pPr>
      <w:r w:rsidRPr="00653A97">
        <w:rPr>
          <w:b/>
          <w:bCs/>
          <w:i/>
          <w:iCs/>
        </w:rPr>
        <w:t xml:space="preserve">- information från </w:t>
      </w:r>
      <w:r w:rsidR="00CE5F43" w:rsidRPr="00653A97">
        <w:rPr>
          <w:b/>
          <w:bCs/>
          <w:i/>
          <w:iCs/>
        </w:rPr>
        <w:t>k</w:t>
      </w:r>
      <w:r w:rsidRPr="00653A97">
        <w:rPr>
          <w:b/>
          <w:bCs/>
          <w:i/>
          <w:iCs/>
        </w:rPr>
        <w:t>ommissionen</w:t>
      </w:r>
    </w:p>
    <w:p w:rsidR="00A81E41" w:rsidRPr="00653A97" w:rsidRDefault="00A81E41" w:rsidP="00A81E41">
      <w:pPr>
        <w:pStyle w:val="RKnormal"/>
        <w:rPr>
          <w:i/>
          <w:iCs/>
        </w:rPr>
      </w:pPr>
    </w:p>
    <w:p w:rsidR="00A81E41" w:rsidRPr="00653A97" w:rsidRDefault="00A81E41" w:rsidP="00A81E41">
      <w:pPr>
        <w:pStyle w:val="RKnormal"/>
        <w:rPr>
          <w:i/>
          <w:iCs/>
        </w:rPr>
      </w:pPr>
      <w:r w:rsidRPr="00653A97">
        <w:rPr>
          <w:i/>
          <w:iCs/>
        </w:rPr>
        <w:t>Dokumentbeteckning</w:t>
      </w:r>
    </w:p>
    <w:p w:rsidR="00A81E41" w:rsidRPr="00653A97" w:rsidRDefault="00A81E41" w:rsidP="00A81E41">
      <w:pPr>
        <w:pStyle w:val="RKnormal"/>
        <w:rPr>
          <w:i/>
          <w:iCs/>
        </w:rPr>
      </w:pPr>
      <w:r w:rsidRPr="00653A97">
        <w:rPr>
          <w:i/>
          <w:iCs/>
        </w:rPr>
        <w:t>-</w:t>
      </w:r>
    </w:p>
    <w:p w:rsidR="00ED0919" w:rsidRPr="00653A97" w:rsidRDefault="00ED0919" w:rsidP="00A81E41">
      <w:pPr>
        <w:pStyle w:val="RKnormal"/>
        <w:rPr>
          <w:i/>
          <w:iCs/>
        </w:rPr>
      </w:pPr>
    </w:p>
    <w:p w:rsidR="00A81E41" w:rsidRPr="00653A97" w:rsidRDefault="00A81E41" w:rsidP="00A81E41">
      <w:pPr>
        <w:pStyle w:val="RKnormal"/>
        <w:rPr>
          <w:i/>
          <w:iCs/>
        </w:rPr>
      </w:pPr>
      <w:r w:rsidRPr="00653A97">
        <w:rPr>
          <w:i/>
          <w:iCs/>
        </w:rPr>
        <w:t>Rättslig grund</w:t>
      </w:r>
    </w:p>
    <w:p w:rsidR="00A81E41" w:rsidRPr="00653A97" w:rsidRDefault="00A81E41" w:rsidP="00A81E41">
      <w:pPr>
        <w:pStyle w:val="RKnormal"/>
        <w:rPr>
          <w:i/>
          <w:iCs/>
        </w:rPr>
      </w:pPr>
      <w:r w:rsidRPr="00653A97">
        <w:rPr>
          <w:i/>
          <w:iCs/>
        </w:rPr>
        <w:t>-</w:t>
      </w:r>
    </w:p>
    <w:p w:rsidR="00A81E41" w:rsidRPr="00653A97" w:rsidRDefault="00A81E41" w:rsidP="00A81E41">
      <w:pPr>
        <w:pStyle w:val="RKnormal"/>
        <w:rPr>
          <w:i/>
          <w:iCs/>
        </w:rPr>
      </w:pPr>
    </w:p>
    <w:p w:rsidR="00A81E41" w:rsidRPr="00653A97" w:rsidRDefault="00A81E41" w:rsidP="00A81E41">
      <w:pPr>
        <w:pStyle w:val="RKnormal"/>
        <w:rPr>
          <w:i/>
          <w:iCs/>
        </w:rPr>
      </w:pPr>
      <w:r w:rsidRPr="00653A97">
        <w:rPr>
          <w:i/>
          <w:iCs/>
        </w:rPr>
        <w:t>Bakgrund</w:t>
      </w:r>
    </w:p>
    <w:p w:rsidR="00A81E41" w:rsidRPr="00653A97" w:rsidRDefault="00A81E41" w:rsidP="00A81E41">
      <w:pPr>
        <w:pStyle w:val="RKnormal"/>
        <w:rPr>
          <w:iCs/>
        </w:rPr>
      </w:pPr>
      <w:r w:rsidRPr="00653A97">
        <w:rPr>
          <w:iCs/>
        </w:rPr>
        <w:t>K</w:t>
      </w:r>
      <w:r w:rsidR="008B73B0" w:rsidRPr="00653A97">
        <w:rPr>
          <w:iCs/>
        </w:rPr>
        <w:t>ommissionens</w:t>
      </w:r>
      <w:r w:rsidRPr="00653A97">
        <w:rPr>
          <w:iCs/>
        </w:rPr>
        <w:t xml:space="preserve"> expertgrupp för griskött består av representanter för näringen och träffas några gånger per år för att diskutera situationen i sektorn. Under våren så har gruppen kompletterats med representanter från</w:t>
      </w:r>
      <w:r w:rsidR="008B73B0" w:rsidRPr="00653A97">
        <w:rPr>
          <w:iCs/>
        </w:rPr>
        <w:t>medlemsstater</w:t>
      </w:r>
      <w:r w:rsidR="006C65C7" w:rsidRPr="00653A97">
        <w:rPr>
          <w:iCs/>
        </w:rPr>
        <w:t>nas myndigheter</w:t>
      </w:r>
      <w:r w:rsidRPr="00653A97">
        <w:rPr>
          <w:iCs/>
        </w:rPr>
        <w:t xml:space="preserve"> och träffats vid fyra tillfällen för att göra en djupare genomlysning av faktorer som påverkar lönsamheten i grisproduktionen.</w:t>
      </w:r>
      <w:r w:rsidR="00C77193" w:rsidRPr="00653A97">
        <w:rPr>
          <w:iCs/>
        </w:rPr>
        <w:t xml:space="preserve"> Expertgruppen </w:t>
      </w:r>
      <w:r w:rsidR="00ED0919" w:rsidRPr="00653A97">
        <w:rPr>
          <w:iCs/>
        </w:rPr>
        <w:t xml:space="preserve">hade sitt sista möte den 5 maj och </w:t>
      </w:r>
      <w:r w:rsidR="00C77193" w:rsidRPr="00653A97">
        <w:rPr>
          <w:iCs/>
        </w:rPr>
        <w:t>förväntas</w:t>
      </w:r>
      <w:r w:rsidR="00E242B9" w:rsidRPr="00653A97">
        <w:rPr>
          <w:iCs/>
        </w:rPr>
        <w:t xml:space="preserve"> lämna en slutrapport </w:t>
      </w:r>
      <w:r w:rsidR="00ED0919" w:rsidRPr="00653A97">
        <w:rPr>
          <w:iCs/>
        </w:rPr>
        <w:t>i maj 2011</w:t>
      </w:r>
      <w:r w:rsidR="00C77193" w:rsidRPr="00653A97">
        <w:rPr>
          <w:iCs/>
        </w:rPr>
        <w:t>.</w:t>
      </w:r>
    </w:p>
    <w:p w:rsidR="00A81E41" w:rsidRPr="00653A97" w:rsidRDefault="00A81E41" w:rsidP="00A81E41">
      <w:pPr>
        <w:pStyle w:val="RKnormal"/>
        <w:rPr>
          <w:iCs/>
        </w:rPr>
      </w:pPr>
    </w:p>
    <w:p w:rsidR="00A81E41" w:rsidRPr="00653A97" w:rsidRDefault="00A81E41" w:rsidP="00A81E41">
      <w:pPr>
        <w:pStyle w:val="RKnormal"/>
        <w:rPr>
          <w:iCs/>
        </w:rPr>
      </w:pPr>
      <w:r w:rsidRPr="00653A97">
        <w:rPr>
          <w:iCs/>
        </w:rPr>
        <w:t>Situationen för grisproducenterna har varit svår det senaste året med låga priser och svag lönsamhet. Foderpriserna steg kraftigt förra sommaren och detta ledde till sämre lönsamhet. Detta ledde i sin tur till en ökad utslaktning och därmed ett överskott på marknaden. Marknaden har dessutom varit svagare än normalt i huvudsak p</w:t>
      </w:r>
      <w:r w:rsidR="0059011A" w:rsidRPr="00653A97">
        <w:rPr>
          <w:iCs/>
        </w:rPr>
        <w:t>.</w:t>
      </w:r>
      <w:r w:rsidRPr="00653A97">
        <w:rPr>
          <w:iCs/>
        </w:rPr>
        <w:t>g</w:t>
      </w:r>
      <w:r w:rsidR="0059011A" w:rsidRPr="00653A97">
        <w:rPr>
          <w:iCs/>
        </w:rPr>
        <w:t>.</w:t>
      </w:r>
      <w:r w:rsidRPr="00653A97">
        <w:rPr>
          <w:iCs/>
        </w:rPr>
        <w:t>a</w:t>
      </w:r>
      <w:r w:rsidR="0059011A" w:rsidRPr="00653A97">
        <w:rPr>
          <w:iCs/>
        </w:rPr>
        <w:t>.</w:t>
      </w:r>
      <w:r w:rsidRPr="00653A97">
        <w:rPr>
          <w:iCs/>
        </w:rPr>
        <w:t xml:space="preserve"> efterdyningarna av finanskrisen. I början av 2011 så upptäcktes det att dioxin hade kommit in i foderkedjan för grisar och höns i </w:t>
      </w:r>
      <w:r w:rsidR="008B73B0" w:rsidRPr="00653A97">
        <w:rPr>
          <w:iCs/>
        </w:rPr>
        <w:t>Tyskland</w:t>
      </w:r>
      <w:r w:rsidRPr="00653A97">
        <w:rPr>
          <w:iCs/>
        </w:rPr>
        <w:t xml:space="preserve"> och detta ledde till ett ytterligare konsumtionsfall.</w:t>
      </w:r>
    </w:p>
    <w:p w:rsidR="00A81E41" w:rsidRPr="00653A97" w:rsidRDefault="00A81E41" w:rsidP="00A81E41">
      <w:pPr>
        <w:pStyle w:val="RKnormal"/>
        <w:rPr>
          <w:iCs/>
        </w:rPr>
      </w:pPr>
    </w:p>
    <w:p w:rsidR="00A81E41" w:rsidRPr="00653A97" w:rsidRDefault="00A81E41" w:rsidP="00A81E41">
      <w:pPr>
        <w:pStyle w:val="RKnormal"/>
        <w:rPr>
          <w:iCs/>
        </w:rPr>
      </w:pPr>
      <w:r w:rsidRPr="00653A97">
        <w:rPr>
          <w:iCs/>
        </w:rPr>
        <w:t xml:space="preserve">De svenska producenterna har utöver den svaga marknaden drabbats av en oförmånlig växelkurs mot eurozonen vilket har satt ytterligare press på priserna. </w:t>
      </w:r>
    </w:p>
    <w:p w:rsidR="00A81E41" w:rsidRPr="00653A97" w:rsidRDefault="00A81E41" w:rsidP="00A81E41">
      <w:pPr>
        <w:pStyle w:val="RKnormal"/>
        <w:rPr>
          <w:i/>
          <w:iCs/>
        </w:rPr>
      </w:pPr>
    </w:p>
    <w:p w:rsidR="00A81E41" w:rsidRPr="00653A97" w:rsidRDefault="00A81E41" w:rsidP="00A81E41">
      <w:pPr>
        <w:pStyle w:val="RKnormal"/>
        <w:rPr>
          <w:i/>
          <w:iCs/>
        </w:rPr>
      </w:pPr>
      <w:r w:rsidRPr="00653A97">
        <w:rPr>
          <w:i/>
          <w:iCs/>
        </w:rPr>
        <w:t>Förslag till svensk ståndpunkt</w:t>
      </w:r>
    </w:p>
    <w:p w:rsidR="00A81E41" w:rsidRPr="00653A97" w:rsidRDefault="00A81E41" w:rsidP="00A81E41">
      <w:pPr>
        <w:pStyle w:val="RKnormal"/>
        <w:rPr>
          <w:iCs/>
        </w:rPr>
      </w:pPr>
      <w:r w:rsidRPr="00653A97">
        <w:rPr>
          <w:iCs/>
        </w:rPr>
        <w:t xml:space="preserve">Eftersom marknaden för griskött normalt sett är cyklisk bör inga ytterligare åtgärder vidtas på EU-nivå. </w:t>
      </w:r>
      <w:r w:rsidR="00153547" w:rsidRPr="00653A97">
        <w:rPr>
          <w:iCs/>
        </w:rPr>
        <w:t>Regeringen anser att e</w:t>
      </w:r>
      <w:r w:rsidRPr="00653A97">
        <w:rPr>
          <w:iCs/>
        </w:rPr>
        <w:t>ventuella åtgärder riskerar att förstärka obalanserna och hämma den långsiktiga konkurrenskraften hos producenterna.</w:t>
      </w:r>
    </w:p>
    <w:p w:rsidR="00A81E41" w:rsidRPr="00653A97" w:rsidRDefault="00A81E41" w:rsidP="00A81E41">
      <w:pPr>
        <w:pStyle w:val="RKnormal"/>
        <w:rPr>
          <w:i/>
          <w:iCs/>
        </w:rPr>
      </w:pPr>
    </w:p>
    <w:p w:rsidR="00A81E41" w:rsidRPr="00653A97" w:rsidRDefault="00A81E41" w:rsidP="00A81E41">
      <w:pPr>
        <w:pStyle w:val="RKnormal"/>
        <w:rPr>
          <w:i/>
          <w:iCs/>
        </w:rPr>
      </w:pPr>
      <w:r w:rsidRPr="00653A97">
        <w:rPr>
          <w:i/>
          <w:iCs/>
        </w:rPr>
        <w:t>EU-nämnden och MJU</w:t>
      </w:r>
    </w:p>
    <w:p w:rsidR="00A81E41" w:rsidRPr="00653A97" w:rsidRDefault="00A81E41" w:rsidP="00A81E41">
      <w:pPr>
        <w:pStyle w:val="RKnormal"/>
      </w:pPr>
      <w:r w:rsidRPr="00653A97">
        <w:t xml:space="preserve">Frågan har tidigare varit föremål för samråd med EU-nämnden </w:t>
      </w:r>
      <w:r w:rsidR="003C6343" w:rsidRPr="00653A97">
        <w:t>och</w:t>
      </w:r>
      <w:r w:rsidR="00FC5C2A" w:rsidRPr="00653A97">
        <w:t xml:space="preserve"> </w:t>
      </w:r>
      <w:r w:rsidRPr="00653A97">
        <w:t>information i MJU</w:t>
      </w:r>
      <w:r w:rsidR="003C6343" w:rsidRPr="00653A97">
        <w:t xml:space="preserve"> </w:t>
      </w:r>
      <w:r w:rsidR="00DE1F1C" w:rsidRPr="00653A97">
        <w:t>vid ett flertal tillfällen. Senast inför jordbruks- och fiskeråden</w:t>
      </w:r>
      <w:r w:rsidR="003C6343" w:rsidRPr="00653A97">
        <w:t xml:space="preserve"> i </w:t>
      </w:r>
      <w:r w:rsidR="00DE1F1C" w:rsidRPr="00653A97">
        <w:t xml:space="preserve">oktober och december </w:t>
      </w:r>
      <w:r w:rsidR="003C6343" w:rsidRPr="00653A97">
        <w:t>2010</w:t>
      </w:r>
      <w:r w:rsidR="00DE1F1C" w:rsidRPr="00653A97">
        <w:t xml:space="preserve">. </w:t>
      </w:r>
    </w:p>
    <w:p w:rsidR="00D869C1" w:rsidRPr="00653A97" w:rsidRDefault="00D869C1" w:rsidP="00A81E41">
      <w:pPr>
        <w:pStyle w:val="RKnormal"/>
      </w:pPr>
    </w:p>
    <w:p w:rsidR="00EC2DB8" w:rsidRPr="00653A97" w:rsidRDefault="00A81E41" w:rsidP="00897823">
      <w:pPr>
        <w:pStyle w:val="RKrubrik"/>
        <w:rPr>
          <w:color w:val="000000"/>
          <w:szCs w:val="24"/>
        </w:rPr>
      </w:pPr>
      <w:r w:rsidRPr="00653A97">
        <w:rPr>
          <w:color w:val="000000"/>
          <w:szCs w:val="24"/>
        </w:rPr>
        <w:t>5f) Interventionspriser på spannmål</w:t>
      </w:r>
    </w:p>
    <w:p w:rsidR="00A81E41" w:rsidRPr="00653A97" w:rsidRDefault="00A81E41" w:rsidP="00A81E41">
      <w:pPr>
        <w:pStyle w:val="RKnormal"/>
        <w:rPr>
          <w:b/>
          <w:i/>
        </w:rPr>
      </w:pPr>
      <w:r w:rsidRPr="00653A97">
        <w:rPr>
          <w:b/>
          <w:i/>
        </w:rPr>
        <w:t>- På begäran av Polen</w:t>
      </w:r>
    </w:p>
    <w:p w:rsidR="00A81E41" w:rsidRPr="00653A97" w:rsidRDefault="00A81E41" w:rsidP="00A81E41">
      <w:pPr>
        <w:pStyle w:val="RKnormal"/>
        <w:rPr>
          <w:b/>
          <w:i/>
        </w:rPr>
      </w:pPr>
    </w:p>
    <w:p w:rsidR="00D869C1" w:rsidRPr="00653A97" w:rsidRDefault="00D869C1" w:rsidP="00D869C1">
      <w:pPr>
        <w:pStyle w:val="RKnormal"/>
        <w:rPr>
          <w:i/>
          <w:iCs/>
        </w:rPr>
      </w:pPr>
      <w:r w:rsidRPr="00653A97">
        <w:rPr>
          <w:i/>
          <w:iCs/>
        </w:rPr>
        <w:t>Dokumentbeteckning</w:t>
      </w:r>
    </w:p>
    <w:p w:rsidR="00D869C1" w:rsidRPr="00653A97" w:rsidRDefault="00D869C1" w:rsidP="00D869C1">
      <w:pPr>
        <w:pStyle w:val="RKnormal"/>
        <w:rPr>
          <w:iCs/>
        </w:rPr>
      </w:pPr>
      <w:r w:rsidRPr="00653A97">
        <w:rPr>
          <w:iCs/>
        </w:rPr>
        <w:t>9547/11, AGRI 328, AGRIORG 89</w:t>
      </w: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Rättslig grund</w:t>
      </w:r>
    </w:p>
    <w:p w:rsidR="00D869C1" w:rsidRPr="00653A97" w:rsidRDefault="00D869C1" w:rsidP="00D869C1">
      <w:pPr>
        <w:pStyle w:val="RKnormal"/>
        <w:rPr>
          <w:iCs/>
        </w:rPr>
      </w:pP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Bakgrund</w:t>
      </w:r>
    </w:p>
    <w:p w:rsidR="00D869C1" w:rsidRPr="00653A97" w:rsidRDefault="00D869C1" w:rsidP="00D869C1">
      <w:pPr>
        <w:pStyle w:val="RKnormal"/>
        <w:rPr>
          <w:iCs/>
        </w:rPr>
      </w:pPr>
      <w:r w:rsidRPr="00653A97">
        <w:rPr>
          <w:iCs/>
        </w:rPr>
        <w:t xml:space="preserve">Polen framför att interventionspriset för spannmål bör höjas till 130 euro per ton. Högre interventionspris ger ett bättre säkerhetsnät för jordbrukarna samtidigt som större interventionslager kan stabilisera priserna i tider när priset stiger kraftigt. Den snabba ökningen av  produktionskostnader samt minskningen i omfattningen av interventionen på senare år har försämrat lönsamheten i spannmålsodlingen. </w:t>
      </w: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Förslag till svensk ståndpunkt</w:t>
      </w:r>
    </w:p>
    <w:p w:rsidR="00D869C1" w:rsidRPr="00653A97" w:rsidRDefault="003E1BDA" w:rsidP="00D869C1">
      <w:pPr>
        <w:pStyle w:val="RKnormal"/>
        <w:rPr>
          <w:iCs/>
        </w:rPr>
      </w:pPr>
      <w:r w:rsidRPr="00653A97">
        <w:rPr>
          <w:iCs/>
        </w:rPr>
        <w:t xml:space="preserve">Regeringen </w:t>
      </w:r>
      <w:r w:rsidR="00D869C1" w:rsidRPr="00653A97">
        <w:rPr>
          <w:iCs/>
        </w:rPr>
        <w:t>anser att alla marknadsstöd, däribland intervention, bör avskaffas. Intervention skapar ett artificiellt prisgolv som stör marknadens signaler och minskar incitamentet att anpassa utbud till efterfrågan.</w:t>
      </w: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EU-nämnden och MJU</w:t>
      </w:r>
    </w:p>
    <w:p w:rsidR="00A81E41" w:rsidRPr="00653A97" w:rsidRDefault="00D869C1" w:rsidP="00A81E41">
      <w:pPr>
        <w:pStyle w:val="RKnormal"/>
      </w:pPr>
      <w:r w:rsidRPr="00653A97">
        <w:t>Frågan har inte tidigare varit föremål för samråd med EU-nämnden eller information i MJU.</w:t>
      </w:r>
    </w:p>
    <w:p w:rsidR="00EC2DB8" w:rsidRPr="00653A97" w:rsidRDefault="00A81E41" w:rsidP="00897823">
      <w:pPr>
        <w:pStyle w:val="RKrubrik"/>
        <w:rPr>
          <w:color w:val="000000"/>
          <w:szCs w:val="24"/>
        </w:rPr>
      </w:pPr>
      <w:r w:rsidRPr="00653A97">
        <w:rPr>
          <w:color w:val="000000"/>
          <w:szCs w:val="24"/>
        </w:rPr>
        <w:t>5g) Sockerkvoter</w:t>
      </w:r>
    </w:p>
    <w:p w:rsidR="0091091E" w:rsidRPr="00653A97" w:rsidRDefault="00A81E41" w:rsidP="0091091E">
      <w:pPr>
        <w:pStyle w:val="RKnormal"/>
        <w:rPr>
          <w:i/>
          <w:iCs/>
        </w:rPr>
      </w:pPr>
      <w:r w:rsidRPr="00653A97">
        <w:rPr>
          <w:b/>
          <w:i/>
        </w:rPr>
        <w:t>- På begäran av Polen</w:t>
      </w:r>
    </w:p>
    <w:p w:rsidR="00D869C1" w:rsidRPr="00653A97" w:rsidRDefault="00D869C1" w:rsidP="00D869C1">
      <w:pPr>
        <w:pStyle w:val="RKnormal"/>
        <w:rPr>
          <w:i/>
          <w:iCs/>
        </w:rPr>
      </w:pPr>
      <w:r w:rsidRPr="00653A97">
        <w:rPr>
          <w:i/>
          <w:iCs/>
        </w:rPr>
        <w:t>Dokumentbeteckning</w:t>
      </w:r>
    </w:p>
    <w:p w:rsidR="00D869C1" w:rsidRPr="00653A97" w:rsidRDefault="00D869C1" w:rsidP="00D869C1">
      <w:pPr>
        <w:pStyle w:val="RKnormal"/>
        <w:rPr>
          <w:iCs/>
        </w:rPr>
      </w:pPr>
      <w:r w:rsidRPr="00653A97">
        <w:rPr>
          <w:iCs/>
        </w:rPr>
        <w:t>9550/11, AGRI 329, AGRIORG 90</w:t>
      </w: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Rättslig grund</w:t>
      </w:r>
    </w:p>
    <w:p w:rsidR="00D869C1" w:rsidRPr="00653A97" w:rsidRDefault="00D869C1" w:rsidP="00D869C1">
      <w:pPr>
        <w:pStyle w:val="RKnormal"/>
        <w:rPr>
          <w:iCs/>
        </w:rPr>
      </w:pP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Bakgrund</w:t>
      </w:r>
    </w:p>
    <w:p w:rsidR="00D869C1" w:rsidRPr="00653A97" w:rsidRDefault="00D869C1" w:rsidP="00D869C1">
      <w:pPr>
        <w:pStyle w:val="RKnormal"/>
        <w:rPr>
          <w:iCs/>
        </w:rPr>
      </w:pPr>
      <w:r w:rsidRPr="00653A97">
        <w:rPr>
          <w:iCs/>
        </w:rPr>
        <w:t xml:space="preserve">Polen framför att produktionskvoten för socker i varje </w:t>
      </w:r>
      <w:r w:rsidR="003E1BDA" w:rsidRPr="00653A97">
        <w:rPr>
          <w:iCs/>
        </w:rPr>
        <w:t xml:space="preserve">medlemsstat </w:t>
      </w:r>
      <w:r w:rsidRPr="00653A97">
        <w:rPr>
          <w:iCs/>
        </w:rPr>
        <w:t>bör öka med 15 % från och med produktionsåret 2011/2012, alternativt att kvoterna ökar med 5 % över en treårsperiod med början produktionsåret 2011/2012. Anledningen som anges är att produktionen inom EU endast motsvarar 85% av konsumtionen, samtidigt som det finns en större produktionskapacitet och efterfrågan av socker på marknaden. Den nuvarande sockerregleringen gäller till och med utgången av produktionsåret 2014/2015.</w:t>
      </w:r>
    </w:p>
    <w:p w:rsidR="00D869C1" w:rsidRPr="00653A97" w:rsidRDefault="00D869C1" w:rsidP="00D869C1">
      <w:pPr>
        <w:pStyle w:val="RKnormal"/>
        <w:rPr>
          <w:iCs/>
        </w:rPr>
      </w:pP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Förslag till svensk ståndpunkt</w:t>
      </w:r>
    </w:p>
    <w:p w:rsidR="00D869C1" w:rsidRPr="00653A97" w:rsidRDefault="003E1BDA" w:rsidP="00D869C1">
      <w:pPr>
        <w:pStyle w:val="RKnormal"/>
        <w:rPr>
          <w:iCs/>
        </w:rPr>
      </w:pPr>
      <w:r w:rsidRPr="00653A97">
        <w:rPr>
          <w:iCs/>
        </w:rPr>
        <w:t xml:space="preserve">Regeringens </w:t>
      </w:r>
      <w:r w:rsidR="00D869C1" w:rsidRPr="00653A97">
        <w:rPr>
          <w:iCs/>
        </w:rPr>
        <w:t xml:space="preserve">övergripande ståndpunkt är att produktionsbegränsningar bör avskaffas eftersom de begränsar konkurrensen och hindrar naturlig strukturomvandling och nyetablering. Fortsatt reformering av sockersektorn kommer att vara aktuellt att diskutera inför upphörandet av nuvarande sockerreglering.  </w:t>
      </w:r>
    </w:p>
    <w:p w:rsidR="00D869C1" w:rsidRPr="00653A97" w:rsidRDefault="00D869C1" w:rsidP="00D869C1">
      <w:pPr>
        <w:pStyle w:val="RKnormal"/>
        <w:rPr>
          <w:iCs/>
        </w:rPr>
      </w:pPr>
    </w:p>
    <w:p w:rsidR="00D869C1" w:rsidRPr="00653A97" w:rsidRDefault="00D869C1" w:rsidP="00D869C1">
      <w:pPr>
        <w:pStyle w:val="RKnormal"/>
        <w:rPr>
          <w:i/>
          <w:iCs/>
        </w:rPr>
      </w:pPr>
    </w:p>
    <w:p w:rsidR="00D869C1" w:rsidRPr="00653A97" w:rsidRDefault="00D869C1" w:rsidP="00D869C1">
      <w:pPr>
        <w:pStyle w:val="RKnormal"/>
        <w:rPr>
          <w:i/>
          <w:iCs/>
        </w:rPr>
      </w:pPr>
      <w:r w:rsidRPr="00653A97">
        <w:rPr>
          <w:i/>
          <w:iCs/>
        </w:rPr>
        <w:t>EU-nämnden och MJU</w:t>
      </w:r>
    </w:p>
    <w:p w:rsidR="00D869C1" w:rsidRPr="00653A97" w:rsidRDefault="00D869C1" w:rsidP="00D869C1">
      <w:pPr>
        <w:pStyle w:val="RKnormal"/>
      </w:pPr>
      <w:r w:rsidRPr="00653A97">
        <w:t>Frågan har inte tidigare varit föremål för samråd med EU-nämnden eller information i MJU.</w:t>
      </w:r>
    </w:p>
    <w:p w:rsidR="0091091E" w:rsidRPr="00653A97" w:rsidRDefault="0091091E" w:rsidP="0091091E"/>
    <w:p w:rsidR="00897823" w:rsidRPr="00653A97" w:rsidRDefault="00A81E41" w:rsidP="00897823">
      <w:pPr>
        <w:pStyle w:val="RKrubrik"/>
        <w:rPr>
          <w:color w:val="000000"/>
          <w:szCs w:val="24"/>
        </w:rPr>
      </w:pPr>
      <w:r w:rsidRPr="00653A97">
        <w:rPr>
          <w:color w:val="000000"/>
          <w:szCs w:val="24"/>
        </w:rPr>
        <w:t xml:space="preserve">5h) </w:t>
      </w:r>
      <w:r w:rsidR="00CE5F43" w:rsidRPr="00653A97">
        <w:rPr>
          <w:color w:val="000000"/>
          <w:szCs w:val="24"/>
        </w:rPr>
        <w:t xml:space="preserve">(Ev.) </w:t>
      </w:r>
      <w:r w:rsidR="00897823" w:rsidRPr="00653A97">
        <w:rPr>
          <w:color w:val="000000"/>
          <w:szCs w:val="24"/>
        </w:rPr>
        <w:t xml:space="preserve">G20 – det franska ordförandeskapets arbete </w:t>
      </w:r>
    </w:p>
    <w:p w:rsidR="00897823" w:rsidRPr="00653A97" w:rsidRDefault="00897823" w:rsidP="00897823">
      <w:pPr>
        <w:pStyle w:val="RKnormal"/>
        <w:rPr>
          <w:b/>
          <w:i/>
        </w:rPr>
      </w:pPr>
      <w:r w:rsidRPr="00653A97">
        <w:rPr>
          <w:b/>
          <w:i/>
        </w:rPr>
        <w:t>– Information från Frankrike</w:t>
      </w:r>
    </w:p>
    <w:p w:rsidR="00897823" w:rsidRPr="00653A97" w:rsidRDefault="00897823" w:rsidP="00897823">
      <w:pPr>
        <w:pStyle w:val="RKnormal"/>
        <w:rPr>
          <w:b/>
          <w:bCs/>
          <w:i/>
          <w:iCs/>
        </w:rPr>
      </w:pPr>
    </w:p>
    <w:p w:rsidR="00897823" w:rsidRPr="00653A97" w:rsidRDefault="00897823" w:rsidP="00897823">
      <w:pPr>
        <w:pStyle w:val="RKnormal"/>
        <w:rPr>
          <w:i/>
          <w:iCs/>
        </w:rPr>
      </w:pPr>
      <w:r w:rsidRPr="00653A97">
        <w:rPr>
          <w:i/>
          <w:iCs/>
        </w:rPr>
        <w:t>Dokumentbeteckning</w:t>
      </w:r>
    </w:p>
    <w:p w:rsidR="00897823" w:rsidRPr="00653A97" w:rsidRDefault="00897823" w:rsidP="00897823">
      <w:pPr>
        <w:pStyle w:val="RKnormal"/>
        <w:rPr>
          <w:i/>
          <w:iCs/>
        </w:rPr>
      </w:pPr>
      <w:r w:rsidRPr="00653A97">
        <w:rPr>
          <w:i/>
          <w:iCs/>
        </w:rPr>
        <w:t>-</w:t>
      </w:r>
    </w:p>
    <w:p w:rsidR="00897823" w:rsidRPr="00653A97" w:rsidRDefault="00897823" w:rsidP="00897823">
      <w:pPr>
        <w:pStyle w:val="RKnormal"/>
        <w:rPr>
          <w:i/>
          <w:iCs/>
        </w:rPr>
      </w:pPr>
    </w:p>
    <w:p w:rsidR="00897823" w:rsidRPr="00653A97" w:rsidRDefault="00897823" w:rsidP="00897823">
      <w:pPr>
        <w:pStyle w:val="RKnormal"/>
        <w:rPr>
          <w:i/>
          <w:iCs/>
        </w:rPr>
      </w:pPr>
      <w:r w:rsidRPr="00653A97">
        <w:rPr>
          <w:i/>
          <w:iCs/>
        </w:rPr>
        <w:t>Rättslig grund</w:t>
      </w:r>
    </w:p>
    <w:p w:rsidR="00897823" w:rsidRPr="00653A97" w:rsidRDefault="00897823" w:rsidP="00897823">
      <w:pPr>
        <w:pStyle w:val="RKnormal"/>
      </w:pPr>
      <w:r w:rsidRPr="00653A97">
        <w:t>-</w:t>
      </w:r>
    </w:p>
    <w:p w:rsidR="00897823" w:rsidRPr="00653A97" w:rsidRDefault="00897823" w:rsidP="00897823">
      <w:pPr>
        <w:pStyle w:val="RKnormal"/>
        <w:rPr>
          <w:iCs/>
        </w:rPr>
      </w:pPr>
    </w:p>
    <w:p w:rsidR="00ED0919" w:rsidRPr="00653A97" w:rsidRDefault="00ED0919" w:rsidP="00897823">
      <w:pPr>
        <w:pStyle w:val="RKnormal"/>
        <w:rPr>
          <w:iCs/>
        </w:rPr>
      </w:pPr>
    </w:p>
    <w:p w:rsidR="00897823" w:rsidRPr="00653A97" w:rsidRDefault="00897823" w:rsidP="00897823">
      <w:pPr>
        <w:pStyle w:val="RKnormal"/>
        <w:rPr>
          <w:i/>
          <w:iCs/>
        </w:rPr>
      </w:pPr>
      <w:r w:rsidRPr="00653A97">
        <w:rPr>
          <w:i/>
          <w:iCs/>
        </w:rPr>
        <w:t>Bakgrund</w:t>
      </w:r>
    </w:p>
    <w:p w:rsidR="00897823" w:rsidRPr="00653A97" w:rsidRDefault="00897823" w:rsidP="00897823">
      <w:pPr>
        <w:pStyle w:val="RKnormal"/>
        <w:rPr>
          <w:lang w:eastAsia="sv-SE"/>
        </w:rPr>
      </w:pPr>
      <w:r w:rsidRPr="00653A97">
        <w:rPr>
          <w:lang w:eastAsia="sv-SE"/>
        </w:rPr>
        <w:t xml:space="preserve">Inom ramen för det franska ordförandeskapet i G20 </w:t>
      </w:r>
      <w:r w:rsidR="006C65C7" w:rsidRPr="00653A97">
        <w:rPr>
          <w:lang w:eastAsia="sv-SE"/>
        </w:rPr>
        <w:t xml:space="preserve">under 2011 </w:t>
      </w:r>
      <w:r w:rsidRPr="00653A97">
        <w:rPr>
          <w:lang w:eastAsia="sv-SE"/>
        </w:rPr>
        <w:t>fokuserar F</w:t>
      </w:r>
      <w:r w:rsidR="008B73B0" w:rsidRPr="00653A97">
        <w:rPr>
          <w:lang w:eastAsia="sv-SE"/>
        </w:rPr>
        <w:t>rankrike</w:t>
      </w:r>
      <w:r w:rsidRPr="00653A97">
        <w:rPr>
          <w:lang w:eastAsia="sv-SE"/>
        </w:rPr>
        <w:t xml:space="preserve"> bl.a. på livsmedelsförsörjning, råvarumarknaderna och då särskilt råvaruderivat, inklusive för jordbruksprodukter, i syfte att minska prisvariationer. Den 22-23 juni träffas G20:s jordbruksministrar och </w:t>
      </w:r>
      <w:r w:rsidR="008B73B0" w:rsidRPr="00653A97">
        <w:rPr>
          <w:lang w:eastAsia="sv-SE"/>
        </w:rPr>
        <w:t>Frankrikes</w:t>
      </w:r>
      <w:r w:rsidRPr="00653A97">
        <w:rPr>
          <w:lang w:eastAsia="sv-SE"/>
        </w:rPr>
        <w:t xml:space="preserve"> avsikt är att en åtgärdsplan antas som sedan ska beslutas på toppmötet i november när regeringscheferna träffas. Frågor som diskuteras är bl.a. att förbättra statistiken för produktion, konsumtion, lager liksom bevakning av relevanta policyförändringar, förbättra transparensen på de finansiella marknaderna och då inte minst för derivathandeln samt att öka investeringarna i utvecklingsländers jordbrukssektor.</w:t>
      </w:r>
    </w:p>
    <w:p w:rsidR="00897823" w:rsidRPr="00653A97" w:rsidRDefault="00897823" w:rsidP="00897823">
      <w:pPr>
        <w:pStyle w:val="RKnormal"/>
        <w:rPr>
          <w:lang w:eastAsia="sv-SE"/>
        </w:rPr>
      </w:pPr>
    </w:p>
    <w:p w:rsidR="00897823" w:rsidRPr="00653A97" w:rsidRDefault="00897823" w:rsidP="00897823">
      <w:pPr>
        <w:pStyle w:val="RKnormal"/>
        <w:rPr>
          <w:i/>
          <w:iCs/>
        </w:rPr>
      </w:pPr>
      <w:r w:rsidRPr="00653A97">
        <w:rPr>
          <w:i/>
          <w:iCs/>
        </w:rPr>
        <w:t>Förslag till svensk ståndpunkt</w:t>
      </w:r>
    </w:p>
    <w:p w:rsidR="005C60FD" w:rsidRPr="00653A97" w:rsidRDefault="00153547" w:rsidP="005C60FD">
      <w:pPr>
        <w:pStyle w:val="RKnormal"/>
        <w:rPr>
          <w:iCs/>
        </w:rPr>
      </w:pPr>
      <w:r w:rsidRPr="00653A97">
        <w:rPr>
          <w:iCs/>
        </w:rPr>
        <w:t xml:space="preserve">Regeringen </w:t>
      </w:r>
      <w:r w:rsidR="00897823" w:rsidRPr="00653A97">
        <w:rPr>
          <w:iCs/>
        </w:rPr>
        <w:t xml:space="preserve">stödjer Frankrikes fokus på livsmedelsförsörjning och råvarupriser liksom ambitionen att verka för ökad transparens på de fysiska råvarumarknaderna vad gäller pris, tillgång m.m., samt att öka transparensen på derivatmarknaden för råvaror. Ökad kunskap är värdefull och minskar risken för prisrörelser som inte har sin grund i </w:t>
      </w:r>
      <w:r w:rsidR="00773E25" w:rsidRPr="00653A97">
        <w:rPr>
          <w:iCs/>
        </w:rPr>
        <w:t>faktisk marknadssituation.</w:t>
      </w:r>
      <w:r w:rsidR="008E147C" w:rsidRPr="00653A97">
        <w:rPr>
          <w:iCs/>
        </w:rPr>
        <w:t xml:space="preserve"> </w:t>
      </w:r>
      <w:r w:rsidR="005C60FD" w:rsidRPr="00653A97">
        <w:rPr>
          <w:iCs/>
        </w:rPr>
        <w:t>Regeringen stödjer även förslag</w:t>
      </w:r>
      <w:r w:rsidR="0009002E" w:rsidRPr="00653A97">
        <w:rPr>
          <w:iCs/>
        </w:rPr>
        <w:t>et</w:t>
      </w:r>
      <w:r w:rsidR="005C60FD" w:rsidRPr="00653A97">
        <w:rPr>
          <w:iCs/>
        </w:rPr>
        <w:t xml:space="preserve"> om att begränsa införande av exportrestriktioner. </w:t>
      </w:r>
      <w:r w:rsidR="0009002E" w:rsidRPr="00653A97">
        <w:rPr>
          <w:iCs/>
        </w:rPr>
        <w:t>Förslaget</w:t>
      </w:r>
      <w:r w:rsidR="005C60FD" w:rsidRPr="00653A97">
        <w:rPr>
          <w:iCs/>
        </w:rPr>
        <w:t xml:space="preserve"> har hittills inte vunnit gehör inom hela G20-kretsen.</w:t>
      </w:r>
    </w:p>
    <w:p w:rsidR="00897823" w:rsidRPr="00653A97" w:rsidRDefault="00897823" w:rsidP="00897823">
      <w:pPr>
        <w:pStyle w:val="RKnormal"/>
        <w:rPr>
          <w:i/>
          <w:iCs/>
        </w:rPr>
      </w:pPr>
    </w:p>
    <w:p w:rsidR="00897823" w:rsidRPr="00653A97" w:rsidRDefault="00897823" w:rsidP="00897823">
      <w:pPr>
        <w:pStyle w:val="RKnormal"/>
        <w:rPr>
          <w:i/>
          <w:iCs/>
        </w:rPr>
      </w:pPr>
      <w:r w:rsidRPr="00653A97">
        <w:rPr>
          <w:i/>
          <w:iCs/>
        </w:rPr>
        <w:t>EU-nämnden</w:t>
      </w:r>
    </w:p>
    <w:p w:rsidR="00363E81" w:rsidRPr="00653A97" w:rsidRDefault="00897823" w:rsidP="00363E81">
      <w:r w:rsidRPr="00653A97">
        <w:t>Frågan har inte varit uppe för samråd med EU-nämnden</w:t>
      </w:r>
      <w:r w:rsidR="003E1BDA" w:rsidRPr="00653A97">
        <w:t xml:space="preserve"> eller information i MJU</w:t>
      </w:r>
      <w:r w:rsidR="005D02D0" w:rsidRPr="00653A97">
        <w:t>.</w:t>
      </w:r>
    </w:p>
    <w:p w:rsidR="00363E81" w:rsidRPr="00653A97" w:rsidRDefault="00363E81" w:rsidP="00363E81"/>
    <w:p w:rsidR="00363E81" w:rsidRPr="00653A97" w:rsidRDefault="00363E81" w:rsidP="00363E81"/>
    <w:sectPr w:rsidR="00363E81" w:rsidRPr="00653A97" w:rsidSect="00C31E4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4AD" w:rsidRPr="00653A97" w:rsidRDefault="009314AD">
      <w:r w:rsidRPr="00653A97">
        <w:separator/>
      </w:r>
    </w:p>
  </w:endnote>
  <w:endnote w:type="continuationSeparator" w:id="0">
    <w:p w:rsidR="009314AD" w:rsidRPr="00653A97" w:rsidRDefault="009314AD">
      <w:r w:rsidRPr="00653A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4AD" w:rsidRPr="00653A97" w:rsidRDefault="009314AD">
      <w:r w:rsidRPr="00653A97">
        <w:separator/>
      </w:r>
    </w:p>
  </w:footnote>
  <w:footnote w:type="continuationSeparator" w:id="0">
    <w:p w:rsidR="009314AD" w:rsidRPr="00653A97" w:rsidRDefault="009314AD">
      <w:r w:rsidRPr="00653A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AD" w:rsidRPr="00653A97" w:rsidRDefault="009314AD" w:rsidP="00C31E4A">
    <w:pPr>
      <w:pStyle w:val="Sidhuvud"/>
      <w:framePr w:wrap="around" w:vAnchor="text" w:hAnchor="margin" w:xAlign="outside" w:y="1"/>
      <w:rPr>
        <w:rStyle w:val="Sidnummer"/>
        <w:rPrChange w:id="0" w:author="Lars Brink" w:date="2025-12-18T04:57:00Z" w16du:dateUtc="2025-12-18T03:57:00Z">
          <w:rPr>
            <w:rStyle w:val="Sidnummer"/>
          </w:rPr>
        </w:rPrChange>
      </w:rPr>
    </w:pPr>
    <w:r w:rsidRPr="00653A97">
      <w:rPr>
        <w:rStyle w:val="Sidnummer"/>
      </w:rPr>
      <w:fldChar w:fldCharType="begin" w:fldLock="1"/>
    </w:r>
    <w:r w:rsidRPr="00653A97">
      <w:rPr>
        <w:rStyle w:val="Sidnummer"/>
      </w:rPr>
      <w:instrText xml:space="preserve">PAGE  </w:instrText>
    </w:r>
    <w:r w:rsidRPr="00653A97">
      <w:rPr>
        <w:rStyle w:val="Sidnummer"/>
      </w:rPr>
      <w:fldChar w:fldCharType="separate"/>
    </w:r>
    <w:r w:rsidR="008B0DDF" w:rsidRPr="00653A97">
      <w:rPr>
        <w:rStyle w:val="Sidnummer"/>
        <w:rPrChange w:id="1" w:author="Lars Brink" w:date="2025-12-18T04:57:00Z" w16du:dateUtc="2025-12-18T03:57:00Z">
          <w:rPr>
            <w:rStyle w:val="Sidnummer"/>
            <w:noProof/>
          </w:rPr>
        </w:rPrChange>
      </w:rPr>
      <w:t>8</w:t>
    </w:r>
    <w:r w:rsidRPr="00653A97">
      <w:rPr>
        <w:rStyle w:val="Sidnummer"/>
        <w:rPrChange w:id="2" w:author="Lars Brink" w:date="2025-12-18T04:57:00Z" w16du:dateUtc="2025-12-18T03:57: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9314AD" w:rsidRPr="00653A97">
      <w:tblPrEx>
        <w:tblCellMar>
          <w:top w:w="0" w:type="dxa"/>
          <w:bottom w:w="0" w:type="dxa"/>
        </w:tblCellMar>
      </w:tblPrEx>
      <w:trPr>
        <w:cantSplit/>
      </w:trPr>
      <w:tc>
        <w:tcPr>
          <w:tcW w:w="3119" w:type="dxa"/>
        </w:tcPr>
        <w:p w:rsidR="009314AD" w:rsidRPr="00653A97" w:rsidRDefault="009314AD" w:rsidP="00C31E4A">
          <w:pPr>
            <w:pStyle w:val="Sidhuvud"/>
            <w:spacing w:line="200" w:lineRule="atLeast"/>
            <w:ind w:right="360" w:firstLine="360"/>
            <w:rPr>
              <w:rFonts w:ascii="TradeGothic" w:hAnsi="TradeGothic"/>
              <w:b/>
              <w:bCs/>
              <w:sz w:val="16"/>
              <w:rPrChange w:id="3" w:author="Lars Brink" w:date="2025-12-18T04:57:00Z" w16du:dateUtc="2025-12-18T03:57:00Z">
                <w:rPr>
                  <w:rFonts w:ascii="TradeGothic" w:hAnsi="TradeGothic"/>
                  <w:b/>
                  <w:bCs/>
                  <w:sz w:val="16"/>
                </w:rPr>
              </w:rPrChange>
            </w:rPr>
          </w:pPr>
        </w:p>
      </w:tc>
      <w:tc>
        <w:tcPr>
          <w:tcW w:w="4111" w:type="dxa"/>
          <w:tcMar>
            <w:left w:w="567" w:type="dxa"/>
          </w:tcMar>
        </w:tcPr>
        <w:p w:rsidR="009314AD" w:rsidRPr="00653A97" w:rsidRDefault="009314AD">
          <w:pPr>
            <w:pStyle w:val="Sidhuvud"/>
            <w:ind w:right="360"/>
            <w:rPr>
              <w:rPrChange w:id="4" w:author="Lars Brink" w:date="2025-12-18T04:57:00Z" w16du:dateUtc="2025-12-18T03:57:00Z">
                <w:rPr/>
              </w:rPrChange>
            </w:rPr>
          </w:pPr>
        </w:p>
      </w:tc>
      <w:tc>
        <w:tcPr>
          <w:tcW w:w="1525" w:type="dxa"/>
        </w:tcPr>
        <w:p w:rsidR="009314AD" w:rsidRPr="00653A97" w:rsidRDefault="009314AD">
          <w:pPr>
            <w:pStyle w:val="Sidhuvud"/>
            <w:ind w:right="360"/>
            <w:rPr>
              <w:rPrChange w:id="5" w:author="Lars Brink" w:date="2025-12-18T04:57:00Z" w16du:dateUtc="2025-12-18T03:57:00Z">
                <w:rPr/>
              </w:rPrChange>
            </w:rPr>
          </w:pPr>
        </w:p>
      </w:tc>
    </w:tr>
  </w:tbl>
  <w:p w:rsidR="009314AD" w:rsidRPr="00653A97" w:rsidRDefault="009314AD">
    <w:pPr>
      <w:pStyle w:val="Sidhuvud"/>
      <w:ind w:right="357" w:firstLine="357"/>
      <w:rPr>
        <w:rPrChange w:id="6" w:author="Lars Brink" w:date="2025-12-18T04:57:00Z" w16du:dateUtc="2025-12-18T03:57: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AD" w:rsidRPr="00653A97" w:rsidRDefault="009314AD" w:rsidP="00C31E4A">
    <w:pPr>
      <w:pStyle w:val="Sidhuvud"/>
      <w:framePr w:wrap="around" w:vAnchor="text" w:hAnchor="margin" w:xAlign="outside" w:y="1"/>
      <w:rPr>
        <w:rStyle w:val="Sidnummer"/>
        <w:rPrChange w:id="7" w:author="Lars Brink" w:date="2025-12-18T04:57:00Z" w16du:dateUtc="2025-12-18T03:57:00Z">
          <w:rPr>
            <w:rStyle w:val="Sidnummer"/>
          </w:rPr>
        </w:rPrChange>
      </w:rPr>
    </w:pPr>
    <w:r w:rsidRPr="00653A97">
      <w:rPr>
        <w:rStyle w:val="Sidnummer"/>
      </w:rPr>
      <w:fldChar w:fldCharType="begin" w:fldLock="1"/>
    </w:r>
    <w:r w:rsidRPr="00653A97">
      <w:rPr>
        <w:rStyle w:val="Sidnummer"/>
      </w:rPr>
      <w:instrText xml:space="preserve">PAGE  </w:instrText>
    </w:r>
    <w:r w:rsidRPr="00653A97">
      <w:rPr>
        <w:rStyle w:val="Sidnummer"/>
      </w:rPr>
      <w:fldChar w:fldCharType="separate"/>
    </w:r>
    <w:r w:rsidR="008B0DDF" w:rsidRPr="00653A97">
      <w:rPr>
        <w:rStyle w:val="Sidnummer"/>
        <w:rPrChange w:id="8" w:author="Lars Brink" w:date="2025-12-18T04:57:00Z" w16du:dateUtc="2025-12-18T03:57:00Z">
          <w:rPr>
            <w:rStyle w:val="Sidnummer"/>
            <w:noProof/>
          </w:rPr>
        </w:rPrChange>
      </w:rPr>
      <w:t>7</w:t>
    </w:r>
    <w:r w:rsidRPr="00653A97">
      <w:rPr>
        <w:rStyle w:val="Sidnummer"/>
        <w:rPrChange w:id="9" w:author="Lars Brink" w:date="2025-12-18T04:57:00Z" w16du:dateUtc="2025-12-18T03:57: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9314AD" w:rsidRPr="00653A97">
      <w:tblPrEx>
        <w:tblCellMar>
          <w:top w:w="0" w:type="dxa"/>
          <w:bottom w:w="0" w:type="dxa"/>
        </w:tblCellMar>
      </w:tblPrEx>
      <w:trPr>
        <w:cantSplit/>
      </w:trPr>
      <w:tc>
        <w:tcPr>
          <w:tcW w:w="3119" w:type="dxa"/>
        </w:tcPr>
        <w:p w:rsidR="009314AD" w:rsidRPr="00653A97" w:rsidRDefault="009314AD" w:rsidP="00C31E4A">
          <w:pPr>
            <w:pStyle w:val="Sidhuvud"/>
            <w:spacing w:line="200" w:lineRule="atLeast"/>
            <w:ind w:right="360" w:firstLine="360"/>
            <w:rPr>
              <w:rFonts w:ascii="TradeGothic" w:hAnsi="TradeGothic"/>
              <w:b/>
              <w:bCs/>
              <w:sz w:val="16"/>
              <w:rPrChange w:id="10" w:author="Lars Brink" w:date="2025-12-18T04:57:00Z" w16du:dateUtc="2025-12-18T03:57:00Z">
                <w:rPr>
                  <w:rFonts w:ascii="TradeGothic" w:hAnsi="TradeGothic"/>
                  <w:b/>
                  <w:bCs/>
                  <w:sz w:val="16"/>
                </w:rPr>
              </w:rPrChange>
            </w:rPr>
          </w:pPr>
        </w:p>
      </w:tc>
      <w:tc>
        <w:tcPr>
          <w:tcW w:w="4111" w:type="dxa"/>
          <w:tcMar>
            <w:left w:w="567" w:type="dxa"/>
          </w:tcMar>
        </w:tcPr>
        <w:p w:rsidR="009314AD" w:rsidRPr="00653A97" w:rsidRDefault="009314AD">
          <w:pPr>
            <w:pStyle w:val="Sidhuvud"/>
            <w:ind w:right="360"/>
            <w:rPr>
              <w:rPrChange w:id="11" w:author="Lars Brink" w:date="2025-12-18T04:57:00Z" w16du:dateUtc="2025-12-18T03:57:00Z">
                <w:rPr/>
              </w:rPrChange>
            </w:rPr>
          </w:pPr>
        </w:p>
      </w:tc>
      <w:tc>
        <w:tcPr>
          <w:tcW w:w="1525" w:type="dxa"/>
        </w:tcPr>
        <w:p w:rsidR="009314AD" w:rsidRPr="00653A97" w:rsidRDefault="009314AD">
          <w:pPr>
            <w:pStyle w:val="Sidhuvud"/>
            <w:ind w:right="360"/>
            <w:rPr>
              <w:rPrChange w:id="12" w:author="Lars Brink" w:date="2025-12-18T04:57:00Z" w16du:dateUtc="2025-12-18T03:57:00Z">
                <w:rPr/>
              </w:rPrChange>
            </w:rPr>
          </w:pPr>
        </w:p>
      </w:tc>
    </w:tr>
  </w:tbl>
  <w:p w:rsidR="009314AD" w:rsidRPr="00653A97" w:rsidRDefault="009314AD">
    <w:pPr>
      <w:pStyle w:val="Sidhuvud"/>
      <w:ind w:right="357" w:firstLine="357"/>
      <w:rPr>
        <w:rPrChange w:id="13" w:author="Lars Brink" w:date="2025-12-18T04:57:00Z" w16du:dateUtc="2025-12-18T03:57: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4AD" w:rsidRPr="00653A97" w:rsidRDefault="00653A97">
    <w:pPr>
      <w:framePr w:w="2948" w:h="1321" w:hRule="exact" w:wrap="notBeside" w:vAnchor="page" w:hAnchor="page" w:x="1362" w:y="653"/>
    </w:pPr>
    <w:r w:rsidRPr="00653A9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14AD" w:rsidRPr="00653A97" w:rsidRDefault="009314AD">
    <w:pPr>
      <w:pStyle w:val="RKrubrik"/>
      <w:keepNext w:val="0"/>
      <w:tabs>
        <w:tab w:val="clear" w:pos="1134"/>
        <w:tab w:val="clear" w:pos="2835"/>
      </w:tabs>
      <w:spacing w:before="0" w:after="0" w:line="320" w:lineRule="atLeast"/>
      <w:rPr>
        <w:bCs/>
      </w:rPr>
    </w:pPr>
  </w:p>
  <w:p w:rsidR="009314AD" w:rsidRPr="00653A97" w:rsidRDefault="009314AD">
    <w:pPr>
      <w:rPr>
        <w:rFonts w:ascii="TradeGothic" w:hAnsi="TradeGothic"/>
        <w:b/>
        <w:bCs/>
        <w:spacing w:val="12"/>
        <w:sz w:val="22"/>
      </w:rPr>
    </w:pPr>
  </w:p>
  <w:p w:rsidR="009314AD" w:rsidRPr="00653A97" w:rsidRDefault="009314AD">
    <w:pPr>
      <w:pStyle w:val="RKrubrik"/>
      <w:keepNext w:val="0"/>
      <w:tabs>
        <w:tab w:val="clear" w:pos="1134"/>
        <w:tab w:val="clear" w:pos="2835"/>
      </w:tabs>
      <w:spacing w:before="0" w:after="0" w:line="320" w:lineRule="atLeast"/>
      <w:rPr>
        <w:bCs/>
      </w:rPr>
    </w:pPr>
  </w:p>
  <w:p w:rsidR="009314AD" w:rsidRPr="00653A97" w:rsidRDefault="009314AD">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C31E4A"/>
    <w:rsid w:val="0003330B"/>
    <w:rsid w:val="0009002E"/>
    <w:rsid w:val="000D3685"/>
    <w:rsid w:val="00150384"/>
    <w:rsid w:val="00153547"/>
    <w:rsid w:val="001805B7"/>
    <w:rsid w:val="00207593"/>
    <w:rsid w:val="002574EC"/>
    <w:rsid w:val="002D21A9"/>
    <w:rsid w:val="002E7E1A"/>
    <w:rsid w:val="003010E3"/>
    <w:rsid w:val="0033048A"/>
    <w:rsid w:val="00363E81"/>
    <w:rsid w:val="003C6343"/>
    <w:rsid w:val="003E1BDA"/>
    <w:rsid w:val="00430783"/>
    <w:rsid w:val="00430EDA"/>
    <w:rsid w:val="004A328D"/>
    <w:rsid w:val="004B7D61"/>
    <w:rsid w:val="00577999"/>
    <w:rsid w:val="0058762B"/>
    <w:rsid w:val="0059011A"/>
    <w:rsid w:val="005A5EA6"/>
    <w:rsid w:val="005C60FD"/>
    <w:rsid w:val="005D02D0"/>
    <w:rsid w:val="00653A97"/>
    <w:rsid w:val="006C65C7"/>
    <w:rsid w:val="006E4E11"/>
    <w:rsid w:val="006F0F75"/>
    <w:rsid w:val="007242A3"/>
    <w:rsid w:val="00742D97"/>
    <w:rsid w:val="007458F7"/>
    <w:rsid w:val="00773E25"/>
    <w:rsid w:val="007A6855"/>
    <w:rsid w:val="00814C83"/>
    <w:rsid w:val="008348E6"/>
    <w:rsid w:val="00897823"/>
    <w:rsid w:val="008B0DDF"/>
    <w:rsid w:val="008B6710"/>
    <w:rsid w:val="008B73B0"/>
    <w:rsid w:val="008C368F"/>
    <w:rsid w:val="008D65D1"/>
    <w:rsid w:val="008E147C"/>
    <w:rsid w:val="0091091E"/>
    <w:rsid w:val="009314AD"/>
    <w:rsid w:val="00983F02"/>
    <w:rsid w:val="00A00861"/>
    <w:rsid w:val="00A02A78"/>
    <w:rsid w:val="00A81E41"/>
    <w:rsid w:val="00A9308F"/>
    <w:rsid w:val="00AA60BE"/>
    <w:rsid w:val="00B20FEA"/>
    <w:rsid w:val="00B91457"/>
    <w:rsid w:val="00BF680C"/>
    <w:rsid w:val="00C31E4A"/>
    <w:rsid w:val="00C75B80"/>
    <w:rsid w:val="00C77193"/>
    <w:rsid w:val="00CA5D09"/>
    <w:rsid w:val="00CD4A59"/>
    <w:rsid w:val="00CE5F43"/>
    <w:rsid w:val="00D133D7"/>
    <w:rsid w:val="00D41159"/>
    <w:rsid w:val="00D57796"/>
    <w:rsid w:val="00D869C1"/>
    <w:rsid w:val="00DA6762"/>
    <w:rsid w:val="00DC6A07"/>
    <w:rsid w:val="00DD5E60"/>
    <w:rsid w:val="00DE1F1C"/>
    <w:rsid w:val="00E23A14"/>
    <w:rsid w:val="00E242B9"/>
    <w:rsid w:val="00E4221C"/>
    <w:rsid w:val="00E82981"/>
    <w:rsid w:val="00EB2FFD"/>
    <w:rsid w:val="00EC25F9"/>
    <w:rsid w:val="00EC2DB8"/>
    <w:rsid w:val="00ED0919"/>
    <w:rsid w:val="00ED583F"/>
    <w:rsid w:val="00FC5C2A"/>
    <w:rsid w:val="00FE1AA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B449AD-9959-4FFC-8268-DD66230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31E4A"/>
    <w:rPr>
      <w:rFonts w:ascii="OrigGarmnd BT" w:hAnsi="OrigGarmnd BT"/>
      <w:sz w:val="24"/>
      <w:lang w:val="sv-SE" w:eastAsia="en-US" w:bidi="ar-SA"/>
    </w:rPr>
  </w:style>
  <w:style w:type="character" w:customStyle="1" w:styleId="RKrubrikChar">
    <w:name w:val="RKrubrik Char"/>
    <w:basedOn w:val="Standardstycketeckensnitt"/>
    <w:link w:val="RKrubrik"/>
    <w:locked/>
    <w:rsid w:val="00C31E4A"/>
    <w:rPr>
      <w:rFonts w:ascii="TradeGothic" w:hAnsi="TradeGothic"/>
      <w:b/>
      <w:sz w:val="22"/>
      <w:lang w:val="sv-SE" w:eastAsia="en-US" w:bidi="ar-SA"/>
    </w:rPr>
  </w:style>
  <w:style w:type="paragraph" w:styleId="Fotnotstext">
    <w:name w:val="footnote text"/>
    <w:basedOn w:val="Normal"/>
    <w:semiHidden/>
    <w:rsid w:val="00C31E4A"/>
    <w:rPr>
      <w:sz w:val="20"/>
    </w:rPr>
  </w:style>
  <w:style w:type="character" w:styleId="Fotnotsreferens">
    <w:name w:val="footnote reference"/>
    <w:basedOn w:val="Standardstycketeckensnitt"/>
    <w:semiHidden/>
    <w:rsid w:val="00C31E4A"/>
    <w:rPr>
      <w:vertAlign w:val="superscript"/>
    </w:rPr>
  </w:style>
  <w:style w:type="paragraph" w:styleId="Revision">
    <w:name w:val="Revision"/>
    <w:hidden/>
    <w:uiPriority w:val="99"/>
    <w:semiHidden/>
    <w:rsid w:val="00653A97"/>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1777</Words>
  <Characters>11358</Characters>
  <Application>Microsoft Office Word</Application>
  <DocSecurity>4</DocSecurity>
  <Lines>354</Lines>
  <Paragraphs>138</Paragraphs>
  <ScaleCrop>false</ScaleCrop>
  <HeadingPairs>
    <vt:vector size="2" baseType="variant">
      <vt:variant>
        <vt:lpstr>Rubrik</vt:lpstr>
      </vt:variant>
      <vt:variant>
        <vt:i4>1</vt:i4>
      </vt:variant>
    </vt:vector>
  </HeadingPairs>
  <TitlesOfParts>
    <vt:vector size="1" baseType="lpstr">
      <vt:lpstr>aa</vt:lpstr>
    </vt:vector>
  </TitlesOfParts>
  <Company>Regeringskansliet</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c:title>
  <dc:subject>aa</dc:subject>
  <dc:creator>Riksdagen</dc:creator>
  <cp:keywords>Riksdagen</cp:keywords>
  <dc:description/>
  <cp:lastModifiedBy>Lars Brink</cp:lastModifiedBy>
  <cp:revision>2</cp:revision>
  <cp:lastPrinted>2011-05-09T09:46:00Z</cp:lastPrinted>
  <dcterms:created xsi:type="dcterms:W3CDTF">2025-12-18T03:57:00Z</dcterms:created>
  <dcterms:modified xsi:type="dcterms:W3CDTF">2025-12-18T03:57:00Z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Landsbygdsdepartementet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