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15EF" w:rsidRPr="003415EF" w:rsidRDefault="003415EF">
      <w:pPr>
        <w:pStyle w:val="Frslagsrubrik"/>
        <w:shd w:val="clear" w:color="000000" w:fill="auto"/>
      </w:pPr>
      <w:r w:rsidRPr="003415EF">
        <w:t>Förslag till riksdagsbeslut</w:t>
      </w:r>
    </w:p>
    <w:p w:rsidR="003415EF" w:rsidRPr="003415EF" w:rsidRDefault="003415EF">
      <w:pPr>
        <w:pStyle w:val="Hemstlatt"/>
        <w:numPr>
          <w:ilvl w:val="0"/>
          <w:numId w:val="1"/>
        </w:numPr>
        <w:shd w:val="clear" w:color="000000" w:fill="auto"/>
      </w:pPr>
      <w:r w:rsidRPr="003415EF">
        <w:t>Riksdagen anvisar med följande ändringar i förhållande till regeringens förslag anslagen 2011 under utgiftsomr</w:t>
      </w:r>
      <w:r w:rsidRPr="003415EF">
        <w:t>å</w:t>
      </w:r>
      <w:r w:rsidRPr="003415EF">
        <w:t>de 2 Samhällsekonomi och finansförvaltning enligt uppstäl</w:t>
      </w:r>
      <w:r w:rsidRPr="003415EF">
        <w:t>l</w:t>
      </w:r>
      <w:r w:rsidRPr="003415EF">
        <w:t>ning:</w:t>
      </w:r>
    </w:p>
    <w:tbl>
      <w:tblPr>
        <w:tblW w:w="5954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160"/>
        <w:gridCol w:w="1920"/>
        <w:gridCol w:w="1379"/>
      </w:tblGrid>
      <w:tr w:rsidR="00000000" w:rsidRPr="003415EF"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415EF" w:rsidRPr="003415EF" w:rsidRDefault="003415EF">
            <w:pPr>
              <w:shd w:val="clear" w:color="000000" w:fill="auto"/>
              <w:spacing w:before="60" w:line="200" w:lineRule="atLeast"/>
              <w:jc w:val="center"/>
              <w:rPr>
                <w:b/>
                <w:bCs/>
                <w:sz w:val="16"/>
                <w:szCs w:val="16"/>
              </w:rPr>
            </w:pPr>
            <w:r w:rsidRPr="003415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15EF" w:rsidRPr="003415EF" w:rsidRDefault="003415EF">
            <w:pPr>
              <w:shd w:val="clear" w:color="000000" w:fill="auto"/>
              <w:spacing w:before="60" w:line="200" w:lineRule="atLeast"/>
              <w:rPr>
                <w:b/>
                <w:bCs/>
                <w:sz w:val="16"/>
                <w:szCs w:val="16"/>
              </w:rPr>
            </w:pPr>
            <w:r w:rsidRPr="003415EF">
              <w:rPr>
                <w:b/>
                <w:bCs/>
                <w:sz w:val="16"/>
                <w:szCs w:val="16"/>
              </w:rPr>
              <w:t> Anslag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15EF" w:rsidRPr="003415EF" w:rsidRDefault="003415EF">
            <w:pPr>
              <w:shd w:val="clear" w:color="000000" w:fill="auto"/>
              <w:spacing w:before="60" w:line="200" w:lineRule="atLeast"/>
              <w:jc w:val="right"/>
              <w:rPr>
                <w:b/>
                <w:bCs/>
                <w:sz w:val="16"/>
                <w:szCs w:val="16"/>
              </w:rPr>
            </w:pPr>
            <w:r w:rsidRPr="003415EF">
              <w:rPr>
                <w:b/>
                <w:bCs/>
                <w:sz w:val="16"/>
                <w:szCs w:val="16"/>
              </w:rPr>
              <w:t>Regeringens förslag (tkr)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415EF" w:rsidRPr="003415EF" w:rsidRDefault="003415EF">
            <w:pPr>
              <w:shd w:val="clear" w:color="000000" w:fill="auto"/>
              <w:spacing w:before="60" w:line="200" w:lineRule="atLeast"/>
              <w:jc w:val="right"/>
              <w:rPr>
                <w:b/>
                <w:bCs/>
                <w:sz w:val="16"/>
                <w:szCs w:val="16"/>
              </w:rPr>
            </w:pPr>
            <w:r w:rsidRPr="003415EF">
              <w:rPr>
                <w:b/>
                <w:bCs/>
                <w:sz w:val="16"/>
                <w:szCs w:val="16"/>
              </w:rPr>
              <w:t>Förändring (tkr)</w:t>
            </w:r>
          </w:p>
        </w:tc>
      </w:tr>
      <w:tr w:rsidR="00000000" w:rsidRPr="003415E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15EF" w:rsidRPr="003415EF" w:rsidRDefault="003415EF">
            <w:pPr>
              <w:shd w:val="clear" w:color="000000" w:fill="auto"/>
              <w:spacing w:before="60" w:line="200" w:lineRule="atLeast"/>
              <w:rPr>
                <w:sz w:val="16"/>
                <w:szCs w:val="16"/>
              </w:rPr>
            </w:pPr>
            <w:r w:rsidRPr="003415EF">
              <w:rPr>
                <w:sz w:val="16"/>
                <w:szCs w:val="16"/>
              </w:rPr>
              <w:t>1:2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5EF" w:rsidRPr="003415EF" w:rsidRDefault="003415EF">
            <w:pPr>
              <w:shd w:val="clear" w:color="000000" w:fill="auto"/>
              <w:spacing w:before="60" w:line="200" w:lineRule="atLeast"/>
              <w:rPr>
                <w:sz w:val="16"/>
                <w:szCs w:val="16"/>
              </w:rPr>
            </w:pPr>
            <w:r w:rsidRPr="003415EF">
              <w:rPr>
                <w:sz w:val="16"/>
                <w:szCs w:val="16"/>
              </w:rPr>
              <w:t>Kammarkollegiet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15EF" w:rsidRPr="003415EF" w:rsidRDefault="003415EF">
            <w:pPr>
              <w:shd w:val="clear" w:color="000000" w:fill="auto"/>
              <w:spacing w:before="60" w:line="200" w:lineRule="atLeast"/>
              <w:jc w:val="right"/>
              <w:rPr>
                <w:sz w:val="16"/>
                <w:szCs w:val="16"/>
              </w:rPr>
            </w:pPr>
            <w:r w:rsidRPr="003415EF">
              <w:rPr>
                <w:sz w:val="16"/>
                <w:szCs w:val="16"/>
              </w:rPr>
              <w:t>79 406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15EF" w:rsidRPr="003415EF" w:rsidRDefault="003415EF">
            <w:pPr>
              <w:shd w:val="clear" w:color="000000" w:fill="auto"/>
              <w:spacing w:before="60" w:line="200" w:lineRule="atLeast"/>
              <w:jc w:val="right"/>
              <w:rPr>
                <w:sz w:val="16"/>
                <w:szCs w:val="16"/>
              </w:rPr>
            </w:pPr>
            <w:r w:rsidRPr="003415EF">
              <w:rPr>
                <w:sz w:val="16"/>
                <w:szCs w:val="16"/>
              </w:rPr>
              <w:t>–5 000</w:t>
            </w:r>
          </w:p>
        </w:tc>
      </w:tr>
      <w:tr w:rsidR="00000000" w:rsidRPr="003415E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415EF" w:rsidRPr="003415EF" w:rsidRDefault="003415EF">
            <w:pPr>
              <w:shd w:val="clear" w:color="000000" w:fill="auto"/>
              <w:spacing w:before="60" w:line="200" w:lineRule="atLeast"/>
              <w:rPr>
                <w:sz w:val="16"/>
                <w:szCs w:val="16"/>
              </w:rPr>
            </w:pPr>
            <w:r w:rsidRPr="003415EF">
              <w:rPr>
                <w:sz w:val="16"/>
                <w:szCs w:val="16"/>
              </w:rPr>
              <w:t>Nytt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5EF" w:rsidRPr="003415EF" w:rsidRDefault="003415EF">
            <w:pPr>
              <w:shd w:val="clear" w:color="000000" w:fill="auto"/>
              <w:spacing w:before="60" w:line="200" w:lineRule="atLeast"/>
              <w:rPr>
                <w:sz w:val="16"/>
                <w:szCs w:val="16"/>
              </w:rPr>
            </w:pPr>
            <w:r w:rsidRPr="003415EF">
              <w:rPr>
                <w:sz w:val="16"/>
                <w:szCs w:val="16"/>
              </w:rPr>
              <w:t>Effektivisering av myndigheter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15EF" w:rsidRPr="003415EF" w:rsidRDefault="003415EF">
            <w:pPr>
              <w:shd w:val="clear" w:color="000000" w:fill="auto"/>
              <w:spacing w:before="60" w:line="200" w:lineRule="atLeast"/>
              <w:jc w:val="right"/>
              <w:rPr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15EF" w:rsidRPr="003415EF" w:rsidRDefault="003415EF">
            <w:pPr>
              <w:shd w:val="clear" w:color="000000" w:fill="auto"/>
              <w:spacing w:before="60" w:line="200" w:lineRule="atLeast"/>
              <w:jc w:val="right"/>
              <w:rPr>
                <w:sz w:val="16"/>
                <w:szCs w:val="16"/>
              </w:rPr>
            </w:pPr>
            <w:r w:rsidRPr="003415EF">
              <w:rPr>
                <w:sz w:val="16"/>
                <w:szCs w:val="16"/>
              </w:rPr>
              <w:t>–800 000</w:t>
            </w:r>
          </w:p>
        </w:tc>
      </w:tr>
      <w:tr w:rsidR="00000000" w:rsidRPr="003415EF"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15EF" w:rsidRPr="003415EF" w:rsidRDefault="003415EF">
            <w:pPr>
              <w:shd w:val="clear" w:color="000000" w:fill="auto"/>
              <w:spacing w:before="60" w:line="200" w:lineRule="atLeas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5EF" w:rsidRPr="003415EF" w:rsidRDefault="003415EF">
            <w:pPr>
              <w:shd w:val="clear" w:color="000000" w:fill="auto"/>
              <w:spacing w:before="60" w:line="200" w:lineRule="atLeast"/>
              <w:rPr>
                <w:b/>
                <w:bCs/>
                <w:sz w:val="16"/>
                <w:szCs w:val="16"/>
              </w:rPr>
            </w:pPr>
            <w:r w:rsidRPr="003415EF">
              <w:rPr>
                <w:b/>
                <w:bCs/>
                <w:sz w:val="16"/>
                <w:szCs w:val="16"/>
              </w:rPr>
              <w:t>Summa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15EF" w:rsidRPr="003415EF" w:rsidRDefault="003415EF">
            <w:pPr>
              <w:shd w:val="clear" w:color="000000" w:fill="auto"/>
              <w:spacing w:before="60" w:line="200" w:lineRule="atLeast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15EF" w:rsidRPr="003415EF" w:rsidRDefault="003415EF">
            <w:pPr>
              <w:shd w:val="clear" w:color="000000" w:fill="auto"/>
              <w:spacing w:before="60" w:line="200" w:lineRule="atLeast"/>
              <w:jc w:val="right"/>
              <w:rPr>
                <w:b/>
                <w:bCs/>
                <w:sz w:val="16"/>
                <w:szCs w:val="16"/>
              </w:rPr>
            </w:pPr>
            <w:r w:rsidRPr="003415EF">
              <w:rPr>
                <w:b/>
                <w:sz w:val="16"/>
                <w:szCs w:val="16"/>
              </w:rPr>
              <w:t>–80</w:t>
            </w:r>
            <w:r w:rsidRPr="003415EF">
              <w:rPr>
                <w:b/>
                <w:bCs/>
                <w:sz w:val="16"/>
                <w:szCs w:val="16"/>
              </w:rPr>
              <w:t>5 000</w:t>
            </w:r>
          </w:p>
        </w:tc>
      </w:tr>
    </w:tbl>
    <w:p w:rsidR="003415EF" w:rsidRPr="003415EF" w:rsidRDefault="003415EF">
      <w:pPr>
        <w:pStyle w:val="Hemstlatt"/>
        <w:numPr>
          <w:ilvl w:val="0"/>
          <w:numId w:val="1"/>
        </w:numPr>
        <w:shd w:val="clear" w:color="000000" w:fill="auto"/>
      </w:pPr>
      <w:r w:rsidRPr="003415EF">
        <w:t>Riksdagen tillkännager för regeringen som sin mening vad som anförs i motionen om att avbryta programmet om offentligt etos i statsförvaltningen.</w:t>
      </w:r>
    </w:p>
    <w:p w:rsidR="003415EF" w:rsidRPr="003415EF" w:rsidRDefault="003415EF">
      <w:pPr>
        <w:pStyle w:val="Rubrik1"/>
        <w:shd w:val="clear" w:color="000000" w:fill="auto"/>
      </w:pPr>
      <w:r w:rsidRPr="003415EF">
        <w:t>Motivering</w:t>
      </w:r>
    </w:p>
    <w:p w:rsidR="003415EF" w:rsidRPr="003415EF" w:rsidRDefault="003415EF">
      <w:pPr>
        <w:shd w:val="clear" w:color="000000" w:fill="auto"/>
      </w:pPr>
      <w:r w:rsidRPr="003415EF">
        <w:t>Vi i det rödgröna samarbetet vill prioritera jobbskapande investeringar och låta andra utgifter stå tillbaka tills Sverige är igenom den ekonomiska krisen. Vi vill genomföra besparingar inom Regeringskansliet och den statliga my</w:t>
      </w:r>
      <w:r w:rsidRPr="003415EF">
        <w:t>n</w:t>
      </w:r>
      <w:r w:rsidRPr="003415EF">
        <w:t>dighetssektorn för att få ut så mycket som möjligt av varje investerad skatt</w:t>
      </w:r>
      <w:r w:rsidRPr="003415EF">
        <w:t>e</w:t>
      </w:r>
      <w:r w:rsidRPr="003415EF">
        <w:t>krona.</w:t>
      </w:r>
    </w:p>
    <w:p w:rsidR="003415EF" w:rsidRPr="003415EF" w:rsidRDefault="003415EF">
      <w:pPr>
        <w:pStyle w:val="Normaltindrag"/>
        <w:shd w:val="clear" w:color="000000" w:fill="auto"/>
      </w:pPr>
      <w:r w:rsidRPr="003415EF">
        <w:t xml:space="preserve">För att effektivisera den statliga förvaltningen föreslår vi att programmet om offentligt etos i statsförvaltningen avbryts och minskar därför anslaget 1:2 med 5 miljoner kronor 2011.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15EF">
        <w:trPr>
          <w:cantSplit/>
        </w:trPr>
        <w:tc>
          <w:tcPr>
            <w:tcW w:w="3046" w:type="dxa"/>
          </w:tcPr>
          <w:p w:rsidR="003415EF" w:rsidRPr="003415EF" w:rsidRDefault="003415EF">
            <w:pPr>
              <w:pStyle w:val="UnderskriftDatum"/>
              <w:shd w:val="clear" w:color="000000" w:fill="auto"/>
              <w:spacing w:before="240"/>
            </w:pPr>
            <w:r w:rsidRPr="003415EF">
              <w:t>Stockholm den 26 oktober 2010</w:t>
            </w:r>
          </w:p>
        </w:tc>
        <w:tc>
          <w:tcPr>
            <w:tcW w:w="3047" w:type="dxa"/>
          </w:tcPr>
          <w:p w:rsidR="003415EF" w:rsidRPr="003415EF" w:rsidRDefault="003415E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415EF">
        <w:trPr>
          <w:cantSplit/>
        </w:trPr>
        <w:tc>
          <w:tcPr>
            <w:tcW w:w="3046" w:type="dxa"/>
          </w:tcPr>
          <w:p w:rsidR="003415EF" w:rsidRPr="003415EF" w:rsidRDefault="003415EF">
            <w:pPr>
              <w:pStyle w:val="Underskrifter"/>
              <w:shd w:val="clear" w:color="000000" w:fill="auto"/>
            </w:pPr>
            <w:r w:rsidRPr="003415EF">
              <w:t>Thomas Östros (S)</w:t>
            </w:r>
          </w:p>
        </w:tc>
        <w:tc>
          <w:tcPr>
            <w:tcW w:w="3046" w:type="dxa"/>
          </w:tcPr>
          <w:p w:rsidR="003415EF" w:rsidRPr="003415EF" w:rsidRDefault="003415EF">
            <w:pPr>
              <w:pStyle w:val="Underskrifter"/>
              <w:shd w:val="clear" w:color="000000" w:fill="auto"/>
            </w:pPr>
          </w:p>
        </w:tc>
      </w:tr>
      <w:tr w:rsidR="00000000" w:rsidRPr="003415EF">
        <w:trPr>
          <w:cantSplit/>
        </w:trPr>
        <w:tc>
          <w:tcPr>
            <w:tcW w:w="3046" w:type="dxa"/>
          </w:tcPr>
          <w:p w:rsidR="003415EF" w:rsidRPr="003415EF" w:rsidRDefault="003415EF">
            <w:pPr>
              <w:pStyle w:val="Underskrifter"/>
              <w:shd w:val="clear" w:color="000000" w:fill="auto"/>
            </w:pPr>
            <w:r w:rsidRPr="003415EF">
              <w:t>Mikaela Valtersson (MP)</w:t>
            </w:r>
          </w:p>
        </w:tc>
        <w:tc>
          <w:tcPr>
            <w:tcW w:w="3046" w:type="dxa"/>
          </w:tcPr>
          <w:p w:rsidR="003415EF" w:rsidRPr="003415EF" w:rsidRDefault="003415EF">
            <w:pPr>
              <w:pStyle w:val="Underskrifter"/>
              <w:shd w:val="clear" w:color="000000" w:fill="auto"/>
            </w:pPr>
            <w:r w:rsidRPr="003415EF">
              <w:t>Ulla Andersson (V)</w:t>
            </w:r>
          </w:p>
        </w:tc>
      </w:tr>
    </w:tbl>
    <w:p w:rsidR="003415EF" w:rsidRPr="003415EF" w:rsidRDefault="003415EF">
      <w:pPr>
        <w:pStyle w:val="Normaltindrag"/>
        <w:shd w:val="clear" w:color="000000" w:fill="auto"/>
      </w:pPr>
    </w:p>
    <w:sectPr w:rsidR="00000000" w:rsidRPr="003415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5EF" w:rsidRPr="003415EF" w:rsidRDefault="003415EF">
      <w:r w:rsidRPr="003415EF">
        <w:separator/>
      </w:r>
    </w:p>
  </w:endnote>
  <w:endnote w:type="continuationSeparator" w:id="0">
    <w:p w:rsidR="003415EF" w:rsidRPr="003415EF" w:rsidRDefault="003415EF">
      <w:r w:rsidRPr="003415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5EF" w:rsidRPr="003415EF" w:rsidRDefault="003415EF">
    <w:pPr>
      <w:pStyle w:val="Sidfot"/>
    </w:pPr>
    <w:r w:rsidRPr="003415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81933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5EF" w:rsidRDefault="003415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15EF" w:rsidRDefault="003415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5EF" w:rsidRPr="003415EF" w:rsidRDefault="003415EF">
    <w:pPr>
      <w:pStyle w:val="Sidfot"/>
    </w:pPr>
    <w:r w:rsidRPr="003415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69914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5EF" w:rsidRDefault="003415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15EF" w:rsidRDefault="003415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5EF" w:rsidRPr="003415EF" w:rsidRDefault="003415EF">
    <w:pPr>
      <w:pStyle w:val="Sidfot"/>
    </w:pPr>
    <w:r w:rsidRPr="003415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59620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5EF" w:rsidRDefault="003415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15EF" w:rsidRDefault="003415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5EF" w:rsidRPr="003415EF" w:rsidRDefault="003415EF">
      <w:r w:rsidRPr="003415EF">
        <w:separator/>
      </w:r>
    </w:p>
  </w:footnote>
  <w:footnote w:type="continuationSeparator" w:id="0">
    <w:p w:rsidR="003415EF" w:rsidRPr="003415EF" w:rsidRDefault="003415EF">
      <w:r w:rsidRPr="003415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5EF" w:rsidRPr="003415EF" w:rsidRDefault="003415EF">
    <w:pPr>
      <w:pStyle w:val="Sidhuvud"/>
    </w:pPr>
    <w:r w:rsidRPr="003415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76047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5EF" w:rsidRDefault="003415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15EF" w:rsidRDefault="003415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5EF" w:rsidRPr="003415EF" w:rsidRDefault="003415EF">
    <w:pPr>
      <w:pStyle w:val="Sidhuvud"/>
    </w:pPr>
    <w:r w:rsidRPr="003415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00652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5EF" w:rsidRDefault="003415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15EF" w:rsidRDefault="003415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5EF" w:rsidRPr="003415EF" w:rsidRDefault="003415EF">
    <w:pPr>
      <w:pStyle w:val="FSHNormal"/>
      <w:tabs>
        <w:tab w:val="right" w:pos="5840"/>
      </w:tabs>
    </w:pPr>
    <w:r w:rsidRPr="003415EF">
      <w:br/>
    </w:r>
    <w:r w:rsidRPr="003415EF">
      <w:fldChar w:fldCharType="begin" w:fldLock="1"/>
    </w:r>
    <w:r w:rsidRPr="003415EF">
      <w:instrText xml:space="preserve"> DOCPROPERTY</w:instrText>
    </w:r>
    <w:r w:rsidRPr="003415EF">
      <w:rPr>
        <w:sz w:val="18"/>
      </w:rPr>
      <w:instrText xml:space="preserve"> "YearUser" *\charformat </w:instrText>
    </w:r>
    <w:r w:rsidRPr="003415EF">
      <w:fldChar w:fldCharType="separate"/>
    </w:r>
    <w:r w:rsidRPr="003415EF">
      <w:t>2010/11</w:t>
    </w:r>
    <w:r w:rsidRPr="003415EF">
      <w:fldChar w:fldCharType="end"/>
    </w:r>
    <w:r w:rsidRPr="003415EF">
      <w:t xml:space="preserve"> </w:t>
    </w:r>
    <w:r w:rsidRPr="003415EF">
      <w:tab/>
      <w:t xml:space="preserve">mnr: </w:t>
    </w:r>
    <w:r w:rsidRPr="003415EF">
      <w:fldChar w:fldCharType="begin" w:fldLock="1"/>
    </w:r>
    <w:r w:rsidRPr="003415EF">
      <w:instrText xml:space="preserve"> DOCPROPERTY</w:instrText>
    </w:r>
    <w:r w:rsidRPr="003415EF">
      <w:rPr>
        <w:sz w:val="18"/>
      </w:rPr>
      <w:instrText xml:space="preserve"> "Motionsnummer" *\charformat </w:instrText>
    </w:r>
    <w:r w:rsidRPr="003415EF">
      <w:fldChar w:fldCharType="separate"/>
    </w:r>
    <w:r w:rsidRPr="003415EF">
      <w:t>Fi264</w:t>
    </w:r>
    <w:r w:rsidRPr="003415EF">
      <w:fldChar w:fldCharType="end"/>
    </w:r>
    <w:r w:rsidRPr="003415EF">
      <w:br/>
    </w:r>
    <w:r w:rsidRPr="003415EF">
      <w:fldChar w:fldCharType="begin" w:fldLock="1"/>
    </w:r>
    <w:r w:rsidRPr="003415EF">
      <w:instrText xml:space="preserve"> DOCPROPERTY</w:instrText>
    </w:r>
    <w:r w:rsidRPr="003415EF">
      <w:rPr>
        <w:sz w:val="18"/>
      </w:rPr>
      <w:instrText xml:space="preserve"> "Samling" *\charformat </w:instrText>
    </w:r>
    <w:r w:rsidRPr="003415EF">
      <w:fldChar w:fldCharType="end"/>
    </w:r>
    <w:r w:rsidRPr="003415EF">
      <w:tab/>
      <w:t xml:space="preserve">pnr: </w:t>
    </w:r>
    <w:r w:rsidRPr="003415EF">
      <w:fldChar w:fldCharType="begin" w:fldLock="1"/>
    </w:r>
    <w:r w:rsidRPr="003415EF">
      <w:instrText xml:space="preserve"> DOCPROPERTY</w:instrText>
    </w:r>
    <w:r w:rsidRPr="003415EF">
      <w:rPr>
        <w:sz w:val="18"/>
      </w:rPr>
      <w:instrText xml:space="preserve"> "Partinummer" *\charformat </w:instrText>
    </w:r>
    <w:r w:rsidRPr="003415EF">
      <w:fldChar w:fldCharType="separate"/>
    </w:r>
    <w:r w:rsidRPr="003415EF">
      <w:t>-MP1011</w:t>
    </w:r>
    <w:r w:rsidRPr="003415EF">
      <w:fldChar w:fldCharType="end"/>
    </w:r>
  </w:p>
  <w:p w:rsidR="003415EF" w:rsidRPr="003415EF" w:rsidRDefault="003415EF">
    <w:pPr>
      <w:pStyle w:val="FSHRub1"/>
    </w:pPr>
    <w:r w:rsidRPr="003415EF">
      <w:t>Motion till riksdagen</w:t>
    </w:r>
    <w:r w:rsidRPr="003415EF">
      <w:br/>
    </w:r>
    <w:r w:rsidRPr="003415EF">
      <w:fldChar w:fldCharType="begin" w:fldLock="1"/>
    </w:r>
    <w:r w:rsidRPr="003415EF">
      <w:instrText xml:space="preserve"> DOCPROPERTY "YearUser" *\charformat </w:instrText>
    </w:r>
    <w:r w:rsidRPr="003415EF">
      <w:fldChar w:fldCharType="separate"/>
    </w:r>
    <w:r w:rsidRPr="003415EF">
      <w:t>2010/11</w:t>
    </w:r>
    <w:r w:rsidRPr="003415EF">
      <w:fldChar w:fldCharType="end"/>
    </w:r>
    <w:r w:rsidRPr="003415EF">
      <w:t>:</w:t>
    </w:r>
    <w:r w:rsidRPr="003415EF">
      <w:fldChar w:fldCharType="begin" w:fldLock="1"/>
    </w:r>
    <w:r w:rsidRPr="003415EF">
      <w:instrText xml:space="preserve"> DOCPROPERTY "Motionsnummer" *\charformat </w:instrText>
    </w:r>
    <w:r w:rsidRPr="003415EF">
      <w:fldChar w:fldCharType="separate"/>
    </w:r>
    <w:r w:rsidRPr="003415EF">
      <w:t>Fi264</w:t>
    </w:r>
    <w:r w:rsidRPr="003415EF">
      <w:fldChar w:fldCharType="end"/>
    </w:r>
  </w:p>
  <w:p w:rsidR="003415EF" w:rsidRPr="003415EF" w:rsidRDefault="003415EF">
    <w:pPr>
      <w:pStyle w:val="FSHNormalS5"/>
    </w:pPr>
    <w:r w:rsidRPr="003415EF">
      <w:fldChar w:fldCharType="begin" w:fldLock="1"/>
    </w:r>
    <w:r w:rsidRPr="003415EF">
      <w:instrText xml:space="preserve"> DOCPROPERTY "MotionarText" *\charformat </w:instrText>
    </w:r>
    <w:r w:rsidRPr="003415EF">
      <w:fldChar w:fldCharType="separate"/>
    </w:r>
    <w:r w:rsidRPr="003415EF">
      <w:t>av Thomas Östros m.fl. (S, MP, V)</w:t>
    </w:r>
    <w:r w:rsidRPr="003415EF">
      <w:fldChar w:fldCharType="end"/>
    </w:r>
    <w:r w:rsidRPr="003415EF">
      <w:br/>
    </w:r>
    <w:r w:rsidRPr="003415EF">
      <w:fldChar w:fldCharType="begin" w:fldLock="1"/>
    </w:r>
    <w:r w:rsidRPr="003415EF">
      <w:instrText xml:space="preserve"> DOCPROPERTY "SvarFrasKort" *\charformat </w:instrText>
    </w:r>
    <w:r w:rsidRPr="003415EF">
      <w:fldChar w:fldCharType="end"/>
    </w:r>
  </w:p>
  <w:p w:rsidR="003415EF" w:rsidRPr="003415EF" w:rsidRDefault="003415EF">
    <w:pPr>
      <w:pStyle w:val="FSHTitel"/>
    </w:pPr>
    <w:r w:rsidRPr="003415EF">
      <w:fldChar w:fldCharType="begin" w:fldLock="1"/>
    </w:r>
    <w:r w:rsidRPr="003415EF">
      <w:instrText xml:space="preserve"> DOCPROPERTY</w:instrText>
    </w:r>
    <w:r w:rsidRPr="003415EF">
      <w:rPr>
        <w:sz w:val="18"/>
      </w:rPr>
      <w:instrText xml:space="preserve"> "RubrikSvar" *\charformat </w:instrText>
    </w:r>
    <w:r w:rsidRPr="003415EF">
      <w:fldChar w:fldCharType="separate"/>
    </w:r>
    <w:r w:rsidRPr="003415EF">
      <w:t>Utgiftsområde 2 Samhällsekonomi och finansförvaltning</w:t>
    </w:r>
    <w:r w:rsidRPr="003415EF">
      <w:fldChar w:fldCharType="end"/>
    </w:r>
  </w:p>
  <w:p w:rsidR="003415EF" w:rsidRPr="003415EF" w:rsidRDefault="003415EF">
    <w:pPr>
      <w:pStyle w:val="Normal00"/>
    </w:pPr>
  </w:p>
  <w:p w:rsidR="003415EF" w:rsidRPr="003415EF" w:rsidRDefault="003415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7AC7660"/>
    <w:multiLevelType w:val="hybridMultilevel"/>
    <w:tmpl w:val="483A67D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F50455"/>
    <w:multiLevelType w:val="hybridMultilevel"/>
    <w:tmpl w:val="20C8F126"/>
    <w:lvl w:ilvl="0" w:tplc="29203FA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27833499">
    <w:abstractNumId w:val="3"/>
  </w:num>
  <w:num w:numId="2" w16cid:durableId="216820517">
    <w:abstractNumId w:val="2"/>
  </w:num>
  <w:num w:numId="3" w16cid:durableId="1220938576">
    <w:abstractNumId w:val="1"/>
  </w:num>
  <w:num w:numId="4" w16cid:durableId="497044294">
    <w:abstractNumId w:val="0"/>
  </w:num>
  <w:num w:numId="5" w16cid:durableId="269167610">
    <w:abstractNumId w:val="7"/>
  </w:num>
  <w:num w:numId="6" w16cid:durableId="1375929016">
    <w:abstractNumId w:val="6"/>
  </w:num>
  <w:num w:numId="7" w16cid:durableId="224949847">
    <w:abstractNumId w:val="5"/>
  </w:num>
  <w:num w:numId="8" w16cid:durableId="1133476035">
    <w:abstractNumId w:val="4"/>
  </w:num>
  <w:num w:numId="9" w16cid:durableId="844706490">
    <w:abstractNumId w:val="8"/>
  </w:num>
  <w:num w:numId="10" w16cid:durableId="1039163071">
    <w:abstractNumId w:val="9"/>
  </w:num>
  <w:num w:numId="11" w16cid:durableId="413013268">
    <w:abstractNumId w:val="10"/>
  </w:num>
  <w:num w:numId="12" w16cid:durableId="1506818239">
    <w:abstractNumId w:val="13"/>
  </w:num>
  <w:num w:numId="13" w16cid:durableId="683702170">
    <w:abstractNumId w:val="17"/>
  </w:num>
  <w:num w:numId="14" w16cid:durableId="233660370">
    <w:abstractNumId w:val="18"/>
  </w:num>
  <w:num w:numId="15" w16cid:durableId="1139496892">
    <w:abstractNumId w:val="11"/>
  </w:num>
  <w:num w:numId="16" w16cid:durableId="2126726989">
    <w:abstractNumId w:val="20"/>
  </w:num>
  <w:num w:numId="17" w16cid:durableId="732511435">
    <w:abstractNumId w:val="19"/>
  </w:num>
  <w:num w:numId="18" w16cid:durableId="21639117">
    <w:abstractNumId w:val="16"/>
  </w:num>
  <w:num w:numId="19" w16cid:durableId="2098289403">
    <w:abstractNumId w:val="12"/>
  </w:num>
  <w:num w:numId="20" w16cid:durableId="648747720">
    <w:abstractNumId w:val="14"/>
  </w:num>
  <w:num w:numId="21" w16cid:durableId="8660618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0"/>
    <w:docVar w:name="PersonGUIDs" w:val="{FC218445-3A7E-44DF-BD0A-B9CEFE3546CD},{F0ACAF48-842B-4926-B0E6-00004377D0BE},{9757EBE9-5352-471C-B04A-E35C112BD16A}"/>
  </w:docVars>
  <w:rsids>
    <w:rsidRoot w:val="00302621"/>
    <w:rsid w:val="00302621"/>
    <w:rsid w:val="0034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  <w15:chartTrackingRefBased/>
  <w15:docId w15:val="{72D498EA-C92F-48E2-B664-25E2DD85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5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956</Characters>
  <Application>Microsoft Office Word</Application>
  <DocSecurity>4</DocSecurity>
  <Lines>39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2010-11-10T08:01:00Z</cp:lastPrinted>
  <dcterms:created xsi:type="dcterms:W3CDTF">2025-12-18T00:42:00Z</dcterms:created>
  <dcterms:modified xsi:type="dcterms:W3CDTF">2025-12-18T00:42:00Z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AL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Utgiftsområde 2 Samhällsekonomi och finansförvaltning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 Samhällsekonomi och finansförvaltning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-MP1011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3</vt:lpwstr>
  </property>
  <property fmtid="{D5CDD505-2E9C-101B-9397-08002B2CF9AE}" pid="24" name="AntalMot">
    <vt:lpwstr>Antal: 3</vt:lpwstr>
  </property>
  <property fmtid="{D5CDD505-2E9C-101B-9397-08002B2CF9AE}" pid="25" name="MotionarText">
    <vt:lpwstr>av Thomas Östros m.fl. (S, MP, V)</vt:lpwstr>
  </property>
  <property fmtid="{D5CDD505-2E9C-101B-9397-08002B2CF9AE}" pid="26" name="MotionarLista">
    <vt:lpwstr>Östros, Thomas (S)\Valtersson, Mikaela (MP)\Andersson, Ulla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Östros (S), Mikaela Valtersson (MP), Ulla Andersson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20102011000000770080000010110070</vt:lpwstr>
  </property>
  <property fmtid="{D5CDD505-2E9C-101B-9397-08002B2CF9AE}" pid="47" name="datum">
    <vt:lpwstr>101026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20102011000000770080000010110070</vt:lpwstr>
  </property>
  <property fmtid="{D5CDD505-2E9C-101B-9397-08002B2CF9AE}" pid="50" name="nummer">
    <vt:lpwstr>264</vt:lpwstr>
  </property>
  <property fmtid="{D5CDD505-2E9C-101B-9397-08002B2CF9AE}" pid="51" name="utskottsbeteckning">
    <vt:lpwstr>Fi</vt:lpwstr>
  </property>
  <property fmtid="{D5CDD505-2E9C-101B-9397-08002B2CF9AE}" pid="52" name="GlobalUID">
    <vt:lpwstr>{3277AE06-60D9-4D6F-9EE4-2205738777E0}</vt:lpwstr>
  </property>
  <property fmtid="{D5CDD505-2E9C-101B-9397-08002B2CF9AE}" pid="53" name="Överföringar">
    <vt:i4>0</vt:i4>
  </property>
  <property fmtid="{D5CDD505-2E9C-101B-9397-08002B2CF9AE}" pid="54" name="Checksum">
    <vt:lpwstr>*1006640151637*</vt:lpwstr>
  </property>
  <property fmtid="{D5CDD505-2E9C-101B-9397-08002B2CF9AE}" pid="55" name="skuggnummer">
    <vt:lpwstr>2560</vt:lpwstr>
  </property>
  <property fmtid="{D5CDD505-2E9C-101B-9397-08002B2CF9AE}" pid="56" name="urixVersion">
    <vt:lpwstr>4.3.2.0</vt:lpwstr>
  </property>
  <property fmtid="{D5CDD505-2E9C-101B-9397-08002B2CF9AE}" pid="57" name="urixOrigin">
    <vt:lpwstr>101208 09:53:33.728</vt:lpwstr>
  </property>
  <property fmtid="{D5CDD505-2E9C-101B-9397-08002B2CF9AE}" pid="58" name="urixGuid">
    <vt:lpwstr>{24536AD4-A87C-4A7F-A973-6DB6D9C880DC}</vt:lpwstr>
  </property>
</Properties>
</file>