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21F58">
        <w:tblPrEx>
          <w:tblCellMar>
            <w:top w:w="0" w:type="dxa"/>
            <w:bottom w:w="0" w:type="dxa"/>
          </w:tblCellMar>
        </w:tblPrEx>
        <w:trPr>
          <w:cantSplit/>
          <w:trHeight w:val="1720"/>
        </w:trPr>
        <w:tc>
          <w:tcPr>
            <w:tcW w:w="6024" w:type="dxa"/>
            <w:gridSpan w:val="2"/>
          </w:tcPr>
          <w:p w:rsidR="00D70951" w:rsidRPr="00321F58" w:rsidRDefault="00D70951">
            <w:pPr>
              <w:pStyle w:val="HuvudRubrik"/>
            </w:pPr>
            <w:r w:rsidRPr="00321F58">
              <w:t>Justitieutskottets betänkande</w:t>
            </w:r>
          </w:p>
          <w:p w:rsidR="00D70951" w:rsidRPr="00321F58" w:rsidRDefault="00D70951">
            <w:pPr>
              <w:pStyle w:val="HuvudRubrikRad2"/>
            </w:pPr>
            <w:bookmarkStart w:id="0" w:name="BetänkandeNr"/>
            <w:bookmarkEnd w:id="0"/>
            <w:r w:rsidRPr="00321F58">
              <w:t>2001/02:JuU17</w:t>
            </w:r>
          </w:p>
        </w:tc>
        <w:tc>
          <w:tcPr>
            <w:tcW w:w="1418" w:type="dxa"/>
            <w:tcBorders>
              <w:bottom w:val="nil"/>
            </w:tcBorders>
          </w:tcPr>
          <w:p w:rsidR="00D70951" w:rsidRPr="00321F58" w:rsidRDefault="00321F58">
            <w:pPr>
              <w:spacing w:line="230" w:lineRule="auto"/>
              <w:jc w:val="center"/>
            </w:pPr>
            <w:r w:rsidRPr="00321F5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70951" w:rsidRPr="00321F58" w:rsidRDefault="00D70951">
            <w:pPr>
              <w:pStyle w:val="Normaltindrag"/>
              <w:jc w:val="center"/>
            </w:pPr>
          </w:p>
          <w:p w:rsidR="00D70951" w:rsidRPr="00321F58" w:rsidRDefault="00D70951">
            <w:pPr>
              <w:pStyle w:val="StatusSida1"/>
            </w:pPr>
          </w:p>
          <w:p w:rsidR="00D70951" w:rsidRPr="00321F58" w:rsidRDefault="00D70951">
            <w:pPr>
              <w:pStyle w:val="UtskriftsdatumSida1"/>
              <w:framePr w:wrap="around"/>
            </w:pPr>
          </w:p>
        </w:tc>
      </w:tr>
      <w:tr w:rsidR="00000000" w:rsidRPr="00321F58">
        <w:tblPrEx>
          <w:tblCellMar>
            <w:top w:w="0" w:type="dxa"/>
            <w:bottom w:w="0" w:type="dxa"/>
          </w:tblCellMar>
        </w:tblPrEx>
        <w:trPr>
          <w:cantSplit/>
        </w:trPr>
        <w:tc>
          <w:tcPr>
            <w:tcW w:w="6024" w:type="dxa"/>
            <w:gridSpan w:val="2"/>
            <w:tcBorders>
              <w:bottom w:val="single" w:sz="4" w:space="0" w:color="auto"/>
            </w:tcBorders>
          </w:tcPr>
          <w:p w:rsidR="00D70951" w:rsidRPr="00321F58" w:rsidRDefault="00D70951">
            <w:pPr>
              <w:pStyle w:val="DokumentRubrik"/>
              <w:rPr>
                <w:noProof w:val="0"/>
              </w:rPr>
            </w:pPr>
            <w:bookmarkStart w:id="1" w:name="Huvudrubrik"/>
            <w:bookmarkEnd w:id="1"/>
            <w:r w:rsidRPr="00321F58">
              <w:rPr>
                <w:noProof w:val="0"/>
              </w:rPr>
              <w:t xml:space="preserve">Sveriges samarbete med Internationella brottmålsdomstolen </w:t>
            </w:r>
          </w:p>
        </w:tc>
        <w:tc>
          <w:tcPr>
            <w:tcW w:w="1418" w:type="dxa"/>
            <w:tcBorders>
              <w:bottom w:val="nil"/>
            </w:tcBorders>
          </w:tcPr>
          <w:p w:rsidR="00D70951" w:rsidRPr="00321F58" w:rsidRDefault="00D70951"/>
        </w:tc>
      </w:tr>
      <w:tr w:rsidR="00000000" w:rsidRPr="00321F58">
        <w:tblPrEx>
          <w:tblCellMar>
            <w:top w:w="0" w:type="dxa"/>
            <w:bottom w:w="0" w:type="dxa"/>
          </w:tblCellMar>
        </w:tblPrEx>
        <w:trPr>
          <w:cantSplit/>
          <w:trHeight w:hRule="exact" w:val="360"/>
        </w:trPr>
        <w:tc>
          <w:tcPr>
            <w:tcW w:w="3012" w:type="dxa"/>
          </w:tcPr>
          <w:p w:rsidR="00D70951" w:rsidRPr="00321F58" w:rsidRDefault="00D70951"/>
        </w:tc>
        <w:tc>
          <w:tcPr>
            <w:tcW w:w="3012" w:type="dxa"/>
          </w:tcPr>
          <w:p w:rsidR="00D70951" w:rsidRPr="00321F58" w:rsidRDefault="00D70951"/>
        </w:tc>
        <w:tc>
          <w:tcPr>
            <w:tcW w:w="1418" w:type="dxa"/>
          </w:tcPr>
          <w:p w:rsidR="00D70951" w:rsidRPr="00321F58" w:rsidRDefault="00D70951"/>
        </w:tc>
      </w:tr>
    </w:tbl>
    <w:p w:rsidR="00D70951" w:rsidRPr="00321F58" w:rsidRDefault="00D70951"/>
    <w:p w:rsidR="00D70951" w:rsidRPr="00321F58" w:rsidRDefault="00D70951">
      <w:pPr>
        <w:pStyle w:val="Rubrik1"/>
        <w:spacing w:after="180"/>
        <w:rPr>
          <w:noProof w:val="0"/>
        </w:rPr>
      </w:pPr>
      <w:bookmarkStart w:id="2" w:name="_Toc6816435"/>
      <w:r w:rsidRPr="00321F58">
        <w:rPr>
          <w:noProof w:val="0"/>
        </w:rPr>
        <w:t>Sammanfattning</w:t>
      </w:r>
      <w:bookmarkEnd w:id="2"/>
    </w:p>
    <w:p w:rsidR="00D70951" w:rsidRPr="00321F58" w:rsidRDefault="00D70951">
      <w:bookmarkStart w:id="3" w:name="TextStart"/>
      <w:bookmarkEnd w:id="3"/>
      <w:r w:rsidRPr="00321F58">
        <w:t xml:space="preserve">I detta betänkande behandlar utskottet regeringens proposition 2001/02:88 Sveriges samarbete med Internationella brottmålsdomstolen. </w:t>
      </w:r>
      <w:r w:rsidRPr="00321F58">
        <w:rPr>
          <w:snapToGrid w:val="0"/>
          <w:lang w:eastAsia="sv-SE"/>
        </w:rPr>
        <w:t>I propositionen lämnas förslag till lagstiftning som krävs för att Sverige skall kunna fullgöra de förpliktelser som enligt Romstadgan för Internationella brottmålsdomst</w:t>
      </w:r>
      <w:r w:rsidRPr="00321F58">
        <w:rPr>
          <w:snapToGrid w:val="0"/>
          <w:lang w:eastAsia="sv-SE"/>
        </w:rPr>
        <w:t>o</w:t>
      </w:r>
      <w:r w:rsidRPr="00321F58">
        <w:rPr>
          <w:snapToGrid w:val="0"/>
          <w:lang w:eastAsia="sv-SE"/>
        </w:rPr>
        <w:t>len gäller för samarbete med domstolen.</w:t>
      </w:r>
      <w:r w:rsidRPr="00321F58">
        <w:t xml:space="preserve"> </w:t>
      </w:r>
    </w:p>
    <w:p w:rsidR="00D70951" w:rsidRPr="00321F58" w:rsidRDefault="00D70951">
      <w:pPr>
        <w:pStyle w:val="Normaltindrag"/>
        <w:rPr>
          <w:snapToGrid w:val="0"/>
          <w:lang w:eastAsia="sv-SE"/>
        </w:rPr>
      </w:pPr>
      <w:r w:rsidRPr="00321F58">
        <w:rPr>
          <w:snapToGrid w:val="0"/>
          <w:lang w:eastAsia="sv-SE"/>
        </w:rPr>
        <w:t>Regleringen sker i en särskild lag och tar bl.a. upp frågor om rättslig hjälp i brottmål, överlämnande av misstänkta till Internationella brottmålsdomstolen för lagföring samt straffverkställighet i Sverige och verkställighet av andra avgöranden som har me</w:t>
      </w:r>
      <w:r w:rsidRPr="00321F58">
        <w:rPr>
          <w:snapToGrid w:val="0"/>
          <w:lang w:eastAsia="sv-SE"/>
        </w:rPr>
        <w:t>d</w:t>
      </w:r>
      <w:r w:rsidRPr="00321F58">
        <w:rPr>
          <w:snapToGrid w:val="0"/>
          <w:lang w:eastAsia="sv-SE"/>
        </w:rPr>
        <w:t xml:space="preserve">delats av domstolen. </w:t>
      </w:r>
    </w:p>
    <w:p w:rsidR="00D70951" w:rsidRPr="00321F58" w:rsidRDefault="00D70951">
      <w:pPr>
        <w:pStyle w:val="Normaltindrag"/>
        <w:rPr>
          <w:snapToGrid w:val="0"/>
          <w:lang w:eastAsia="sv-SE"/>
        </w:rPr>
      </w:pPr>
      <w:r w:rsidRPr="00321F58">
        <w:rPr>
          <w:snapToGrid w:val="0"/>
          <w:lang w:eastAsia="sv-SE"/>
        </w:rPr>
        <w:t>I propositionen lämnas också förslag till vissa ändringar i lagen om Sve-riges samarbete med de internationella tribunalerna för brott mot internati</w:t>
      </w:r>
      <w:r w:rsidRPr="00321F58">
        <w:rPr>
          <w:snapToGrid w:val="0"/>
          <w:lang w:eastAsia="sv-SE"/>
        </w:rPr>
        <w:t>o</w:t>
      </w:r>
      <w:r w:rsidRPr="00321F58">
        <w:rPr>
          <w:snapToGrid w:val="0"/>
          <w:lang w:eastAsia="sv-SE"/>
        </w:rPr>
        <w:t>nell humanitär rätt, lagen om immunitet och privilegier i vissa fall, lagen om internationell rättslig hjälp i brottmål samt sekr</w:t>
      </w:r>
      <w:r w:rsidRPr="00321F58">
        <w:rPr>
          <w:snapToGrid w:val="0"/>
          <w:lang w:eastAsia="sv-SE"/>
        </w:rPr>
        <w:t>e</w:t>
      </w:r>
      <w:r w:rsidRPr="00321F58">
        <w:rPr>
          <w:snapToGrid w:val="0"/>
          <w:lang w:eastAsia="sv-SE"/>
        </w:rPr>
        <w:t>tesslagen.</w:t>
      </w:r>
    </w:p>
    <w:p w:rsidR="00D70951" w:rsidRPr="00321F58" w:rsidRDefault="00D70951">
      <w:pPr>
        <w:pStyle w:val="Normaltindrag"/>
      </w:pPr>
      <w:r w:rsidRPr="00321F58">
        <w:rPr>
          <w:snapToGrid w:val="0"/>
          <w:lang w:eastAsia="sv-SE"/>
        </w:rPr>
        <w:t>Lagstiftningen för Internationella brottmålsdomstolen föreslås träda i kraft den dag regeringen bestämmer medan övriga lagändringar föreslås träda i kraft den 1 juli 2002.</w:t>
      </w:r>
    </w:p>
    <w:p w:rsidR="00D70951" w:rsidRPr="00321F58" w:rsidRDefault="00D70951">
      <w:pPr>
        <w:pStyle w:val="Normaltindrag"/>
      </w:pPr>
      <w:r w:rsidRPr="00321F58">
        <w:t>Utskottet föreslår att riksdagen antar regeringens förslag. Vidare föreslår utskottet ytterligare följdändringar i lagen om internationell rättslig hjälp i brot</w:t>
      </w:r>
      <w:r w:rsidRPr="00321F58">
        <w:t>t</w:t>
      </w:r>
      <w:r w:rsidRPr="00321F58">
        <w:t>mål.</w:t>
      </w:r>
    </w:p>
    <w:p w:rsidR="00D70951" w:rsidRPr="00321F58" w:rsidRDefault="00D70951">
      <w:pPr>
        <w:pStyle w:val="Normaltindrag"/>
        <w:sectPr w:rsidR="00000000" w:rsidRPr="00321F5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70951" w:rsidRPr="00321F58" w:rsidRDefault="00D70951">
      <w:pPr>
        <w:pStyle w:val="Rubrik1"/>
        <w:rPr>
          <w:noProof w:val="0"/>
        </w:rPr>
      </w:pPr>
      <w:bookmarkStart w:id="4" w:name="_Toc6816436"/>
      <w:r w:rsidRPr="00321F58">
        <w:rPr>
          <w:noProof w:val="0"/>
        </w:rPr>
        <w:lastRenderedPageBreak/>
        <w:t>Innehållsförteckning</w:t>
      </w:r>
      <w:bookmarkEnd w:id="4"/>
    </w:p>
    <w:p w:rsidR="00D70951" w:rsidRPr="00321F58" w:rsidRDefault="00D70951">
      <w:pPr>
        <w:pStyle w:val="Innehll1"/>
      </w:pPr>
      <w:r w:rsidRPr="00321F58">
        <w:t>Sammanfattning</w:t>
      </w:r>
      <w:r w:rsidRPr="00321F58">
        <w:tab/>
        <w:t>1</w:t>
      </w:r>
    </w:p>
    <w:p w:rsidR="00D70951" w:rsidRPr="00321F58" w:rsidRDefault="00D70951">
      <w:pPr>
        <w:pStyle w:val="Innehll1"/>
      </w:pPr>
      <w:r w:rsidRPr="00321F58">
        <w:t>Innehållsförteckning</w:t>
      </w:r>
      <w:r w:rsidRPr="00321F58">
        <w:tab/>
        <w:t>2</w:t>
      </w:r>
    </w:p>
    <w:p w:rsidR="00D70951" w:rsidRPr="00321F58" w:rsidRDefault="00D70951">
      <w:pPr>
        <w:pStyle w:val="Innehll1"/>
      </w:pPr>
      <w:r w:rsidRPr="00321F58">
        <w:t>Utskottets förslag till riksdagsbeslut</w:t>
      </w:r>
      <w:r w:rsidRPr="00321F58">
        <w:tab/>
        <w:t>3</w:t>
      </w:r>
    </w:p>
    <w:p w:rsidR="00D70951" w:rsidRPr="00321F58" w:rsidRDefault="00D70951">
      <w:pPr>
        <w:pStyle w:val="Innehll1"/>
      </w:pPr>
      <w:r w:rsidRPr="00321F58">
        <w:t>Redogörelse för ärendet</w:t>
      </w:r>
      <w:r w:rsidRPr="00321F58">
        <w:tab/>
        <w:t>4</w:t>
      </w:r>
    </w:p>
    <w:p w:rsidR="00D70951" w:rsidRPr="00321F58" w:rsidRDefault="00D70951">
      <w:pPr>
        <w:pStyle w:val="Innehll2"/>
      </w:pPr>
      <w:r w:rsidRPr="00321F58">
        <w:t>Ärendet och dess beredning</w:t>
      </w:r>
      <w:r w:rsidRPr="00321F58">
        <w:tab/>
        <w:t>4</w:t>
      </w:r>
    </w:p>
    <w:p w:rsidR="00D70951" w:rsidRPr="00321F58" w:rsidRDefault="00D70951">
      <w:pPr>
        <w:pStyle w:val="Innehll2"/>
      </w:pPr>
      <w:r w:rsidRPr="00321F58">
        <w:t>Bakgrund</w:t>
      </w:r>
      <w:r w:rsidRPr="00321F58">
        <w:tab/>
        <w:t>4</w:t>
      </w:r>
    </w:p>
    <w:p w:rsidR="00D70951" w:rsidRPr="00321F58" w:rsidRDefault="00D70951">
      <w:pPr>
        <w:pStyle w:val="Innehll3"/>
      </w:pPr>
      <w:r w:rsidRPr="00321F58">
        <w:t>Tillträde till stadgan m.m.</w:t>
      </w:r>
      <w:r w:rsidRPr="00321F58">
        <w:tab/>
        <w:t>4</w:t>
      </w:r>
    </w:p>
    <w:p w:rsidR="00D70951" w:rsidRPr="00321F58" w:rsidRDefault="00D70951">
      <w:pPr>
        <w:pStyle w:val="Innehll3"/>
      </w:pPr>
      <w:r w:rsidRPr="00321F58">
        <w:t>Stadgans närmare innehåll</w:t>
      </w:r>
      <w:r w:rsidRPr="00321F58">
        <w:tab/>
        <w:t>4</w:t>
      </w:r>
    </w:p>
    <w:p w:rsidR="00D70951" w:rsidRPr="00321F58" w:rsidRDefault="00D70951">
      <w:pPr>
        <w:pStyle w:val="Innehll2"/>
      </w:pPr>
      <w:r w:rsidRPr="00321F58">
        <w:t>Propositionens huvudsakliga innehåll</w:t>
      </w:r>
      <w:r w:rsidRPr="00321F58">
        <w:tab/>
        <w:t>6</w:t>
      </w:r>
    </w:p>
    <w:p w:rsidR="00D70951" w:rsidRPr="00321F58" w:rsidRDefault="00D70951">
      <w:pPr>
        <w:pStyle w:val="Innehll1"/>
      </w:pPr>
      <w:r w:rsidRPr="00321F58">
        <w:t>Utskottets överväganden</w:t>
      </w:r>
      <w:r w:rsidRPr="00321F58">
        <w:tab/>
        <w:t>7</w:t>
      </w:r>
    </w:p>
    <w:p w:rsidR="00D70951" w:rsidRPr="00321F58" w:rsidRDefault="00D70951">
      <w:pPr>
        <w:pStyle w:val="Innehll4"/>
      </w:pPr>
      <w:r w:rsidRPr="00321F58">
        <w:t>Regeringens förslag</w:t>
      </w:r>
      <w:r w:rsidRPr="00321F58">
        <w:tab/>
        <w:t>7</w:t>
      </w:r>
    </w:p>
    <w:p w:rsidR="00D70951" w:rsidRPr="00321F58" w:rsidRDefault="00D70951">
      <w:pPr>
        <w:pStyle w:val="Innehll4"/>
      </w:pPr>
      <w:r w:rsidRPr="00321F58">
        <w:t>Övrigt</w:t>
      </w:r>
      <w:r w:rsidRPr="00321F58">
        <w:tab/>
        <w:t>7</w:t>
      </w:r>
    </w:p>
    <w:p w:rsidR="00D70951" w:rsidRPr="00321F58" w:rsidRDefault="00D70951">
      <w:pPr>
        <w:pStyle w:val="Innehll1"/>
      </w:pPr>
      <w:r w:rsidRPr="00321F58">
        <w:t>Bilagor</w:t>
      </w:r>
    </w:p>
    <w:p w:rsidR="00D70951" w:rsidRPr="00321F58" w:rsidRDefault="00D70951">
      <w:pPr>
        <w:pStyle w:val="Innehll1"/>
      </w:pPr>
      <w:r w:rsidRPr="00321F58">
        <w:t>1. Förteckning över behandlade förslag</w:t>
      </w:r>
      <w:r w:rsidRPr="00321F58">
        <w:tab/>
        <w:t>9</w:t>
      </w:r>
    </w:p>
    <w:p w:rsidR="00D70951" w:rsidRPr="00321F58" w:rsidRDefault="00D70951">
      <w:pPr>
        <w:pStyle w:val="Innehll2"/>
      </w:pPr>
      <w:r w:rsidRPr="00321F58">
        <w:t>Propositionen</w:t>
      </w:r>
      <w:r w:rsidRPr="00321F58">
        <w:tab/>
        <w:t>9</w:t>
      </w:r>
    </w:p>
    <w:p w:rsidR="00D70951" w:rsidRPr="00321F58" w:rsidRDefault="00D70951">
      <w:pPr>
        <w:pStyle w:val="Innehll1"/>
      </w:pPr>
      <w:r w:rsidRPr="00321F58">
        <w:t>2. Regeringens lagförslag</w:t>
      </w:r>
      <w:r w:rsidRPr="00321F58">
        <w:tab/>
        <w:t>10</w:t>
      </w:r>
    </w:p>
    <w:p w:rsidR="00D70951" w:rsidRPr="00321F58" w:rsidRDefault="00D70951">
      <w:pPr>
        <w:pStyle w:val="Innehll1"/>
      </w:pPr>
      <w:r w:rsidRPr="00321F58">
        <w:t>3. Utskottets lagförslag</w:t>
      </w:r>
      <w:r w:rsidRPr="00321F58">
        <w:tab/>
        <w:t>25</w:t>
      </w:r>
    </w:p>
    <w:p w:rsidR="00D70951" w:rsidRPr="00321F58" w:rsidRDefault="00D70951">
      <w:pPr>
        <w:pStyle w:val="Innehll2"/>
      </w:pPr>
      <w:r w:rsidRPr="00321F58">
        <w:t>1. Förslag till lag om ändring i lagen (2000:562) om internationell rättslig hjälp i brottmål</w:t>
      </w:r>
      <w:r w:rsidRPr="00321F58">
        <w:tab/>
        <w:t>25</w:t>
      </w:r>
    </w:p>
    <w:p w:rsidR="00D70951" w:rsidRPr="00321F58" w:rsidRDefault="00D70951"/>
    <w:p w:rsidR="00D70951" w:rsidRPr="00321F58" w:rsidRDefault="00D70951">
      <w:pPr>
        <w:pStyle w:val="Normaltindrag"/>
        <w:sectPr w:rsidR="00000000" w:rsidRPr="00321F5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70951" w:rsidRPr="00321F58" w:rsidRDefault="00D70951">
      <w:pPr>
        <w:pStyle w:val="Rubrik1"/>
        <w:rPr>
          <w:noProof w:val="0"/>
        </w:rPr>
      </w:pPr>
      <w:bookmarkStart w:id="5" w:name="_Toc6816437"/>
      <w:r w:rsidRPr="00321F58">
        <w:rPr>
          <w:noProof w:val="0"/>
        </w:rPr>
        <w:t>Utskottets förslag till riksdagsbeslut</w:t>
      </w:r>
      <w:bookmarkEnd w:id="5"/>
    </w:p>
    <w:p w:rsidR="00D70951" w:rsidRPr="00321F58" w:rsidRDefault="00D70951">
      <w:pPr>
        <w:pStyle w:val="Frslagspunkt"/>
        <w:rPr>
          <w:noProof w:val="0"/>
        </w:rPr>
      </w:pPr>
      <w:r w:rsidRPr="00321F58">
        <w:rPr>
          <w:noProof w:val="0"/>
        </w:rPr>
        <w:t>1.</w:t>
      </w:r>
      <w:r w:rsidRPr="00321F58">
        <w:rPr>
          <w:noProof w:val="0"/>
        </w:rPr>
        <w:tab/>
        <w:t>Internationell rättslig hjälp i brottmål</w:t>
      </w:r>
    </w:p>
    <w:p w:rsidR="00D70951" w:rsidRPr="00321F58" w:rsidRDefault="00D70951">
      <w:pPr>
        <w:pStyle w:val="Frslagstext"/>
      </w:pPr>
      <w:r w:rsidRPr="00321F58">
        <w:t>Riksdagen antar regeringens förslag till lag om ändring i lagen (2000:562) om internationell rättslig hjälp i brottmål med det tillägget att 2 kap. 1 och 2 §§ ges den lydelse som utskottet föreslår i bilaga 3.</w:t>
      </w:r>
      <w:bookmarkStart w:id="6" w:name="RESPARTI001"/>
      <w:bookmarkEnd w:id="6"/>
    </w:p>
    <w:p w:rsidR="00D70951" w:rsidRPr="00321F58" w:rsidRDefault="00D70951">
      <w:pPr>
        <w:pStyle w:val="Frslagspunkt"/>
        <w:rPr>
          <w:noProof w:val="0"/>
        </w:rPr>
      </w:pPr>
      <w:r w:rsidRPr="00321F58">
        <w:rPr>
          <w:noProof w:val="0"/>
        </w:rPr>
        <w:t>2.</w:t>
      </w:r>
      <w:r w:rsidRPr="00321F58">
        <w:rPr>
          <w:noProof w:val="0"/>
        </w:rPr>
        <w:tab/>
        <w:t>Immunitet och privilegier</w:t>
      </w:r>
    </w:p>
    <w:p w:rsidR="00D70951" w:rsidRPr="00321F58" w:rsidRDefault="00D70951">
      <w:pPr>
        <w:pStyle w:val="Frslagstext"/>
      </w:pPr>
      <w:r w:rsidRPr="00321F58">
        <w:t xml:space="preserve">Riksdagen antar regeringens förslag till lag om ändring i lagen (1976:661) om immunitet och privilegier i vissa fall, dock att den nya punkten i bilagan skall ges nummer 66.       </w:t>
      </w:r>
      <w:bookmarkStart w:id="7" w:name="RESPARTI002"/>
      <w:bookmarkEnd w:id="7"/>
    </w:p>
    <w:p w:rsidR="00D70951" w:rsidRPr="00321F58" w:rsidRDefault="00D70951">
      <w:pPr>
        <w:pStyle w:val="Frslagspunkt"/>
        <w:rPr>
          <w:noProof w:val="0"/>
        </w:rPr>
      </w:pPr>
      <w:r w:rsidRPr="00321F58">
        <w:rPr>
          <w:noProof w:val="0"/>
        </w:rPr>
        <w:t>3.</w:t>
      </w:r>
      <w:r w:rsidRPr="00321F58">
        <w:rPr>
          <w:noProof w:val="0"/>
        </w:rPr>
        <w:tab/>
        <w:t>Övriga lagförslag</w:t>
      </w:r>
    </w:p>
    <w:p w:rsidR="00D70951" w:rsidRPr="00321F58" w:rsidRDefault="00D70951">
      <w:pPr>
        <w:pStyle w:val="Frslagstext"/>
      </w:pPr>
      <w:r w:rsidRPr="00321F58">
        <w:t xml:space="preserve">Riksdagen antar regeringens förslag till </w:t>
      </w:r>
    </w:p>
    <w:p w:rsidR="00D70951" w:rsidRPr="00321F58" w:rsidRDefault="00D70951">
      <w:pPr>
        <w:pStyle w:val="Frslagstext"/>
        <w:numPr>
          <w:ilvl w:val="0"/>
          <w:numId w:val="3"/>
        </w:numPr>
      </w:pPr>
      <w:r w:rsidRPr="00321F58">
        <w:t>lag om samarbete med Intern</w:t>
      </w:r>
      <w:r w:rsidRPr="00321F58">
        <w:t>a</w:t>
      </w:r>
      <w:r w:rsidRPr="00321F58">
        <w:t>tionella brottmålsdomstolen,</w:t>
      </w:r>
    </w:p>
    <w:p w:rsidR="00D70951" w:rsidRPr="00321F58" w:rsidRDefault="00D70951">
      <w:pPr>
        <w:pStyle w:val="Frslagstext"/>
        <w:numPr>
          <w:ilvl w:val="0"/>
          <w:numId w:val="3"/>
        </w:numPr>
      </w:pPr>
      <w:r w:rsidRPr="00321F58">
        <w:t>lag om ändring i sekretesslagen (1980:100),</w:t>
      </w:r>
    </w:p>
    <w:p w:rsidR="00D70951" w:rsidRPr="00321F58" w:rsidRDefault="00D70951">
      <w:pPr>
        <w:pStyle w:val="Frslagstext"/>
        <w:numPr>
          <w:ilvl w:val="0"/>
          <w:numId w:val="3"/>
        </w:numPr>
      </w:pPr>
      <w:r w:rsidRPr="00321F58">
        <w:t xml:space="preserve">lag om ändring i lagen (1994:569) om Sveriges samarbete med de internationella tribunalerna för brott mot internationell humanitär rätt.        </w:t>
      </w:r>
    </w:p>
    <w:p w:rsidR="00D70951" w:rsidRPr="00321F58" w:rsidRDefault="00D70951">
      <w:pPr>
        <w:pStyle w:val="Frslagstext"/>
      </w:pPr>
      <w:bookmarkStart w:id="8" w:name="Nästa_Hpunkt"/>
      <w:bookmarkEnd w:id="8"/>
    </w:p>
    <w:p w:rsidR="00D70951" w:rsidRPr="00321F58" w:rsidRDefault="00D70951">
      <w:pPr>
        <w:pStyle w:val="Frslagstext"/>
      </w:pPr>
      <w:bookmarkStart w:id="9" w:name="RESPARTI003"/>
      <w:bookmarkEnd w:id="9"/>
    </w:p>
    <w:p w:rsidR="00D70951" w:rsidRPr="00321F58" w:rsidRDefault="00D70951">
      <w:pPr>
        <w:pStyle w:val="Normaltindrag"/>
      </w:pPr>
    </w:p>
    <w:p w:rsidR="00D70951" w:rsidRPr="00321F58" w:rsidRDefault="00D70951">
      <w:pPr>
        <w:pStyle w:val="Normaltindrag"/>
      </w:pPr>
    </w:p>
    <w:p w:rsidR="00D70951" w:rsidRPr="00321F58" w:rsidRDefault="00D70951">
      <w:pPr>
        <w:pStyle w:val="Utskriftsdatum"/>
      </w:pPr>
      <w:r w:rsidRPr="00321F58">
        <w:t xml:space="preserve">Stockholm den 16 april 2002 </w:t>
      </w:r>
    </w:p>
    <w:p w:rsidR="00D70951" w:rsidRPr="00321F58" w:rsidRDefault="00D70951">
      <w:r w:rsidRPr="00321F58">
        <w:t>På justitieutskottets vägnar</w:t>
      </w:r>
    </w:p>
    <w:p w:rsidR="00D70951" w:rsidRPr="00321F58" w:rsidRDefault="00D70951">
      <w:pPr>
        <w:pStyle w:val="Ordfranden"/>
        <w:rPr>
          <w:noProof w:val="0"/>
        </w:rPr>
      </w:pPr>
      <w:bookmarkStart w:id="10" w:name="Ordförande"/>
      <w:bookmarkEnd w:id="10"/>
      <w:r w:rsidRPr="00321F58">
        <w:rPr>
          <w:noProof w:val="0"/>
        </w:rPr>
        <w:t xml:space="preserve">Fredrik Reinfeldt </w:t>
      </w:r>
    </w:p>
    <w:p w:rsidR="00D70951" w:rsidRPr="00321F58" w:rsidRDefault="00D70951">
      <w:pPr>
        <w:pStyle w:val="Deltagare"/>
        <w:rPr>
          <w:noProof w:val="0"/>
        </w:rPr>
      </w:pPr>
      <w:bookmarkStart w:id="11" w:name="Deltagare"/>
      <w:bookmarkEnd w:id="11"/>
      <w:r w:rsidRPr="00321F58">
        <w:rPr>
          <w:noProof w:val="0"/>
        </w:rPr>
        <w:t>Följande ledamöter har deltagit i beslutet: Fredrik Reinfeldt (m), Ingvar Johnsson (s), Märta Johansson (s), Margareta Sandgren (s), Alice Åström (v), Ingemar Vänerlöv (kd), Maud Ekendahl (m), Jeppe Johnsson (m), Helena Zakariasén (s), Morgan Johansson (s), Yvonne Oscarsson (v), Anita Sidén (m), Kia Andreasson (mp), Gunnel Wallin (c), Johan Pehrson (fp), Yilmaz Kerimo (s) och Dan Kihlström (kd).</w:t>
      </w:r>
    </w:p>
    <w:p w:rsidR="00D70951" w:rsidRPr="00321F58" w:rsidRDefault="00D70951">
      <w:pPr>
        <w:pStyle w:val="Normaltindrag"/>
      </w:pPr>
    </w:p>
    <w:p w:rsidR="00D70951" w:rsidRPr="00321F58" w:rsidRDefault="00D70951">
      <w:pPr>
        <w:pStyle w:val="Normaltindrag"/>
        <w:sectPr w:rsidR="00000000" w:rsidRPr="00321F5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70951" w:rsidRPr="00321F58" w:rsidRDefault="00D70951">
      <w:pPr>
        <w:pStyle w:val="Rubrik1"/>
        <w:rPr>
          <w:noProof w:val="0"/>
        </w:rPr>
      </w:pPr>
      <w:bookmarkStart w:id="12" w:name="_Toc6816438"/>
      <w:r w:rsidRPr="00321F58">
        <w:rPr>
          <w:noProof w:val="0"/>
        </w:rPr>
        <w:t>Redogörelse för ärendet</w:t>
      </w:r>
      <w:bookmarkEnd w:id="12"/>
    </w:p>
    <w:p w:rsidR="00D70951" w:rsidRPr="00321F58" w:rsidRDefault="00D70951">
      <w:pPr>
        <w:pStyle w:val="Rubrik2"/>
      </w:pPr>
      <w:bookmarkStart w:id="13" w:name="_Toc6816439"/>
      <w:r w:rsidRPr="00321F58">
        <w:t>Ärendet och dess beredning</w:t>
      </w:r>
      <w:bookmarkEnd w:id="13"/>
    </w:p>
    <w:p w:rsidR="00D70951" w:rsidRPr="00321F58" w:rsidRDefault="00D70951">
      <w:pPr>
        <w:rPr>
          <w:snapToGrid w:val="0"/>
          <w:lang w:eastAsia="sv-SE"/>
        </w:rPr>
      </w:pPr>
      <w:r w:rsidRPr="00321F58">
        <w:rPr>
          <w:snapToGrid w:val="0"/>
          <w:lang w:eastAsia="sv-SE"/>
        </w:rPr>
        <w:t>I Justitiedepartementets promemoria Romstadgan för Internationella brot</w:t>
      </w:r>
      <w:r w:rsidRPr="00321F58">
        <w:rPr>
          <w:snapToGrid w:val="0"/>
          <w:lang w:eastAsia="sv-SE"/>
        </w:rPr>
        <w:t>t</w:t>
      </w:r>
      <w:r w:rsidRPr="00321F58">
        <w:rPr>
          <w:snapToGrid w:val="0"/>
          <w:lang w:eastAsia="sv-SE"/>
        </w:rPr>
        <w:t>målsdomstolen (Ds 2001:3) behandlas frågan om Sveriges tillträde till Ro</w:t>
      </w:r>
      <w:r w:rsidRPr="00321F58">
        <w:rPr>
          <w:snapToGrid w:val="0"/>
          <w:lang w:eastAsia="sv-SE"/>
        </w:rPr>
        <w:t>m</w:t>
      </w:r>
      <w:r w:rsidRPr="00321F58">
        <w:rPr>
          <w:snapToGrid w:val="0"/>
          <w:lang w:eastAsia="sv-SE"/>
        </w:rPr>
        <w:t>stadgan och den lagstiftning som anses vara nödvändig med anledning av ett svenskt til</w:t>
      </w:r>
      <w:r w:rsidRPr="00321F58">
        <w:rPr>
          <w:snapToGrid w:val="0"/>
          <w:lang w:eastAsia="sv-SE"/>
        </w:rPr>
        <w:t>l</w:t>
      </w:r>
      <w:r w:rsidRPr="00321F58">
        <w:rPr>
          <w:snapToGrid w:val="0"/>
          <w:lang w:eastAsia="sv-SE"/>
        </w:rPr>
        <w:t xml:space="preserve">träde till stadgan. </w:t>
      </w:r>
    </w:p>
    <w:p w:rsidR="00D70951" w:rsidRPr="00321F58" w:rsidRDefault="00D70951">
      <w:pPr>
        <w:pStyle w:val="Normaltindrag"/>
        <w:rPr>
          <w:snapToGrid w:val="0"/>
          <w:lang w:eastAsia="sv-SE"/>
        </w:rPr>
      </w:pPr>
      <w:r w:rsidRPr="00321F58">
        <w:rPr>
          <w:snapToGrid w:val="0"/>
          <w:lang w:eastAsia="sv-SE"/>
        </w:rPr>
        <w:t>Promemorian har remissbehandlats. En sammanställning av remissvaren finns tillgängliga hos J</w:t>
      </w:r>
      <w:r w:rsidRPr="00321F58">
        <w:rPr>
          <w:snapToGrid w:val="0"/>
          <w:lang w:eastAsia="sv-SE"/>
        </w:rPr>
        <w:t>u</w:t>
      </w:r>
      <w:r w:rsidRPr="00321F58">
        <w:rPr>
          <w:snapToGrid w:val="0"/>
          <w:lang w:eastAsia="sv-SE"/>
        </w:rPr>
        <w:t>stitiedepartementet (dnr Ju 2001/582).</w:t>
      </w:r>
    </w:p>
    <w:p w:rsidR="00D70951" w:rsidRPr="00321F58" w:rsidRDefault="00D70951">
      <w:pPr>
        <w:pStyle w:val="Normaltindrag"/>
        <w:rPr>
          <w:snapToGrid w:val="0"/>
          <w:lang w:eastAsia="sv-SE"/>
        </w:rPr>
      </w:pPr>
      <w:r w:rsidRPr="00321F58">
        <w:rPr>
          <w:snapToGrid w:val="0"/>
          <w:lang w:eastAsia="sv-SE"/>
        </w:rPr>
        <w:t xml:space="preserve">Riksdagen godkände den 14 juni 2001 att Sverige tillträder Romstadgan samt att vissa förklaringar avges i fråga om kommunikationsväg och språk som skall användas vid samarbete med domstolen (prop. 2000/01:122, bet. 2000/01:JuU30 och 2000/01:KU13y, rskr. 2000/01:284). Den 28 juni 2001 ratificerade Sverige stadgan. </w:t>
      </w:r>
    </w:p>
    <w:p w:rsidR="00D70951" w:rsidRPr="00321F58" w:rsidRDefault="00D70951">
      <w:pPr>
        <w:pStyle w:val="Normaltindrag"/>
      </w:pPr>
      <w:r w:rsidRPr="00321F58">
        <w:rPr>
          <w:snapToGrid w:val="0"/>
          <w:lang w:eastAsia="sv-SE"/>
        </w:rPr>
        <w:t>I detta ärende tas promemorians förslag till lagstiftning med anledning av ett tillträde till Romstadgan upp.</w:t>
      </w:r>
    </w:p>
    <w:p w:rsidR="00D70951" w:rsidRPr="00321F58" w:rsidRDefault="00D70951">
      <w:pPr>
        <w:pStyle w:val="Normaltindrag"/>
      </w:pPr>
      <w:r w:rsidRPr="00321F58">
        <w:t>Lagrådet har yttrat sig över regeringens förslag och föreslagit vissa juste</w:t>
      </w:r>
      <w:r w:rsidRPr="00321F58">
        <w:t>r</w:t>
      </w:r>
      <w:r w:rsidRPr="00321F58">
        <w:t xml:space="preserve">ingar. Regeringen har i huvudsak följt Lagrådets synpunkter. Regeringens lagförslag har fogats till betänkandet, se </w:t>
      </w:r>
      <w:r w:rsidRPr="00321F58">
        <w:rPr>
          <w:i/>
        </w:rPr>
        <w:t>bilaga 2.</w:t>
      </w:r>
      <w:r w:rsidRPr="00321F58">
        <w:t xml:space="preserve"> </w:t>
      </w:r>
    </w:p>
    <w:p w:rsidR="00D70951" w:rsidRPr="00321F58" w:rsidRDefault="00D70951">
      <w:pPr>
        <w:pStyle w:val="Normaltindrag"/>
      </w:pPr>
      <w:r w:rsidRPr="00321F58">
        <w:t>Inga motioner har väckts med anledning av propositionen.</w:t>
      </w:r>
    </w:p>
    <w:p w:rsidR="00D70951" w:rsidRPr="00321F58" w:rsidRDefault="00D70951">
      <w:pPr>
        <w:pStyle w:val="Rubrik2"/>
        <w:spacing w:before="375"/>
      </w:pPr>
      <w:bookmarkStart w:id="14" w:name="_Toc6816440"/>
      <w:r w:rsidRPr="00321F58">
        <w:t>Bakgrund</w:t>
      </w:r>
      <w:bookmarkEnd w:id="14"/>
    </w:p>
    <w:p w:rsidR="00D70951" w:rsidRPr="00321F58" w:rsidRDefault="00D70951">
      <w:pPr>
        <w:pStyle w:val="Rubrik3"/>
        <w:spacing w:before="235"/>
        <w:rPr>
          <w:noProof w:val="0"/>
        </w:rPr>
      </w:pPr>
      <w:bookmarkStart w:id="15" w:name="_Toc6816441"/>
      <w:r w:rsidRPr="00321F58">
        <w:rPr>
          <w:noProof w:val="0"/>
        </w:rPr>
        <w:t>Tillträde till stadgan m.m.</w:t>
      </w:r>
      <w:bookmarkEnd w:id="15"/>
    </w:p>
    <w:p w:rsidR="00D70951" w:rsidRPr="00321F58" w:rsidRDefault="00D70951">
      <w:r w:rsidRPr="00321F58">
        <w:t>Genom Romstadgan för Internationella brottmålsdomstolen som antogs den 17 juli 1998 inrättades en permanent internationell domstol för utredning och lagföring av folkmord, brott mot mänskligheten och krigsförbrytelser. Sta</w:t>
      </w:r>
      <w:r w:rsidRPr="00321F58">
        <w:t>d</w:t>
      </w:r>
      <w:r w:rsidRPr="00321F58">
        <w:t xml:space="preserve">gan öppnades samma dag för undertecknande och Sverige undertecknade densamma den 7 oktober 1998. </w:t>
      </w:r>
    </w:p>
    <w:p w:rsidR="00D70951" w:rsidRPr="00321F58" w:rsidRDefault="00D70951">
      <w:pPr>
        <w:pStyle w:val="Normaltindrag"/>
      </w:pPr>
      <w:r w:rsidRPr="00321F58">
        <w:t xml:space="preserve">Stadgan träder i kraft när 60 stater har samtyckt till att vara bundna av den. </w:t>
      </w:r>
      <w:r w:rsidRPr="00321F58">
        <w:rPr>
          <w:snapToGrid w:val="0"/>
          <w:lang w:eastAsia="sv-SE"/>
        </w:rPr>
        <w:t>Sverige tillträdde stadgan den 28 juni 2001</w:t>
      </w:r>
      <w:r w:rsidRPr="00321F58">
        <w:t>. I början av mars 2002 hade 55 stater ratificerat eller på annat sätt tillträtt stadgan, bl.a. flertalet EU-stater samt Norge och Island. Den 11 april 2002 tillkom ytterligare tio stater. Grä</w:t>
      </w:r>
      <w:r w:rsidRPr="00321F58">
        <w:t>n</w:t>
      </w:r>
      <w:r w:rsidRPr="00321F58">
        <w:t xml:space="preserve">sen på 60 stater har därmed uppnåtts. Detta innebär att stadgan kommer att träda i kraft den 1 juli 2002. </w:t>
      </w:r>
    </w:p>
    <w:p w:rsidR="00D70951" w:rsidRPr="00321F58" w:rsidRDefault="00D70951">
      <w:pPr>
        <w:pStyle w:val="Rubrik3"/>
        <w:rPr>
          <w:noProof w:val="0"/>
        </w:rPr>
      </w:pPr>
      <w:bookmarkStart w:id="16" w:name="_Toc6816442"/>
      <w:r w:rsidRPr="00321F58">
        <w:rPr>
          <w:noProof w:val="0"/>
        </w:rPr>
        <w:t>Stadgans närmare innehåll</w:t>
      </w:r>
      <w:bookmarkEnd w:id="16"/>
    </w:p>
    <w:p w:rsidR="00D70951" w:rsidRPr="00321F58" w:rsidRDefault="00D70951">
      <w:r w:rsidRPr="00321F58">
        <w:t>Internationella brottmålsdomstolen är till skillnad från de två internationella brottmålstribunalerna för f.d. Jugoslavien och för Rwanda inte något FN-organ, utan grundar sig på en internationell överenskommelse som förhan</w:t>
      </w:r>
      <w:r w:rsidRPr="00321F58">
        <w:t>d</w:t>
      </w:r>
      <w:r w:rsidRPr="00321F58">
        <w:t>lats fram mellan ett stort antal stater. De skyldigheter som följer av Romsta</w:t>
      </w:r>
      <w:r w:rsidRPr="00321F58">
        <w:t>d</w:t>
      </w:r>
      <w:r w:rsidRPr="00321F58">
        <w:t>gan är alltså nya konventionsförpliktelser för de stater som väljer att ansluta sig. Närmare regler för domstolen skall antas av ett särskilt inrättat forum, en stadgepartsförsamling, som skall bestå av representanter för de anslutna st</w:t>
      </w:r>
      <w:r w:rsidRPr="00321F58">
        <w:t>a</w:t>
      </w:r>
      <w:r w:rsidRPr="00321F58">
        <w:t>terna (stadg</w:t>
      </w:r>
      <w:r w:rsidRPr="00321F58">
        <w:t>e</w:t>
      </w:r>
      <w:r w:rsidRPr="00321F58">
        <w:t xml:space="preserve">parterna). </w:t>
      </w:r>
    </w:p>
    <w:p w:rsidR="00D70951" w:rsidRPr="00321F58" w:rsidRDefault="00D70951">
      <w:pPr>
        <w:pStyle w:val="Normaltindrag"/>
      </w:pPr>
      <w:r w:rsidRPr="00321F58">
        <w:t>Domstolen är avsedd att vara en permanent institution med mandat att ta sig an brott begångna runt om i världen. I flertalet fall krävs dock viss a</w:t>
      </w:r>
      <w:r w:rsidRPr="00321F58">
        <w:t>n</w:t>
      </w:r>
      <w:r w:rsidRPr="00321F58">
        <w:t>knytning till en stat som har anslutit sig till dess stadga.</w:t>
      </w:r>
    </w:p>
    <w:p w:rsidR="00D70951" w:rsidRPr="00321F58" w:rsidRDefault="00D70951">
      <w:pPr>
        <w:pStyle w:val="Normaltindrag"/>
      </w:pPr>
      <w:r w:rsidRPr="00321F58">
        <w:t>Domstolen skall vara ett komplement till de nationella rättsordningarna och endast ta vid när den nationella förundersökningen och lagföringen inte fungerar på ett tillbörligt sätt – den s.k. komplementaritetsprincipen. De n</w:t>
      </w:r>
      <w:r w:rsidRPr="00321F58">
        <w:t>a</w:t>
      </w:r>
      <w:r w:rsidRPr="00321F58">
        <w:t>tionella rättssystemen skall sålunda i princip ha företräde framför Internati</w:t>
      </w:r>
      <w:r w:rsidRPr="00321F58">
        <w:t>o</w:t>
      </w:r>
      <w:r w:rsidRPr="00321F58">
        <w:t>nella brottmålsdomst</w:t>
      </w:r>
      <w:r w:rsidRPr="00321F58">
        <w:t>o</w:t>
      </w:r>
      <w:r w:rsidRPr="00321F58">
        <w:t>len.</w:t>
      </w:r>
    </w:p>
    <w:p w:rsidR="00D70951" w:rsidRPr="00321F58" w:rsidRDefault="00D70951">
      <w:pPr>
        <w:pStyle w:val="Normaltindrag"/>
      </w:pPr>
      <w:r w:rsidRPr="00321F58">
        <w:t>Enligt stadgan skall domstolen vara behörig att utreda och lagföra fol</w:t>
      </w:r>
      <w:r w:rsidRPr="00321F58">
        <w:t>k</w:t>
      </w:r>
      <w:r w:rsidRPr="00321F58">
        <w:t>mord och brott mot mänskligheten såväl vid väpnade konflikter som i fred</w:t>
      </w:r>
      <w:r w:rsidRPr="00321F58">
        <w:t>s</w:t>
      </w:r>
      <w:r w:rsidRPr="00321F58">
        <w:t>tid. Domstolen skall också vara behörig vid krigsförbrytelser i både intern</w:t>
      </w:r>
      <w:r w:rsidRPr="00321F58">
        <w:t>a</w:t>
      </w:r>
      <w:r w:rsidRPr="00321F58">
        <w:t xml:space="preserve">tionella och icke-internationella konflikter. </w:t>
      </w:r>
    </w:p>
    <w:p w:rsidR="00D70951" w:rsidRPr="00321F58" w:rsidRDefault="00D70951">
      <w:pPr>
        <w:pStyle w:val="Normaltindrag"/>
      </w:pPr>
      <w:r w:rsidRPr="00321F58">
        <w:t xml:space="preserve">Domstolen skall inte ha jurisdiktion över brott som begåtts före stadgans ikraftträdande – principen om icke-retroaktivitet. </w:t>
      </w:r>
    </w:p>
    <w:p w:rsidR="00D70951" w:rsidRPr="00321F58" w:rsidRDefault="00D70951">
      <w:pPr>
        <w:pStyle w:val="Normaltindrag"/>
      </w:pPr>
      <w:r w:rsidRPr="00321F58">
        <w:t>En annan princip som kommit till uttryck i stadgan är den s.k. specialitet</w:t>
      </w:r>
      <w:r w:rsidRPr="00321F58">
        <w:t>s</w:t>
      </w:r>
      <w:r w:rsidRPr="00321F58">
        <w:t>principen. Av denna följer att en person som överlämnats till Internationella brottmålsdomstolen inte får lagföras, straffas eller hållas i fängsligt förvar av domstolen för någon annan gärning som har begåtts före överlämnandet än den eller de gärningar som utgör grunden för överlämnandet till domstolen. De anslutna staterna får dock bevilja domstolen dispens och bör sträva efter att göra det.</w:t>
      </w:r>
    </w:p>
    <w:p w:rsidR="00D70951" w:rsidRPr="00321F58" w:rsidRDefault="00D70951">
      <w:pPr>
        <w:pStyle w:val="Normaltindrag"/>
      </w:pPr>
      <w:r w:rsidRPr="00321F58">
        <w:t>Inte heller skall någon lagföras två gånger för samma sak (ne bis in idem). Såväl Internationella brottmålsdomsto</w:t>
      </w:r>
      <w:r w:rsidRPr="00321F58">
        <w:t>lens som nationella domstolars avg</w:t>
      </w:r>
      <w:r w:rsidRPr="00321F58">
        <w:t>ö</w:t>
      </w:r>
      <w:r w:rsidRPr="00321F58">
        <w:t>randen skall alltså normalt ha negativ rättskraft. Undantag finns i fråga om nationella domstolars avgöranden, huvudsakligen för det fall att rättegången i den nationella domstolen inte genomförts på ett oberoende och opartiskt sätt.</w:t>
      </w:r>
    </w:p>
    <w:p w:rsidR="00D70951" w:rsidRPr="00321F58" w:rsidRDefault="00D70951">
      <w:pPr>
        <w:pStyle w:val="Normaltindrag"/>
      </w:pPr>
      <w:r w:rsidRPr="00321F58">
        <w:t>Slutligen gäller att brotten under Internationella brottmålsdomstolens j</w:t>
      </w:r>
      <w:r w:rsidRPr="00321F58">
        <w:t>u</w:t>
      </w:r>
      <w:r w:rsidRPr="00321F58">
        <w:t>risdiktion i förhållande till domstolen inte skall kunna bli föremål för pr</w:t>
      </w:r>
      <w:r w:rsidRPr="00321F58">
        <w:t>e</w:t>
      </w:r>
      <w:r w:rsidRPr="00321F58">
        <w:t>skription.</w:t>
      </w:r>
    </w:p>
    <w:p w:rsidR="00D70951" w:rsidRPr="00321F58" w:rsidRDefault="00D70951">
      <w:pPr>
        <w:pStyle w:val="Normaltindrag"/>
      </w:pPr>
      <w:r w:rsidRPr="00321F58">
        <w:t>De straff som föreskrivs i stadgan är fängelse i ett bestämt antal år, dock högst 30, eller på livstid. Därutöver får domstolen som tillägg till fängels</w:t>
      </w:r>
      <w:r w:rsidRPr="00321F58">
        <w:t>e</w:t>
      </w:r>
      <w:r w:rsidRPr="00321F58">
        <w:t>straffet bestämma om böter och fö</w:t>
      </w:r>
      <w:r w:rsidRPr="00321F58">
        <w:t>r</w:t>
      </w:r>
      <w:r w:rsidRPr="00321F58">
        <w:t>verkande.</w:t>
      </w:r>
    </w:p>
    <w:p w:rsidR="00D70951" w:rsidRPr="00321F58" w:rsidRDefault="00D70951">
      <w:pPr>
        <w:pStyle w:val="Normaltindrag"/>
      </w:pPr>
      <w:r w:rsidRPr="00321F58">
        <w:t xml:space="preserve">Verkställigheten av fängelsestraff som domstolen dömer ut skall äga rum i stater som har anmält att de är beredda att ta emot fängelsedömda personer. Det är domstolen som avgör var verkställighet skall ske i det enskilda fallet. </w:t>
      </w:r>
    </w:p>
    <w:p w:rsidR="00D70951" w:rsidRPr="00321F58" w:rsidRDefault="00D70951">
      <w:pPr>
        <w:pStyle w:val="Normaltindrag"/>
      </w:pPr>
      <w:r w:rsidRPr="00321F58">
        <w:t>I de fall förundersökning och lagföring omfattas av Internationella brot</w:t>
      </w:r>
      <w:r w:rsidRPr="00321F58">
        <w:t>t</w:t>
      </w:r>
      <w:r w:rsidRPr="00321F58">
        <w:t>målsdomstolens jurisdiktion finns långtgående bestämmelser om samarbet</w:t>
      </w:r>
      <w:r w:rsidRPr="00321F58">
        <w:t>s</w:t>
      </w:r>
      <w:r w:rsidRPr="00321F58">
        <w:t>skyldighet för de anslutna staterna. Grundregeln är att de anslutna staterna är skyldiga att till fullo samarbeta med domstolen i fråga om förundersökning och lagföring av sådana brott. Anslutna stater är bl.a. skyldiga att på begäran lämna biträde med anhållande och överlämnande av en person till domstolen. Bistånd skall också ges med t.ex. bevisupptagning och delgivning. För att möjliggöra detta samarbete skall de anslutna staterna sä</w:t>
      </w:r>
      <w:r w:rsidRPr="00321F58">
        <w:t>kerställa att det finns nationella förfaranden tillgängliga för alla former av samarbete enligt Ro</w:t>
      </w:r>
      <w:r w:rsidRPr="00321F58">
        <w:t>m</w:t>
      </w:r>
      <w:r w:rsidRPr="00321F58">
        <w:t xml:space="preserve">stadgan. </w:t>
      </w:r>
    </w:p>
    <w:p w:rsidR="00D70951" w:rsidRPr="00321F58" w:rsidRDefault="00D70951">
      <w:pPr>
        <w:pStyle w:val="Normaltindrag"/>
      </w:pPr>
      <w:r w:rsidRPr="00321F58">
        <w:t>För en mer utförlig redovisning av Romstadgans innehåll, t.ex. vad avser domstolens organisation m.m., se prop. 2000/01:122 och bet. 2000/01:JuU30.</w:t>
      </w:r>
    </w:p>
    <w:p w:rsidR="00D70951" w:rsidRPr="00321F58" w:rsidRDefault="00D70951">
      <w:pPr>
        <w:pStyle w:val="Rubrik2"/>
      </w:pPr>
      <w:bookmarkStart w:id="17" w:name="_Toc6816443"/>
      <w:r w:rsidRPr="00321F58">
        <w:t>Propositionens huvudsakliga innehåll</w:t>
      </w:r>
      <w:bookmarkEnd w:id="17"/>
    </w:p>
    <w:p w:rsidR="00D70951" w:rsidRPr="00321F58" w:rsidRDefault="00D70951">
      <w:pPr>
        <w:rPr>
          <w:snapToGrid w:val="0"/>
          <w:lang w:eastAsia="sv-SE"/>
        </w:rPr>
      </w:pPr>
      <w:r w:rsidRPr="00321F58">
        <w:rPr>
          <w:snapToGrid w:val="0"/>
          <w:lang w:eastAsia="sv-SE"/>
        </w:rPr>
        <w:t>Sverige tillträdde Romstadgan för Internationella brottmålsdomstolen den 28 juni 2001. Genom stadgan inrättas en internationell domstol för utredning och lagföring av allvarliga brott mot internationell hum</w:t>
      </w:r>
      <w:r w:rsidRPr="00321F58">
        <w:rPr>
          <w:snapToGrid w:val="0"/>
          <w:lang w:eastAsia="sv-SE"/>
        </w:rPr>
        <w:t>a</w:t>
      </w:r>
      <w:r w:rsidRPr="00321F58">
        <w:rPr>
          <w:snapToGrid w:val="0"/>
          <w:lang w:eastAsia="sv-SE"/>
        </w:rPr>
        <w:t>nitär rätt.</w:t>
      </w:r>
    </w:p>
    <w:p w:rsidR="00D70951" w:rsidRPr="00321F58" w:rsidRDefault="00D70951">
      <w:pPr>
        <w:pStyle w:val="Normaltindrag"/>
        <w:rPr>
          <w:snapToGrid w:val="0"/>
          <w:lang w:eastAsia="sv-SE"/>
        </w:rPr>
      </w:pPr>
      <w:r w:rsidRPr="00321F58">
        <w:rPr>
          <w:snapToGrid w:val="0"/>
          <w:lang w:eastAsia="sv-SE"/>
        </w:rPr>
        <w:t>I propositionen lämnas förslag till lagstiftning som krävs för att Sverige skall kunna fullgöra de förpliktelser enligt stadgan som gäller samarbete med domstolen. Samarbetet avser olika former av rättslig hjälp i brottmål – t.ex. förhör, bevisupptagning, olika tvångsmedel under förundersökningen och överföring av frihetsberövade för förhör m.m. – och överlämnande av mis</w:t>
      </w:r>
      <w:r w:rsidRPr="00321F58">
        <w:rPr>
          <w:snapToGrid w:val="0"/>
          <w:lang w:eastAsia="sv-SE"/>
        </w:rPr>
        <w:t>s</w:t>
      </w:r>
      <w:r w:rsidRPr="00321F58">
        <w:rPr>
          <w:snapToGrid w:val="0"/>
          <w:lang w:eastAsia="sv-SE"/>
        </w:rPr>
        <w:t>tänkta till domstolen för lagföring. Förslaget innehåller även bestämmelser om rätt till biträde av försvarare och målsägandebiträden samt rättshjälp och om ersättning till vittnen och andra som fullgjort något i Sverige med anle</w:t>
      </w:r>
      <w:r w:rsidRPr="00321F58">
        <w:rPr>
          <w:snapToGrid w:val="0"/>
          <w:lang w:eastAsia="sv-SE"/>
        </w:rPr>
        <w:t>d</w:t>
      </w:r>
      <w:r w:rsidRPr="00321F58">
        <w:rPr>
          <w:snapToGrid w:val="0"/>
          <w:lang w:eastAsia="sv-SE"/>
        </w:rPr>
        <w:t>ning av en begäran från domstolen eller som skall infinna sig vid domstolen.</w:t>
      </w:r>
    </w:p>
    <w:p w:rsidR="00D70951" w:rsidRPr="00321F58" w:rsidRDefault="00D70951">
      <w:pPr>
        <w:pStyle w:val="Normaltindrag"/>
        <w:rPr>
          <w:snapToGrid w:val="0"/>
          <w:lang w:eastAsia="sv-SE"/>
        </w:rPr>
      </w:pPr>
      <w:r w:rsidRPr="00321F58">
        <w:rPr>
          <w:snapToGrid w:val="0"/>
          <w:lang w:eastAsia="sv-SE"/>
        </w:rPr>
        <w:t>Det föreslås vidare att Sverige skall kunna tillåta att fängelsedomar som domstolen har meddelat får verkställas här. Lagförslaget innehåller också regler om sådan straffverkställighet i Sverige samt om v</w:t>
      </w:r>
      <w:r w:rsidRPr="00321F58">
        <w:rPr>
          <w:snapToGrid w:val="0"/>
          <w:lang w:eastAsia="sv-SE"/>
        </w:rPr>
        <w:t>erkställighet av andra avgöranden som avser böter, förverkanden och gottgörelse till brottsoffer.</w:t>
      </w:r>
    </w:p>
    <w:p w:rsidR="00D70951" w:rsidRPr="00321F58" w:rsidRDefault="00D70951">
      <w:pPr>
        <w:pStyle w:val="Normaltindrag"/>
        <w:rPr>
          <w:snapToGrid w:val="0"/>
          <w:lang w:eastAsia="sv-SE"/>
        </w:rPr>
      </w:pPr>
      <w:r w:rsidRPr="00321F58">
        <w:rPr>
          <w:snapToGrid w:val="0"/>
          <w:lang w:eastAsia="sv-SE"/>
        </w:rPr>
        <w:t>Vissa förslag som gäller sekretess samt immunitet och privilegier lämnas också.</w:t>
      </w:r>
    </w:p>
    <w:p w:rsidR="00D70951" w:rsidRPr="00321F58" w:rsidRDefault="00D70951">
      <w:pPr>
        <w:pStyle w:val="Normaltindrag"/>
        <w:rPr>
          <w:snapToGrid w:val="0"/>
          <w:lang w:eastAsia="sv-SE"/>
        </w:rPr>
      </w:pPr>
      <w:r w:rsidRPr="00321F58">
        <w:rPr>
          <w:snapToGrid w:val="0"/>
          <w:lang w:eastAsia="sv-SE"/>
        </w:rPr>
        <w:t>Det föreslås att de aktuella bestämmelserna om samarbetet med Internati</w:t>
      </w:r>
      <w:r w:rsidRPr="00321F58">
        <w:rPr>
          <w:snapToGrid w:val="0"/>
          <w:lang w:eastAsia="sv-SE"/>
        </w:rPr>
        <w:t>o</w:t>
      </w:r>
      <w:r w:rsidRPr="00321F58">
        <w:rPr>
          <w:snapToGrid w:val="0"/>
          <w:lang w:eastAsia="sv-SE"/>
        </w:rPr>
        <w:t xml:space="preserve">nella brottmålsdomstolen skall tas in i en särskild lag. </w:t>
      </w:r>
    </w:p>
    <w:p w:rsidR="00D70951" w:rsidRPr="00321F58" w:rsidRDefault="00D70951">
      <w:pPr>
        <w:pStyle w:val="Normaltindrag"/>
        <w:rPr>
          <w:snapToGrid w:val="0"/>
          <w:lang w:eastAsia="sv-SE"/>
        </w:rPr>
      </w:pPr>
      <w:r w:rsidRPr="00321F58">
        <w:rPr>
          <w:snapToGrid w:val="0"/>
          <w:lang w:eastAsia="sv-SE"/>
        </w:rPr>
        <w:t>För att de föreskrifter som gäller de befintliga internationella brottmålstr</w:t>
      </w:r>
      <w:r w:rsidRPr="00321F58">
        <w:rPr>
          <w:snapToGrid w:val="0"/>
          <w:lang w:eastAsia="sv-SE"/>
        </w:rPr>
        <w:t>i</w:t>
      </w:r>
      <w:r w:rsidRPr="00321F58">
        <w:rPr>
          <w:snapToGrid w:val="0"/>
          <w:lang w:eastAsia="sv-SE"/>
        </w:rPr>
        <w:t>bunalerna för f.d. Jugoslavien och Rwanda respektive för Internationella brottmålsdomstolen skall vara så enhetliga som möjligt föreslås vissa än</w:t>
      </w:r>
      <w:r w:rsidRPr="00321F58">
        <w:rPr>
          <w:snapToGrid w:val="0"/>
          <w:lang w:eastAsia="sv-SE"/>
        </w:rPr>
        <w:t>d</w:t>
      </w:r>
      <w:r w:rsidRPr="00321F58">
        <w:rPr>
          <w:snapToGrid w:val="0"/>
          <w:lang w:eastAsia="sv-SE"/>
        </w:rPr>
        <w:t>ringar i lagen (1994:569) om Sveriges samarbete med de internationella tr</w:t>
      </w:r>
      <w:r w:rsidRPr="00321F58">
        <w:rPr>
          <w:snapToGrid w:val="0"/>
          <w:lang w:eastAsia="sv-SE"/>
        </w:rPr>
        <w:t>i</w:t>
      </w:r>
      <w:r w:rsidRPr="00321F58">
        <w:rPr>
          <w:snapToGrid w:val="0"/>
          <w:lang w:eastAsia="sv-SE"/>
        </w:rPr>
        <w:t>bunalerna för brott mot intern</w:t>
      </w:r>
      <w:r w:rsidRPr="00321F58">
        <w:rPr>
          <w:snapToGrid w:val="0"/>
          <w:lang w:eastAsia="sv-SE"/>
        </w:rPr>
        <w:t>a</w:t>
      </w:r>
      <w:r w:rsidRPr="00321F58">
        <w:rPr>
          <w:snapToGrid w:val="0"/>
          <w:lang w:eastAsia="sv-SE"/>
        </w:rPr>
        <w:t>tionell humanitär rätt.</w:t>
      </w:r>
    </w:p>
    <w:p w:rsidR="00D70951" w:rsidRPr="00321F58" w:rsidRDefault="00D70951">
      <w:pPr>
        <w:pStyle w:val="Normaltindrag"/>
        <w:rPr>
          <w:snapToGrid w:val="0"/>
          <w:lang w:eastAsia="sv-SE"/>
        </w:rPr>
      </w:pPr>
      <w:r w:rsidRPr="00321F58">
        <w:rPr>
          <w:snapToGrid w:val="0"/>
          <w:lang w:eastAsia="sv-SE"/>
        </w:rPr>
        <w:t>Utanför detta ärende faller vissa materiella straffrättsliga bestämmelser som gäller lagföring av brott mot domstolens rättskipning (mened m.m.) samt de straffrättsliga frågor som för närvarande övervägs av en särskild utredare.</w:t>
      </w:r>
    </w:p>
    <w:p w:rsidR="00D70951" w:rsidRPr="00321F58" w:rsidRDefault="00D70951">
      <w:pPr>
        <w:pStyle w:val="Normaltindrag"/>
        <w:rPr>
          <w:snapToGrid w:val="0"/>
          <w:lang w:eastAsia="sv-SE"/>
        </w:rPr>
      </w:pPr>
      <w:r w:rsidRPr="00321F58">
        <w:rPr>
          <w:snapToGrid w:val="0"/>
          <w:lang w:eastAsia="sv-SE"/>
        </w:rPr>
        <w:t>Lagstiftningen för Internationella brottmålsdomstolen föreslås träda i kraft den dag regeringen bestämmer och de lagändringar som gäller de internati</w:t>
      </w:r>
      <w:r w:rsidRPr="00321F58">
        <w:rPr>
          <w:snapToGrid w:val="0"/>
          <w:lang w:eastAsia="sv-SE"/>
        </w:rPr>
        <w:t>o</w:t>
      </w:r>
      <w:r w:rsidRPr="00321F58">
        <w:rPr>
          <w:snapToGrid w:val="0"/>
          <w:lang w:eastAsia="sv-SE"/>
        </w:rPr>
        <w:t>nella brottmålstribunalerna, vilka även innefattar ändringar i sekretesslagen och lagen om internationell rättslig hjälp i brottmål, den 1 juli 2002.</w:t>
      </w:r>
    </w:p>
    <w:p w:rsidR="00D70951" w:rsidRPr="00321F58" w:rsidRDefault="00D70951">
      <w:pPr>
        <w:pStyle w:val="Normaltindrag"/>
        <w:sectPr w:rsidR="00000000" w:rsidRPr="00321F5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70951" w:rsidRPr="00321F58" w:rsidRDefault="00D70951">
      <w:pPr>
        <w:pStyle w:val="Rubrik1"/>
        <w:rPr>
          <w:noProof w:val="0"/>
        </w:rPr>
      </w:pPr>
      <w:bookmarkStart w:id="18" w:name="_Toc6816444"/>
      <w:r w:rsidRPr="00321F58">
        <w:rPr>
          <w:noProof w:val="0"/>
        </w:rPr>
        <w:t>Utskottets överväganden</w:t>
      </w:r>
      <w:bookmarkEnd w:id="18"/>
    </w:p>
    <w:p w:rsidR="00D70951" w:rsidRPr="00321F58" w:rsidRDefault="00D70951">
      <w:pPr>
        <w:pStyle w:val="Utskottsfrslagikorthet-Rubrik"/>
        <w:rPr>
          <w:noProof w:val="0"/>
        </w:rPr>
      </w:pPr>
      <w:r w:rsidRPr="00321F58">
        <w:rPr>
          <w:noProof w:val="0"/>
        </w:rPr>
        <w:t>Utskottets förslag i korthet</w:t>
      </w:r>
    </w:p>
    <w:p w:rsidR="00D70951" w:rsidRPr="00321F58" w:rsidRDefault="00D70951">
      <w:pPr>
        <w:pStyle w:val="Utskottsfrslagikorthet-Text"/>
      </w:pPr>
      <w:r w:rsidRPr="00321F58">
        <w:t>Utskottet föreslår att riksdagen bifaller regeringens förslag till en ny lag om samarbete med Internationella brottmålsdomstolen och om konsekvensändringar i vissa andra lagar. Förslaget innebär att den svenska lagstiftningen anpassas så att det i princip blir möjligt att ge rättsligt bistånd till Internationella brottmålsdomstolen i den u</w:t>
      </w:r>
      <w:r w:rsidRPr="00321F58">
        <w:t>t</w:t>
      </w:r>
      <w:r w:rsidRPr="00321F58">
        <w:t xml:space="preserve">sträckning som Romstadgan kräver det. </w:t>
      </w:r>
    </w:p>
    <w:p w:rsidR="00D70951" w:rsidRPr="00321F58" w:rsidRDefault="00D70951">
      <w:pPr>
        <w:pStyle w:val="Rubrik4"/>
        <w:rPr>
          <w:noProof w:val="0"/>
        </w:rPr>
      </w:pPr>
      <w:bookmarkStart w:id="19" w:name="_Toc6816445"/>
      <w:r w:rsidRPr="00321F58">
        <w:rPr>
          <w:noProof w:val="0"/>
        </w:rPr>
        <w:t>Regeringens förslag</w:t>
      </w:r>
      <w:bookmarkEnd w:id="19"/>
    </w:p>
    <w:p w:rsidR="00D70951" w:rsidRPr="00321F58" w:rsidRDefault="00D70951">
      <w:r w:rsidRPr="00321F58">
        <w:t xml:space="preserve">Genom att tillträda Romstadgan har Sverige åtagit sig att samarbeta med Internationella brottmålsdomstolen i enlighet med de bestämmelser som ges i stadgan. Sverige har samtidigt åtagit sig att säkerställa att det finns nationella förfaranden som möjliggör alla de former av samarbete med domstolen som följer av stadgan. </w:t>
      </w:r>
      <w:r w:rsidRPr="00321F58">
        <w:rPr>
          <w:snapToGrid w:val="0"/>
          <w:lang w:eastAsia="sv-SE"/>
        </w:rPr>
        <w:t>Utskottet välkomnar därför att regeringen nu lämnar förslag till bestämmelser</w:t>
      </w:r>
      <w:r w:rsidRPr="00321F58">
        <w:t xml:space="preserve"> om</w:t>
      </w:r>
      <w:r w:rsidRPr="00321F58">
        <w:rPr>
          <w:snapToGrid w:val="0"/>
          <w:lang w:eastAsia="sv-SE"/>
        </w:rPr>
        <w:t xml:space="preserve"> nationella förfaranden som ger möjlighet för Sverige att i de flesta situationer samarbeta med do</w:t>
      </w:r>
      <w:r w:rsidRPr="00321F58">
        <w:rPr>
          <w:snapToGrid w:val="0"/>
          <w:lang w:eastAsia="sv-SE"/>
        </w:rPr>
        <w:t>m</w:t>
      </w:r>
      <w:r w:rsidRPr="00321F58">
        <w:rPr>
          <w:snapToGrid w:val="0"/>
          <w:lang w:eastAsia="sv-SE"/>
        </w:rPr>
        <w:t>stolen.</w:t>
      </w:r>
    </w:p>
    <w:p w:rsidR="00D70951" w:rsidRPr="00321F58" w:rsidRDefault="00D70951">
      <w:pPr>
        <w:pStyle w:val="Normaltindrag"/>
        <w:rPr>
          <w:snapToGrid w:val="0"/>
          <w:lang w:eastAsia="sv-SE"/>
        </w:rPr>
      </w:pPr>
      <w:r w:rsidRPr="00321F58">
        <w:t xml:space="preserve">Utskottet delar regeringens bedömning att bestämmelserna bör tas in i en särskild lag. Bestämmelserna bör </w:t>
      </w:r>
      <w:r w:rsidRPr="00321F58">
        <w:rPr>
          <w:snapToGrid w:val="0"/>
          <w:lang w:eastAsia="sv-SE"/>
        </w:rPr>
        <w:t>utformas i så nära anslutning som möjligt till de bestämmelser som gäller för internationell rättslig hjälp i brottmål och utlämning för brott i allmänhet och i förhållande till de internationella brot</w:t>
      </w:r>
      <w:r w:rsidRPr="00321F58">
        <w:rPr>
          <w:snapToGrid w:val="0"/>
          <w:lang w:eastAsia="sv-SE"/>
        </w:rPr>
        <w:t>t</w:t>
      </w:r>
      <w:r w:rsidRPr="00321F58">
        <w:rPr>
          <w:snapToGrid w:val="0"/>
          <w:lang w:eastAsia="sv-SE"/>
        </w:rPr>
        <w:t xml:space="preserve">målstribunalerna. </w:t>
      </w:r>
    </w:p>
    <w:p w:rsidR="00D70951" w:rsidRPr="00321F58" w:rsidRDefault="00D70951">
      <w:pPr>
        <w:pStyle w:val="Normaltindrag"/>
        <w:rPr>
          <w:snapToGrid w:val="0"/>
          <w:lang w:eastAsia="sv-SE"/>
        </w:rPr>
      </w:pPr>
      <w:r w:rsidRPr="00321F58">
        <w:rPr>
          <w:snapToGrid w:val="0"/>
          <w:lang w:eastAsia="sv-SE"/>
        </w:rPr>
        <w:t xml:space="preserve">Utskottet tillstyrker regeringens förslag med vissa ändringar som framgår nedan. </w:t>
      </w:r>
    </w:p>
    <w:p w:rsidR="00D70951" w:rsidRPr="00321F58" w:rsidRDefault="00D70951">
      <w:pPr>
        <w:pStyle w:val="Normaltindrag"/>
        <w:rPr>
          <w:snapToGrid w:val="0"/>
          <w:lang w:eastAsia="sv-SE"/>
        </w:rPr>
      </w:pPr>
      <w:r w:rsidRPr="00321F58">
        <w:rPr>
          <w:snapToGrid w:val="0"/>
          <w:lang w:eastAsia="sv-SE"/>
        </w:rPr>
        <w:t>Avslutningsvis konstaterar utskottet att vissa lagstiftningsfrågor alltjämt är olösta. Detta gäller regleringen av brott, t.ex. mened, som riktas mot domst</w:t>
      </w:r>
      <w:r w:rsidRPr="00321F58">
        <w:rPr>
          <w:snapToGrid w:val="0"/>
          <w:lang w:eastAsia="sv-SE"/>
        </w:rPr>
        <w:t>o</w:t>
      </w:r>
      <w:r w:rsidRPr="00321F58">
        <w:rPr>
          <w:snapToGrid w:val="0"/>
          <w:lang w:eastAsia="sv-SE"/>
        </w:rPr>
        <w:t>lens rättsskipning. Detsamma gäller de grundlagsfrågor som aktualiserades redan i samband med beslutet att tillträda Romstadgan. Arbete med hithöra</w:t>
      </w:r>
      <w:r w:rsidRPr="00321F58">
        <w:rPr>
          <w:snapToGrid w:val="0"/>
          <w:lang w:eastAsia="sv-SE"/>
        </w:rPr>
        <w:t>n</w:t>
      </w:r>
      <w:r w:rsidRPr="00321F58">
        <w:rPr>
          <w:snapToGrid w:val="0"/>
          <w:lang w:eastAsia="sv-SE"/>
        </w:rPr>
        <w:t xml:space="preserve">de frågor pågår i Regeringskansliet. </w:t>
      </w:r>
    </w:p>
    <w:p w:rsidR="00D70951" w:rsidRPr="00321F58" w:rsidRDefault="00D70951">
      <w:pPr>
        <w:pStyle w:val="Rubrik4"/>
        <w:rPr>
          <w:noProof w:val="0"/>
        </w:rPr>
      </w:pPr>
      <w:bookmarkStart w:id="20" w:name="_Toc4488176"/>
      <w:bookmarkStart w:id="21" w:name="_Toc6816446"/>
      <w:r w:rsidRPr="00321F58">
        <w:rPr>
          <w:noProof w:val="0"/>
        </w:rPr>
        <w:t>Övrigt</w:t>
      </w:r>
      <w:bookmarkEnd w:id="20"/>
      <w:bookmarkEnd w:id="21"/>
    </w:p>
    <w:p w:rsidR="00D70951" w:rsidRPr="00321F58" w:rsidRDefault="00D70951">
      <w:pPr>
        <w:spacing w:before="187"/>
      </w:pPr>
      <w:r w:rsidRPr="00321F58">
        <w:t>I fråga om regeringens förslag om ändring i lagen (1976:661) om immunitet och privilegier i vissa fall noterar utskottet att lagen har ändrats efter det att regeringen lade fram det här aktuella förslaget. Lagens senaste lydelse följer numera av SFS 2002:87. Med hänsyn härtill bör den nya punkten i bilagan få ett annat ordning</w:t>
      </w:r>
      <w:r w:rsidRPr="00321F58">
        <w:t>s</w:t>
      </w:r>
      <w:r w:rsidRPr="00321F58">
        <w:t>nummer</w:t>
      </w:r>
      <w:r w:rsidRPr="00321F58">
        <w:rPr>
          <w:i/>
        </w:rPr>
        <w:t>.</w:t>
      </w:r>
    </w:p>
    <w:p w:rsidR="00D70951" w:rsidRPr="00321F58" w:rsidRDefault="00D70951">
      <w:pPr>
        <w:pStyle w:val="Normaltindrag"/>
      </w:pPr>
      <w:r w:rsidRPr="00321F58">
        <w:t>Utskottet har vidare noterat två ändringar som bör göras till följd av den föreslagna ändringen i lagen (2000:562) om internationell rättslig hjälp i brottmål.</w:t>
      </w:r>
    </w:p>
    <w:p w:rsidR="00D70951" w:rsidRPr="00321F58" w:rsidRDefault="00D70951">
      <w:pPr>
        <w:pStyle w:val="Normaltindrag"/>
      </w:pPr>
      <w:r w:rsidRPr="00321F58">
        <w:t>I 2 kap. 1 och 2 §§ nämnda lag anges under vilka förutsättningar de olika, i 1 kap. 2 § uppräknade, formerna av rättslig hjälp kan lämnas. Utskottet not</w:t>
      </w:r>
      <w:r w:rsidRPr="00321F58">
        <w:t>e</w:t>
      </w:r>
      <w:r w:rsidRPr="00321F58">
        <w:t>rar att några följdändringar inte har föreslagits i de förstnämnda bestämme</w:t>
      </w:r>
      <w:r w:rsidRPr="00321F58">
        <w:t>l</w:t>
      </w:r>
      <w:r w:rsidRPr="00321F58">
        <w:t>serna med anledning av det föreslagna tillägget i 1 kap. 2 § avseende rättsm</w:t>
      </w:r>
      <w:r w:rsidRPr="00321F58">
        <w:t>e</w:t>
      </w:r>
      <w:r w:rsidRPr="00321F58">
        <w:t>dicinsk unde</w:t>
      </w:r>
      <w:r w:rsidRPr="00321F58">
        <w:t>r</w:t>
      </w:r>
      <w:r w:rsidRPr="00321F58">
        <w:t xml:space="preserve">sökning av avliden. </w:t>
      </w:r>
    </w:p>
    <w:p w:rsidR="00D70951" w:rsidRPr="00321F58" w:rsidRDefault="00D70951">
      <w:pPr>
        <w:pStyle w:val="Normaltindrag"/>
      </w:pPr>
      <w:r w:rsidRPr="00321F58">
        <w:t xml:space="preserve">I 2 kap. 1 § bör sålunda införas en hänvisning till den nya punkten 9 i </w:t>
      </w:r>
      <w:r w:rsidRPr="00321F58">
        <w:br/>
        <w:t xml:space="preserve">1 kap. 2 §. </w:t>
      </w:r>
    </w:p>
    <w:p w:rsidR="00D70951" w:rsidRPr="00321F58" w:rsidRDefault="00D70951">
      <w:pPr>
        <w:pStyle w:val="Normaltindrag"/>
      </w:pPr>
      <w:r w:rsidRPr="00321F58">
        <w:t>I 2 kap. 2 § anges i vilka fall det uppställs ett krav på s.k. dubbel straffba</w:t>
      </w:r>
      <w:r w:rsidRPr="00321F58">
        <w:t>r</w:t>
      </w:r>
      <w:r w:rsidRPr="00321F58">
        <w:t xml:space="preserve">het för att Sverige skall kunna bistå med en viss åtgärd. </w:t>
      </w:r>
    </w:p>
    <w:p w:rsidR="00D70951" w:rsidRPr="00321F58" w:rsidRDefault="00D70951">
      <w:pPr>
        <w:pStyle w:val="Normaltindrag"/>
      </w:pPr>
      <w:r w:rsidRPr="00321F58">
        <w:t xml:space="preserve">Av 13 § </w:t>
      </w:r>
      <w:r w:rsidRPr="00321F58">
        <w:rPr>
          <w:snapToGrid w:val="0"/>
          <w:lang w:eastAsia="sv-SE"/>
        </w:rPr>
        <w:t>obduktionslagen (1995:832) följer att e</w:t>
      </w:r>
      <w:r w:rsidRPr="00321F58">
        <w:t>n rättsmedicinsk undersö</w:t>
      </w:r>
      <w:r w:rsidRPr="00321F58">
        <w:t>k</w:t>
      </w:r>
      <w:r w:rsidRPr="00321F58">
        <w:t>ning av en avliden får göras bl.a. om undersökningen kan antas vara av bet</w:t>
      </w:r>
      <w:r w:rsidRPr="00321F58">
        <w:t>y</w:t>
      </w:r>
      <w:r w:rsidRPr="00321F58">
        <w:t>delse för utredningen av ett dödsfall som inträffat under sådana omständi</w:t>
      </w:r>
      <w:r w:rsidRPr="00321F58">
        <w:t>g</w:t>
      </w:r>
      <w:r w:rsidRPr="00321F58">
        <w:t>heter att det inte skäligen kan bortses från möjligheten att dödsfallet har sa</w:t>
      </w:r>
      <w:r w:rsidRPr="00321F58">
        <w:t>m</w:t>
      </w:r>
      <w:r w:rsidRPr="00321F58">
        <w:t xml:space="preserve">band med ett brott. Sedan gravsättning skett får, enligt 16 §, </w:t>
      </w:r>
      <w:r w:rsidRPr="00321F58">
        <w:rPr>
          <w:snapToGrid w:val="0"/>
          <w:lang w:eastAsia="sv-SE"/>
        </w:rPr>
        <w:t xml:space="preserve">rättsmedicinsk undersökning </w:t>
      </w:r>
      <w:r w:rsidRPr="00321F58">
        <w:t xml:space="preserve">endast ske om det skäligen kan misstänkas att dödsfallet har samband med ett brott för vilket det inte är föreskrivet lindrigare </w:t>
      </w:r>
      <w:r w:rsidRPr="00321F58">
        <w:t>straff än fängelse i ett år och undersökningen kan antas vara av väsentlig betydelse för utredningen. Om det finns synnerliga skäl får kroppen tas om hand för sådan u</w:t>
      </w:r>
      <w:r w:rsidRPr="00321F58">
        <w:t>n</w:t>
      </w:r>
      <w:r w:rsidRPr="00321F58">
        <w:t>dersökning även i annat fall.</w:t>
      </w:r>
    </w:p>
    <w:p w:rsidR="00D70951" w:rsidRPr="00321F58" w:rsidRDefault="00D70951">
      <w:pPr>
        <w:pStyle w:val="Normaltindrag"/>
      </w:pPr>
      <w:r w:rsidRPr="00321F58">
        <w:t xml:space="preserve">Som huvudregel krävs det alltså att det rör sig om relativt allvarliga brott för att en rättsmedicinsk undersökning av en avliden skall få genomföras vid en svensk brottsutredning i de fall där gravsättning har skett. Enligt utskottets mening skulle det mot den bakgrunden </w:t>
      </w:r>
      <w:r w:rsidRPr="00321F58">
        <w:rPr>
          <w:snapToGrid w:val="0"/>
          <w:lang w:eastAsia="sv-SE"/>
        </w:rPr>
        <w:t>kunna anses stötande, främst för anh</w:t>
      </w:r>
      <w:r w:rsidRPr="00321F58">
        <w:rPr>
          <w:snapToGrid w:val="0"/>
          <w:lang w:eastAsia="sv-SE"/>
        </w:rPr>
        <w:t>ö</w:t>
      </w:r>
      <w:r w:rsidRPr="00321F58">
        <w:rPr>
          <w:snapToGrid w:val="0"/>
          <w:lang w:eastAsia="sv-SE"/>
        </w:rPr>
        <w:t xml:space="preserve">riga, att behöva öppna graven för utredning av ett brott som inte är straffbart i Sverige. Ett krav på dubbel straffbarhet framstår alltså som naturligt i detta sammanhang. Utskottet kan inte se att en sådan ordning skulle vara oförenlig med Sveriges internationella åtaganden. </w:t>
      </w:r>
    </w:p>
    <w:p w:rsidR="00D70951" w:rsidRPr="00321F58" w:rsidRDefault="00D70951">
      <w:pPr>
        <w:pStyle w:val="Normaltindrag"/>
      </w:pPr>
      <w:r w:rsidRPr="00321F58">
        <w:rPr>
          <w:snapToGrid w:val="0"/>
          <w:lang w:eastAsia="sv-SE"/>
        </w:rPr>
        <w:t xml:space="preserve">Mot den angivna bakgrunden anser utskottet att rättslig hjälp avseende </w:t>
      </w:r>
      <w:r w:rsidRPr="00321F58">
        <w:t>rättsmedicinsk undersökning av avliden i princip endast skall få lämnas om den gärning som ansökan avser motsvarar ett brott enligt svensk lag (dubbel straf</w:t>
      </w:r>
      <w:r w:rsidRPr="00321F58">
        <w:t>f</w:t>
      </w:r>
      <w:r w:rsidRPr="00321F58">
        <w:t xml:space="preserve">barhet). </w:t>
      </w:r>
    </w:p>
    <w:p w:rsidR="00D70951" w:rsidRPr="00321F58" w:rsidRDefault="00D70951">
      <w:pPr>
        <w:pStyle w:val="Normaltindrag"/>
      </w:pPr>
      <w:r w:rsidRPr="00321F58">
        <w:t>Det kan här påminnas om att det i förhållande till den Internationella brottmålsdomstolen och de internationella brottmålstribunalerna inte gäller något krav på dubbel straffbarhet (jämför de föreslagna lydelserna av 13 § lagen om samarbete med Internationella brottmålsdomstolen och 9 § lagen (1994:569) om Sveriges samarbete med de internation</w:t>
      </w:r>
      <w:r w:rsidRPr="00321F58">
        <w:t>ella tribunalerna för brott mot internationell humanitär rätt).</w:t>
      </w:r>
    </w:p>
    <w:p w:rsidR="00D70951" w:rsidRPr="00321F58" w:rsidRDefault="00D70951">
      <w:pPr>
        <w:pStyle w:val="Normaltindrag"/>
      </w:pPr>
      <w:r w:rsidRPr="00321F58">
        <w:t xml:space="preserve">Sammantaget innebär det anförda att utskottet anser att ändringar bör göras i 2 kap. 1 och 2 §§ i enlighet med vad som framgår av utskottets lagförslag, </w:t>
      </w:r>
      <w:r w:rsidRPr="00321F58">
        <w:rPr>
          <w:i/>
        </w:rPr>
        <w:t>bil</w:t>
      </w:r>
      <w:r w:rsidRPr="00321F58">
        <w:rPr>
          <w:i/>
        </w:rPr>
        <w:t>a</w:t>
      </w:r>
      <w:r w:rsidRPr="00321F58">
        <w:rPr>
          <w:i/>
        </w:rPr>
        <w:t>ga 3</w:t>
      </w:r>
      <w:r w:rsidRPr="00321F58">
        <w:t xml:space="preserve">.  </w:t>
      </w:r>
    </w:p>
    <w:p w:rsidR="00D70951" w:rsidRPr="00321F58" w:rsidRDefault="00D70951">
      <w:pPr>
        <w:pStyle w:val="Normaltindrag"/>
        <w:sectPr w:rsidR="00000000" w:rsidRPr="00321F5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70951" w:rsidRPr="00321F58" w:rsidRDefault="00D70951">
      <w:pPr>
        <w:pStyle w:val="Bilaga"/>
      </w:pPr>
      <w:r w:rsidRPr="00321F58">
        <w:t>Bilaga 1</w:t>
      </w:r>
    </w:p>
    <w:p w:rsidR="00D70951" w:rsidRPr="00321F58" w:rsidRDefault="00D70951">
      <w:pPr>
        <w:pStyle w:val="Rubrik1"/>
        <w:rPr>
          <w:noProof w:val="0"/>
        </w:rPr>
      </w:pPr>
      <w:bookmarkStart w:id="22" w:name="_Toc6816447"/>
      <w:r w:rsidRPr="00321F58">
        <w:rPr>
          <w:noProof w:val="0"/>
        </w:rPr>
        <w:t>Förteckning över behandlade förslag</w:t>
      </w:r>
      <w:bookmarkEnd w:id="22"/>
    </w:p>
    <w:p w:rsidR="00D70951" w:rsidRPr="00321F58" w:rsidRDefault="00D70951">
      <w:pPr>
        <w:pStyle w:val="Rubrik2"/>
      </w:pPr>
      <w:bookmarkStart w:id="23" w:name="_Toc6816448"/>
      <w:r w:rsidRPr="00321F58">
        <w:t>Propositionen</w:t>
      </w:r>
      <w:bookmarkEnd w:id="23"/>
    </w:p>
    <w:p w:rsidR="00D70951" w:rsidRPr="00321F58" w:rsidRDefault="00D70951">
      <w:pPr>
        <w:pStyle w:val="Motioner"/>
        <w:rPr>
          <w:i w:val="0"/>
        </w:rPr>
      </w:pPr>
      <w:bookmarkStart w:id="24" w:name="RangeStart"/>
      <w:bookmarkStart w:id="25" w:name="RangeEnd"/>
      <w:bookmarkEnd w:id="24"/>
      <w:r w:rsidRPr="00321F58">
        <w:rPr>
          <w:i w:val="0"/>
        </w:rPr>
        <w:t xml:space="preserve">I proposition 2001/02:88 har regeringen (Justitiedepartementet) föreslagit att riksdagen antar regeringens förslag till </w:t>
      </w:r>
    </w:p>
    <w:p w:rsidR="00D70951" w:rsidRPr="00321F58" w:rsidRDefault="00D70951">
      <w:pPr>
        <w:pStyle w:val="Yrkanden"/>
      </w:pPr>
      <w:r w:rsidRPr="00321F58">
        <w:t>1. lag om samarbete med Internationella brottmålsdomstolen,</w:t>
      </w:r>
    </w:p>
    <w:p w:rsidR="00D70951" w:rsidRPr="00321F58" w:rsidRDefault="00D70951">
      <w:pPr>
        <w:pStyle w:val="Yrkanden"/>
      </w:pPr>
      <w:r w:rsidRPr="00321F58">
        <w:t xml:space="preserve">2. lag om ändring i lagen (1976:661) om immunitet och privilegier i vissa fall, </w:t>
      </w:r>
    </w:p>
    <w:p w:rsidR="00D70951" w:rsidRPr="00321F58" w:rsidRDefault="00D70951">
      <w:pPr>
        <w:pStyle w:val="Yrkanden"/>
      </w:pPr>
      <w:r w:rsidRPr="00321F58">
        <w:t>3. lag om ändring i sekretesslagen (1980:100),</w:t>
      </w:r>
    </w:p>
    <w:p w:rsidR="00D70951" w:rsidRPr="00321F58" w:rsidRDefault="00D70951">
      <w:pPr>
        <w:pStyle w:val="Yrkanden"/>
      </w:pPr>
      <w:r w:rsidRPr="00321F58">
        <w:t>4. lag om ändring i lagen (1994:569) om Sveriges samarbete med de intern</w:t>
      </w:r>
      <w:r w:rsidRPr="00321F58">
        <w:t>a</w:t>
      </w:r>
      <w:r w:rsidRPr="00321F58">
        <w:t>tionella tribunalerna för brott mot internationell humanitär rätt,</w:t>
      </w:r>
    </w:p>
    <w:p w:rsidR="00D70951" w:rsidRPr="00321F58" w:rsidRDefault="00D70951">
      <w:pPr>
        <w:pStyle w:val="Yrkanden"/>
        <w:spacing w:line="240" w:lineRule="auto"/>
      </w:pPr>
      <w:r w:rsidRPr="00321F58">
        <w:t>5. lag om ändring i lagen (2000:562) om internationell rättslig hjälp i brot</w:t>
      </w:r>
      <w:r w:rsidRPr="00321F58">
        <w:t>t</w:t>
      </w:r>
      <w:r w:rsidRPr="00321F58">
        <w:t xml:space="preserve">mål.  </w:t>
      </w:r>
    </w:p>
    <w:bookmarkEnd w:id="25"/>
    <w:p w:rsidR="00D70951" w:rsidRPr="00321F58" w:rsidRDefault="00D70951">
      <w:pPr>
        <w:pStyle w:val="Normaltindrag"/>
        <w:sectPr w:rsidR="00000000" w:rsidRPr="00321F5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70951" w:rsidRPr="00321F58" w:rsidRDefault="00D70951">
      <w:pPr>
        <w:pStyle w:val="Bilaga"/>
      </w:pPr>
      <w:r w:rsidRPr="00321F58">
        <w:t>bilaga 2</w:t>
      </w:r>
    </w:p>
    <w:p w:rsidR="00D70951" w:rsidRPr="00321F58" w:rsidRDefault="00D70951">
      <w:pPr>
        <w:pStyle w:val="Rubrik1"/>
        <w:rPr>
          <w:noProof w:val="0"/>
        </w:rPr>
      </w:pPr>
      <w:bookmarkStart w:id="26" w:name="_Toc6816449"/>
      <w:r w:rsidRPr="00321F58">
        <w:rPr>
          <w:noProof w:val="0"/>
        </w:rPr>
        <w:t>Regeringens lagförslag</w:t>
      </w:r>
      <w:bookmarkEnd w:id="26"/>
    </w:p>
    <w:p w:rsidR="00D70951" w:rsidRPr="00321F58" w:rsidRDefault="00D70951">
      <w:r w:rsidRPr="00321F58">
        <w:br w:type="page"/>
      </w:r>
      <w:r w:rsidRPr="00321F58">
        <w:br w:type="page"/>
      </w:r>
      <w:r w:rsidRPr="00321F58">
        <w:br w:type="page"/>
      </w:r>
      <w:r w:rsidRPr="00321F58">
        <w:br w:type="page"/>
      </w:r>
      <w:r w:rsidRPr="00321F58">
        <w:br w:type="page"/>
      </w:r>
      <w:r w:rsidRPr="00321F58">
        <w:br w:type="page"/>
      </w:r>
      <w:r w:rsidRPr="00321F58">
        <w:br w:type="page"/>
      </w:r>
      <w:r w:rsidRPr="00321F58">
        <w:br w:type="page"/>
      </w:r>
      <w:r w:rsidRPr="00321F58">
        <w:br w:type="page"/>
      </w:r>
      <w:r w:rsidRPr="00321F58">
        <w:br w:type="page"/>
      </w:r>
      <w:r w:rsidRPr="00321F58">
        <w:br w:type="page"/>
      </w:r>
      <w:r w:rsidRPr="00321F58">
        <w:br w:type="page"/>
      </w:r>
      <w:r w:rsidRPr="00321F58">
        <w:br w:type="page"/>
      </w:r>
      <w:r w:rsidRPr="00321F58">
        <w:br w:type="page"/>
      </w:r>
    </w:p>
    <w:p w:rsidR="00D70951" w:rsidRPr="00321F58" w:rsidRDefault="00D70951">
      <w:pPr>
        <w:pStyle w:val="Normaltindrag"/>
        <w:sectPr w:rsidR="00000000" w:rsidRPr="00321F5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70951" w:rsidRPr="00321F58" w:rsidRDefault="00D70951">
      <w:pPr>
        <w:pStyle w:val="Bilaga"/>
      </w:pPr>
      <w:r w:rsidRPr="00321F58">
        <w:t>bilaga 3</w:t>
      </w:r>
    </w:p>
    <w:p w:rsidR="00D70951" w:rsidRPr="00321F58" w:rsidRDefault="00D70951">
      <w:pPr>
        <w:pStyle w:val="Rubrik1"/>
        <w:rPr>
          <w:noProof w:val="0"/>
        </w:rPr>
      </w:pPr>
      <w:bookmarkStart w:id="27" w:name="_Toc6816450"/>
      <w:r w:rsidRPr="00321F58">
        <w:rPr>
          <w:noProof w:val="0"/>
        </w:rPr>
        <w:t>Utskottets lagförslag</w:t>
      </w:r>
      <w:bookmarkEnd w:id="27"/>
    </w:p>
    <w:p w:rsidR="00D70951" w:rsidRPr="00321F58" w:rsidRDefault="00D70951">
      <w:pPr>
        <w:pStyle w:val="Rubrik2"/>
      </w:pPr>
      <w:bookmarkStart w:id="28" w:name="_Toc6816451"/>
      <w:r w:rsidRPr="00321F58">
        <w:t>1. Förslag till lag om ändring i lagen (2000:562) om internationell rättslig hjälp i brottmål</w:t>
      </w:r>
      <w:bookmarkEnd w:id="28"/>
    </w:p>
    <w:p w:rsidR="00D70951" w:rsidRPr="00321F58" w:rsidRDefault="00D70951">
      <w:pPr>
        <w:pStyle w:val="Normaltindrag"/>
      </w:pPr>
      <w:r w:rsidRPr="00321F58">
        <w:t>Härigenom föreskrivs att 2 kap. 1 och 2 §§ lagen (2000:562) om intern</w:t>
      </w:r>
      <w:r w:rsidRPr="00321F58">
        <w:t>a</w:t>
      </w:r>
      <w:r w:rsidRPr="00321F58">
        <w:t xml:space="preserve">tionell rättslig hjälp i brottmål skall ha följande lydelse. </w:t>
      </w:r>
    </w:p>
    <w:p w:rsidR="00D70951" w:rsidRPr="00321F58" w:rsidRDefault="00D70951">
      <w:pPr>
        <w:ind w:left="1304" w:firstLine="1304"/>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21F58">
        <w:tblPrEx>
          <w:tblCellMar>
            <w:top w:w="0" w:type="dxa"/>
            <w:bottom w:w="0" w:type="dxa"/>
          </w:tblCellMar>
        </w:tblPrEx>
        <w:trPr>
          <w:tblHeader/>
        </w:trPr>
        <w:tc>
          <w:tcPr>
            <w:tcW w:w="3090" w:type="dxa"/>
          </w:tcPr>
          <w:p w:rsidR="00D70951" w:rsidRPr="00321F58" w:rsidRDefault="00D70951">
            <w:pPr>
              <w:pStyle w:val="LagtextRubrik"/>
            </w:pPr>
            <w:r w:rsidRPr="00321F58">
              <w:t>Nuvarande lydelse</w:t>
            </w:r>
          </w:p>
        </w:tc>
        <w:tc>
          <w:tcPr>
            <w:tcW w:w="3090" w:type="dxa"/>
          </w:tcPr>
          <w:p w:rsidR="00D70951" w:rsidRPr="00321F58" w:rsidRDefault="00D70951">
            <w:pPr>
              <w:pStyle w:val="LagtextRubrik"/>
            </w:pPr>
            <w:r w:rsidRPr="00321F58">
              <w:t>Föreslagen lydelse</w:t>
            </w:r>
          </w:p>
        </w:tc>
      </w:tr>
      <w:tr w:rsidR="00000000" w:rsidRPr="00321F58">
        <w:tblPrEx>
          <w:tblCellMar>
            <w:top w:w="0" w:type="dxa"/>
            <w:bottom w:w="0" w:type="dxa"/>
          </w:tblCellMar>
        </w:tblPrEx>
        <w:trPr>
          <w:cantSplit/>
        </w:trPr>
        <w:tc>
          <w:tcPr>
            <w:tcW w:w="6180" w:type="dxa"/>
            <w:gridSpan w:val="2"/>
          </w:tcPr>
          <w:p w:rsidR="00D70951" w:rsidRPr="00321F58" w:rsidRDefault="00D70951">
            <w:pPr>
              <w:pStyle w:val="Lagtext"/>
              <w:jc w:val="center"/>
              <w:rPr>
                <w:b/>
              </w:rPr>
            </w:pPr>
            <w:r w:rsidRPr="00321F58">
              <w:rPr>
                <w:b/>
              </w:rPr>
              <w:t>2 kap.</w:t>
            </w:r>
          </w:p>
          <w:p w:rsidR="00D70951" w:rsidRPr="00321F58" w:rsidRDefault="00D70951">
            <w:pPr>
              <w:pStyle w:val="Lagtext"/>
              <w:jc w:val="center"/>
            </w:pPr>
            <w:r w:rsidRPr="00321F58">
              <w:t>1  §</w:t>
            </w:r>
          </w:p>
        </w:tc>
      </w:tr>
      <w:tr w:rsidR="00000000" w:rsidRPr="00321F58">
        <w:tblPrEx>
          <w:tblCellMar>
            <w:top w:w="0" w:type="dxa"/>
            <w:bottom w:w="0" w:type="dxa"/>
          </w:tblCellMar>
        </w:tblPrEx>
        <w:tc>
          <w:tcPr>
            <w:tcW w:w="3090" w:type="dxa"/>
          </w:tcPr>
          <w:p w:rsidR="00D70951" w:rsidRPr="00321F58" w:rsidRDefault="00D70951">
            <w:pPr>
              <w:pStyle w:val="LagtextIndrag"/>
              <w:ind w:firstLine="142"/>
            </w:pPr>
            <w:r w:rsidRPr="00321F58">
              <w:t>Rättslig hjälp som avses i 1 kap. 2 § första stycket 1–7 skall lämnas under de förutsättningar som gäller för en motsvarande åtgärd under en svensk förundersökning eller rätt</w:t>
            </w:r>
            <w:r w:rsidRPr="00321F58">
              <w:t>e</w:t>
            </w:r>
            <w:r w:rsidRPr="00321F58">
              <w:t xml:space="preserve">gång enligt rättegångsbalken eller annan lag eller författning och enligt de särskilda bestämmelserna i denna lag. </w:t>
            </w:r>
          </w:p>
        </w:tc>
        <w:tc>
          <w:tcPr>
            <w:tcW w:w="3090" w:type="dxa"/>
          </w:tcPr>
          <w:p w:rsidR="00D70951" w:rsidRPr="00321F58" w:rsidRDefault="00D70951">
            <w:pPr>
              <w:pStyle w:val="LagtextIndrag"/>
              <w:ind w:firstLine="171"/>
            </w:pPr>
            <w:r w:rsidRPr="00321F58">
              <w:t xml:space="preserve">Rättslig hjälp som avses i 1 kap. 2 § första stycket 1–7 </w:t>
            </w:r>
            <w:r w:rsidRPr="00321F58">
              <w:rPr>
                <w:i/>
              </w:rPr>
              <w:t>och 9</w:t>
            </w:r>
            <w:r w:rsidRPr="00321F58">
              <w:t xml:space="preserve"> skall lämnas under de förutsättningar som gäller för en motsvarande åtgärd under en svensk förundersökning eller rättegång enligt rättegångsba</w:t>
            </w:r>
            <w:r w:rsidRPr="00321F58">
              <w:t>l</w:t>
            </w:r>
            <w:r w:rsidRPr="00321F58">
              <w:t>ken eller annan lag eller författning och enligt de särskilda bestämme</w:t>
            </w:r>
            <w:r w:rsidRPr="00321F58">
              <w:t>l</w:t>
            </w:r>
            <w:r w:rsidRPr="00321F58">
              <w:t xml:space="preserve">serna i denna lag. </w:t>
            </w:r>
          </w:p>
        </w:tc>
      </w:tr>
      <w:tr w:rsidR="00000000" w:rsidRPr="00321F58">
        <w:tblPrEx>
          <w:tblCellMar>
            <w:top w:w="0" w:type="dxa"/>
            <w:bottom w:w="0" w:type="dxa"/>
          </w:tblCellMar>
        </w:tblPrEx>
        <w:trPr>
          <w:cantSplit/>
        </w:trPr>
        <w:tc>
          <w:tcPr>
            <w:tcW w:w="6180" w:type="dxa"/>
            <w:gridSpan w:val="2"/>
          </w:tcPr>
          <w:p w:rsidR="00D70951" w:rsidRPr="00321F58" w:rsidRDefault="00D70951">
            <w:pPr>
              <w:pStyle w:val="LagtextIndrag"/>
            </w:pPr>
            <w:r w:rsidRPr="00321F58">
              <w:t>Rättslig hjälp som avses i 1 kap. 2 § första stycket 8 lämnas enligt de sä</w:t>
            </w:r>
            <w:r w:rsidRPr="00321F58">
              <w:t>r</w:t>
            </w:r>
            <w:r w:rsidRPr="00321F58">
              <w:t xml:space="preserve">skilda bestämmelserna i denna lag. </w:t>
            </w:r>
          </w:p>
          <w:p w:rsidR="00D70951" w:rsidRPr="00321F58" w:rsidRDefault="00D70951">
            <w:pPr>
              <w:pStyle w:val="LagtextIndrag"/>
            </w:pPr>
            <w:r w:rsidRPr="00321F58">
              <w:t>I 5 kap. 2 § finns bestämmelser om att den rättsliga hjälpen får förenas med villkor i vissa fall.</w:t>
            </w:r>
          </w:p>
        </w:tc>
      </w:tr>
      <w:tr w:rsidR="00000000" w:rsidRPr="00321F58">
        <w:tblPrEx>
          <w:tblCellMar>
            <w:top w:w="0" w:type="dxa"/>
            <w:bottom w:w="0" w:type="dxa"/>
          </w:tblCellMar>
        </w:tblPrEx>
        <w:trPr>
          <w:cantSplit/>
        </w:trPr>
        <w:tc>
          <w:tcPr>
            <w:tcW w:w="6180" w:type="dxa"/>
            <w:gridSpan w:val="2"/>
          </w:tcPr>
          <w:p w:rsidR="00D70951" w:rsidRPr="00321F58" w:rsidRDefault="00D70951">
            <w:pPr>
              <w:pStyle w:val="Lagtext"/>
              <w:jc w:val="center"/>
            </w:pPr>
          </w:p>
          <w:p w:rsidR="00D70951" w:rsidRPr="00321F58" w:rsidRDefault="00D70951">
            <w:pPr>
              <w:pStyle w:val="Lagtext"/>
              <w:jc w:val="center"/>
            </w:pPr>
            <w:r w:rsidRPr="00321F58">
              <w:t>2  §</w:t>
            </w:r>
          </w:p>
        </w:tc>
      </w:tr>
      <w:tr w:rsidR="00000000" w:rsidRPr="00321F58">
        <w:tblPrEx>
          <w:tblCellMar>
            <w:top w:w="0" w:type="dxa"/>
            <w:bottom w:w="0" w:type="dxa"/>
          </w:tblCellMar>
        </w:tblPrEx>
        <w:tc>
          <w:tcPr>
            <w:tcW w:w="3090" w:type="dxa"/>
          </w:tcPr>
          <w:p w:rsidR="00D70951" w:rsidRPr="00321F58" w:rsidRDefault="00D70951">
            <w:pPr>
              <w:ind w:firstLine="142"/>
            </w:pPr>
            <w:r w:rsidRPr="00321F58">
              <w:t xml:space="preserve">Rättslig hjälp som avses i 1 kap. </w:t>
            </w:r>
            <w:r w:rsidRPr="00321F58">
              <w:br/>
              <w:t>2 § första stycket 1–4 och 8 får lä</w:t>
            </w:r>
            <w:r w:rsidRPr="00321F58">
              <w:t>m</w:t>
            </w:r>
            <w:r w:rsidRPr="00321F58">
              <w:t>nas även om den gärning som ans</w:t>
            </w:r>
            <w:r w:rsidRPr="00321F58">
              <w:t>ö</w:t>
            </w:r>
            <w:r w:rsidRPr="00321F58">
              <w:t>kan avser inte motsvarar ett brott enligt svensk lag. Rättslig hjälp som avses i 1 kap. 2 § första stycket 5–7 får endast lämnas om den gärning som ansökan avser motsvarar ett brott enligt svensk lag (</w:t>
            </w:r>
            <w:r w:rsidRPr="00321F58">
              <w:rPr>
                <w:i/>
                <w:u w:val="single"/>
              </w:rPr>
              <w:t>dubbel straf</w:t>
            </w:r>
            <w:r w:rsidRPr="00321F58">
              <w:rPr>
                <w:i/>
                <w:u w:val="single"/>
              </w:rPr>
              <w:t>f</w:t>
            </w:r>
            <w:r w:rsidRPr="00321F58">
              <w:rPr>
                <w:i/>
                <w:u w:val="single"/>
              </w:rPr>
              <w:t>barhet</w:t>
            </w:r>
            <w:r w:rsidRPr="00321F58">
              <w:t>),</w:t>
            </w:r>
            <w:r w:rsidRPr="00321F58">
              <w:rPr>
                <w:sz w:val="21"/>
              </w:rPr>
              <w:t xml:space="preserve"> </w:t>
            </w:r>
            <w:r w:rsidRPr="00321F58">
              <w:t xml:space="preserve">om inte annat följer av </w:t>
            </w:r>
            <w:r w:rsidRPr="00321F58">
              <w:br/>
              <w:t>4 kap. 20 § beträffande husrannsakan och beslag.</w:t>
            </w:r>
          </w:p>
        </w:tc>
        <w:tc>
          <w:tcPr>
            <w:tcW w:w="3090" w:type="dxa"/>
          </w:tcPr>
          <w:p w:rsidR="00D70951" w:rsidRPr="00321F58" w:rsidRDefault="00D70951">
            <w:pPr>
              <w:ind w:firstLine="171"/>
            </w:pPr>
            <w:r w:rsidRPr="00321F58">
              <w:t xml:space="preserve">Rättslig hjälp som avses i 1 kap. </w:t>
            </w:r>
            <w:r w:rsidRPr="00321F58">
              <w:br/>
              <w:t>2 § första stycket 1–4 och 8 får lä</w:t>
            </w:r>
            <w:r w:rsidRPr="00321F58">
              <w:t>m</w:t>
            </w:r>
            <w:r w:rsidRPr="00321F58">
              <w:t>nas även om den gärning som ans</w:t>
            </w:r>
            <w:r w:rsidRPr="00321F58">
              <w:t>ö</w:t>
            </w:r>
            <w:r w:rsidRPr="00321F58">
              <w:t xml:space="preserve">kan avser inte motsvarar ett brott enligt svensk lag. Rättslig hjälp som avses i 1 kap. 2 § första stycket 5–7 </w:t>
            </w:r>
            <w:r w:rsidRPr="00321F58">
              <w:rPr>
                <w:i/>
              </w:rPr>
              <w:t>och 9</w:t>
            </w:r>
            <w:r w:rsidRPr="00321F58">
              <w:t xml:space="preserve"> får endast lämnas om den gärning som ansökan avser motsv</w:t>
            </w:r>
            <w:r w:rsidRPr="00321F58">
              <w:t>a</w:t>
            </w:r>
            <w:r w:rsidRPr="00321F58">
              <w:t>rar ett brott enligt svensk lag (</w:t>
            </w:r>
            <w:r w:rsidRPr="00321F58">
              <w:rPr>
                <w:i/>
                <w:u w:val="single"/>
              </w:rPr>
              <w:t>dubbel straf</w:t>
            </w:r>
            <w:r w:rsidRPr="00321F58">
              <w:rPr>
                <w:i/>
                <w:u w:val="single"/>
              </w:rPr>
              <w:t>f</w:t>
            </w:r>
            <w:r w:rsidRPr="00321F58">
              <w:rPr>
                <w:i/>
                <w:u w:val="single"/>
              </w:rPr>
              <w:t>barhe</w:t>
            </w:r>
            <w:r w:rsidRPr="00321F58">
              <w:rPr>
                <w:i/>
              </w:rPr>
              <w:t>t</w:t>
            </w:r>
            <w:r w:rsidRPr="00321F58">
              <w:t>),</w:t>
            </w:r>
            <w:r w:rsidRPr="00321F58">
              <w:rPr>
                <w:sz w:val="21"/>
              </w:rPr>
              <w:t xml:space="preserve"> </w:t>
            </w:r>
            <w:r w:rsidRPr="00321F58">
              <w:t xml:space="preserve">om inte annat följer av </w:t>
            </w:r>
            <w:r w:rsidRPr="00321F58">
              <w:br/>
              <w:t>4 kap. 20 § beträffande husrannsakan och beslag.</w:t>
            </w:r>
          </w:p>
        </w:tc>
      </w:tr>
    </w:tbl>
    <w:p w:rsidR="00D70951" w:rsidRPr="00321F58" w:rsidRDefault="00D70951">
      <w:r w:rsidRPr="00321F58">
        <w:t>____________</w:t>
      </w:r>
    </w:p>
    <w:p w:rsidR="00D70951" w:rsidRPr="00321F58" w:rsidRDefault="00D70951">
      <w:pPr>
        <w:pStyle w:val="Normaltindrag"/>
      </w:pPr>
      <w:r w:rsidRPr="00321F58">
        <w:t>Denna lag träder i kraft den 1 juli 2002.</w:t>
      </w:r>
    </w:p>
    <w:p w:rsidR="00D70951" w:rsidRPr="00321F58" w:rsidRDefault="00D70951">
      <w:pPr>
        <w:pStyle w:val="Tryckort"/>
        <w:framePr w:wrap="around"/>
      </w:pPr>
      <w:r w:rsidRPr="00321F58">
        <w:t>Elanders Gotab, Stockholm  2002</w:t>
      </w:r>
    </w:p>
    <w:p w:rsidR="00D70951" w:rsidRPr="00321F58" w:rsidRDefault="00D70951">
      <w:pPr>
        <w:pStyle w:val="Normaltindrag"/>
      </w:pPr>
    </w:p>
    <w:sectPr w:rsidR="00D70951" w:rsidRPr="00321F5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951" w:rsidRPr="00321F58" w:rsidRDefault="00D70951">
      <w:pPr>
        <w:spacing w:before="0" w:line="240" w:lineRule="auto"/>
      </w:pPr>
      <w:r w:rsidRPr="00321F58">
        <w:separator/>
      </w:r>
    </w:p>
  </w:endnote>
  <w:endnote w:type="continuationSeparator" w:id="0">
    <w:p w:rsidR="00D70951" w:rsidRPr="00321F58" w:rsidRDefault="00D70951">
      <w:pPr>
        <w:spacing w:before="0" w:line="240" w:lineRule="auto"/>
      </w:pPr>
      <w:r w:rsidRPr="00321F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V"/>
      <w:framePr w:w="8732" w:h="284" w:hRule="exact" w:hSpace="0" w:vSpace="0" w:wrap="around" w:xAlign="inside" w:y="13042" w:anchorLock="0"/>
    </w:pP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2</w:t>
    </w:r>
    <w:r w:rsidRPr="00321F58">
      <w:fldChar w:fldCharType="end"/>
    </w:r>
  </w:p>
  <w:p w:rsidR="00D70951" w:rsidRPr="00321F58" w:rsidRDefault="00D7095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V"/>
      <w:framePr w:w="8732" w:h="284" w:hRule="exact" w:hSpace="0" w:vSpace="0" w:wrap="around" w:xAlign="inside" w:y="13042" w:anchorLock="0"/>
    </w:pP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6</w:t>
    </w:r>
    <w:r w:rsidRPr="00321F58">
      <w:fldChar w:fldCharType="end"/>
    </w:r>
  </w:p>
  <w:p w:rsidR="00D70951" w:rsidRPr="00321F58" w:rsidRDefault="00D7095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H"/>
      <w:framePr w:w="8732" w:h="284" w:hRule="exact" w:hSpace="0" w:vSpace="0" w:wrap="around" w:xAlign="inside" w:y="13042" w:anchorLock="0"/>
    </w:pP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5</w:t>
    </w:r>
    <w:r w:rsidRPr="00321F58">
      <w:fldChar w:fldCharType="end"/>
    </w:r>
  </w:p>
  <w:p w:rsidR="00D70951" w:rsidRPr="00321F58" w:rsidRDefault="00D7095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V"/>
      <w:framePr w:w="8732" w:h="284" w:hRule="exact" w:hSpace="0" w:vSpace="0" w:wrap="around" w:xAlign="inside" w:y="13042" w:anchorLock="0"/>
    </w:pPr>
    <w:r w:rsidRPr="00321F58">
      <w:fldChar w:fldCharType="begin" w:fldLock="1"/>
    </w:r>
    <w:r w:rsidRPr="00321F58">
      <w:instrText xml:space="preserve"> if </w:instrText>
    </w:r>
    <w:r w:rsidRPr="00321F58">
      <w:fldChar w:fldCharType="begin" w:fldLock="1"/>
    </w:r>
    <w:r w:rsidRPr="00321F58">
      <w:instrText xml:space="preserve"> = </w:instrText>
    </w:r>
    <w:r w:rsidRPr="00321F58">
      <w:fldChar w:fldCharType="begin" w:fldLock="1"/>
    </w:r>
    <w:r w:rsidRPr="00321F58">
      <w:instrText xml:space="preserve"> = </w:instrText>
    </w:r>
    <w:r w:rsidRPr="00321F58">
      <w:fldChar w:fldCharType="begin" w:fldLock="1"/>
    </w:r>
    <w:r w:rsidRPr="00321F58">
      <w:instrText xml:space="preserve"> page</w:instrText>
    </w:r>
    <w:r w:rsidRPr="00321F58">
      <w:fldChar w:fldCharType="separate"/>
    </w:r>
    <w:r w:rsidRPr="00321F58">
      <w:instrText>4</w:instrText>
    </w:r>
    <w:r w:rsidRPr="00321F58">
      <w:fldChar w:fldCharType="end"/>
    </w:r>
    <w:r w:rsidRPr="00321F58">
      <w:instrText xml:space="preserve">/2 </w:instrText>
    </w:r>
    <w:r w:rsidRPr="00321F58">
      <w:fldChar w:fldCharType="separate"/>
    </w:r>
    <w:r w:rsidRPr="00321F58">
      <w:instrText>2</w:instrText>
    </w:r>
    <w:r w:rsidRPr="00321F58">
      <w:fldChar w:fldCharType="end"/>
    </w:r>
    <w:r w:rsidRPr="00321F58">
      <w:instrText xml:space="preserve"> - </w:instrText>
    </w:r>
    <w:r w:rsidRPr="00321F58">
      <w:fldChar w:fldCharType="begin" w:fldLock="1"/>
    </w:r>
    <w:r w:rsidRPr="00321F58">
      <w:instrText xml:space="preserve"> = int(</w:instrText>
    </w:r>
    <w:r w:rsidRPr="00321F58">
      <w:fldChar w:fldCharType="begin" w:fldLock="1"/>
    </w:r>
    <w:r w:rsidRPr="00321F58">
      <w:instrText xml:space="preserve"> page</w:instrText>
    </w:r>
    <w:r w:rsidRPr="00321F58">
      <w:fldChar w:fldCharType="separate"/>
    </w:r>
    <w:r w:rsidRPr="00321F58">
      <w:instrText>4</w:instrText>
    </w:r>
    <w:r w:rsidRPr="00321F58">
      <w:fldChar w:fldCharType="end"/>
    </w:r>
    <w:r w:rsidRPr="00321F58">
      <w:instrText xml:space="preserve">/2) </w:instrText>
    </w:r>
    <w:r w:rsidRPr="00321F58">
      <w:fldChar w:fldCharType="separate"/>
    </w:r>
    <w:r w:rsidRPr="00321F58">
      <w:instrText>2</w:instrText>
    </w:r>
    <w:r w:rsidRPr="00321F58">
      <w:fldChar w:fldCharType="end"/>
    </w:r>
    <w:r w:rsidRPr="00321F58">
      <w:fldChar w:fldCharType="separate"/>
    </w:r>
    <w:r w:rsidRPr="00321F58">
      <w:instrText>0</w:instrText>
    </w:r>
    <w:r w:rsidRPr="00321F58">
      <w:fldChar w:fldCharType="end"/>
    </w:r>
    <w:r w:rsidRPr="00321F58">
      <w:instrText xml:space="preserve"> = 0 "</w:instrText>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instrText>4</w:instrText>
    </w:r>
    <w:r w:rsidRPr="00321F58">
      <w:fldChar w:fldCharType="end"/>
    </w:r>
  </w:p>
  <w:p w:rsidR="00D70951" w:rsidRPr="00321F58" w:rsidRDefault="00D70951">
    <w:pPr>
      <w:pStyle w:val="SidfotV"/>
      <w:framePr w:w="8732" w:h="284" w:hRule="exact" w:hSpace="0" w:vSpace="0" w:wrap="around" w:xAlign="inside" w:y="13042" w:anchorLock="0"/>
    </w:pPr>
    <w:r w:rsidRPr="00321F58">
      <w:instrText>""</w:instrText>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instrText>5</w:instrText>
    </w:r>
    <w:r w:rsidRPr="00321F58">
      <w:fldChar w:fldCharType="end"/>
    </w:r>
    <w:r w:rsidRPr="00321F58">
      <w:instrText>"</w:instrText>
    </w:r>
    <w:r w:rsidRPr="00321F58">
      <w:fldChar w:fldCharType="separate"/>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4</w:t>
    </w:r>
    <w:r w:rsidRPr="00321F58">
      <w:fldChar w:fldCharType="end"/>
    </w:r>
  </w:p>
  <w:p w:rsidR="00D70951" w:rsidRPr="00321F58" w:rsidRDefault="00D70951">
    <w:pPr>
      <w:pStyle w:val="SidfotH"/>
      <w:framePr w:w="8732" w:h="284" w:hRule="exact" w:hSpace="0" w:vSpace="0" w:wrap="around" w:xAlign="inside" w:y="13042" w:anchorLock="0"/>
    </w:pPr>
    <w:r w:rsidRPr="00321F58">
      <w:fldChar w:fldCharType="end"/>
    </w:r>
  </w:p>
  <w:p w:rsidR="00D70951" w:rsidRPr="00321F58" w:rsidRDefault="00D7095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V"/>
      <w:framePr w:w="8732" w:h="284" w:hRule="exact" w:hSpace="0" w:vSpace="0" w:wrap="around" w:xAlign="inside" w:y="13042" w:anchorLock="0"/>
    </w:pP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8</w:t>
    </w:r>
    <w:r w:rsidRPr="00321F58">
      <w:fldChar w:fldCharType="end"/>
    </w:r>
  </w:p>
  <w:p w:rsidR="00D70951" w:rsidRPr="00321F58" w:rsidRDefault="00D7095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H"/>
      <w:framePr w:w="8732" w:h="284" w:hRule="exact" w:hSpace="0" w:vSpace="0" w:wrap="around" w:xAlign="inside" w:y="13042" w:anchorLock="0"/>
    </w:pP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9</w:t>
    </w:r>
    <w:r w:rsidRPr="00321F58">
      <w:fldChar w:fldCharType="end"/>
    </w:r>
  </w:p>
  <w:p w:rsidR="00D70951" w:rsidRPr="00321F58" w:rsidRDefault="00D7095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V"/>
      <w:framePr w:w="8732" w:h="284" w:hRule="exact" w:hSpace="0" w:vSpace="0" w:wrap="around" w:xAlign="inside" w:y="13042" w:anchorLock="0"/>
    </w:pPr>
    <w:r w:rsidRPr="00321F58">
      <w:fldChar w:fldCharType="begin" w:fldLock="1"/>
    </w:r>
    <w:r w:rsidRPr="00321F58">
      <w:instrText xml:space="preserve"> if </w:instrText>
    </w:r>
    <w:r w:rsidRPr="00321F58">
      <w:fldChar w:fldCharType="begin" w:fldLock="1"/>
    </w:r>
    <w:r w:rsidRPr="00321F58">
      <w:instrText xml:space="preserve"> = </w:instrText>
    </w:r>
    <w:r w:rsidRPr="00321F58">
      <w:fldChar w:fldCharType="begin" w:fldLock="1"/>
    </w:r>
    <w:r w:rsidRPr="00321F58">
      <w:instrText xml:space="preserve"> = </w:instrText>
    </w:r>
    <w:r w:rsidRPr="00321F58">
      <w:fldChar w:fldCharType="begin" w:fldLock="1"/>
    </w:r>
    <w:r w:rsidRPr="00321F58">
      <w:instrText xml:space="preserve"> page</w:instrText>
    </w:r>
    <w:r w:rsidRPr="00321F58">
      <w:fldChar w:fldCharType="separate"/>
    </w:r>
    <w:r w:rsidRPr="00321F58">
      <w:instrText>7</w:instrText>
    </w:r>
    <w:r w:rsidRPr="00321F58">
      <w:fldChar w:fldCharType="end"/>
    </w:r>
    <w:r w:rsidRPr="00321F58">
      <w:instrText xml:space="preserve">/2 </w:instrText>
    </w:r>
    <w:r w:rsidRPr="00321F58">
      <w:fldChar w:fldCharType="separate"/>
    </w:r>
    <w:r w:rsidRPr="00321F58">
      <w:instrText>3,5</w:instrText>
    </w:r>
    <w:r w:rsidRPr="00321F58">
      <w:fldChar w:fldCharType="end"/>
    </w:r>
    <w:r w:rsidRPr="00321F58">
      <w:instrText xml:space="preserve"> - </w:instrText>
    </w:r>
    <w:r w:rsidRPr="00321F58">
      <w:fldChar w:fldCharType="begin" w:fldLock="1"/>
    </w:r>
    <w:r w:rsidRPr="00321F58">
      <w:instrText xml:space="preserve"> = int(</w:instrText>
    </w:r>
    <w:r w:rsidRPr="00321F58">
      <w:fldChar w:fldCharType="begin" w:fldLock="1"/>
    </w:r>
    <w:r w:rsidRPr="00321F58">
      <w:instrText xml:space="preserve"> page</w:instrText>
    </w:r>
    <w:r w:rsidRPr="00321F58">
      <w:fldChar w:fldCharType="separate"/>
    </w:r>
    <w:r w:rsidRPr="00321F58">
      <w:instrText>7</w:instrText>
    </w:r>
    <w:r w:rsidRPr="00321F58">
      <w:fldChar w:fldCharType="end"/>
    </w:r>
    <w:r w:rsidRPr="00321F58">
      <w:instrText xml:space="preserve">/2) </w:instrText>
    </w:r>
    <w:r w:rsidRPr="00321F58">
      <w:fldChar w:fldCharType="separate"/>
    </w:r>
    <w:r w:rsidRPr="00321F58">
      <w:instrText>3</w:instrText>
    </w:r>
    <w:r w:rsidRPr="00321F58">
      <w:fldChar w:fldCharType="end"/>
    </w:r>
    <w:r w:rsidRPr="00321F58">
      <w:fldChar w:fldCharType="separate"/>
    </w:r>
    <w:r w:rsidRPr="00321F58">
      <w:instrText>0,5</w:instrText>
    </w:r>
    <w:r w:rsidRPr="00321F58">
      <w:fldChar w:fldCharType="end"/>
    </w:r>
    <w:r w:rsidRPr="00321F58">
      <w:instrText xml:space="preserve"> = 0 "</w:instrText>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instrText>8</w:instrText>
    </w:r>
    <w:r w:rsidRPr="00321F58">
      <w:fldChar w:fldCharType="end"/>
    </w:r>
  </w:p>
  <w:p w:rsidR="00D70951" w:rsidRPr="00321F58" w:rsidRDefault="00D70951">
    <w:pPr>
      <w:pStyle w:val="SidfotH"/>
      <w:framePr w:w="8732" w:h="284" w:hRule="exact" w:hSpace="0" w:vSpace="0" w:wrap="around" w:xAlign="inside" w:y="13042" w:anchorLock="0"/>
    </w:pPr>
    <w:r w:rsidRPr="00321F58">
      <w:instrText>""</w:instrText>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instrText>7</w:instrText>
    </w:r>
    <w:r w:rsidRPr="00321F58">
      <w:fldChar w:fldCharType="end"/>
    </w:r>
    <w:r w:rsidRPr="00321F58">
      <w:instrText>"</w:instrText>
    </w:r>
    <w:r w:rsidRPr="00321F58">
      <w:fldChar w:fldCharType="separate"/>
    </w:r>
    <w:r w:rsidRPr="00321F58">
      <w:t>7</w:t>
    </w:r>
    <w:r w:rsidRPr="00321F58">
      <w:fldChar w:fldCharType="end"/>
    </w:r>
  </w:p>
  <w:p w:rsidR="00D70951" w:rsidRPr="00321F58" w:rsidRDefault="00D7095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V"/>
      <w:framePr w:w="8732" w:h="284" w:hRule="exact" w:hSpace="0" w:vSpace="0" w:wrap="around" w:xAlign="inside" w:y="13042" w:anchorLock="0"/>
    </w:pP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2</w:t>
    </w:r>
    <w:r w:rsidRPr="00321F58">
      <w:fldChar w:fldCharType="end"/>
    </w:r>
  </w:p>
  <w:p w:rsidR="00D70951" w:rsidRPr="00321F58" w:rsidRDefault="00D7095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H"/>
      <w:framePr w:w="8732" w:h="284" w:hRule="exact" w:hSpace="0" w:vSpace="0" w:wrap="around" w:xAlign="inside" w:y="13042" w:anchorLock="0"/>
    </w:pP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3</w:t>
    </w:r>
    <w:r w:rsidRPr="00321F58">
      <w:fldChar w:fldCharType="end"/>
    </w:r>
  </w:p>
  <w:p w:rsidR="00D70951" w:rsidRPr="00321F58" w:rsidRDefault="00D7095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V"/>
      <w:framePr w:w="8732" w:h="284" w:hRule="exact" w:hSpace="0" w:vSpace="0" w:wrap="around" w:xAlign="inside" w:y="13042" w:anchorLock="0"/>
    </w:pPr>
    <w:r w:rsidRPr="00321F58">
      <w:fldChar w:fldCharType="begin" w:fldLock="1"/>
    </w:r>
    <w:r w:rsidRPr="00321F58">
      <w:instrText xml:space="preserve"> if </w:instrText>
    </w:r>
    <w:r w:rsidRPr="00321F58">
      <w:fldChar w:fldCharType="begin" w:fldLock="1"/>
    </w:r>
    <w:r w:rsidRPr="00321F58">
      <w:instrText xml:space="preserve"> = </w:instrText>
    </w:r>
    <w:r w:rsidRPr="00321F58">
      <w:fldChar w:fldCharType="begin" w:fldLock="1"/>
    </w:r>
    <w:r w:rsidRPr="00321F58">
      <w:instrText xml:space="preserve"> = </w:instrText>
    </w:r>
    <w:r w:rsidRPr="00321F58">
      <w:fldChar w:fldCharType="begin" w:fldLock="1"/>
    </w:r>
    <w:r w:rsidRPr="00321F58">
      <w:instrText xml:space="preserve"> page</w:instrText>
    </w:r>
    <w:r w:rsidRPr="00321F58">
      <w:fldChar w:fldCharType="separate"/>
    </w:r>
    <w:r w:rsidRPr="00321F58">
      <w:instrText>9</w:instrText>
    </w:r>
    <w:r w:rsidRPr="00321F58">
      <w:fldChar w:fldCharType="end"/>
    </w:r>
    <w:r w:rsidRPr="00321F58">
      <w:instrText xml:space="preserve">/2 </w:instrText>
    </w:r>
    <w:r w:rsidRPr="00321F58">
      <w:fldChar w:fldCharType="separate"/>
    </w:r>
    <w:r w:rsidRPr="00321F58">
      <w:instrText>4,5</w:instrText>
    </w:r>
    <w:r w:rsidRPr="00321F58">
      <w:fldChar w:fldCharType="end"/>
    </w:r>
    <w:r w:rsidRPr="00321F58">
      <w:instrText xml:space="preserve"> - </w:instrText>
    </w:r>
    <w:r w:rsidRPr="00321F58">
      <w:fldChar w:fldCharType="begin" w:fldLock="1"/>
    </w:r>
    <w:r w:rsidRPr="00321F58">
      <w:instrText xml:space="preserve"> = int(</w:instrText>
    </w:r>
    <w:r w:rsidRPr="00321F58">
      <w:fldChar w:fldCharType="begin" w:fldLock="1"/>
    </w:r>
    <w:r w:rsidRPr="00321F58">
      <w:instrText xml:space="preserve"> page</w:instrText>
    </w:r>
    <w:r w:rsidRPr="00321F58">
      <w:fldChar w:fldCharType="separate"/>
    </w:r>
    <w:r w:rsidRPr="00321F58">
      <w:instrText>9</w:instrText>
    </w:r>
    <w:r w:rsidRPr="00321F58">
      <w:fldChar w:fldCharType="end"/>
    </w:r>
    <w:r w:rsidRPr="00321F58">
      <w:instrText xml:space="preserve">/2) </w:instrText>
    </w:r>
    <w:r w:rsidRPr="00321F58">
      <w:fldChar w:fldCharType="separate"/>
    </w:r>
    <w:r w:rsidRPr="00321F58">
      <w:instrText>4</w:instrText>
    </w:r>
    <w:r w:rsidRPr="00321F58">
      <w:fldChar w:fldCharType="end"/>
    </w:r>
    <w:r w:rsidRPr="00321F58">
      <w:fldChar w:fldCharType="separate"/>
    </w:r>
    <w:r w:rsidRPr="00321F58">
      <w:instrText>0,5</w:instrText>
    </w:r>
    <w:r w:rsidRPr="00321F58">
      <w:fldChar w:fldCharType="end"/>
    </w:r>
    <w:r w:rsidRPr="00321F58">
      <w:instrText xml:space="preserve"> = 0 "</w:instrText>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instrText>10</w:instrText>
    </w:r>
    <w:r w:rsidRPr="00321F58">
      <w:fldChar w:fldCharType="end"/>
    </w:r>
  </w:p>
  <w:p w:rsidR="00D70951" w:rsidRPr="00321F58" w:rsidRDefault="00D70951">
    <w:pPr>
      <w:pStyle w:val="SidfotH"/>
      <w:framePr w:w="8732" w:h="284" w:hRule="exact" w:hSpace="0" w:vSpace="0" w:wrap="around" w:xAlign="inside" w:y="13042" w:anchorLock="0"/>
    </w:pPr>
    <w:r w:rsidRPr="00321F58">
      <w:instrText>""</w:instrText>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instrText>9</w:instrText>
    </w:r>
    <w:r w:rsidRPr="00321F58">
      <w:fldChar w:fldCharType="end"/>
    </w:r>
    <w:r w:rsidRPr="00321F58">
      <w:instrText>"</w:instrText>
    </w:r>
    <w:r w:rsidRPr="00321F58">
      <w:fldChar w:fldCharType="separate"/>
    </w:r>
    <w:r w:rsidRPr="00321F58">
      <w:t>9</w:t>
    </w:r>
    <w:r w:rsidRPr="00321F58">
      <w:fldChar w:fldCharType="end"/>
    </w:r>
  </w:p>
  <w:p w:rsidR="00D70951" w:rsidRPr="00321F58" w:rsidRDefault="00D7095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V"/>
      <w:framePr w:w="8732" w:h="284" w:hRule="exact" w:hSpace="0" w:vSpace="0" w:wrap="around" w:xAlign="inside" w:y="13042" w:anchorLock="0"/>
    </w:pP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24</w:t>
    </w:r>
    <w:r w:rsidRPr="00321F58">
      <w:fldChar w:fldCharType="end"/>
    </w:r>
  </w:p>
  <w:p w:rsidR="00D70951" w:rsidRPr="00321F58" w:rsidRDefault="00D709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H"/>
      <w:framePr w:w="8732" w:h="284" w:hRule="exact" w:hSpace="0" w:vSpace="0" w:wrap="around" w:xAlign="inside" w:y="13042" w:anchorLock="0"/>
    </w:pP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3</w:t>
    </w:r>
    <w:r w:rsidRPr="00321F58">
      <w:fldChar w:fldCharType="end"/>
    </w:r>
  </w:p>
  <w:p w:rsidR="00D70951" w:rsidRPr="00321F58" w:rsidRDefault="00D7095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H"/>
      <w:framePr w:w="8732" w:h="284" w:hRule="exact" w:hSpace="0" w:vSpace="0" w:wrap="around" w:xAlign="inside" w:y="13042" w:anchorLock="0"/>
    </w:pP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23</w:t>
    </w:r>
    <w:r w:rsidRPr="00321F58">
      <w:fldChar w:fldCharType="end"/>
    </w:r>
  </w:p>
  <w:p w:rsidR="00D70951" w:rsidRPr="00321F58" w:rsidRDefault="00D7095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V"/>
      <w:framePr w:w="8732" w:h="284" w:hRule="exact" w:hSpace="0" w:vSpace="0" w:wrap="around" w:xAlign="inside" w:y="13042" w:anchorLock="0"/>
    </w:pPr>
    <w:r w:rsidRPr="00321F58">
      <w:fldChar w:fldCharType="begin" w:fldLock="1"/>
    </w:r>
    <w:r w:rsidRPr="00321F58">
      <w:instrText xml:space="preserve"> if </w:instrText>
    </w:r>
    <w:r w:rsidRPr="00321F58">
      <w:fldChar w:fldCharType="begin" w:fldLock="1"/>
    </w:r>
    <w:r w:rsidRPr="00321F58">
      <w:instrText xml:space="preserve"> = </w:instrText>
    </w:r>
    <w:r w:rsidRPr="00321F58">
      <w:fldChar w:fldCharType="begin" w:fldLock="1"/>
    </w:r>
    <w:r w:rsidRPr="00321F58">
      <w:instrText xml:space="preserve"> = </w:instrText>
    </w:r>
    <w:r w:rsidRPr="00321F58">
      <w:fldChar w:fldCharType="begin" w:fldLock="1"/>
    </w:r>
    <w:r w:rsidRPr="00321F58">
      <w:instrText xml:space="preserve"> page</w:instrText>
    </w:r>
    <w:r w:rsidRPr="00321F58">
      <w:fldChar w:fldCharType="separate"/>
    </w:r>
    <w:r w:rsidRPr="00321F58">
      <w:instrText>10</w:instrText>
    </w:r>
    <w:r w:rsidRPr="00321F58">
      <w:fldChar w:fldCharType="end"/>
    </w:r>
    <w:r w:rsidRPr="00321F58">
      <w:instrText xml:space="preserve">/2 </w:instrText>
    </w:r>
    <w:r w:rsidRPr="00321F58">
      <w:fldChar w:fldCharType="separate"/>
    </w:r>
    <w:r w:rsidRPr="00321F58">
      <w:instrText>5</w:instrText>
    </w:r>
    <w:r w:rsidRPr="00321F58">
      <w:fldChar w:fldCharType="end"/>
    </w:r>
    <w:r w:rsidRPr="00321F58">
      <w:instrText xml:space="preserve"> - </w:instrText>
    </w:r>
    <w:r w:rsidRPr="00321F58">
      <w:fldChar w:fldCharType="begin" w:fldLock="1"/>
    </w:r>
    <w:r w:rsidRPr="00321F58">
      <w:instrText xml:space="preserve"> = int(</w:instrText>
    </w:r>
    <w:r w:rsidRPr="00321F58">
      <w:fldChar w:fldCharType="begin" w:fldLock="1"/>
    </w:r>
    <w:r w:rsidRPr="00321F58">
      <w:instrText xml:space="preserve"> page</w:instrText>
    </w:r>
    <w:r w:rsidRPr="00321F58">
      <w:fldChar w:fldCharType="separate"/>
    </w:r>
    <w:r w:rsidRPr="00321F58">
      <w:instrText>10</w:instrText>
    </w:r>
    <w:r w:rsidRPr="00321F58">
      <w:fldChar w:fldCharType="end"/>
    </w:r>
    <w:r w:rsidRPr="00321F58">
      <w:instrText xml:space="preserve">/2) </w:instrText>
    </w:r>
    <w:r w:rsidRPr="00321F58">
      <w:fldChar w:fldCharType="separate"/>
    </w:r>
    <w:r w:rsidRPr="00321F58">
      <w:instrText>5</w:instrText>
    </w:r>
    <w:r w:rsidRPr="00321F58">
      <w:fldChar w:fldCharType="end"/>
    </w:r>
    <w:r w:rsidRPr="00321F58">
      <w:fldChar w:fldCharType="separate"/>
    </w:r>
    <w:r w:rsidRPr="00321F58">
      <w:instrText>0</w:instrText>
    </w:r>
    <w:r w:rsidRPr="00321F58">
      <w:fldChar w:fldCharType="end"/>
    </w:r>
    <w:r w:rsidRPr="00321F58">
      <w:instrText xml:space="preserve"> = 0 "</w:instrText>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instrText>10</w:instrText>
    </w:r>
    <w:r w:rsidRPr="00321F58">
      <w:fldChar w:fldCharType="end"/>
    </w:r>
  </w:p>
  <w:p w:rsidR="00D70951" w:rsidRPr="00321F58" w:rsidRDefault="00D70951">
    <w:pPr>
      <w:pStyle w:val="SidfotV"/>
      <w:framePr w:w="8732" w:h="284" w:hRule="exact" w:hSpace="0" w:vSpace="0" w:wrap="around" w:xAlign="inside" w:y="13042" w:anchorLock="0"/>
    </w:pPr>
    <w:r w:rsidRPr="00321F58">
      <w:instrText>""</w:instrText>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instrText>11</w:instrText>
    </w:r>
    <w:r w:rsidRPr="00321F58">
      <w:fldChar w:fldCharType="end"/>
    </w:r>
    <w:r w:rsidRPr="00321F58">
      <w:instrText>"</w:instrText>
    </w:r>
    <w:r w:rsidRPr="00321F58">
      <w:fldChar w:fldCharType="separate"/>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10</w:t>
    </w:r>
    <w:r w:rsidRPr="00321F58">
      <w:fldChar w:fldCharType="end"/>
    </w:r>
  </w:p>
  <w:p w:rsidR="00D70951" w:rsidRPr="00321F58" w:rsidRDefault="00D70951">
    <w:pPr>
      <w:pStyle w:val="SidfotH"/>
      <w:framePr w:w="8732" w:h="284" w:hRule="exact" w:hSpace="0" w:vSpace="0" w:wrap="around" w:xAlign="inside" w:y="13042" w:anchorLock="0"/>
    </w:pPr>
    <w:r w:rsidRPr="00321F58">
      <w:fldChar w:fldCharType="end"/>
    </w:r>
  </w:p>
  <w:p w:rsidR="00D70951" w:rsidRPr="00321F58" w:rsidRDefault="00D7095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V"/>
      <w:framePr w:w="8732" w:h="284" w:hRule="exact" w:hSpace="0" w:vSpace="0" w:wrap="around" w:xAlign="inside" w:y="13042" w:anchorLock="0"/>
    </w:pP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26</w:t>
    </w:r>
    <w:r w:rsidRPr="00321F58">
      <w:fldChar w:fldCharType="end"/>
    </w:r>
  </w:p>
  <w:p w:rsidR="00D70951" w:rsidRPr="00321F58" w:rsidRDefault="00D7095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H"/>
      <w:framePr w:w="8732" w:h="284" w:hRule="exact" w:hSpace="0" w:vSpace="0" w:wrap="around" w:xAlign="inside" w:y="13042" w:anchorLock="0"/>
    </w:pP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13</w:t>
    </w:r>
    <w:r w:rsidRPr="00321F58">
      <w:fldChar w:fldCharType="end"/>
    </w:r>
  </w:p>
  <w:p w:rsidR="00D70951" w:rsidRPr="00321F58" w:rsidRDefault="00D7095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V"/>
      <w:framePr w:w="8732" w:h="284" w:hRule="exact" w:hSpace="0" w:vSpace="0" w:wrap="around" w:xAlign="inside" w:y="13042" w:anchorLock="0"/>
    </w:pPr>
    <w:r w:rsidRPr="00321F58">
      <w:fldChar w:fldCharType="begin" w:fldLock="1"/>
    </w:r>
    <w:r w:rsidRPr="00321F58">
      <w:instrText xml:space="preserve"> if </w:instrText>
    </w:r>
    <w:r w:rsidRPr="00321F58">
      <w:fldChar w:fldCharType="begin" w:fldLock="1"/>
    </w:r>
    <w:r w:rsidRPr="00321F58">
      <w:instrText xml:space="preserve"> = </w:instrText>
    </w:r>
    <w:r w:rsidRPr="00321F58">
      <w:fldChar w:fldCharType="begin" w:fldLock="1"/>
    </w:r>
    <w:r w:rsidRPr="00321F58">
      <w:instrText xml:space="preserve"> = </w:instrText>
    </w:r>
    <w:r w:rsidRPr="00321F58">
      <w:fldChar w:fldCharType="begin" w:fldLock="1"/>
    </w:r>
    <w:r w:rsidRPr="00321F58">
      <w:instrText xml:space="preserve"> page</w:instrText>
    </w:r>
    <w:r w:rsidRPr="00321F58">
      <w:fldChar w:fldCharType="separate"/>
    </w:r>
    <w:r w:rsidRPr="00321F58">
      <w:instrText>25</w:instrText>
    </w:r>
    <w:r w:rsidRPr="00321F58">
      <w:fldChar w:fldCharType="end"/>
    </w:r>
    <w:r w:rsidRPr="00321F58">
      <w:instrText xml:space="preserve">/2 </w:instrText>
    </w:r>
    <w:r w:rsidRPr="00321F58">
      <w:fldChar w:fldCharType="separate"/>
    </w:r>
    <w:r w:rsidRPr="00321F58">
      <w:instrText>12,5</w:instrText>
    </w:r>
    <w:r w:rsidRPr="00321F58">
      <w:fldChar w:fldCharType="end"/>
    </w:r>
    <w:r w:rsidRPr="00321F58">
      <w:instrText xml:space="preserve"> - </w:instrText>
    </w:r>
    <w:r w:rsidRPr="00321F58">
      <w:fldChar w:fldCharType="begin" w:fldLock="1"/>
    </w:r>
    <w:r w:rsidRPr="00321F58">
      <w:instrText xml:space="preserve"> = int(</w:instrText>
    </w:r>
    <w:r w:rsidRPr="00321F58">
      <w:fldChar w:fldCharType="begin" w:fldLock="1"/>
    </w:r>
    <w:r w:rsidRPr="00321F58">
      <w:instrText xml:space="preserve"> page</w:instrText>
    </w:r>
    <w:r w:rsidRPr="00321F58">
      <w:fldChar w:fldCharType="separate"/>
    </w:r>
    <w:r w:rsidRPr="00321F58">
      <w:instrText>25</w:instrText>
    </w:r>
    <w:r w:rsidRPr="00321F58">
      <w:fldChar w:fldCharType="end"/>
    </w:r>
    <w:r w:rsidRPr="00321F58">
      <w:instrText xml:space="preserve">/2) </w:instrText>
    </w:r>
    <w:r w:rsidRPr="00321F58">
      <w:fldChar w:fldCharType="separate"/>
    </w:r>
    <w:r w:rsidRPr="00321F58">
      <w:instrText>12</w:instrText>
    </w:r>
    <w:r w:rsidRPr="00321F58">
      <w:fldChar w:fldCharType="end"/>
    </w:r>
    <w:r w:rsidRPr="00321F58">
      <w:fldChar w:fldCharType="separate"/>
    </w:r>
    <w:r w:rsidRPr="00321F58">
      <w:instrText>0,5</w:instrText>
    </w:r>
    <w:r w:rsidRPr="00321F58">
      <w:fldChar w:fldCharType="end"/>
    </w:r>
    <w:r w:rsidRPr="00321F58">
      <w:instrText xml:space="preserve"> = 0 "</w:instrText>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instrText>26</w:instrText>
    </w:r>
    <w:r w:rsidRPr="00321F58">
      <w:fldChar w:fldCharType="end"/>
    </w:r>
  </w:p>
  <w:p w:rsidR="00D70951" w:rsidRPr="00321F58" w:rsidRDefault="00D70951">
    <w:pPr>
      <w:pStyle w:val="SidfotH"/>
      <w:framePr w:w="8732" w:h="284" w:hRule="exact" w:hSpace="0" w:vSpace="0" w:wrap="around" w:xAlign="inside" w:y="13042" w:anchorLock="0"/>
    </w:pPr>
    <w:r w:rsidRPr="00321F58">
      <w:instrText>""</w:instrText>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instrText>25</w:instrText>
    </w:r>
    <w:r w:rsidRPr="00321F58">
      <w:fldChar w:fldCharType="end"/>
    </w:r>
    <w:r w:rsidRPr="00321F58">
      <w:instrText>"</w:instrText>
    </w:r>
    <w:r w:rsidRPr="00321F58">
      <w:fldChar w:fldCharType="separate"/>
    </w:r>
    <w:r w:rsidRPr="00321F58">
      <w:t>25</w:t>
    </w:r>
    <w:r w:rsidRPr="00321F58">
      <w:fldChar w:fldCharType="end"/>
    </w:r>
  </w:p>
  <w:p w:rsidR="00D70951" w:rsidRPr="00321F58" w:rsidRDefault="00D7095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V"/>
      <w:framePr w:w="8732" w:h="284" w:hRule="exact" w:hSpace="0" w:vSpace="0" w:wrap="around" w:xAlign="inside" w:y="13042" w:anchorLock="0"/>
    </w:pPr>
    <w:r w:rsidRPr="00321F58">
      <w:fldChar w:fldCharType="begin" w:fldLock="1"/>
    </w:r>
    <w:r w:rsidRPr="00321F58">
      <w:instrText xml:space="preserve"> if </w:instrText>
    </w:r>
    <w:r w:rsidRPr="00321F58">
      <w:fldChar w:fldCharType="begin" w:fldLock="1"/>
    </w:r>
    <w:r w:rsidRPr="00321F58">
      <w:instrText xml:space="preserve"> = </w:instrText>
    </w:r>
    <w:r w:rsidRPr="00321F58">
      <w:fldChar w:fldCharType="begin" w:fldLock="1"/>
    </w:r>
    <w:r w:rsidRPr="00321F58">
      <w:instrText xml:space="preserve"> = </w:instrText>
    </w:r>
    <w:r w:rsidRPr="00321F58">
      <w:fldChar w:fldCharType="begin" w:fldLock="1"/>
    </w:r>
    <w:r w:rsidRPr="00321F58">
      <w:instrText xml:space="preserve"> page</w:instrText>
    </w:r>
    <w:r w:rsidRPr="00321F58">
      <w:fldChar w:fldCharType="separate"/>
    </w:r>
    <w:r w:rsidR="00321F58">
      <w:rPr>
        <w:noProof/>
      </w:rPr>
      <w:instrText>1</w:instrText>
    </w:r>
    <w:r w:rsidRPr="00321F58">
      <w:fldChar w:fldCharType="end"/>
    </w:r>
    <w:r w:rsidRPr="00321F58">
      <w:instrText xml:space="preserve">/2 </w:instrText>
    </w:r>
    <w:r w:rsidRPr="00321F58">
      <w:fldChar w:fldCharType="separate"/>
    </w:r>
    <w:r w:rsidR="00321F58">
      <w:rPr>
        <w:noProof/>
      </w:rPr>
      <w:instrText>0,5</w:instrText>
    </w:r>
    <w:r w:rsidRPr="00321F58">
      <w:fldChar w:fldCharType="end"/>
    </w:r>
    <w:r w:rsidRPr="00321F58">
      <w:instrText xml:space="preserve"> - </w:instrText>
    </w:r>
    <w:r w:rsidRPr="00321F58">
      <w:fldChar w:fldCharType="begin" w:fldLock="1"/>
    </w:r>
    <w:r w:rsidRPr="00321F58">
      <w:instrText xml:space="preserve"> = int(</w:instrText>
    </w:r>
    <w:r w:rsidRPr="00321F58">
      <w:fldChar w:fldCharType="begin" w:fldLock="1"/>
    </w:r>
    <w:r w:rsidRPr="00321F58">
      <w:instrText xml:space="preserve"> page</w:instrText>
    </w:r>
    <w:r w:rsidRPr="00321F58">
      <w:fldChar w:fldCharType="separate"/>
    </w:r>
    <w:r w:rsidR="00321F58">
      <w:rPr>
        <w:noProof/>
      </w:rPr>
      <w:instrText>1</w:instrText>
    </w:r>
    <w:r w:rsidRPr="00321F58">
      <w:fldChar w:fldCharType="end"/>
    </w:r>
    <w:r w:rsidRPr="00321F58">
      <w:instrText xml:space="preserve">/2) </w:instrText>
    </w:r>
    <w:r w:rsidRPr="00321F58">
      <w:fldChar w:fldCharType="separate"/>
    </w:r>
    <w:r w:rsidR="00321F58">
      <w:rPr>
        <w:noProof/>
      </w:rPr>
      <w:instrText>0</w:instrText>
    </w:r>
    <w:r w:rsidRPr="00321F58">
      <w:fldChar w:fldCharType="end"/>
    </w:r>
    <w:r w:rsidRPr="00321F58">
      <w:fldChar w:fldCharType="separate"/>
    </w:r>
    <w:r w:rsidR="00321F58">
      <w:rPr>
        <w:noProof/>
      </w:rPr>
      <w:instrText>0,5</w:instrText>
    </w:r>
    <w:r w:rsidRPr="00321F58">
      <w:fldChar w:fldCharType="end"/>
    </w:r>
    <w:r w:rsidRPr="00321F58">
      <w:instrText xml:space="preserve"> = 0 "</w:instrText>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instrText>14</w:instrText>
    </w:r>
    <w:r w:rsidRPr="00321F58">
      <w:fldChar w:fldCharType="end"/>
    </w:r>
  </w:p>
  <w:p w:rsidR="00D70951" w:rsidRPr="00321F58" w:rsidRDefault="00D70951">
    <w:pPr>
      <w:pStyle w:val="SidfotH"/>
      <w:framePr w:w="8732" w:h="284" w:hRule="exact" w:hSpace="0" w:vSpace="0" w:wrap="around" w:xAlign="inside" w:y="13042" w:anchorLock="0"/>
    </w:pPr>
    <w:r w:rsidRPr="00321F58">
      <w:instrText>""</w:instrText>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00321F58">
      <w:rPr>
        <w:noProof/>
      </w:rPr>
      <w:instrText>1</w:instrText>
    </w:r>
    <w:r w:rsidRPr="00321F58">
      <w:fldChar w:fldCharType="end"/>
    </w:r>
    <w:r w:rsidRPr="00321F58">
      <w:instrText>"</w:instrText>
    </w:r>
    <w:r w:rsidRPr="00321F58">
      <w:fldChar w:fldCharType="separate"/>
    </w:r>
    <w:r w:rsidR="00321F58">
      <w:rPr>
        <w:noProof/>
      </w:rPr>
      <w:t>1</w:t>
    </w:r>
    <w:r w:rsidRPr="00321F58">
      <w:fldChar w:fldCharType="end"/>
    </w:r>
  </w:p>
  <w:p w:rsidR="00D70951" w:rsidRPr="00321F58" w:rsidRDefault="00D7095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V"/>
      <w:framePr w:w="8732" w:h="284" w:hRule="exact" w:hSpace="0" w:vSpace="0" w:wrap="around" w:xAlign="inside" w:y="13042" w:anchorLock="0"/>
    </w:pP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2</w:t>
    </w:r>
    <w:r w:rsidRPr="00321F58">
      <w:fldChar w:fldCharType="end"/>
    </w:r>
  </w:p>
  <w:p w:rsidR="00D70951" w:rsidRPr="00321F58" w:rsidRDefault="00D7095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H"/>
      <w:framePr w:w="8732" w:h="284" w:hRule="exact" w:hSpace="0" w:vSpace="0" w:wrap="around" w:xAlign="inside" w:y="13042" w:anchorLock="0"/>
    </w:pP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3</w:t>
    </w:r>
    <w:r w:rsidRPr="00321F58">
      <w:fldChar w:fldCharType="end"/>
    </w:r>
  </w:p>
  <w:p w:rsidR="00D70951" w:rsidRPr="00321F58" w:rsidRDefault="00D7095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V"/>
      <w:framePr w:w="8732" w:h="284" w:hRule="exact" w:hSpace="0" w:vSpace="0" w:wrap="around" w:xAlign="inside" w:y="13042" w:anchorLock="0"/>
    </w:pPr>
    <w:r w:rsidRPr="00321F58">
      <w:fldChar w:fldCharType="begin" w:fldLock="1"/>
    </w:r>
    <w:r w:rsidRPr="00321F58">
      <w:instrText xml:space="preserve"> if </w:instrText>
    </w:r>
    <w:r w:rsidRPr="00321F58">
      <w:fldChar w:fldCharType="begin" w:fldLock="1"/>
    </w:r>
    <w:r w:rsidRPr="00321F58">
      <w:instrText xml:space="preserve"> = </w:instrText>
    </w:r>
    <w:r w:rsidRPr="00321F58">
      <w:fldChar w:fldCharType="begin" w:fldLock="1"/>
    </w:r>
    <w:r w:rsidRPr="00321F58">
      <w:instrText xml:space="preserve"> = </w:instrText>
    </w:r>
    <w:r w:rsidRPr="00321F58">
      <w:fldChar w:fldCharType="begin" w:fldLock="1"/>
    </w:r>
    <w:r w:rsidRPr="00321F58">
      <w:instrText xml:space="preserve"> page</w:instrText>
    </w:r>
    <w:r w:rsidRPr="00321F58">
      <w:fldChar w:fldCharType="separate"/>
    </w:r>
    <w:r w:rsidRPr="00321F58">
      <w:instrText>2</w:instrText>
    </w:r>
    <w:r w:rsidRPr="00321F58">
      <w:fldChar w:fldCharType="end"/>
    </w:r>
    <w:r w:rsidRPr="00321F58">
      <w:instrText xml:space="preserve">/2 </w:instrText>
    </w:r>
    <w:r w:rsidRPr="00321F58">
      <w:fldChar w:fldCharType="separate"/>
    </w:r>
    <w:r w:rsidRPr="00321F58">
      <w:instrText>1</w:instrText>
    </w:r>
    <w:r w:rsidRPr="00321F58">
      <w:fldChar w:fldCharType="end"/>
    </w:r>
    <w:r w:rsidRPr="00321F58">
      <w:instrText xml:space="preserve"> - </w:instrText>
    </w:r>
    <w:r w:rsidRPr="00321F58">
      <w:fldChar w:fldCharType="begin" w:fldLock="1"/>
    </w:r>
    <w:r w:rsidRPr="00321F58">
      <w:instrText xml:space="preserve"> = int(</w:instrText>
    </w:r>
    <w:r w:rsidRPr="00321F58">
      <w:fldChar w:fldCharType="begin" w:fldLock="1"/>
    </w:r>
    <w:r w:rsidRPr="00321F58">
      <w:instrText xml:space="preserve"> page</w:instrText>
    </w:r>
    <w:r w:rsidRPr="00321F58">
      <w:fldChar w:fldCharType="separate"/>
    </w:r>
    <w:r w:rsidRPr="00321F58">
      <w:instrText>2</w:instrText>
    </w:r>
    <w:r w:rsidRPr="00321F58">
      <w:fldChar w:fldCharType="end"/>
    </w:r>
    <w:r w:rsidRPr="00321F58">
      <w:instrText xml:space="preserve">/2) </w:instrText>
    </w:r>
    <w:r w:rsidRPr="00321F58">
      <w:fldChar w:fldCharType="separate"/>
    </w:r>
    <w:r w:rsidRPr="00321F58">
      <w:instrText>1</w:instrText>
    </w:r>
    <w:r w:rsidRPr="00321F58">
      <w:fldChar w:fldCharType="end"/>
    </w:r>
    <w:r w:rsidRPr="00321F58">
      <w:fldChar w:fldCharType="separate"/>
    </w:r>
    <w:r w:rsidRPr="00321F58">
      <w:instrText>0</w:instrText>
    </w:r>
    <w:r w:rsidRPr="00321F58">
      <w:fldChar w:fldCharType="end"/>
    </w:r>
    <w:r w:rsidRPr="00321F58">
      <w:instrText xml:space="preserve"> = 0 "</w:instrText>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instrText>2</w:instrText>
    </w:r>
    <w:r w:rsidRPr="00321F58">
      <w:fldChar w:fldCharType="end"/>
    </w:r>
  </w:p>
  <w:p w:rsidR="00D70951" w:rsidRPr="00321F58" w:rsidRDefault="00D70951">
    <w:pPr>
      <w:pStyle w:val="SidfotV"/>
      <w:framePr w:w="8732" w:h="284" w:hRule="exact" w:hSpace="0" w:vSpace="0" w:wrap="around" w:xAlign="inside" w:y="13042" w:anchorLock="0"/>
    </w:pPr>
    <w:r w:rsidRPr="00321F58">
      <w:instrText>""</w:instrText>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instrText>3</w:instrText>
    </w:r>
    <w:r w:rsidRPr="00321F58">
      <w:fldChar w:fldCharType="end"/>
    </w:r>
    <w:r w:rsidRPr="00321F58">
      <w:instrText>"</w:instrText>
    </w:r>
    <w:r w:rsidRPr="00321F58">
      <w:fldChar w:fldCharType="separate"/>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2</w:t>
    </w:r>
    <w:r w:rsidRPr="00321F58">
      <w:fldChar w:fldCharType="end"/>
    </w:r>
  </w:p>
  <w:p w:rsidR="00D70951" w:rsidRPr="00321F58" w:rsidRDefault="00D70951">
    <w:pPr>
      <w:pStyle w:val="SidfotH"/>
      <w:framePr w:w="8732" w:h="284" w:hRule="exact" w:hSpace="0" w:vSpace="0" w:wrap="around" w:xAlign="inside" w:y="13042" w:anchorLock="0"/>
    </w:pPr>
    <w:r w:rsidRPr="00321F58">
      <w:fldChar w:fldCharType="end"/>
    </w:r>
  </w:p>
  <w:p w:rsidR="00D70951" w:rsidRPr="00321F58" w:rsidRDefault="00D7095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V"/>
      <w:framePr w:w="8732" w:h="284" w:hRule="exact" w:hSpace="0" w:vSpace="0" w:wrap="around" w:xAlign="inside" w:y="13042" w:anchorLock="0"/>
    </w:pP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6</w:t>
    </w:r>
    <w:r w:rsidRPr="00321F58">
      <w:fldChar w:fldCharType="end"/>
    </w:r>
  </w:p>
  <w:p w:rsidR="00D70951" w:rsidRPr="00321F58" w:rsidRDefault="00D7095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H"/>
      <w:framePr w:w="8732" w:h="284" w:hRule="exact" w:hSpace="0" w:vSpace="0" w:wrap="around" w:xAlign="inside" w:y="13042" w:anchorLock="0"/>
    </w:pP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t>3</w:t>
    </w:r>
    <w:r w:rsidRPr="00321F58">
      <w:fldChar w:fldCharType="end"/>
    </w:r>
  </w:p>
  <w:p w:rsidR="00D70951" w:rsidRPr="00321F58" w:rsidRDefault="00D7095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fotV"/>
      <w:framePr w:w="8732" w:h="284" w:hRule="exact" w:hSpace="0" w:vSpace="0" w:wrap="around" w:xAlign="inside" w:y="13042" w:anchorLock="0"/>
    </w:pPr>
    <w:r w:rsidRPr="00321F58">
      <w:fldChar w:fldCharType="begin" w:fldLock="1"/>
    </w:r>
    <w:r w:rsidRPr="00321F58">
      <w:instrText xml:space="preserve"> if </w:instrText>
    </w:r>
    <w:r w:rsidRPr="00321F58">
      <w:fldChar w:fldCharType="begin" w:fldLock="1"/>
    </w:r>
    <w:r w:rsidRPr="00321F58">
      <w:instrText xml:space="preserve"> = </w:instrText>
    </w:r>
    <w:r w:rsidRPr="00321F58">
      <w:fldChar w:fldCharType="begin" w:fldLock="1"/>
    </w:r>
    <w:r w:rsidRPr="00321F58">
      <w:instrText xml:space="preserve"> = </w:instrText>
    </w:r>
    <w:r w:rsidRPr="00321F58">
      <w:fldChar w:fldCharType="begin" w:fldLock="1"/>
    </w:r>
    <w:r w:rsidRPr="00321F58">
      <w:instrText xml:space="preserve"> page</w:instrText>
    </w:r>
    <w:r w:rsidRPr="00321F58">
      <w:fldChar w:fldCharType="separate"/>
    </w:r>
    <w:r w:rsidRPr="00321F58">
      <w:instrText>3</w:instrText>
    </w:r>
    <w:r w:rsidRPr="00321F58">
      <w:fldChar w:fldCharType="end"/>
    </w:r>
    <w:r w:rsidRPr="00321F58">
      <w:instrText xml:space="preserve">/2 </w:instrText>
    </w:r>
    <w:r w:rsidRPr="00321F58">
      <w:fldChar w:fldCharType="separate"/>
    </w:r>
    <w:r w:rsidRPr="00321F58">
      <w:instrText>1,5</w:instrText>
    </w:r>
    <w:r w:rsidRPr="00321F58">
      <w:fldChar w:fldCharType="end"/>
    </w:r>
    <w:r w:rsidRPr="00321F58">
      <w:instrText xml:space="preserve"> - </w:instrText>
    </w:r>
    <w:r w:rsidRPr="00321F58">
      <w:fldChar w:fldCharType="begin" w:fldLock="1"/>
    </w:r>
    <w:r w:rsidRPr="00321F58">
      <w:instrText xml:space="preserve"> = int(</w:instrText>
    </w:r>
    <w:r w:rsidRPr="00321F58">
      <w:fldChar w:fldCharType="begin" w:fldLock="1"/>
    </w:r>
    <w:r w:rsidRPr="00321F58">
      <w:instrText xml:space="preserve"> page</w:instrText>
    </w:r>
    <w:r w:rsidRPr="00321F58">
      <w:fldChar w:fldCharType="separate"/>
    </w:r>
    <w:r w:rsidRPr="00321F58">
      <w:instrText>3</w:instrText>
    </w:r>
    <w:r w:rsidRPr="00321F58">
      <w:fldChar w:fldCharType="end"/>
    </w:r>
    <w:r w:rsidRPr="00321F58">
      <w:instrText xml:space="preserve">/2) </w:instrText>
    </w:r>
    <w:r w:rsidRPr="00321F58">
      <w:fldChar w:fldCharType="separate"/>
    </w:r>
    <w:r w:rsidRPr="00321F58">
      <w:instrText>1</w:instrText>
    </w:r>
    <w:r w:rsidRPr="00321F58">
      <w:fldChar w:fldCharType="end"/>
    </w:r>
    <w:r w:rsidRPr="00321F58">
      <w:fldChar w:fldCharType="separate"/>
    </w:r>
    <w:r w:rsidRPr="00321F58">
      <w:instrText>0,5</w:instrText>
    </w:r>
    <w:r w:rsidRPr="00321F58">
      <w:fldChar w:fldCharType="end"/>
    </w:r>
    <w:r w:rsidRPr="00321F58">
      <w:instrText xml:space="preserve"> = 0 "</w:instrText>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instrText>4</w:instrText>
    </w:r>
    <w:r w:rsidRPr="00321F58">
      <w:fldChar w:fldCharType="end"/>
    </w:r>
  </w:p>
  <w:p w:rsidR="00D70951" w:rsidRPr="00321F58" w:rsidRDefault="00D70951">
    <w:pPr>
      <w:pStyle w:val="SidfotH"/>
      <w:framePr w:w="8732" w:h="284" w:hRule="exact" w:hSpace="0" w:vSpace="0" w:wrap="around" w:xAlign="inside" w:y="13042" w:anchorLock="0"/>
    </w:pPr>
    <w:r w:rsidRPr="00321F58">
      <w:instrText>""</w:instrText>
    </w:r>
    <w:r w:rsidRPr="00321F58">
      <w:fldChar w:fldCharType="begin" w:fldLock="1"/>
    </w:r>
    <w:r w:rsidRPr="00321F58">
      <w:instrText xml:space="preserve"> P</w:instrText>
    </w:r>
    <w:r w:rsidRPr="00321F58">
      <w:instrText>A</w:instrText>
    </w:r>
    <w:r w:rsidRPr="00321F58">
      <w:instrText xml:space="preserve">GE </w:instrText>
    </w:r>
    <w:r w:rsidRPr="00321F58">
      <w:fldChar w:fldCharType="separate"/>
    </w:r>
    <w:r w:rsidRPr="00321F58">
      <w:instrText>3</w:instrText>
    </w:r>
    <w:r w:rsidRPr="00321F58">
      <w:fldChar w:fldCharType="end"/>
    </w:r>
    <w:r w:rsidRPr="00321F58">
      <w:instrText>"</w:instrText>
    </w:r>
    <w:r w:rsidRPr="00321F58">
      <w:fldChar w:fldCharType="separate"/>
    </w:r>
    <w:r w:rsidRPr="00321F58">
      <w:t>3</w:t>
    </w:r>
    <w:r w:rsidRPr="00321F58">
      <w:fldChar w:fldCharType="end"/>
    </w:r>
  </w:p>
  <w:p w:rsidR="00D70951" w:rsidRPr="00321F58" w:rsidRDefault="00D709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951" w:rsidRPr="00321F58" w:rsidRDefault="00D70951">
      <w:pPr>
        <w:pStyle w:val="Sidfot"/>
      </w:pPr>
    </w:p>
  </w:footnote>
  <w:footnote w:type="continuationSeparator" w:id="0">
    <w:p w:rsidR="00D70951" w:rsidRPr="00321F58" w:rsidRDefault="00D70951">
      <w:pPr>
        <w:spacing w:before="0" w:line="240" w:lineRule="auto"/>
      </w:pPr>
      <w:r w:rsidRPr="00321F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Jmn"/>
      <w:framePr w:w="8732" w:h="567" w:hRule="exact" w:vSpace="0" w:wrap="around" w:vAnchor="page" w:y="341" w:anchorLock="0"/>
    </w:pPr>
    <w:r w:rsidRPr="00321F58">
      <w:rPr>
        <w:rStyle w:val="SidhuvudUtskott"/>
      </w:rPr>
      <w:fldChar w:fldCharType="begin" w:fldLock="1"/>
    </w:r>
    <w:r w:rsidRPr="00321F58">
      <w:rPr>
        <w:rStyle w:val="SidhuvudUtskott"/>
      </w:rPr>
      <w:instrText xml:space="preserve"> DOCPROPERTY BetänkandeÅr</w:instrText>
    </w:r>
    <w:r w:rsidRPr="00321F58">
      <w:rPr>
        <w:rStyle w:val="SidhuvudUtskott"/>
      </w:rPr>
      <w:fldChar w:fldCharType="separate"/>
    </w:r>
    <w:r w:rsidRPr="00321F58">
      <w:rPr>
        <w:rStyle w:val="SidhuvudUtskott"/>
      </w:rPr>
      <w:t>2001/02</w:t>
    </w:r>
    <w:r w:rsidRPr="00321F58">
      <w:rPr>
        <w:rStyle w:val="SidhuvudUtskott"/>
      </w:rPr>
      <w:fldChar w:fldCharType="end"/>
    </w:r>
    <w:r w:rsidRPr="00321F58">
      <w:rPr>
        <w:rStyle w:val="SidhuvudUtskott"/>
      </w:rPr>
      <w:t>:</w:t>
    </w:r>
    <w:r w:rsidRPr="00321F58">
      <w:rPr>
        <w:rStyle w:val="SidhuvudUtskott"/>
      </w:rPr>
      <w:fldChar w:fldCharType="begin" w:fldLock="1"/>
    </w:r>
    <w:r w:rsidRPr="00321F58">
      <w:rPr>
        <w:rStyle w:val="SidhuvudUtskott"/>
      </w:rPr>
      <w:instrText xml:space="preserve"> DOCPROPERTY Utskott</w:instrText>
    </w:r>
    <w:r w:rsidRPr="00321F58">
      <w:rPr>
        <w:rStyle w:val="SidhuvudUtskott"/>
      </w:rPr>
      <w:fldChar w:fldCharType="separate"/>
    </w:r>
    <w:r w:rsidRPr="00321F58">
      <w:rPr>
        <w:rStyle w:val="SidhuvudUtskott"/>
      </w:rPr>
      <w:t>JuU</w:t>
    </w:r>
    <w:r w:rsidRPr="00321F58">
      <w:rPr>
        <w:rStyle w:val="SidhuvudUtskott"/>
      </w:rPr>
      <w:fldChar w:fldCharType="end"/>
    </w:r>
    <w:r w:rsidRPr="00321F58">
      <w:rPr>
        <w:rStyle w:val="SidhuvudUtskott"/>
      </w:rPr>
      <w:fldChar w:fldCharType="begin" w:fldLock="1"/>
    </w:r>
    <w:r w:rsidRPr="00321F58">
      <w:rPr>
        <w:rStyle w:val="SidhuvudUtskott"/>
      </w:rPr>
      <w:instrText xml:space="preserve"> DOCPROPERTY BetänkandeNr</w:instrText>
    </w:r>
    <w:r w:rsidRPr="00321F58">
      <w:rPr>
        <w:rStyle w:val="SidhuvudUtskott"/>
      </w:rPr>
      <w:fldChar w:fldCharType="separate"/>
    </w:r>
    <w:r w:rsidRPr="00321F58">
      <w:rPr>
        <w:rStyle w:val="SidhuvudUtskott"/>
      </w:rPr>
      <w:t>17</w:t>
    </w:r>
    <w:r w:rsidRPr="00321F58">
      <w:rPr>
        <w:rStyle w:val="SidhuvudUtskott"/>
      </w:rPr>
      <w:fldChar w:fldCharType="end"/>
    </w:r>
    <w:r w:rsidRPr="00321F58">
      <w:t xml:space="preserve">     </w:t>
    </w:r>
    <w:r w:rsidRPr="00321F58">
      <w:rPr>
        <w:rStyle w:val="SidhuvudBilaga"/>
      </w:rPr>
      <w:t xml:space="preserve"> </w:t>
    </w:r>
    <w:r w:rsidRPr="00321F58">
      <w:rPr>
        <w:rStyle w:val="SidhuvudRubrikReferens"/>
      </w:rPr>
      <w:fldChar w:fldCharType="begin" w:fldLock="1"/>
    </w:r>
    <w:r w:rsidRPr="00321F58">
      <w:rPr>
        <w:rStyle w:val="SidhuvudRubrikReferens"/>
      </w:rPr>
      <w:instrText xml:space="preserve"> StyleREF "Rubrik 1" </w:instrText>
    </w:r>
    <w:r w:rsidRPr="00321F58">
      <w:rPr>
        <w:rStyle w:val="SidhuvudRubrikReferens"/>
      </w:rPr>
      <w:fldChar w:fldCharType="separate"/>
    </w:r>
    <w:r w:rsidRPr="00321F58">
      <w:rPr>
        <w:rStyle w:val="SidhuvudRubrikReferens"/>
      </w:rPr>
      <w:t>Sammanfattning</w:t>
    </w:r>
    <w:r w:rsidRPr="00321F58">
      <w:rPr>
        <w:rStyle w:val="SidhuvudRubrikReferens"/>
      </w:rPr>
      <w:fldChar w:fldCharType="end"/>
    </w:r>
  </w:p>
  <w:p w:rsidR="00D70951" w:rsidRPr="00321F58" w:rsidRDefault="00D70951">
    <w:pPr>
      <w:pStyle w:val="SidhuvudKantJmn"/>
      <w:framePr w:w="8732" w:h="567" w:hRule="exact" w:vSpace="0" w:wrap="around" w:vAnchor="page" w:y="341" w:anchorLock="0"/>
    </w:pPr>
    <w:r w:rsidRPr="00321F58">
      <w:rPr>
        <w:rStyle w:val="SidhuvudUtskott"/>
      </w:rPr>
      <w:fldChar w:fldCharType="begin" w:fldLock="1"/>
    </w:r>
    <w:r w:rsidRPr="00321F58">
      <w:rPr>
        <w:rStyle w:val="SidhuvudUtskott"/>
      </w:rPr>
      <w:instrText xml:space="preserve"> DOCPROPERTY Status</w:instrText>
    </w:r>
    <w:r w:rsidRPr="00321F58">
      <w:rPr>
        <w:rStyle w:val="SidhuvudUtskott"/>
      </w:rPr>
      <w:fldChar w:fldCharType="end"/>
    </w:r>
    <w:r w:rsidRPr="00321F58">
      <w:rPr>
        <w:rStyle w:val="SidhuvudUtskott"/>
      </w:rPr>
      <w:fldChar w:fldCharType="begin" w:fldLock="1"/>
    </w:r>
    <w:r w:rsidRPr="00321F58">
      <w:rPr>
        <w:rStyle w:val="SidhuvudUtskott"/>
      </w:rPr>
      <w:instrText xml:space="preserve"> if </w:instrText>
    </w:r>
    <w:r w:rsidRPr="00321F58">
      <w:rPr>
        <w:rStyle w:val="SidhuvudUtskott"/>
      </w:rPr>
      <w:fldChar w:fldCharType="begin" w:fldLock="1"/>
    </w:r>
    <w:r w:rsidRPr="00321F58">
      <w:rPr>
        <w:rStyle w:val="SidhuvudUtskott"/>
      </w:rPr>
      <w:instrText xml:space="preserve"> DOCPROPERTY "UtkastDatum"</w:instrText>
    </w:r>
    <w:r w:rsidRPr="00321F58">
      <w:rPr>
        <w:rStyle w:val="SidhuvudUtskott"/>
      </w:rPr>
      <w:fldChar w:fldCharType="separate"/>
    </w:r>
    <w:r w:rsidRPr="00321F58">
      <w:rPr>
        <w:rStyle w:val="SidhuvudUtskott"/>
      </w:rPr>
      <w:instrText>Nej</w:instrText>
    </w:r>
    <w:r w:rsidRPr="00321F58">
      <w:rPr>
        <w:rStyle w:val="SidhuvudUtskott"/>
      </w:rPr>
      <w:fldChar w:fldCharType="end"/>
    </w:r>
    <w:r w:rsidRPr="00321F58">
      <w:rPr>
        <w:rStyle w:val="SidhuvudUtskott"/>
      </w:rPr>
      <w:instrText xml:space="preserve"> = "Ja" "    </w:instrText>
    </w:r>
    <w:r w:rsidRPr="00321F58">
      <w:rPr>
        <w:rStyle w:val="SidhuvudUtskott"/>
      </w:rPr>
      <w:fldChar w:fldCharType="begin" w:fldLock="1"/>
    </w:r>
    <w:r w:rsidRPr="00321F58">
      <w:rPr>
        <w:rStyle w:val="SidhuvudUtskott"/>
      </w:rPr>
      <w:instrText xml:space="preserve"> PRINTDATE \@ "yyyy-MM-dd HH.mm" </w:instrText>
    </w:r>
    <w:r w:rsidRPr="00321F58">
      <w:rPr>
        <w:rStyle w:val="SidhuvudUtskott"/>
      </w:rPr>
      <w:fldChar w:fldCharType="separate"/>
    </w:r>
    <w:r w:rsidRPr="00321F58">
      <w:rPr>
        <w:rStyle w:val="SidhuvudUtskott"/>
      </w:rPr>
      <w:instrText>2000-08-11 16.42</w:instrText>
    </w:r>
    <w:r w:rsidRPr="00321F58">
      <w:rPr>
        <w:rStyle w:val="SidhuvudUtskott"/>
      </w:rPr>
      <w:fldChar w:fldCharType="end"/>
    </w:r>
    <w:r w:rsidRPr="00321F58">
      <w:rPr>
        <w:rStyle w:val="SidhuvudUtskott"/>
      </w:rPr>
      <w:instrText xml:space="preserve">" </w:instrText>
    </w:r>
    <w:r w:rsidRPr="00321F58">
      <w:rPr>
        <w:rStyle w:val="SidhuvudUtskott"/>
      </w:rPr>
      <w:fldChar w:fldCharType="end"/>
    </w:r>
  </w:p>
  <w:p w:rsidR="00D70951" w:rsidRPr="00321F58" w:rsidRDefault="00D7095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Jmn"/>
      <w:framePr w:w="8732" w:h="567" w:hRule="exact" w:vSpace="0" w:wrap="around" w:vAnchor="page" w:y="341" w:anchorLock="0"/>
    </w:pPr>
    <w:r w:rsidRPr="00321F58">
      <w:rPr>
        <w:rStyle w:val="SidhuvudUtskott"/>
      </w:rPr>
      <w:t>2001/02:JuU17</w:t>
    </w:r>
    <w:r w:rsidRPr="00321F58">
      <w:t xml:space="preserve">     </w:t>
    </w:r>
    <w:r w:rsidRPr="00321F58">
      <w:rPr>
        <w:rStyle w:val="SidhuvudBilaga"/>
      </w:rPr>
      <w:t xml:space="preserve"> </w:t>
    </w:r>
    <w:r w:rsidRPr="00321F58">
      <w:rPr>
        <w:rStyle w:val="SidhuvudRubrikReferens"/>
      </w:rPr>
      <w:t>Redogörelse för ärendet</w:t>
    </w:r>
  </w:p>
  <w:p w:rsidR="00D70951" w:rsidRPr="00321F58" w:rsidRDefault="00D70951">
    <w:pPr>
      <w:pStyle w:val="SidhuvudKantJmn"/>
      <w:framePr w:w="8732" w:h="567" w:hRule="exact" w:vSpace="0" w:wrap="around" w:vAnchor="page" w:y="341" w:anchorLock="0"/>
    </w:pPr>
  </w:p>
  <w:p w:rsidR="00D70951" w:rsidRPr="00321F58" w:rsidRDefault="00D7095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Udda"/>
      <w:framePr w:w="8732" w:h="567" w:hRule="exact" w:vSpace="0" w:wrap="around" w:vAnchor="page" w:y="341" w:anchorLock="0"/>
    </w:pPr>
    <w:r w:rsidRPr="00321F58">
      <w:rPr>
        <w:rStyle w:val="SidhuvudRubrikReferens"/>
      </w:rPr>
      <w:t>Redogörelse för ärendet</w:t>
    </w:r>
    <w:r w:rsidRPr="00321F58">
      <w:rPr>
        <w:rStyle w:val="SidhuvudBilaga"/>
      </w:rPr>
      <w:t xml:space="preserve"> </w:t>
    </w:r>
    <w:r w:rsidRPr="00321F58">
      <w:t xml:space="preserve">     </w:t>
    </w:r>
    <w:r w:rsidRPr="00321F58">
      <w:rPr>
        <w:rStyle w:val="SidhuvudUtskott"/>
      </w:rPr>
      <w:t>2001/02:JuU17</w:t>
    </w:r>
  </w:p>
  <w:p w:rsidR="00D70951" w:rsidRPr="00321F58" w:rsidRDefault="00D70951">
    <w:pPr>
      <w:pStyle w:val="SidhuvudKantUdda"/>
      <w:framePr w:w="8732" w:h="567" w:hRule="exact" w:vSpace="0" w:wrap="around" w:vAnchor="page" w:y="341" w:anchorLock="0"/>
    </w:pPr>
  </w:p>
  <w:p w:rsidR="00D70951" w:rsidRPr="00321F58" w:rsidRDefault="00D7095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Jmn"/>
      <w:framePr w:w="8732" w:h="567" w:hRule="exact" w:vSpace="0" w:wrap="around" w:vAnchor="page" w:y="341" w:anchorLock="0"/>
    </w:pPr>
    <w:r w:rsidRPr="00321F58">
      <w:rPr>
        <w:rStyle w:val="SidhuvudUtskott"/>
      </w:rPr>
      <w:t>2001/02:JuU17</w:t>
    </w:r>
    <w:r w:rsidRPr="00321F58">
      <w:t xml:space="preserve">    </w:t>
    </w:r>
  </w:p>
  <w:p w:rsidR="00D70951" w:rsidRPr="00321F58" w:rsidRDefault="00D70951">
    <w:pPr>
      <w:pStyle w:val="SidhuvudKantJmn"/>
      <w:framePr w:w="8732" w:h="567" w:hRule="exact" w:vSpace="0" w:wrap="around" w:vAnchor="page" w:y="341" w:anchorLock="0"/>
    </w:pPr>
  </w:p>
  <w:p w:rsidR="00D70951" w:rsidRPr="00321F58" w:rsidRDefault="00D70951">
    <w:pPr>
      <w:pStyle w:val="SidhuvudKantUdda"/>
      <w:framePr w:w="8732" w:h="567" w:hRule="exact" w:vSpace="0" w:wrap="around" w:vAnchor="page" w:y="341" w:anchorLock="0"/>
    </w:pPr>
    <w:r w:rsidRPr="00321F58">
      <w:rPr>
        <w:rStyle w:val="SidhuvudRubrikReferens"/>
        <w:smallCaps w:val="0"/>
        <w:spacing w:val="0"/>
        <w:sz w:val="19"/>
      </w:rPr>
      <w:t xml:space="preserve"> </w:t>
    </w:r>
  </w:p>
  <w:p w:rsidR="00D70951" w:rsidRPr="00321F58" w:rsidRDefault="00D7095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Jmn"/>
      <w:framePr w:w="8732" w:h="567" w:hRule="exact" w:vSpace="0" w:wrap="around" w:vAnchor="page" w:y="341" w:anchorLock="0"/>
    </w:pPr>
    <w:r w:rsidRPr="00321F58">
      <w:rPr>
        <w:rStyle w:val="SidhuvudUtskott"/>
      </w:rPr>
      <w:t>2001/02:JuU17</w:t>
    </w:r>
    <w:r w:rsidRPr="00321F58">
      <w:t xml:space="preserve">     </w:t>
    </w:r>
    <w:r w:rsidRPr="00321F58">
      <w:rPr>
        <w:rStyle w:val="SidhuvudBilaga"/>
      </w:rPr>
      <w:t xml:space="preserve"> </w:t>
    </w:r>
    <w:r w:rsidRPr="00321F58">
      <w:rPr>
        <w:rStyle w:val="SidhuvudRubrikReferens"/>
      </w:rPr>
      <w:t>Utskottets överväganden</w:t>
    </w:r>
  </w:p>
  <w:p w:rsidR="00D70951" w:rsidRPr="00321F58" w:rsidRDefault="00D70951">
    <w:pPr>
      <w:pStyle w:val="SidhuvudKantJmn"/>
      <w:framePr w:w="8732" w:h="567" w:hRule="exact" w:vSpace="0" w:wrap="around" w:vAnchor="page" w:y="341" w:anchorLock="0"/>
    </w:pPr>
  </w:p>
  <w:p w:rsidR="00D70951" w:rsidRPr="00321F58" w:rsidRDefault="00D7095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Udda"/>
      <w:framePr w:w="8732" w:h="567" w:hRule="exact" w:vSpace="0" w:wrap="around" w:vAnchor="page" w:y="341" w:anchorLock="0"/>
    </w:pPr>
    <w:r w:rsidRPr="00321F58">
      <w:rPr>
        <w:rStyle w:val="SidhuvudRubrikReferens"/>
      </w:rPr>
      <w:fldChar w:fldCharType="begin" w:fldLock="1"/>
    </w:r>
    <w:r w:rsidRPr="00321F58">
      <w:rPr>
        <w:rStyle w:val="SidhuvudRubrikReferens"/>
      </w:rPr>
      <w:instrText xml:space="preserve"> StyleREF "Rubrik 1" </w:instrText>
    </w:r>
    <w:r w:rsidRPr="00321F58">
      <w:rPr>
        <w:rStyle w:val="SidhuvudRubrikReferens"/>
      </w:rPr>
      <w:fldChar w:fldCharType="separate"/>
    </w:r>
    <w:r w:rsidRPr="00321F58">
      <w:rPr>
        <w:rStyle w:val="SidhuvudRubrikReferens"/>
      </w:rPr>
      <w:t>Redogörelse för ärendet</w:t>
    </w:r>
    <w:r w:rsidRPr="00321F58">
      <w:rPr>
        <w:rStyle w:val="SidhuvudRubrikReferens"/>
      </w:rPr>
      <w:fldChar w:fldCharType="end"/>
    </w:r>
    <w:r w:rsidRPr="00321F58">
      <w:rPr>
        <w:rStyle w:val="SidhuvudBilaga"/>
      </w:rPr>
      <w:t xml:space="preserve"> </w:t>
    </w:r>
    <w:r w:rsidRPr="00321F58">
      <w:t xml:space="preserve">     </w:t>
    </w:r>
    <w:r w:rsidRPr="00321F58">
      <w:rPr>
        <w:rStyle w:val="SidhuvudUtskott"/>
      </w:rPr>
      <w:fldChar w:fldCharType="begin" w:fldLock="1"/>
    </w:r>
    <w:r w:rsidRPr="00321F58">
      <w:rPr>
        <w:rStyle w:val="SidhuvudUtskott"/>
      </w:rPr>
      <w:instrText xml:space="preserve"> DOCPROPERTY BetänkandeÅr</w:instrText>
    </w:r>
    <w:r w:rsidRPr="00321F58">
      <w:rPr>
        <w:rStyle w:val="SidhuvudUtskott"/>
      </w:rPr>
      <w:fldChar w:fldCharType="separate"/>
    </w:r>
    <w:r w:rsidRPr="00321F58">
      <w:rPr>
        <w:rStyle w:val="SidhuvudUtskott"/>
      </w:rPr>
      <w:t>2001/02</w:t>
    </w:r>
    <w:r w:rsidRPr="00321F58">
      <w:rPr>
        <w:rStyle w:val="SidhuvudUtskott"/>
      </w:rPr>
      <w:fldChar w:fldCharType="end"/>
    </w:r>
    <w:r w:rsidRPr="00321F58">
      <w:rPr>
        <w:rStyle w:val="SidhuvudUtskott"/>
      </w:rPr>
      <w:t>:</w:t>
    </w:r>
    <w:r w:rsidRPr="00321F58">
      <w:rPr>
        <w:rStyle w:val="SidhuvudUtskott"/>
      </w:rPr>
      <w:fldChar w:fldCharType="begin" w:fldLock="1"/>
    </w:r>
    <w:r w:rsidRPr="00321F58">
      <w:rPr>
        <w:rStyle w:val="SidhuvudUtskott"/>
      </w:rPr>
      <w:instrText xml:space="preserve"> DOCPROPERTY</w:instrText>
    </w:r>
    <w:r w:rsidRPr="00321F58">
      <w:instrText xml:space="preserve"> </w:instrText>
    </w:r>
    <w:r w:rsidRPr="00321F58">
      <w:rPr>
        <w:rStyle w:val="SidhuvudUtskott"/>
      </w:rPr>
      <w:instrText>Utskott</w:instrText>
    </w:r>
    <w:r w:rsidRPr="00321F58">
      <w:rPr>
        <w:rStyle w:val="SidhuvudUtskott"/>
      </w:rPr>
      <w:fldChar w:fldCharType="separate"/>
    </w:r>
    <w:r w:rsidRPr="00321F58">
      <w:rPr>
        <w:rStyle w:val="SidhuvudUtskott"/>
      </w:rPr>
      <w:t>JuU</w:t>
    </w:r>
    <w:r w:rsidRPr="00321F58">
      <w:rPr>
        <w:rStyle w:val="SidhuvudUtskott"/>
      </w:rPr>
      <w:fldChar w:fldCharType="end"/>
    </w:r>
    <w:r w:rsidRPr="00321F58">
      <w:rPr>
        <w:rStyle w:val="SidhuvudUtskott"/>
      </w:rPr>
      <w:fldChar w:fldCharType="begin" w:fldLock="1"/>
    </w:r>
    <w:r w:rsidRPr="00321F58">
      <w:rPr>
        <w:rStyle w:val="SidhuvudUtskott"/>
      </w:rPr>
      <w:instrText xml:space="preserve"> DOCPROPERTY Betä</w:instrText>
    </w:r>
    <w:r w:rsidRPr="00321F58">
      <w:rPr>
        <w:rStyle w:val="SidhuvudUtskott"/>
      </w:rPr>
      <w:instrText>n</w:instrText>
    </w:r>
    <w:r w:rsidRPr="00321F58">
      <w:rPr>
        <w:rStyle w:val="SidhuvudUtskott"/>
      </w:rPr>
      <w:instrText>kandeNr</w:instrText>
    </w:r>
    <w:r w:rsidRPr="00321F58">
      <w:rPr>
        <w:rStyle w:val="SidhuvudUtskott"/>
      </w:rPr>
      <w:fldChar w:fldCharType="separate"/>
    </w:r>
    <w:r w:rsidRPr="00321F58">
      <w:rPr>
        <w:rStyle w:val="SidhuvudUtskott"/>
      </w:rPr>
      <w:t>17</w:t>
    </w:r>
    <w:r w:rsidRPr="00321F58">
      <w:rPr>
        <w:rStyle w:val="SidhuvudUtskott"/>
      </w:rPr>
      <w:fldChar w:fldCharType="end"/>
    </w:r>
  </w:p>
  <w:p w:rsidR="00D70951" w:rsidRPr="00321F58" w:rsidRDefault="00D70951">
    <w:pPr>
      <w:pStyle w:val="SidhuvudKantUdda"/>
      <w:framePr w:w="8732" w:h="567" w:hRule="exact" w:vSpace="0" w:wrap="around" w:vAnchor="page" w:y="341" w:anchorLock="0"/>
    </w:pPr>
    <w:r w:rsidRPr="00321F58">
      <w:rPr>
        <w:rStyle w:val="SidhuvudUtskott"/>
      </w:rPr>
      <w:fldChar w:fldCharType="begin" w:fldLock="1"/>
    </w:r>
    <w:r w:rsidRPr="00321F58">
      <w:rPr>
        <w:rStyle w:val="SidhuvudUtskott"/>
      </w:rPr>
      <w:instrText xml:space="preserve"> if </w:instrText>
    </w:r>
    <w:r w:rsidRPr="00321F58">
      <w:rPr>
        <w:rStyle w:val="SidhuvudUtskott"/>
      </w:rPr>
      <w:fldChar w:fldCharType="begin" w:fldLock="1"/>
    </w:r>
    <w:r w:rsidRPr="00321F58">
      <w:rPr>
        <w:rStyle w:val="SidhuvudUtskott"/>
      </w:rPr>
      <w:instrText xml:space="preserve"> DOCPROPERTY "UtkastDatum"</w:instrText>
    </w:r>
    <w:r w:rsidRPr="00321F58">
      <w:rPr>
        <w:rStyle w:val="SidhuvudUtskott"/>
      </w:rPr>
      <w:fldChar w:fldCharType="separate"/>
    </w:r>
    <w:r w:rsidRPr="00321F58">
      <w:rPr>
        <w:rStyle w:val="SidhuvudUtskott"/>
      </w:rPr>
      <w:instrText>Nej</w:instrText>
    </w:r>
    <w:r w:rsidRPr="00321F58">
      <w:rPr>
        <w:rStyle w:val="SidhuvudUtskott"/>
      </w:rPr>
      <w:fldChar w:fldCharType="end"/>
    </w:r>
    <w:r w:rsidRPr="00321F58">
      <w:rPr>
        <w:rStyle w:val="SidhuvudUtskott"/>
      </w:rPr>
      <w:instrText xml:space="preserve"> = "Ja" "</w:instrText>
    </w:r>
    <w:r w:rsidRPr="00321F58">
      <w:rPr>
        <w:rStyle w:val="SidhuvudUtskott"/>
      </w:rPr>
      <w:fldChar w:fldCharType="begin" w:fldLock="1"/>
    </w:r>
    <w:r w:rsidRPr="00321F58">
      <w:rPr>
        <w:rStyle w:val="SidhuvudUtskott"/>
      </w:rPr>
      <w:instrText xml:space="preserve"> PRINTDATE \@ "yyyy-MM-dd HH.mm    " </w:instrText>
    </w:r>
    <w:r w:rsidRPr="00321F58">
      <w:rPr>
        <w:rStyle w:val="SidhuvudUtskott"/>
      </w:rPr>
      <w:fldChar w:fldCharType="separate"/>
    </w:r>
    <w:r w:rsidRPr="00321F58">
      <w:rPr>
        <w:rStyle w:val="SidhuvudUtskott"/>
      </w:rPr>
      <w:instrText>2000-08-11 16.42</w:instrText>
    </w:r>
    <w:r w:rsidRPr="00321F58">
      <w:rPr>
        <w:rStyle w:val="SidhuvudUtskott"/>
      </w:rPr>
      <w:fldChar w:fldCharType="end"/>
    </w:r>
    <w:r w:rsidRPr="00321F58">
      <w:rPr>
        <w:rStyle w:val="SidhuvudUtskott"/>
      </w:rPr>
      <w:instrText xml:space="preserve">" </w:instrText>
    </w:r>
    <w:r w:rsidRPr="00321F58">
      <w:rPr>
        <w:rStyle w:val="SidhuvudUtskott"/>
      </w:rPr>
      <w:fldChar w:fldCharType="end"/>
    </w:r>
    <w:r w:rsidRPr="00321F58">
      <w:rPr>
        <w:rStyle w:val="SidhuvudUtskott"/>
      </w:rPr>
      <w:fldChar w:fldCharType="begin" w:fldLock="1"/>
    </w:r>
    <w:r w:rsidRPr="00321F58">
      <w:rPr>
        <w:rStyle w:val="SidhuvudUtskott"/>
      </w:rPr>
      <w:instrText xml:space="preserve"> DOCPR</w:instrText>
    </w:r>
    <w:r w:rsidRPr="00321F58">
      <w:rPr>
        <w:rStyle w:val="SidhuvudUtskott"/>
      </w:rPr>
      <w:instrText>O</w:instrText>
    </w:r>
    <w:r w:rsidRPr="00321F58">
      <w:rPr>
        <w:rStyle w:val="SidhuvudUtskott"/>
      </w:rPr>
      <w:instrText>PERTY Status</w:instrText>
    </w:r>
    <w:r w:rsidRPr="00321F58">
      <w:rPr>
        <w:rStyle w:val="SidhuvudUtskott"/>
      </w:rPr>
      <w:fldChar w:fldCharType="end"/>
    </w:r>
  </w:p>
  <w:p w:rsidR="00D70951" w:rsidRPr="00321F58" w:rsidRDefault="00D7095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Udda"/>
      <w:framePr w:w="8732" w:h="567" w:hRule="exact" w:vSpace="0" w:wrap="around" w:vAnchor="page" w:y="341" w:anchorLock="0"/>
    </w:pPr>
    <w:r w:rsidRPr="00321F58">
      <w:t xml:space="preserve">  </w:t>
    </w:r>
    <w:r w:rsidRPr="00321F58">
      <w:rPr>
        <w:rStyle w:val="SidhuvudUtskott"/>
      </w:rPr>
      <w:t>2001/02:JuU17</w:t>
    </w:r>
  </w:p>
  <w:p w:rsidR="00D70951" w:rsidRPr="00321F58" w:rsidRDefault="00D70951">
    <w:pPr>
      <w:pStyle w:val="SidhuvudKantUdda"/>
      <w:framePr w:w="8732" w:h="567" w:hRule="exact" w:vSpace="0" w:wrap="around" w:vAnchor="page" w:y="341" w:anchorLock="0"/>
    </w:pPr>
  </w:p>
  <w:p w:rsidR="00D70951" w:rsidRPr="00321F58" w:rsidRDefault="00D7095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Jmn"/>
      <w:framePr w:w="8732" w:h="567" w:hRule="exact" w:vSpace="0" w:wrap="around" w:vAnchor="page" w:y="341" w:anchorLock="0"/>
    </w:pPr>
    <w:r w:rsidRPr="00321F58">
      <w:rPr>
        <w:rStyle w:val="SidhuvudUtskott"/>
      </w:rPr>
      <w:fldChar w:fldCharType="begin" w:fldLock="1"/>
    </w:r>
    <w:r w:rsidRPr="00321F58">
      <w:rPr>
        <w:rStyle w:val="SidhuvudUtskott"/>
      </w:rPr>
      <w:instrText xml:space="preserve"> DOCPROPERTY BetänkandeÅr</w:instrText>
    </w:r>
    <w:r w:rsidRPr="00321F58">
      <w:rPr>
        <w:rStyle w:val="SidhuvudUtskott"/>
      </w:rPr>
      <w:fldChar w:fldCharType="separate"/>
    </w:r>
    <w:r w:rsidRPr="00321F58">
      <w:rPr>
        <w:rStyle w:val="SidhuvudUtskott"/>
      </w:rPr>
      <w:t>2001/02</w:t>
    </w:r>
    <w:r w:rsidRPr="00321F58">
      <w:rPr>
        <w:rStyle w:val="SidhuvudUtskott"/>
      </w:rPr>
      <w:fldChar w:fldCharType="end"/>
    </w:r>
    <w:r w:rsidRPr="00321F58">
      <w:rPr>
        <w:rStyle w:val="SidhuvudUtskott"/>
      </w:rPr>
      <w:t>:</w:t>
    </w:r>
    <w:r w:rsidRPr="00321F58">
      <w:rPr>
        <w:rStyle w:val="SidhuvudUtskott"/>
      </w:rPr>
      <w:fldChar w:fldCharType="begin" w:fldLock="1"/>
    </w:r>
    <w:r w:rsidRPr="00321F58">
      <w:rPr>
        <w:rStyle w:val="SidhuvudUtskott"/>
      </w:rPr>
      <w:instrText xml:space="preserve"> DOCPROPERTY Utskott</w:instrText>
    </w:r>
    <w:r w:rsidRPr="00321F58">
      <w:rPr>
        <w:rStyle w:val="SidhuvudUtskott"/>
      </w:rPr>
      <w:fldChar w:fldCharType="separate"/>
    </w:r>
    <w:r w:rsidRPr="00321F58">
      <w:rPr>
        <w:rStyle w:val="SidhuvudUtskott"/>
      </w:rPr>
      <w:t>JuU</w:t>
    </w:r>
    <w:r w:rsidRPr="00321F58">
      <w:rPr>
        <w:rStyle w:val="SidhuvudUtskott"/>
      </w:rPr>
      <w:fldChar w:fldCharType="end"/>
    </w:r>
    <w:r w:rsidRPr="00321F58">
      <w:rPr>
        <w:rStyle w:val="SidhuvudUtskott"/>
      </w:rPr>
      <w:fldChar w:fldCharType="begin" w:fldLock="1"/>
    </w:r>
    <w:r w:rsidRPr="00321F58">
      <w:rPr>
        <w:rStyle w:val="SidhuvudUtskott"/>
      </w:rPr>
      <w:instrText xml:space="preserve"> DOCPROPERTY BetänkandeNr</w:instrText>
    </w:r>
    <w:r w:rsidRPr="00321F58">
      <w:rPr>
        <w:rStyle w:val="SidhuvudUtskott"/>
      </w:rPr>
      <w:fldChar w:fldCharType="separate"/>
    </w:r>
    <w:r w:rsidRPr="00321F58">
      <w:rPr>
        <w:rStyle w:val="SidhuvudUtskott"/>
      </w:rPr>
      <w:t>17</w:t>
    </w:r>
    <w:r w:rsidRPr="00321F58">
      <w:rPr>
        <w:rStyle w:val="SidhuvudUtskott"/>
      </w:rPr>
      <w:fldChar w:fldCharType="end"/>
    </w:r>
    <w:r w:rsidRPr="00321F58">
      <w:t xml:space="preserve">     </w:t>
    </w:r>
    <w:r w:rsidRPr="00321F58">
      <w:rPr>
        <w:rStyle w:val="SidhuvudBilaga"/>
      </w:rPr>
      <w:t xml:space="preserve"> </w:t>
    </w:r>
    <w:r w:rsidRPr="00321F58">
      <w:rPr>
        <w:rStyle w:val="SidhuvudRubrikReferens"/>
      </w:rPr>
      <w:fldChar w:fldCharType="begin" w:fldLock="1"/>
    </w:r>
    <w:r w:rsidRPr="00321F58">
      <w:rPr>
        <w:rStyle w:val="SidhuvudRubrikReferens"/>
      </w:rPr>
      <w:instrText xml:space="preserve"> StyleREF "Rubrik 1" </w:instrText>
    </w:r>
    <w:r w:rsidRPr="00321F58">
      <w:rPr>
        <w:rStyle w:val="SidhuvudRubrikReferens"/>
      </w:rPr>
      <w:fldChar w:fldCharType="separate"/>
    </w:r>
    <w:r w:rsidRPr="00321F58">
      <w:rPr>
        <w:rStyle w:val="SidhuvudRubrikReferens"/>
      </w:rPr>
      <w:t>Utskottets överväganden</w:t>
    </w:r>
    <w:r w:rsidRPr="00321F58">
      <w:rPr>
        <w:rStyle w:val="SidhuvudRubrikReferens"/>
      </w:rPr>
      <w:fldChar w:fldCharType="end"/>
    </w:r>
  </w:p>
  <w:p w:rsidR="00D70951" w:rsidRPr="00321F58" w:rsidRDefault="00D70951">
    <w:pPr>
      <w:pStyle w:val="SidhuvudKantJmn"/>
      <w:framePr w:w="8732" w:h="567" w:hRule="exact" w:vSpace="0" w:wrap="around" w:vAnchor="page" w:y="341" w:anchorLock="0"/>
    </w:pPr>
    <w:r w:rsidRPr="00321F58">
      <w:rPr>
        <w:rStyle w:val="SidhuvudUtskott"/>
      </w:rPr>
      <w:fldChar w:fldCharType="begin" w:fldLock="1"/>
    </w:r>
    <w:r w:rsidRPr="00321F58">
      <w:rPr>
        <w:rStyle w:val="SidhuvudUtskott"/>
      </w:rPr>
      <w:instrText xml:space="preserve"> DOCPROPERTY Status</w:instrText>
    </w:r>
    <w:r w:rsidRPr="00321F58">
      <w:rPr>
        <w:rStyle w:val="SidhuvudUtskott"/>
      </w:rPr>
      <w:fldChar w:fldCharType="end"/>
    </w:r>
    <w:r w:rsidRPr="00321F58">
      <w:rPr>
        <w:rStyle w:val="SidhuvudUtskott"/>
      </w:rPr>
      <w:fldChar w:fldCharType="begin" w:fldLock="1"/>
    </w:r>
    <w:r w:rsidRPr="00321F58">
      <w:rPr>
        <w:rStyle w:val="SidhuvudUtskott"/>
      </w:rPr>
      <w:instrText xml:space="preserve"> if </w:instrText>
    </w:r>
    <w:r w:rsidRPr="00321F58">
      <w:rPr>
        <w:rStyle w:val="SidhuvudUtskott"/>
      </w:rPr>
      <w:fldChar w:fldCharType="begin" w:fldLock="1"/>
    </w:r>
    <w:r w:rsidRPr="00321F58">
      <w:rPr>
        <w:rStyle w:val="SidhuvudUtskott"/>
      </w:rPr>
      <w:instrText xml:space="preserve"> DOCPROPERTY "UtkastDatum"</w:instrText>
    </w:r>
    <w:r w:rsidRPr="00321F58">
      <w:rPr>
        <w:rStyle w:val="SidhuvudUtskott"/>
      </w:rPr>
      <w:fldChar w:fldCharType="separate"/>
    </w:r>
    <w:r w:rsidRPr="00321F58">
      <w:rPr>
        <w:rStyle w:val="SidhuvudUtskott"/>
      </w:rPr>
      <w:instrText>Nej</w:instrText>
    </w:r>
    <w:r w:rsidRPr="00321F58">
      <w:rPr>
        <w:rStyle w:val="SidhuvudUtskott"/>
      </w:rPr>
      <w:fldChar w:fldCharType="end"/>
    </w:r>
    <w:r w:rsidRPr="00321F58">
      <w:rPr>
        <w:rStyle w:val="SidhuvudUtskott"/>
      </w:rPr>
      <w:instrText xml:space="preserve"> = "Ja" "    </w:instrText>
    </w:r>
    <w:r w:rsidRPr="00321F58">
      <w:rPr>
        <w:rStyle w:val="SidhuvudUtskott"/>
      </w:rPr>
      <w:fldChar w:fldCharType="begin" w:fldLock="1"/>
    </w:r>
    <w:r w:rsidRPr="00321F58">
      <w:rPr>
        <w:rStyle w:val="SidhuvudUtskott"/>
      </w:rPr>
      <w:instrText xml:space="preserve"> PRINTDATE \@ "yyyy-MM-dd HH.mm" </w:instrText>
    </w:r>
    <w:r w:rsidRPr="00321F58">
      <w:rPr>
        <w:rStyle w:val="SidhuvudUtskott"/>
      </w:rPr>
      <w:fldChar w:fldCharType="separate"/>
    </w:r>
    <w:r w:rsidRPr="00321F58">
      <w:rPr>
        <w:rStyle w:val="SidhuvudUtskott"/>
      </w:rPr>
      <w:instrText>2000-08-11 16.42</w:instrText>
    </w:r>
    <w:r w:rsidRPr="00321F58">
      <w:rPr>
        <w:rStyle w:val="SidhuvudUtskott"/>
      </w:rPr>
      <w:fldChar w:fldCharType="end"/>
    </w:r>
    <w:r w:rsidRPr="00321F58">
      <w:rPr>
        <w:rStyle w:val="SidhuvudUtskott"/>
      </w:rPr>
      <w:instrText xml:space="preserve">" </w:instrText>
    </w:r>
    <w:r w:rsidRPr="00321F58">
      <w:rPr>
        <w:rStyle w:val="SidhuvudUtskott"/>
      </w:rPr>
      <w:fldChar w:fldCharType="end"/>
    </w:r>
  </w:p>
  <w:p w:rsidR="00D70951" w:rsidRPr="00321F58" w:rsidRDefault="00D7095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Udda"/>
      <w:framePr w:w="8732" w:h="567" w:hRule="exact" w:vSpace="0" w:wrap="around" w:vAnchor="page" w:y="341" w:anchorLock="0"/>
    </w:pPr>
    <w:r w:rsidRPr="00321F58">
      <w:rPr>
        <w:rStyle w:val="SidhuvudRubrikReferens"/>
      </w:rPr>
      <w:fldChar w:fldCharType="begin" w:fldLock="1"/>
    </w:r>
    <w:r w:rsidRPr="00321F58">
      <w:rPr>
        <w:rStyle w:val="SidhuvudRubrikReferens"/>
      </w:rPr>
      <w:instrText xml:space="preserve"> StyleREF "Rubrik 1" </w:instrText>
    </w:r>
    <w:r w:rsidRPr="00321F58">
      <w:rPr>
        <w:rStyle w:val="SidhuvudRubrikReferens"/>
      </w:rPr>
      <w:fldChar w:fldCharType="separate"/>
    </w:r>
    <w:r w:rsidRPr="00321F58">
      <w:rPr>
        <w:rStyle w:val="SidhuvudRubrikReferens"/>
      </w:rPr>
      <w:t>Utskottets överväganden</w:t>
    </w:r>
    <w:r w:rsidRPr="00321F58">
      <w:rPr>
        <w:rStyle w:val="SidhuvudRubrikReferens"/>
      </w:rPr>
      <w:fldChar w:fldCharType="end"/>
    </w:r>
    <w:r w:rsidRPr="00321F58">
      <w:rPr>
        <w:rStyle w:val="SidhuvudBilaga"/>
      </w:rPr>
      <w:t xml:space="preserve"> </w:t>
    </w:r>
    <w:r w:rsidRPr="00321F58">
      <w:t xml:space="preserve">     </w:t>
    </w:r>
    <w:r w:rsidRPr="00321F58">
      <w:rPr>
        <w:rStyle w:val="SidhuvudUtskott"/>
      </w:rPr>
      <w:fldChar w:fldCharType="begin" w:fldLock="1"/>
    </w:r>
    <w:r w:rsidRPr="00321F58">
      <w:rPr>
        <w:rStyle w:val="SidhuvudUtskott"/>
      </w:rPr>
      <w:instrText xml:space="preserve"> DOCPROPERTY BetänkandeÅr</w:instrText>
    </w:r>
    <w:r w:rsidRPr="00321F58">
      <w:rPr>
        <w:rStyle w:val="SidhuvudUtskott"/>
      </w:rPr>
      <w:fldChar w:fldCharType="separate"/>
    </w:r>
    <w:r w:rsidRPr="00321F58">
      <w:rPr>
        <w:rStyle w:val="SidhuvudUtskott"/>
      </w:rPr>
      <w:t>2001/02</w:t>
    </w:r>
    <w:r w:rsidRPr="00321F58">
      <w:rPr>
        <w:rStyle w:val="SidhuvudUtskott"/>
      </w:rPr>
      <w:fldChar w:fldCharType="end"/>
    </w:r>
    <w:r w:rsidRPr="00321F58">
      <w:rPr>
        <w:rStyle w:val="SidhuvudUtskott"/>
      </w:rPr>
      <w:t>:</w:t>
    </w:r>
    <w:r w:rsidRPr="00321F58">
      <w:rPr>
        <w:rStyle w:val="SidhuvudUtskott"/>
      </w:rPr>
      <w:fldChar w:fldCharType="begin" w:fldLock="1"/>
    </w:r>
    <w:r w:rsidRPr="00321F58">
      <w:rPr>
        <w:rStyle w:val="SidhuvudUtskott"/>
      </w:rPr>
      <w:instrText xml:space="preserve"> DOCPROPERTY</w:instrText>
    </w:r>
    <w:r w:rsidRPr="00321F58">
      <w:instrText xml:space="preserve"> </w:instrText>
    </w:r>
    <w:r w:rsidRPr="00321F58">
      <w:rPr>
        <w:rStyle w:val="SidhuvudUtskott"/>
      </w:rPr>
      <w:instrText>Utskott</w:instrText>
    </w:r>
    <w:r w:rsidRPr="00321F58">
      <w:rPr>
        <w:rStyle w:val="SidhuvudUtskott"/>
      </w:rPr>
      <w:fldChar w:fldCharType="separate"/>
    </w:r>
    <w:r w:rsidRPr="00321F58">
      <w:rPr>
        <w:rStyle w:val="SidhuvudUtskott"/>
      </w:rPr>
      <w:t>JuU</w:t>
    </w:r>
    <w:r w:rsidRPr="00321F58">
      <w:rPr>
        <w:rStyle w:val="SidhuvudUtskott"/>
      </w:rPr>
      <w:fldChar w:fldCharType="end"/>
    </w:r>
    <w:r w:rsidRPr="00321F58">
      <w:rPr>
        <w:rStyle w:val="SidhuvudUtskott"/>
      </w:rPr>
      <w:fldChar w:fldCharType="begin" w:fldLock="1"/>
    </w:r>
    <w:r w:rsidRPr="00321F58">
      <w:rPr>
        <w:rStyle w:val="SidhuvudUtskott"/>
      </w:rPr>
      <w:instrText xml:space="preserve"> DOCPROPERTY Betä</w:instrText>
    </w:r>
    <w:r w:rsidRPr="00321F58">
      <w:rPr>
        <w:rStyle w:val="SidhuvudUtskott"/>
      </w:rPr>
      <w:instrText>n</w:instrText>
    </w:r>
    <w:r w:rsidRPr="00321F58">
      <w:rPr>
        <w:rStyle w:val="SidhuvudUtskott"/>
      </w:rPr>
      <w:instrText>kandeNr</w:instrText>
    </w:r>
    <w:r w:rsidRPr="00321F58">
      <w:rPr>
        <w:rStyle w:val="SidhuvudUtskott"/>
      </w:rPr>
      <w:fldChar w:fldCharType="separate"/>
    </w:r>
    <w:r w:rsidRPr="00321F58">
      <w:rPr>
        <w:rStyle w:val="SidhuvudUtskott"/>
      </w:rPr>
      <w:t>17</w:t>
    </w:r>
    <w:r w:rsidRPr="00321F58">
      <w:rPr>
        <w:rStyle w:val="SidhuvudUtskott"/>
      </w:rPr>
      <w:fldChar w:fldCharType="end"/>
    </w:r>
  </w:p>
  <w:p w:rsidR="00D70951" w:rsidRPr="00321F58" w:rsidRDefault="00D70951">
    <w:pPr>
      <w:pStyle w:val="SidhuvudKantUdda"/>
      <w:framePr w:w="8732" w:h="567" w:hRule="exact" w:vSpace="0" w:wrap="around" w:vAnchor="page" w:y="341" w:anchorLock="0"/>
    </w:pPr>
    <w:r w:rsidRPr="00321F58">
      <w:rPr>
        <w:rStyle w:val="SidhuvudUtskott"/>
      </w:rPr>
      <w:fldChar w:fldCharType="begin" w:fldLock="1"/>
    </w:r>
    <w:r w:rsidRPr="00321F58">
      <w:rPr>
        <w:rStyle w:val="SidhuvudUtskott"/>
      </w:rPr>
      <w:instrText xml:space="preserve"> if </w:instrText>
    </w:r>
    <w:r w:rsidRPr="00321F58">
      <w:rPr>
        <w:rStyle w:val="SidhuvudUtskott"/>
      </w:rPr>
      <w:fldChar w:fldCharType="begin" w:fldLock="1"/>
    </w:r>
    <w:r w:rsidRPr="00321F58">
      <w:rPr>
        <w:rStyle w:val="SidhuvudUtskott"/>
      </w:rPr>
      <w:instrText xml:space="preserve"> DOCPROPERTY "UtkastDatum"</w:instrText>
    </w:r>
    <w:r w:rsidRPr="00321F58">
      <w:rPr>
        <w:rStyle w:val="SidhuvudUtskott"/>
      </w:rPr>
      <w:fldChar w:fldCharType="separate"/>
    </w:r>
    <w:r w:rsidRPr="00321F58">
      <w:rPr>
        <w:rStyle w:val="SidhuvudUtskott"/>
      </w:rPr>
      <w:instrText>Nej</w:instrText>
    </w:r>
    <w:r w:rsidRPr="00321F58">
      <w:rPr>
        <w:rStyle w:val="SidhuvudUtskott"/>
      </w:rPr>
      <w:fldChar w:fldCharType="end"/>
    </w:r>
    <w:r w:rsidRPr="00321F58">
      <w:rPr>
        <w:rStyle w:val="SidhuvudUtskott"/>
      </w:rPr>
      <w:instrText xml:space="preserve"> = "Ja" "</w:instrText>
    </w:r>
    <w:r w:rsidRPr="00321F58">
      <w:rPr>
        <w:rStyle w:val="SidhuvudUtskott"/>
      </w:rPr>
      <w:fldChar w:fldCharType="begin" w:fldLock="1"/>
    </w:r>
    <w:r w:rsidRPr="00321F58">
      <w:rPr>
        <w:rStyle w:val="SidhuvudUtskott"/>
      </w:rPr>
      <w:instrText xml:space="preserve"> PRINTDATE \@ "yyyy-MM-dd HH.mm    " </w:instrText>
    </w:r>
    <w:r w:rsidRPr="00321F58">
      <w:rPr>
        <w:rStyle w:val="SidhuvudUtskott"/>
      </w:rPr>
      <w:fldChar w:fldCharType="separate"/>
    </w:r>
    <w:r w:rsidRPr="00321F58">
      <w:rPr>
        <w:rStyle w:val="SidhuvudUtskott"/>
      </w:rPr>
      <w:instrText>2000-08-11 16.42</w:instrText>
    </w:r>
    <w:r w:rsidRPr="00321F58">
      <w:rPr>
        <w:rStyle w:val="SidhuvudUtskott"/>
      </w:rPr>
      <w:fldChar w:fldCharType="end"/>
    </w:r>
    <w:r w:rsidRPr="00321F58">
      <w:rPr>
        <w:rStyle w:val="SidhuvudUtskott"/>
      </w:rPr>
      <w:instrText xml:space="preserve">" </w:instrText>
    </w:r>
    <w:r w:rsidRPr="00321F58">
      <w:rPr>
        <w:rStyle w:val="SidhuvudUtskott"/>
      </w:rPr>
      <w:fldChar w:fldCharType="end"/>
    </w:r>
    <w:r w:rsidRPr="00321F58">
      <w:rPr>
        <w:rStyle w:val="SidhuvudUtskott"/>
      </w:rPr>
      <w:fldChar w:fldCharType="begin" w:fldLock="1"/>
    </w:r>
    <w:r w:rsidRPr="00321F58">
      <w:rPr>
        <w:rStyle w:val="SidhuvudUtskott"/>
      </w:rPr>
      <w:instrText xml:space="preserve"> DOCPR</w:instrText>
    </w:r>
    <w:r w:rsidRPr="00321F58">
      <w:rPr>
        <w:rStyle w:val="SidhuvudUtskott"/>
      </w:rPr>
      <w:instrText>O</w:instrText>
    </w:r>
    <w:r w:rsidRPr="00321F58">
      <w:rPr>
        <w:rStyle w:val="SidhuvudUtskott"/>
      </w:rPr>
      <w:instrText>PERTY Status</w:instrText>
    </w:r>
    <w:r w:rsidRPr="00321F58">
      <w:rPr>
        <w:rStyle w:val="SidhuvudUtskott"/>
      </w:rPr>
      <w:fldChar w:fldCharType="end"/>
    </w:r>
  </w:p>
  <w:p w:rsidR="00D70951" w:rsidRPr="00321F58" w:rsidRDefault="00D7095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Udda"/>
      <w:framePr w:w="8732" w:h="567" w:hRule="exact" w:vSpace="0" w:wrap="around" w:vAnchor="page" w:y="341" w:anchorLock="0"/>
    </w:pPr>
    <w:r w:rsidRPr="00321F58">
      <w:t xml:space="preserve">  </w:t>
    </w:r>
    <w:r w:rsidRPr="00321F58">
      <w:rPr>
        <w:rStyle w:val="SidhuvudUtskott"/>
      </w:rPr>
      <w:t>2001/02:JuU17</w:t>
    </w:r>
  </w:p>
  <w:p w:rsidR="00D70951" w:rsidRPr="00321F58" w:rsidRDefault="00D70951">
    <w:pPr>
      <w:pStyle w:val="SidhuvudKantUdda"/>
      <w:framePr w:w="8732" w:h="567" w:hRule="exact" w:vSpace="0" w:wrap="around" w:vAnchor="page" w:y="341" w:anchorLock="0"/>
    </w:pPr>
  </w:p>
  <w:p w:rsidR="00D70951" w:rsidRPr="00321F58" w:rsidRDefault="00D7095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Jmn"/>
      <w:framePr w:w="8732" w:h="567" w:hRule="exact" w:vSpace="0" w:wrap="around" w:vAnchor="page" w:y="341" w:anchorLock="0"/>
    </w:pPr>
    <w:r w:rsidRPr="00321F58">
      <w:rPr>
        <w:rStyle w:val="SidhuvudUtskott"/>
      </w:rPr>
      <w:t>2001/02:JuU17</w:t>
    </w:r>
    <w:r w:rsidRPr="00321F58">
      <w:t xml:space="preserve">     </w:t>
    </w:r>
    <w:r w:rsidRPr="00321F58">
      <w:rPr>
        <w:rStyle w:val="SidhuvudBilaga"/>
      </w:rPr>
      <w:t xml:space="preserve"> </w:t>
    </w:r>
    <w:r w:rsidRPr="00321F58">
      <w:rPr>
        <w:rStyle w:val="SidhuvudRubrikReferens"/>
      </w:rPr>
      <w:t>Regeringens lagförslag</w:t>
    </w:r>
  </w:p>
  <w:p w:rsidR="00D70951" w:rsidRPr="00321F58" w:rsidRDefault="00D70951">
    <w:pPr>
      <w:pStyle w:val="SidhuvudKantJmn"/>
      <w:framePr w:w="8732" w:h="567" w:hRule="exact" w:vSpace="0" w:wrap="around" w:vAnchor="page" w:y="341" w:anchorLock="0"/>
    </w:pPr>
  </w:p>
  <w:p w:rsidR="00D70951" w:rsidRPr="00321F58" w:rsidRDefault="00D7095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Udda"/>
      <w:framePr w:w="8732" w:h="567" w:hRule="exact" w:vSpace="0" w:wrap="around" w:vAnchor="page" w:y="341" w:anchorLock="0"/>
    </w:pPr>
    <w:r w:rsidRPr="00321F58">
      <w:rPr>
        <w:rStyle w:val="SidhuvudRubrikReferens"/>
      </w:rPr>
      <w:fldChar w:fldCharType="begin" w:fldLock="1"/>
    </w:r>
    <w:r w:rsidRPr="00321F58">
      <w:rPr>
        <w:rStyle w:val="SidhuvudRubrikReferens"/>
      </w:rPr>
      <w:instrText xml:space="preserve"> StyleREF "Rubrik 1" </w:instrText>
    </w:r>
    <w:r w:rsidRPr="00321F58">
      <w:rPr>
        <w:rStyle w:val="SidhuvudRubrikReferens"/>
      </w:rPr>
      <w:fldChar w:fldCharType="separate"/>
    </w:r>
    <w:r w:rsidRPr="00321F58">
      <w:rPr>
        <w:rStyle w:val="SidhuvudRubrikReferens"/>
      </w:rPr>
      <w:t>Sammanfattning</w:t>
    </w:r>
    <w:r w:rsidRPr="00321F58">
      <w:rPr>
        <w:rStyle w:val="SidhuvudRubrikReferens"/>
      </w:rPr>
      <w:fldChar w:fldCharType="end"/>
    </w:r>
    <w:r w:rsidRPr="00321F58">
      <w:rPr>
        <w:rStyle w:val="SidhuvudBilaga"/>
      </w:rPr>
      <w:t xml:space="preserve"> </w:t>
    </w:r>
    <w:r w:rsidRPr="00321F58">
      <w:t xml:space="preserve">     </w:t>
    </w:r>
    <w:r w:rsidRPr="00321F58">
      <w:rPr>
        <w:rStyle w:val="SidhuvudUtskott"/>
      </w:rPr>
      <w:fldChar w:fldCharType="begin" w:fldLock="1"/>
    </w:r>
    <w:r w:rsidRPr="00321F58">
      <w:rPr>
        <w:rStyle w:val="SidhuvudUtskott"/>
      </w:rPr>
      <w:instrText xml:space="preserve"> DOCPROPERTY BetänkandeÅr</w:instrText>
    </w:r>
    <w:r w:rsidRPr="00321F58">
      <w:rPr>
        <w:rStyle w:val="SidhuvudUtskott"/>
      </w:rPr>
      <w:fldChar w:fldCharType="separate"/>
    </w:r>
    <w:r w:rsidRPr="00321F58">
      <w:rPr>
        <w:rStyle w:val="SidhuvudUtskott"/>
      </w:rPr>
      <w:t>2001/02</w:t>
    </w:r>
    <w:r w:rsidRPr="00321F58">
      <w:rPr>
        <w:rStyle w:val="SidhuvudUtskott"/>
      </w:rPr>
      <w:fldChar w:fldCharType="end"/>
    </w:r>
    <w:r w:rsidRPr="00321F58">
      <w:rPr>
        <w:rStyle w:val="SidhuvudUtskott"/>
      </w:rPr>
      <w:t>:</w:t>
    </w:r>
    <w:r w:rsidRPr="00321F58">
      <w:rPr>
        <w:rStyle w:val="SidhuvudUtskott"/>
      </w:rPr>
      <w:fldChar w:fldCharType="begin" w:fldLock="1"/>
    </w:r>
    <w:r w:rsidRPr="00321F58">
      <w:rPr>
        <w:rStyle w:val="SidhuvudUtskott"/>
      </w:rPr>
      <w:instrText xml:space="preserve"> DOCPROPERTY</w:instrText>
    </w:r>
    <w:r w:rsidRPr="00321F58">
      <w:instrText xml:space="preserve"> </w:instrText>
    </w:r>
    <w:r w:rsidRPr="00321F58">
      <w:rPr>
        <w:rStyle w:val="SidhuvudUtskott"/>
      </w:rPr>
      <w:instrText>Utskott</w:instrText>
    </w:r>
    <w:r w:rsidRPr="00321F58">
      <w:rPr>
        <w:rStyle w:val="SidhuvudUtskott"/>
      </w:rPr>
      <w:fldChar w:fldCharType="separate"/>
    </w:r>
    <w:r w:rsidRPr="00321F58">
      <w:rPr>
        <w:rStyle w:val="SidhuvudUtskott"/>
      </w:rPr>
      <w:t>JuU</w:t>
    </w:r>
    <w:r w:rsidRPr="00321F58">
      <w:rPr>
        <w:rStyle w:val="SidhuvudUtskott"/>
      </w:rPr>
      <w:fldChar w:fldCharType="end"/>
    </w:r>
    <w:r w:rsidRPr="00321F58">
      <w:rPr>
        <w:rStyle w:val="SidhuvudUtskott"/>
      </w:rPr>
      <w:fldChar w:fldCharType="begin" w:fldLock="1"/>
    </w:r>
    <w:r w:rsidRPr="00321F58">
      <w:rPr>
        <w:rStyle w:val="SidhuvudUtskott"/>
      </w:rPr>
      <w:instrText xml:space="preserve"> DOCPROPERTY Betä</w:instrText>
    </w:r>
    <w:r w:rsidRPr="00321F58">
      <w:rPr>
        <w:rStyle w:val="SidhuvudUtskott"/>
      </w:rPr>
      <w:instrText>n</w:instrText>
    </w:r>
    <w:r w:rsidRPr="00321F58">
      <w:rPr>
        <w:rStyle w:val="SidhuvudUtskott"/>
      </w:rPr>
      <w:instrText>kandeNr</w:instrText>
    </w:r>
    <w:r w:rsidRPr="00321F58">
      <w:rPr>
        <w:rStyle w:val="SidhuvudUtskott"/>
      </w:rPr>
      <w:fldChar w:fldCharType="separate"/>
    </w:r>
    <w:r w:rsidRPr="00321F58">
      <w:rPr>
        <w:rStyle w:val="SidhuvudUtskott"/>
      </w:rPr>
      <w:t>17</w:t>
    </w:r>
    <w:r w:rsidRPr="00321F58">
      <w:rPr>
        <w:rStyle w:val="SidhuvudUtskott"/>
      </w:rPr>
      <w:fldChar w:fldCharType="end"/>
    </w:r>
  </w:p>
  <w:p w:rsidR="00D70951" w:rsidRPr="00321F58" w:rsidRDefault="00D70951">
    <w:pPr>
      <w:pStyle w:val="SidhuvudKantUdda"/>
      <w:framePr w:w="8732" w:h="567" w:hRule="exact" w:vSpace="0" w:wrap="around" w:vAnchor="page" w:y="341" w:anchorLock="0"/>
    </w:pPr>
    <w:r w:rsidRPr="00321F58">
      <w:rPr>
        <w:rStyle w:val="SidhuvudUtskott"/>
      </w:rPr>
      <w:fldChar w:fldCharType="begin" w:fldLock="1"/>
    </w:r>
    <w:r w:rsidRPr="00321F58">
      <w:rPr>
        <w:rStyle w:val="SidhuvudUtskott"/>
      </w:rPr>
      <w:instrText xml:space="preserve"> if </w:instrText>
    </w:r>
    <w:r w:rsidRPr="00321F58">
      <w:rPr>
        <w:rStyle w:val="SidhuvudUtskott"/>
      </w:rPr>
      <w:fldChar w:fldCharType="begin" w:fldLock="1"/>
    </w:r>
    <w:r w:rsidRPr="00321F58">
      <w:rPr>
        <w:rStyle w:val="SidhuvudUtskott"/>
      </w:rPr>
      <w:instrText xml:space="preserve"> DOCPROPERTY "UtkastDatum"</w:instrText>
    </w:r>
    <w:r w:rsidRPr="00321F58">
      <w:rPr>
        <w:rStyle w:val="SidhuvudUtskott"/>
      </w:rPr>
      <w:fldChar w:fldCharType="separate"/>
    </w:r>
    <w:r w:rsidRPr="00321F58">
      <w:rPr>
        <w:rStyle w:val="SidhuvudUtskott"/>
      </w:rPr>
      <w:instrText>Nej</w:instrText>
    </w:r>
    <w:r w:rsidRPr="00321F58">
      <w:rPr>
        <w:rStyle w:val="SidhuvudUtskott"/>
      </w:rPr>
      <w:fldChar w:fldCharType="end"/>
    </w:r>
    <w:r w:rsidRPr="00321F58">
      <w:rPr>
        <w:rStyle w:val="SidhuvudUtskott"/>
      </w:rPr>
      <w:instrText xml:space="preserve"> = "Ja" "</w:instrText>
    </w:r>
    <w:r w:rsidRPr="00321F58">
      <w:rPr>
        <w:rStyle w:val="SidhuvudUtskott"/>
      </w:rPr>
      <w:fldChar w:fldCharType="begin" w:fldLock="1"/>
    </w:r>
    <w:r w:rsidRPr="00321F58">
      <w:rPr>
        <w:rStyle w:val="SidhuvudUtskott"/>
      </w:rPr>
      <w:instrText xml:space="preserve"> PRINTDATE \@ "yyyy-MM-dd HH.mm    " </w:instrText>
    </w:r>
    <w:r w:rsidRPr="00321F58">
      <w:rPr>
        <w:rStyle w:val="SidhuvudUtskott"/>
      </w:rPr>
      <w:fldChar w:fldCharType="separate"/>
    </w:r>
    <w:r w:rsidRPr="00321F58">
      <w:rPr>
        <w:rStyle w:val="SidhuvudUtskott"/>
      </w:rPr>
      <w:instrText>2000-08-11 16.42</w:instrText>
    </w:r>
    <w:r w:rsidRPr="00321F58">
      <w:rPr>
        <w:rStyle w:val="SidhuvudUtskott"/>
      </w:rPr>
      <w:fldChar w:fldCharType="end"/>
    </w:r>
    <w:r w:rsidRPr="00321F58">
      <w:rPr>
        <w:rStyle w:val="SidhuvudUtskott"/>
      </w:rPr>
      <w:instrText xml:space="preserve">" </w:instrText>
    </w:r>
    <w:r w:rsidRPr="00321F58">
      <w:rPr>
        <w:rStyle w:val="SidhuvudUtskott"/>
      </w:rPr>
      <w:fldChar w:fldCharType="end"/>
    </w:r>
    <w:r w:rsidRPr="00321F58">
      <w:rPr>
        <w:rStyle w:val="SidhuvudUtskott"/>
      </w:rPr>
      <w:fldChar w:fldCharType="begin" w:fldLock="1"/>
    </w:r>
    <w:r w:rsidRPr="00321F58">
      <w:rPr>
        <w:rStyle w:val="SidhuvudUtskott"/>
      </w:rPr>
      <w:instrText xml:space="preserve"> DOCPR</w:instrText>
    </w:r>
    <w:r w:rsidRPr="00321F58">
      <w:rPr>
        <w:rStyle w:val="SidhuvudUtskott"/>
      </w:rPr>
      <w:instrText>O</w:instrText>
    </w:r>
    <w:r w:rsidRPr="00321F58">
      <w:rPr>
        <w:rStyle w:val="SidhuvudUtskott"/>
      </w:rPr>
      <w:instrText>PERTY Status</w:instrText>
    </w:r>
    <w:r w:rsidRPr="00321F58">
      <w:rPr>
        <w:rStyle w:val="SidhuvudUtskott"/>
      </w:rPr>
      <w:fldChar w:fldCharType="end"/>
    </w:r>
  </w:p>
  <w:p w:rsidR="00D70951" w:rsidRPr="00321F58" w:rsidRDefault="00D7095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Udda"/>
      <w:framePr w:w="8732" w:h="567" w:hRule="exact" w:vSpace="0" w:wrap="around" w:vAnchor="page" w:y="341" w:anchorLock="0"/>
    </w:pPr>
    <w:r w:rsidRPr="00321F58">
      <w:rPr>
        <w:rStyle w:val="SidhuvudRubrikReferens"/>
      </w:rPr>
      <w:t>Regeringens lagförslag</w:t>
    </w:r>
    <w:r w:rsidRPr="00321F58">
      <w:rPr>
        <w:rStyle w:val="SidhuvudBilaga"/>
      </w:rPr>
      <w:t xml:space="preserve"> </w:t>
    </w:r>
    <w:r w:rsidRPr="00321F58">
      <w:t xml:space="preserve">     </w:t>
    </w:r>
    <w:r w:rsidRPr="00321F58">
      <w:rPr>
        <w:rStyle w:val="SidhuvudUtskott"/>
      </w:rPr>
      <w:t>2001/02:JuU17</w:t>
    </w:r>
  </w:p>
  <w:p w:rsidR="00D70951" w:rsidRPr="00321F58" w:rsidRDefault="00D70951">
    <w:pPr>
      <w:pStyle w:val="SidhuvudKantUdda"/>
      <w:framePr w:w="8732" w:h="567" w:hRule="exact" w:vSpace="0" w:wrap="around" w:vAnchor="page" w:y="341" w:anchorLock="0"/>
    </w:pPr>
  </w:p>
  <w:p w:rsidR="00D70951" w:rsidRPr="00321F58" w:rsidRDefault="00D7095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Jmn"/>
      <w:framePr w:w="8732" w:h="567" w:hRule="exact" w:vSpace="0" w:wrap="around" w:vAnchor="page" w:y="341" w:anchorLock="0"/>
    </w:pPr>
    <w:r w:rsidRPr="00321F58">
      <w:rPr>
        <w:rStyle w:val="SidhuvudUtskott"/>
      </w:rPr>
      <w:t>2001/02:JuU17</w:t>
    </w:r>
    <w:r w:rsidRPr="00321F58">
      <w:t xml:space="preserve">    </w:t>
    </w:r>
  </w:p>
  <w:p w:rsidR="00D70951" w:rsidRPr="00321F58" w:rsidRDefault="00D70951">
    <w:pPr>
      <w:pStyle w:val="SidhuvudKantJmn"/>
      <w:framePr w:w="8732" w:h="567" w:hRule="exact" w:vSpace="0" w:wrap="around" w:vAnchor="page" w:y="341" w:anchorLock="0"/>
    </w:pPr>
  </w:p>
  <w:p w:rsidR="00D70951" w:rsidRPr="00321F58" w:rsidRDefault="00D70951">
    <w:pPr>
      <w:pStyle w:val="SidhuvudKantUdda"/>
      <w:framePr w:w="8732" w:h="567" w:hRule="exact" w:vSpace="0" w:wrap="around" w:vAnchor="page" w:y="341" w:anchorLock="0"/>
    </w:pPr>
    <w:r w:rsidRPr="00321F58">
      <w:rPr>
        <w:rStyle w:val="SidhuvudRubrikReferens"/>
        <w:smallCaps w:val="0"/>
        <w:spacing w:val="0"/>
        <w:sz w:val="19"/>
      </w:rPr>
      <w:t xml:space="preserve"> </w:t>
    </w:r>
  </w:p>
  <w:p w:rsidR="00D70951" w:rsidRPr="00321F58" w:rsidRDefault="00D7095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Jmn"/>
      <w:framePr w:w="8732" w:h="567" w:hRule="exact" w:vSpace="0" w:wrap="around" w:vAnchor="page" w:y="341" w:anchorLock="0"/>
    </w:pPr>
    <w:r w:rsidRPr="00321F58">
      <w:rPr>
        <w:rStyle w:val="SidhuvudUtskott"/>
      </w:rPr>
      <w:fldChar w:fldCharType="begin" w:fldLock="1"/>
    </w:r>
    <w:r w:rsidRPr="00321F58">
      <w:rPr>
        <w:rStyle w:val="SidhuvudUtskott"/>
      </w:rPr>
      <w:instrText xml:space="preserve"> DOCPROPERTY BetänkandeÅr</w:instrText>
    </w:r>
    <w:r w:rsidRPr="00321F58">
      <w:rPr>
        <w:rStyle w:val="SidhuvudUtskott"/>
      </w:rPr>
      <w:fldChar w:fldCharType="separate"/>
    </w:r>
    <w:r w:rsidRPr="00321F58">
      <w:rPr>
        <w:rStyle w:val="SidhuvudUtskott"/>
      </w:rPr>
      <w:t>2001/02</w:t>
    </w:r>
    <w:r w:rsidRPr="00321F58">
      <w:rPr>
        <w:rStyle w:val="SidhuvudUtskott"/>
      </w:rPr>
      <w:fldChar w:fldCharType="end"/>
    </w:r>
    <w:r w:rsidRPr="00321F58">
      <w:rPr>
        <w:rStyle w:val="SidhuvudUtskott"/>
      </w:rPr>
      <w:t>:</w:t>
    </w:r>
    <w:r w:rsidRPr="00321F58">
      <w:rPr>
        <w:rStyle w:val="SidhuvudUtskott"/>
      </w:rPr>
      <w:fldChar w:fldCharType="begin" w:fldLock="1"/>
    </w:r>
    <w:r w:rsidRPr="00321F58">
      <w:rPr>
        <w:rStyle w:val="SidhuvudUtskott"/>
      </w:rPr>
      <w:instrText xml:space="preserve"> DOCPROPERTY Utskott</w:instrText>
    </w:r>
    <w:r w:rsidRPr="00321F58">
      <w:rPr>
        <w:rStyle w:val="SidhuvudUtskott"/>
      </w:rPr>
      <w:fldChar w:fldCharType="separate"/>
    </w:r>
    <w:r w:rsidRPr="00321F58">
      <w:rPr>
        <w:rStyle w:val="SidhuvudUtskott"/>
      </w:rPr>
      <w:t>JuU</w:t>
    </w:r>
    <w:r w:rsidRPr="00321F58">
      <w:rPr>
        <w:rStyle w:val="SidhuvudUtskott"/>
      </w:rPr>
      <w:fldChar w:fldCharType="end"/>
    </w:r>
    <w:r w:rsidRPr="00321F58">
      <w:rPr>
        <w:rStyle w:val="SidhuvudUtskott"/>
      </w:rPr>
      <w:fldChar w:fldCharType="begin" w:fldLock="1"/>
    </w:r>
    <w:r w:rsidRPr="00321F58">
      <w:rPr>
        <w:rStyle w:val="SidhuvudUtskott"/>
      </w:rPr>
      <w:instrText xml:space="preserve"> DOCPROPERTY BetänkandeNr</w:instrText>
    </w:r>
    <w:r w:rsidRPr="00321F58">
      <w:rPr>
        <w:rStyle w:val="SidhuvudUtskott"/>
      </w:rPr>
      <w:fldChar w:fldCharType="separate"/>
    </w:r>
    <w:r w:rsidRPr="00321F58">
      <w:rPr>
        <w:rStyle w:val="SidhuvudUtskott"/>
      </w:rPr>
      <w:t>17</w:t>
    </w:r>
    <w:r w:rsidRPr="00321F58">
      <w:rPr>
        <w:rStyle w:val="SidhuvudUtskott"/>
      </w:rPr>
      <w:fldChar w:fldCharType="end"/>
    </w:r>
    <w:r w:rsidRPr="00321F58">
      <w:t xml:space="preserve">     </w:t>
    </w:r>
    <w:r w:rsidRPr="00321F58">
      <w:rPr>
        <w:rStyle w:val="SidhuvudBilaga"/>
      </w:rPr>
      <w:t xml:space="preserve"> </w:t>
    </w:r>
    <w:r w:rsidRPr="00321F58">
      <w:rPr>
        <w:rStyle w:val="SidhuvudRubrikReferens"/>
      </w:rPr>
      <w:fldChar w:fldCharType="begin" w:fldLock="1"/>
    </w:r>
    <w:r w:rsidRPr="00321F58">
      <w:rPr>
        <w:rStyle w:val="SidhuvudRubrikReferens"/>
      </w:rPr>
      <w:instrText xml:space="preserve"> StyleREF "Rubrik 1" </w:instrText>
    </w:r>
    <w:r w:rsidRPr="00321F58">
      <w:rPr>
        <w:rStyle w:val="SidhuvudRubrikReferens"/>
      </w:rPr>
      <w:fldChar w:fldCharType="separate"/>
    </w:r>
    <w:r w:rsidRPr="00321F58">
      <w:rPr>
        <w:rStyle w:val="SidhuvudRubrikReferens"/>
      </w:rPr>
      <w:t>Regeringens lagförslag</w:t>
    </w:r>
    <w:r w:rsidRPr="00321F58">
      <w:rPr>
        <w:rStyle w:val="SidhuvudRubrikReferens"/>
      </w:rPr>
      <w:fldChar w:fldCharType="end"/>
    </w:r>
  </w:p>
  <w:p w:rsidR="00D70951" w:rsidRPr="00321F58" w:rsidRDefault="00D70951">
    <w:pPr>
      <w:pStyle w:val="SidhuvudKantJmn"/>
      <w:framePr w:w="8732" w:h="567" w:hRule="exact" w:vSpace="0" w:wrap="around" w:vAnchor="page" w:y="341" w:anchorLock="0"/>
    </w:pPr>
    <w:r w:rsidRPr="00321F58">
      <w:rPr>
        <w:rStyle w:val="SidhuvudUtskott"/>
      </w:rPr>
      <w:fldChar w:fldCharType="begin" w:fldLock="1"/>
    </w:r>
    <w:r w:rsidRPr="00321F58">
      <w:rPr>
        <w:rStyle w:val="SidhuvudUtskott"/>
      </w:rPr>
      <w:instrText xml:space="preserve"> DOCPROPERTY Status</w:instrText>
    </w:r>
    <w:r w:rsidRPr="00321F58">
      <w:rPr>
        <w:rStyle w:val="SidhuvudUtskott"/>
      </w:rPr>
      <w:fldChar w:fldCharType="end"/>
    </w:r>
    <w:r w:rsidRPr="00321F58">
      <w:rPr>
        <w:rStyle w:val="SidhuvudUtskott"/>
      </w:rPr>
      <w:fldChar w:fldCharType="begin" w:fldLock="1"/>
    </w:r>
    <w:r w:rsidRPr="00321F58">
      <w:rPr>
        <w:rStyle w:val="SidhuvudUtskott"/>
      </w:rPr>
      <w:instrText xml:space="preserve"> if </w:instrText>
    </w:r>
    <w:r w:rsidRPr="00321F58">
      <w:rPr>
        <w:rStyle w:val="SidhuvudUtskott"/>
      </w:rPr>
      <w:fldChar w:fldCharType="begin" w:fldLock="1"/>
    </w:r>
    <w:r w:rsidRPr="00321F58">
      <w:rPr>
        <w:rStyle w:val="SidhuvudUtskott"/>
      </w:rPr>
      <w:instrText xml:space="preserve"> DOCPROPERTY "UtkastDatum"</w:instrText>
    </w:r>
    <w:r w:rsidRPr="00321F58">
      <w:rPr>
        <w:rStyle w:val="SidhuvudUtskott"/>
      </w:rPr>
      <w:fldChar w:fldCharType="separate"/>
    </w:r>
    <w:r w:rsidRPr="00321F58">
      <w:rPr>
        <w:rStyle w:val="SidhuvudUtskott"/>
      </w:rPr>
      <w:instrText>Nej</w:instrText>
    </w:r>
    <w:r w:rsidRPr="00321F58">
      <w:rPr>
        <w:rStyle w:val="SidhuvudUtskott"/>
      </w:rPr>
      <w:fldChar w:fldCharType="end"/>
    </w:r>
    <w:r w:rsidRPr="00321F58">
      <w:rPr>
        <w:rStyle w:val="SidhuvudUtskott"/>
      </w:rPr>
      <w:instrText xml:space="preserve"> = "Ja" "    </w:instrText>
    </w:r>
    <w:r w:rsidRPr="00321F58">
      <w:rPr>
        <w:rStyle w:val="SidhuvudUtskott"/>
      </w:rPr>
      <w:fldChar w:fldCharType="begin" w:fldLock="1"/>
    </w:r>
    <w:r w:rsidRPr="00321F58">
      <w:rPr>
        <w:rStyle w:val="SidhuvudUtskott"/>
      </w:rPr>
      <w:instrText xml:space="preserve"> PRINTDATE \@ "yyyy-MM-dd HH.mm" </w:instrText>
    </w:r>
    <w:r w:rsidRPr="00321F58">
      <w:rPr>
        <w:rStyle w:val="SidhuvudUtskott"/>
      </w:rPr>
      <w:fldChar w:fldCharType="separate"/>
    </w:r>
    <w:r w:rsidRPr="00321F58">
      <w:rPr>
        <w:rStyle w:val="SidhuvudUtskott"/>
      </w:rPr>
      <w:instrText>2000-08-11 16.42</w:instrText>
    </w:r>
    <w:r w:rsidRPr="00321F58">
      <w:rPr>
        <w:rStyle w:val="SidhuvudUtskott"/>
      </w:rPr>
      <w:fldChar w:fldCharType="end"/>
    </w:r>
    <w:r w:rsidRPr="00321F58">
      <w:rPr>
        <w:rStyle w:val="SidhuvudUtskott"/>
      </w:rPr>
      <w:instrText xml:space="preserve">" </w:instrText>
    </w:r>
    <w:r w:rsidRPr="00321F58">
      <w:rPr>
        <w:rStyle w:val="SidhuvudUtskott"/>
      </w:rPr>
      <w:fldChar w:fldCharType="end"/>
    </w:r>
  </w:p>
  <w:p w:rsidR="00D70951" w:rsidRPr="00321F58" w:rsidRDefault="00D7095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Udda"/>
      <w:framePr w:w="8732" w:h="567" w:hRule="exact" w:vSpace="0" w:wrap="around" w:vAnchor="page" w:y="341" w:anchorLock="0"/>
    </w:pPr>
    <w:r w:rsidRPr="00321F58">
      <w:rPr>
        <w:rStyle w:val="SidhuvudRubrikReferens"/>
      </w:rPr>
      <w:fldChar w:fldCharType="begin" w:fldLock="1"/>
    </w:r>
    <w:r w:rsidRPr="00321F58">
      <w:rPr>
        <w:rStyle w:val="SidhuvudRubrikReferens"/>
      </w:rPr>
      <w:instrText xml:space="preserve"> StyleREF "Rubrik 1" </w:instrText>
    </w:r>
    <w:r w:rsidRPr="00321F58">
      <w:rPr>
        <w:rStyle w:val="SidhuvudRubrikReferens"/>
      </w:rPr>
      <w:fldChar w:fldCharType="separate"/>
    </w:r>
    <w:r w:rsidRPr="00321F58">
      <w:rPr>
        <w:rStyle w:val="SidhuvudRubrikReferens"/>
      </w:rPr>
      <w:t>Regeringens lagförslag</w:t>
    </w:r>
    <w:r w:rsidRPr="00321F58">
      <w:rPr>
        <w:rStyle w:val="SidhuvudRubrikReferens"/>
      </w:rPr>
      <w:fldChar w:fldCharType="end"/>
    </w:r>
    <w:r w:rsidRPr="00321F58">
      <w:rPr>
        <w:rStyle w:val="SidhuvudBilaga"/>
      </w:rPr>
      <w:t xml:space="preserve"> </w:t>
    </w:r>
    <w:r w:rsidRPr="00321F58">
      <w:t xml:space="preserve">     </w:t>
    </w:r>
    <w:r w:rsidRPr="00321F58">
      <w:rPr>
        <w:rStyle w:val="SidhuvudUtskott"/>
      </w:rPr>
      <w:fldChar w:fldCharType="begin" w:fldLock="1"/>
    </w:r>
    <w:r w:rsidRPr="00321F58">
      <w:rPr>
        <w:rStyle w:val="SidhuvudUtskott"/>
      </w:rPr>
      <w:instrText xml:space="preserve"> DOCPROPERTY BetänkandeÅr</w:instrText>
    </w:r>
    <w:r w:rsidRPr="00321F58">
      <w:rPr>
        <w:rStyle w:val="SidhuvudUtskott"/>
      </w:rPr>
      <w:fldChar w:fldCharType="separate"/>
    </w:r>
    <w:r w:rsidRPr="00321F58">
      <w:rPr>
        <w:rStyle w:val="SidhuvudUtskott"/>
      </w:rPr>
      <w:t>2001/02</w:t>
    </w:r>
    <w:r w:rsidRPr="00321F58">
      <w:rPr>
        <w:rStyle w:val="SidhuvudUtskott"/>
      </w:rPr>
      <w:fldChar w:fldCharType="end"/>
    </w:r>
    <w:r w:rsidRPr="00321F58">
      <w:rPr>
        <w:rStyle w:val="SidhuvudUtskott"/>
      </w:rPr>
      <w:t>:</w:t>
    </w:r>
    <w:r w:rsidRPr="00321F58">
      <w:rPr>
        <w:rStyle w:val="SidhuvudUtskott"/>
      </w:rPr>
      <w:fldChar w:fldCharType="begin" w:fldLock="1"/>
    </w:r>
    <w:r w:rsidRPr="00321F58">
      <w:rPr>
        <w:rStyle w:val="SidhuvudUtskott"/>
      </w:rPr>
      <w:instrText xml:space="preserve"> DOCPROPERTY</w:instrText>
    </w:r>
    <w:r w:rsidRPr="00321F58">
      <w:instrText xml:space="preserve"> </w:instrText>
    </w:r>
    <w:r w:rsidRPr="00321F58">
      <w:rPr>
        <w:rStyle w:val="SidhuvudUtskott"/>
      </w:rPr>
      <w:instrText>Utskott</w:instrText>
    </w:r>
    <w:r w:rsidRPr="00321F58">
      <w:rPr>
        <w:rStyle w:val="SidhuvudUtskott"/>
      </w:rPr>
      <w:fldChar w:fldCharType="separate"/>
    </w:r>
    <w:r w:rsidRPr="00321F58">
      <w:rPr>
        <w:rStyle w:val="SidhuvudUtskott"/>
      </w:rPr>
      <w:t>JuU</w:t>
    </w:r>
    <w:r w:rsidRPr="00321F58">
      <w:rPr>
        <w:rStyle w:val="SidhuvudUtskott"/>
      </w:rPr>
      <w:fldChar w:fldCharType="end"/>
    </w:r>
    <w:r w:rsidRPr="00321F58">
      <w:rPr>
        <w:rStyle w:val="SidhuvudUtskott"/>
      </w:rPr>
      <w:fldChar w:fldCharType="begin" w:fldLock="1"/>
    </w:r>
    <w:r w:rsidRPr="00321F58">
      <w:rPr>
        <w:rStyle w:val="SidhuvudUtskott"/>
      </w:rPr>
      <w:instrText xml:space="preserve"> DOCPROPERTY Betä</w:instrText>
    </w:r>
    <w:r w:rsidRPr="00321F58">
      <w:rPr>
        <w:rStyle w:val="SidhuvudUtskott"/>
      </w:rPr>
      <w:instrText>n</w:instrText>
    </w:r>
    <w:r w:rsidRPr="00321F58">
      <w:rPr>
        <w:rStyle w:val="SidhuvudUtskott"/>
      </w:rPr>
      <w:instrText>kandeNr</w:instrText>
    </w:r>
    <w:r w:rsidRPr="00321F58">
      <w:rPr>
        <w:rStyle w:val="SidhuvudUtskott"/>
      </w:rPr>
      <w:fldChar w:fldCharType="separate"/>
    </w:r>
    <w:r w:rsidRPr="00321F58">
      <w:rPr>
        <w:rStyle w:val="SidhuvudUtskott"/>
      </w:rPr>
      <w:t>17</w:t>
    </w:r>
    <w:r w:rsidRPr="00321F58">
      <w:rPr>
        <w:rStyle w:val="SidhuvudUtskott"/>
      </w:rPr>
      <w:fldChar w:fldCharType="end"/>
    </w:r>
  </w:p>
  <w:p w:rsidR="00D70951" w:rsidRPr="00321F58" w:rsidRDefault="00D70951">
    <w:pPr>
      <w:pStyle w:val="SidhuvudKantUdda"/>
      <w:framePr w:w="8732" w:h="567" w:hRule="exact" w:vSpace="0" w:wrap="around" w:vAnchor="page" w:y="341" w:anchorLock="0"/>
    </w:pPr>
    <w:r w:rsidRPr="00321F58">
      <w:rPr>
        <w:rStyle w:val="SidhuvudUtskott"/>
      </w:rPr>
      <w:fldChar w:fldCharType="begin" w:fldLock="1"/>
    </w:r>
    <w:r w:rsidRPr="00321F58">
      <w:rPr>
        <w:rStyle w:val="SidhuvudUtskott"/>
      </w:rPr>
      <w:instrText xml:space="preserve"> if </w:instrText>
    </w:r>
    <w:r w:rsidRPr="00321F58">
      <w:rPr>
        <w:rStyle w:val="SidhuvudUtskott"/>
      </w:rPr>
      <w:fldChar w:fldCharType="begin" w:fldLock="1"/>
    </w:r>
    <w:r w:rsidRPr="00321F58">
      <w:rPr>
        <w:rStyle w:val="SidhuvudUtskott"/>
      </w:rPr>
      <w:instrText xml:space="preserve"> DOCPROPERTY "UtkastDatum"</w:instrText>
    </w:r>
    <w:r w:rsidRPr="00321F58">
      <w:rPr>
        <w:rStyle w:val="SidhuvudUtskott"/>
      </w:rPr>
      <w:fldChar w:fldCharType="separate"/>
    </w:r>
    <w:r w:rsidRPr="00321F58">
      <w:rPr>
        <w:rStyle w:val="SidhuvudUtskott"/>
      </w:rPr>
      <w:instrText>Nej</w:instrText>
    </w:r>
    <w:r w:rsidRPr="00321F58">
      <w:rPr>
        <w:rStyle w:val="SidhuvudUtskott"/>
      </w:rPr>
      <w:fldChar w:fldCharType="end"/>
    </w:r>
    <w:r w:rsidRPr="00321F58">
      <w:rPr>
        <w:rStyle w:val="SidhuvudUtskott"/>
      </w:rPr>
      <w:instrText xml:space="preserve"> = "Ja" "</w:instrText>
    </w:r>
    <w:r w:rsidRPr="00321F58">
      <w:rPr>
        <w:rStyle w:val="SidhuvudUtskott"/>
      </w:rPr>
      <w:fldChar w:fldCharType="begin" w:fldLock="1"/>
    </w:r>
    <w:r w:rsidRPr="00321F58">
      <w:rPr>
        <w:rStyle w:val="SidhuvudUtskott"/>
      </w:rPr>
      <w:instrText xml:space="preserve"> PRINTDATE \@ "yyyy-MM-dd HH.mm    " </w:instrText>
    </w:r>
    <w:r w:rsidRPr="00321F58">
      <w:rPr>
        <w:rStyle w:val="SidhuvudUtskott"/>
      </w:rPr>
      <w:fldChar w:fldCharType="separate"/>
    </w:r>
    <w:r w:rsidRPr="00321F58">
      <w:rPr>
        <w:rStyle w:val="SidhuvudUtskott"/>
      </w:rPr>
      <w:instrText>2000-08-11 16.42</w:instrText>
    </w:r>
    <w:r w:rsidRPr="00321F58">
      <w:rPr>
        <w:rStyle w:val="SidhuvudUtskott"/>
      </w:rPr>
      <w:fldChar w:fldCharType="end"/>
    </w:r>
    <w:r w:rsidRPr="00321F58">
      <w:rPr>
        <w:rStyle w:val="SidhuvudUtskott"/>
      </w:rPr>
      <w:instrText xml:space="preserve">" </w:instrText>
    </w:r>
    <w:r w:rsidRPr="00321F58">
      <w:rPr>
        <w:rStyle w:val="SidhuvudUtskott"/>
      </w:rPr>
      <w:fldChar w:fldCharType="end"/>
    </w:r>
    <w:r w:rsidRPr="00321F58">
      <w:rPr>
        <w:rStyle w:val="SidhuvudUtskott"/>
      </w:rPr>
      <w:fldChar w:fldCharType="begin" w:fldLock="1"/>
    </w:r>
    <w:r w:rsidRPr="00321F58">
      <w:rPr>
        <w:rStyle w:val="SidhuvudUtskott"/>
      </w:rPr>
      <w:instrText xml:space="preserve"> DOCPR</w:instrText>
    </w:r>
    <w:r w:rsidRPr="00321F58">
      <w:rPr>
        <w:rStyle w:val="SidhuvudUtskott"/>
      </w:rPr>
      <w:instrText>O</w:instrText>
    </w:r>
    <w:r w:rsidRPr="00321F58">
      <w:rPr>
        <w:rStyle w:val="SidhuvudUtskott"/>
      </w:rPr>
      <w:instrText>PERTY Status</w:instrText>
    </w:r>
    <w:r w:rsidRPr="00321F58">
      <w:rPr>
        <w:rStyle w:val="SidhuvudUtskott"/>
      </w:rPr>
      <w:fldChar w:fldCharType="end"/>
    </w:r>
  </w:p>
  <w:p w:rsidR="00D70951" w:rsidRPr="00321F58" w:rsidRDefault="00D7095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Udda"/>
      <w:framePr w:w="8732" w:h="567" w:hRule="exact" w:vSpace="0" w:wrap="around" w:vAnchor="page" w:y="341" w:anchorLock="0"/>
    </w:pPr>
    <w:r w:rsidRPr="00321F58">
      <w:t xml:space="preserve">  </w:t>
    </w:r>
    <w:r w:rsidRPr="00321F58">
      <w:rPr>
        <w:rStyle w:val="SidhuvudUtskott"/>
      </w:rPr>
      <w:t>2001/02:JuU17</w:t>
    </w:r>
  </w:p>
  <w:p w:rsidR="00D70951" w:rsidRPr="00321F58" w:rsidRDefault="00D70951">
    <w:pPr>
      <w:pStyle w:val="SidhuvudKantUdda"/>
      <w:framePr w:w="8732" w:h="567" w:hRule="exact" w:vSpace="0" w:wrap="around" w:vAnchor="page" w:y="341" w:anchorLock="0"/>
    </w:pPr>
  </w:p>
  <w:p w:rsidR="00D70951" w:rsidRPr="00321F58" w:rsidRDefault="00D7095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Udda"/>
      <w:framePr w:w="8732" w:h="567" w:hRule="exact" w:vSpace="0" w:wrap="around" w:vAnchor="page" w:y="341" w:anchorLock="0"/>
    </w:pPr>
    <w:r w:rsidRPr="00321F58">
      <w:t xml:space="preserve"> </w:t>
    </w:r>
  </w:p>
  <w:p w:rsidR="00D70951" w:rsidRPr="00321F58" w:rsidRDefault="00D7095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Jmn"/>
      <w:framePr w:w="8732" w:h="567" w:hRule="exact" w:vSpace="0" w:wrap="around" w:vAnchor="page" w:y="341" w:anchorLock="0"/>
    </w:pPr>
    <w:r w:rsidRPr="00321F58">
      <w:rPr>
        <w:rStyle w:val="SidhuvudUtskott"/>
      </w:rPr>
      <w:fldChar w:fldCharType="begin" w:fldLock="1"/>
    </w:r>
    <w:r w:rsidRPr="00321F58">
      <w:rPr>
        <w:rStyle w:val="SidhuvudUtskott"/>
      </w:rPr>
      <w:instrText xml:space="preserve"> DOCPROPERTY BetänkandeÅr</w:instrText>
    </w:r>
    <w:r w:rsidRPr="00321F58">
      <w:rPr>
        <w:rStyle w:val="SidhuvudUtskott"/>
      </w:rPr>
      <w:fldChar w:fldCharType="separate"/>
    </w:r>
    <w:r w:rsidRPr="00321F58">
      <w:rPr>
        <w:rStyle w:val="SidhuvudUtskott"/>
      </w:rPr>
      <w:t>2001/02</w:t>
    </w:r>
    <w:r w:rsidRPr="00321F58">
      <w:rPr>
        <w:rStyle w:val="SidhuvudUtskott"/>
      </w:rPr>
      <w:fldChar w:fldCharType="end"/>
    </w:r>
    <w:r w:rsidRPr="00321F58">
      <w:rPr>
        <w:rStyle w:val="SidhuvudUtskott"/>
      </w:rPr>
      <w:t>:</w:t>
    </w:r>
    <w:r w:rsidRPr="00321F58">
      <w:rPr>
        <w:rStyle w:val="SidhuvudUtskott"/>
      </w:rPr>
      <w:fldChar w:fldCharType="begin" w:fldLock="1"/>
    </w:r>
    <w:r w:rsidRPr="00321F58">
      <w:rPr>
        <w:rStyle w:val="SidhuvudUtskott"/>
      </w:rPr>
      <w:instrText xml:space="preserve"> DOCPROPERTY Utskott</w:instrText>
    </w:r>
    <w:r w:rsidRPr="00321F58">
      <w:rPr>
        <w:rStyle w:val="SidhuvudUtskott"/>
      </w:rPr>
      <w:fldChar w:fldCharType="separate"/>
    </w:r>
    <w:r w:rsidRPr="00321F58">
      <w:rPr>
        <w:rStyle w:val="SidhuvudUtskott"/>
      </w:rPr>
      <w:t>JuU</w:t>
    </w:r>
    <w:r w:rsidRPr="00321F58">
      <w:rPr>
        <w:rStyle w:val="SidhuvudUtskott"/>
      </w:rPr>
      <w:fldChar w:fldCharType="end"/>
    </w:r>
    <w:r w:rsidRPr="00321F58">
      <w:rPr>
        <w:rStyle w:val="SidhuvudUtskott"/>
      </w:rPr>
      <w:fldChar w:fldCharType="begin" w:fldLock="1"/>
    </w:r>
    <w:r w:rsidRPr="00321F58">
      <w:rPr>
        <w:rStyle w:val="SidhuvudUtskott"/>
      </w:rPr>
      <w:instrText xml:space="preserve"> DOCPROPERTY BetänkandeNr</w:instrText>
    </w:r>
    <w:r w:rsidRPr="00321F58">
      <w:rPr>
        <w:rStyle w:val="SidhuvudUtskott"/>
      </w:rPr>
      <w:fldChar w:fldCharType="separate"/>
    </w:r>
    <w:r w:rsidRPr="00321F58">
      <w:rPr>
        <w:rStyle w:val="SidhuvudUtskott"/>
      </w:rPr>
      <w:t>17</w:t>
    </w:r>
    <w:r w:rsidRPr="00321F58">
      <w:rPr>
        <w:rStyle w:val="SidhuvudUtskott"/>
      </w:rPr>
      <w:fldChar w:fldCharType="end"/>
    </w:r>
    <w:r w:rsidRPr="00321F58">
      <w:t xml:space="preserve">     </w:t>
    </w:r>
    <w:r w:rsidRPr="00321F58">
      <w:rPr>
        <w:rStyle w:val="SidhuvudBilaga"/>
      </w:rPr>
      <w:t xml:space="preserve"> </w:t>
    </w:r>
    <w:r w:rsidRPr="00321F58">
      <w:rPr>
        <w:rStyle w:val="SidhuvudRubrikReferens"/>
      </w:rPr>
      <w:fldChar w:fldCharType="begin" w:fldLock="1"/>
    </w:r>
    <w:r w:rsidRPr="00321F58">
      <w:rPr>
        <w:rStyle w:val="SidhuvudRubrikReferens"/>
      </w:rPr>
      <w:instrText xml:space="preserve"> StyleREF "Rubrik 1" </w:instrText>
    </w:r>
    <w:r w:rsidRPr="00321F58">
      <w:rPr>
        <w:rStyle w:val="SidhuvudRubrikReferens"/>
      </w:rPr>
      <w:fldChar w:fldCharType="separate"/>
    </w:r>
    <w:r w:rsidRPr="00321F58">
      <w:rPr>
        <w:rStyle w:val="SidhuvudRubrikReferens"/>
      </w:rPr>
      <w:t>Sammanfattning</w:t>
    </w:r>
    <w:r w:rsidRPr="00321F58">
      <w:rPr>
        <w:rStyle w:val="SidhuvudRubrikReferens"/>
      </w:rPr>
      <w:fldChar w:fldCharType="end"/>
    </w:r>
  </w:p>
  <w:p w:rsidR="00D70951" w:rsidRPr="00321F58" w:rsidRDefault="00D70951">
    <w:pPr>
      <w:pStyle w:val="SidhuvudKantJmn"/>
      <w:framePr w:w="8732" w:h="567" w:hRule="exact" w:vSpace="0" w:wrap="around" w:vAnchor="page" w:y="341" w:anchorLock="0"/>
    </w:pPr>
    <w:r w:rsidRPr="00321F58">
      <w:rPr>
        <w:rStyle w:val="SidhuvudUtskott"/>
      </w:rPr>
      <w:fldChar w:fldCharType="begin" w:fldLock="1"/>
    </w:r>
    <w:r w:rsidRPr="00321F58">
      <w:rPr>
        <w:rStyle w:val="SidhuvudUtskott"/>
      </w:rPr>
      <w:instrText xml:space="preserve"> DOCPROPERTY Status</w:instrText>
    </w:r>
    <w:r w:rsidRPr="00321F58">
      <w:rPr>
        <w:rStyle w:val="SidhuvudUtskott"/>
      </w:rPr>
      <w:fldChar w:fldCharType="end"/>
    </w:r>
    <w:r w:rsidRPr="00321F58">
      <w:rPr>
        <w:rStyle w:val="SidhuvudUtskott"/>
      </w:rPr>
      <w:fldChar w:fldCharType="begin" w:fldLock="1"/>
    </w:r>
    <w:r w:rsidRPr="00321F58">
      <w:rPr>
        <w:rStyle w:val="SidhuvudUtskott"/>
      </w:rPr>
      <w:instrText xml:space="preserve"> if </w:instrText>
    </w:r>
    <w:r w:rsidRPr="00321F58">
      <w:rPr>
        <w:rStyle w:val="SidhuvudUtskott"/>
      </w:rPr>
      <w:fldChar w:fldCharType="begin" w:fldLock="1"/>
    </w:r>
    <w:r w:rsidRPr="00321F58">
      <w:rPr>
        <w:rStyle w:val="SidhuvudUtskott"/>
      </w:rPr>
      <w:instrText xml:space="preserve"> DOCPROPERTY "UtkastDatum"</w:instrText>
    </w:r>
    <w:r w:rsidRPr="00321F58">
      <w:rPr>
        <w:rStyle w:val="SidhuvudUtskott"/>
      </w:rPr>
      <w:fldChar w:fldCharType="separate"/>
    </w:r>
    <w:r w:rsidRPr="00321F58">
      <w:rPr>
        <w:rStyle w:val="SidhuvudUtskott"/>
      </w:rPr>
      <w:instrText>Nej</w:instrText>
    </w:r>
    <w:r w:rsidRPr="00321F58">
      <w:rPr>
        <w:rStyle w:val="SidhuvudUtskott"/>
      </w:rPr>
      <w:fldChar w:fldCharType="end"/>
    </w:r>
    <w:r w:rsidRPr="00321F58">
      <w:rPr>
        <w:rStyle w:val="SidhuvudUtskott"/>
      </w:rPr>
      <w:instrText xml:space="preserve"> = "Ja" "    </w:instrText>
    </w:r>
    <w:r w:rsidRPr="00321F58">
      <w:rPr>
        <w:rStyle w:val="SidhuvudUtskott"/>
      </w:rPr>
      <w:fldChar w:fldCharType="begin" w:fldLock="1"/>
    </w:r>
    <w:r w:rsidRPr="00321F58">
      <w:rPr>
        <w:rStyle w:val="SidhuvudUtskott"/>
      </w:rPr>
      <w:instrText xml:space="preserve"> PRINTDATE \@ "yyyy-MM-dd HH.mm" </w:instrText>
    </w:r>
    <w:r w:rsidRPr="00321F58">
      <w:rPr>
        <w:rStyle w:val="SidhuvudUtskott"/>
      </w:rPr>
      <w:fldChar w:fldCharType="separate"/>
    </w:r>
    <w:r w:rsidRPr="00321F58">
      <w:rPr>
        <w:rStyle w:val="SidhuvudUtskott"/>
      </w:rPr>
      <w:instrText>2000-08-11 16.42</w:instrText>
    </w:r>
    <w:r w:rsidRPr="00321F58">
      <w:rPr>
        <w:rStyle w:val="SidhuvudUtskott"/>
      </w:rPr>
      <w:fldChar w:fldCharType="end"/>
    </w:r>
    <w:r w:rsidRPr="00321F58">
      <w:rPr>
        <w:rStyle w:val="SidhuvudUtskott"/>
      </w:rPr>
      <w:instrText xml:space="preserve">" </w:instrText>
    </w:r>
    <w:r w:rsidRPr="00321F58">
      <w:rPr>
        <w:rStyle w:val="SidhuvudUtskott"/>
      </w:rPr>
      <w:fldChar w:fldCharType="end"/>
    </w:r>
  </w:p>
  <w:p w:rsidR="00D70951" w:rsidRPr="00321F58" w:rsidRDefault="00D7095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Udda"/>
      <w:framePr w:w="8732" w:h="567" w:hRule="exact" w:vSpace="0" w:wrap="around" w:vAnchor="page" w:y="341" w:anchorLock="0"/>
    </w:pPr>
    <w:r w:rsidRPr="00321F58">
      <w:rPr>
        <w:rStyle w:val="SidhuvudRubrikReferens"/>
      </w:rPr>
      <w:fldChar w:fldCharType="begin" w:fldLock="1"/>
    </w:r>
    <w:r w:rsidRPr="00321F58">
      <w:rPr>
        <w:rStyle w:val="SidhuvudRubrikReferens"/>
      </w:rPr>
      <w:instrText xml:space="preserve"> StyleREF "Rubrik 1" </w:instrText>
    </w:r>
    <w:r w:rsidRPr="00321F58">
      <w:rPr>
        <w:rStyle w:val="SidhuvudRubrikReferens"/>
      </w:rPr>
      <w:fldChar w:fldCharType="separate"/>
    </w:r>
    <w:r w:rsidRPr="00321F58">
      <w:rPr>
        <w:rStyle w:val="SidhuvudRubrikReferens"/>
      </w:rPr>
      <w:t>Sammanfattning</w:t>
    </w:r>
    <w:r w:rsidRPr="00321F58">
      <w:rPr>
        <w:rStyle w:val="SidhuvudRubrikReferens"/>
      </w:rPr>
      <w:fldChar w:fldCharType="end"/>
    </w:r>
    <w:r w:rsidRPr="00321F58">
      <w:rPr>
        <w:rStyle w:val="SidhuvudBilaga"/>
      </w:rPr>
      <w:t xml:space="preserve"> </w:t>
    </w:r>
    <w:r w:rsidRPr="00321F58">
      <w:t xml:space="preserve">     </w:t>
    </w:r>
    <w:r w:rsidRPr="00321F58">
      <w:rPr>
        <w:rStyle w:val="SidhuvudUtskott"/>
      </w:rPr>
      <w:fldChar w:fldCharType="begin" w:fldLock="1"/>
    </w:r>
    <w:r w:rsidRPr="00321F58">
      <w:rPr>
        <w:rStyle w:val="SidhuvudUtskott"/>
      </w:rPr>
      <w:instrText xml:space="preserve"> DOCPROPERTY BetänkandeÅr</w:instrText>
    </w:r>
    <w:r w:rsidRPr="00321F58">
      <w:rPr>
        <w:rStyle w:val="SidhuvudUtskott"/>
      </w:rPr>
      <w:fldChar w:fldCharType="separate"/>
    </w:r>
    <w:r w:rsidRPr="00321F58">
      <w:rPr>
        <w:rStyle w:val="SidhuvudUtskott"/>
      </w:rPr>
      <w:t>2001/02</w:t>
    </w:r>
    <w:r w:rsidRPr="00321F58">
      <w:rPr>
        <w:rStyle w:val="SidhuvudUtskott"/>
      </w:rPr>
      <w:fldChar w:fldCharType="end"/>
    </w:r>
    <w:r w:rsidRPr="00321F58">
      <w:rPr>
        <w:rStyle w:val="SidhuvudUtskott"/>
      </w:rPr>
      <w:t>:</w:t>
    </w:r>
    <w:r w:rsidRPr="00321F58">
      <w:rPr>
        <w:rStyle w:val="SidhuvudUtskott"/>
      </w:rPr>
      <w:fldChar w:fldCharType="begin" w:fldLock="1"/>
    </w:r>
    <w:r w:rsidRPr="00321F58">
      <w:rPr>
        <w:rStyle w:val="SidhuvudUtskott"/>
      </w:rPr>
      <w:instrText xml:space="preserve"> DOCPROPERTY</w:instrText>
    </w:r>
    <w:r w:rsidRPr="00321F58">
      <w:instrText xml:space="preserve"> </w:instrText>
    </w:r>
    <w:r w:rsidRPr="00321F58">
      <w:rPr>
        <w:rStyle w:val="SidhuvudUtskott"/>
      </w:rPr>
      <w:instrText>Utskott</w:instrText>
    </w:r>
    <w:r w:rsidRPr="00321F58">
      <w:rPr>
        <w:rStyle w:val="SidhuvudUtskott"/>
      </w:rPr>
      <w:fldChar w:fldCharType="separate"/>
    </w:r>
    <w:r w:rsidRPr="00321F58">
      <w:rPr>
        <w:rStyle w:val="SidhuvudUtskott"/>
      </w:rPr>
      <w:t>JuU</w:t>
    </w:r>
    <w:r w:rsidRPr="00321F58">
      <w:rPr>
        <w:rStyle w:val="SidhuvudUtskott"/>
      </w:rPr>
      <w:fldChar w:fldCharType="end"/>
    </w:r>
    <w:r w:rsidRPr="00321F58">
      <w:rPr>
        <w:rStyle w:val="SidhuvudUtskott"/>
      </w:rPr>
      <w:fldChar w:fldCharType="begin" w:fldLock="1"/>
    </w:r>
    <w:r w:rsidRPr="00321F58">
      <w:rPr>
        <w:rStyle w:val="SidhuvudUtskott"/>
      </w:rPr>
      <w:instrText xml:space="preserve"> DOCPROPERTY Betä</w:instrText>
    </w:r>
    <w:r w:rsidRPr="00321F58">
      <w:rPr>
        <w:rStyle w:val="SidhuvudUtskott"/>
      </w:rPr>
      <w:instrText>n</w:instrText>
    </w:r>
    <w:r w:rsidRPr="00321F58">
      <w:rPr>
        <w:rStyle w:val="SidhuvudUtskott"/>
      </w:rPr>
      <w:instrText>kandeNr</w:instrText>
    </w:r>
    <w:r w:rsidRPr="00321F58">
      <w:rPr>
        <w:rStyle w:val="SidhuvudUtskott"/>
      </w:rPr>
      <w:fldChar w:fldCharType="separate"/>
    </w:r>
    <w:r w:rsidRPr="00321F58">
      <w:rPr>
        <w:rStyle w:val="SidhuvudUtskott"/>
      </w:rPr>
      <w:t>17</w:t>
    </w:r>
    <w:r w:rsidRPr="00321F58">
      <w:rPr>
        <w:rStyle w:val="SidhuvudUtskott"/>
      </w:rPr>
      <w:fldChar w:fldCharType="end"/>
    </w:r>
  </w:p>
  <w:p w:rsidR="00D70951" w:rsidRPr="00321F58" w:rsidRDefault="00D70951">
    <w:pPr>
      <w:pStyle w:val="SidhuvudKantUdda"/>
      <w:framePr w:w="8732" w:h="567" w:hRule="exact" w:vSpace="0" w:wrap="around" w:vAnchor="page" w:y="341" w:anchorLock="0"/>
    </w:pPr>
    <w:r w:rsidRPr="00321F58">
      <w:rPr>
        <w:rStyle w:val="SidhuvudUtskott"/>
      </w:rPr>
      <w:fldChar w:fldCharType="begin" w:fldLock="1"/>
    </w:r>
    <w:r w:rsidRPr="00321F58">
      <w:rPr>
        <w:rStyle w:val="SidhuvudUtskott"/>
      </w:rPr>
      <w:instrText xml:space="preserve"> if </w:instrText>
    </w:r>
    <w:r w:rsidRPr="00321F58">
      <w:rPr>
        <w:rStyle w:val="SidhuvudUtskott"/>
      </w:rPr>
      <w:fldChar w:fldCharType="begin" w:fldLock="1"/>
    </w:r>
    <w:r w:rsidRPr="00321F58">
      <w:rPr>
        <w:rStyle w:val="SidhuvudUtskott"/>
      </w:rPr>
      <w:instrText xml:space="preserve"> DOCPROPERTY "UtkastDatum"</w:instrText>
    </w:r>
    <w:r w:rsidRPr="00321F58">
      <w:rPr>
        <w:rStyle w:val="SidhuvudUtskott"/>
      </w:rPr>
      <w:fldChar w:fldCharType="separate"/>
    </w:r>
    <w:r w:rsidRPr="00321F58">
      <w:rPr>
        <w:rStyle w:val="SidhuvudUtskott"/>
      </w:rPr>
      <w:instrText>Nej</w:instrText>
    </w:r>
    <w:r w:rsidRPr="00321F58">
      <w:rPr>
        <w:rStyle w:val="SidhuvudUtskott"/>
      </w:rPr>
      <w:fldChar w:fldCharType="end"/>
    </w:r>
    <w:r w:rsidRPr="00321F58">
      <w:rPr>
        <w:rStyle w:val="SidhuvudUtskott"/>
      </w:rPr>
      <w:instrText xml:space="preserve"> = "Ja" "</w:instrText>
    </w:r>
    <w:r w:rsidRPr="00321F58">
      <w:rPr>
        <w:rStyle w:val="SidhuvudUtskott"/>
      </w:rPr>
      <w:fldChar w:fldCharType="begin" w:fldLock="1"/>
    </w:r>
    <w:r w:rsidRPr="00321F58">
      <w:rPr>
        <w:rStyle w:val="SidhuvudUtskott"/>
      </w:rPr>
      <w:instrText xml:space="preserve"> PRINTDATE \@ "yyyy-MM-dd HH.mm    " </w:instrText>
    </w:r>
    <w:r w:rsidRPr="00321F58">
      <w:rPr>
        <w:rStyle w:val="SidhuvudUtskott"/>
      </w:rPr>
      <w:fldChar w:fldCharType="separate"/>
    </w:r>
    <w:r w:rsidRPr="00321F58">
      <w:rPr>
        <w:rStyle w:val="SidhuvudUtskott"/>
      </w:rPr>
      <w:instrText>2000-08-11 16.42</w:instrText>
    </w:r>
    <w:r w:rsidRPr="00321F58">
      <w:rPr>
        <w:rStyle w:val="SidhuvudUtskott"/>
      </w:rPr>
      <w:fldChar w:fldCharType="end"/>
    </w:r>
    <w:r w:rsidRPr="00321F58">
      <w:rPr>
        <w:rStyle w:val="SidhuvudUtskott"/>
      </w:rPr>
      <w:instrText xml:space="preserve">" </w:instrText>
    </w:r>
    <w:r w:rsidRPr="00321F58">
      <w:rPr>
        <w:rStyle w:val="SidhuvudUtskott"/>
      </w:rPr>
      <w:fldChar w:fldCharType="end"/>
    </w:r>
    <w:r w:rsidRPr="00321F58">
      <w:rPr>
        <w:rStyle w:val="SidhuvudUtskott"/>
      </w:rPr>
      <w:fldChar w:fldCharType="begin" w:fldLock="1"/>
    </w:r>
    <w:r w:rsidRPr="00321F58">
      <w:rPr>
        <w:rStyle w:val="SidhuvudUtskott"/>
      </w:rPr>
      <w:instrText xml:space="preserve"> DOCPR</w:instrText>
    </w:r>
    <w:r w:rsidRPr="00321F58">
      <w:rPr>
        <w:rStyle w:val="SidhuvudUtskott"/>
      </w:rPr>
      <w:instrText>O</w:instrText>
    </w:r>
    <w:r w:rsidRPr="00321F58">
      <w:rPr>
        <w:rStyle w:val="SidhuvudUtskott"/>
      </w:rPr>
      <w:instrText>PERTY Status</w:instrText>
    </w:r>
    <w:r w:rsidRPr="00321F58">
      <w:rPr>
        <w:rStyle w:val="SidhuvudUtskott"/>
      </w:rPr>
      <w:fldChar w:fldCharType="end"/>
    </w:r>
  </w:p>
  <w:p w:rsidR="00D70951" w:rsidRPr="00321F58" w:rsidRDefault="00D7095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Jmn"/>
      <w:framePr w:w="8732" w:h="567" w:hRule="exact" w:vSpace="0" w:wrap="around" w:vAnchor="page" w:y="341" w:anchorLock="0"/>
    </w:pPr>
    <w:r w:rsidRPr="00321F58">
      <w:rPr>
        <w:rStyle w:val="SidhuvudUtskott"/>
      </w:rPr>
      <w:t>2001/02:JuU17</w:t>
    </w:r>
    <w:r w:rsidRPr="00321F58">
      <w:t xml:space="preserve">    </w:t>
    </w:r>
  </w:p>
  <w:p w:rsidR="00D70951" w:rsidRPr="00321F58" w:rsidRDefault="00D70951">
    <w:pPr>
      <w:pStyle w:val="SidhuvudKantJmn"/>
      <w:framePr w:w="8732" w:h="567" w:hRule="exact" w:vSpace="0" w:wrap="around" w:vAnchor="page" w:y="341" w:anchorLock="0"/>
    </w:pPr>
  </w:p>
  <w:p w:rsidR="00D70951" w:rsidRPr="00321F58" w:rsidRDefault="00D70951">
    <w:pPr>
      <w:pStyle w:val="SidhuvudKantUdda"/>
      <w:framePr w:w="8732" w:h="567" w:hRule="exact" w:vSpace="0" w:wrap="around" w:vAnchor="page" w:y="341" w:anchorLock="0"/>
    </w:pPr>
    <w:r w:rsidRPr="00321F58">
      <w:rPr>
        <w:rStyle w:val="SidhuvudRubrikReferens"/>
        <w:smallCaps w:val="0"/>
        <w:spacing w:val="0"/>
        <w:sz w:val="19"/>
      </w:rPr>
      <w:t xml:space="preserve"> </w:t>
    </w:r>
  </w:p>
  <w:p w:rsidR="00D70951" w:rsidRPr="00321F58" w:rsidRDefault="00D7095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Jmn"/>
      <w:framePr w:w="8732" w:h="567" w:hRule="exact" w:vSpace="0" w:wrap="around" w:vAnchor="page" w:y="341" w:anchorLock="0"/>
    </w:pPr>
    <w:r w:rsidRPr="00321F58">
      <w:rPr>
        <w:rStyle w:val="SidhuvudUtskott"/>
      </w:rPr>
      <w:fldChar w:fldCharType="begin" w:fldLock="1"/>
    </w:r>
    <w:r w:rsidRPr="00321F58">
      <w:rPr>
        <w:rStyle w:val="SidhuvudUtskott"/>
      </w:rPr>
      <w:instrText xml:space="preserve"> DOCPROPERTY BetänkandeÅr</w:instrText>
    </w:r>
    <w:r w:rsidRPr="00321F58">
      <w:rPr>
        <w:rStyle w:val="SidhuvudUtskott"/>
      </w:rPr>
      <w:fldChar w:fldCharType="separate"/>
    </w:r>
    <w:r w:rsidRPr="00321F58">
      <w:rPr>
        <w:rStyle w:val="SidhuvudUtskott"/>
      </w:rPr>
      <w:t>2001/02</w:t>
    </w:r>
    <w:r w:rsidRPr="00321F58">
      <w:rPr>
        <w:rStyle w:val="SidhuvudUtskott"/>
      </w:rPr>
      <w:fldChar w:fldCharType="end"/>
    </w:r>
    <w:r w:rsidRPr="00321F58">
      <w:rPr>
        <w:rStyle w:val="SidhuvudUtskott"/>
      </w:rPr>
      <w:t>:</w:t>
    </w:r>
    <w:r w:rsidRPr="00321F58">
      <w:rPr>
        <w:rStyle w:val="SidhuvudUtskott"/>
      </w:rPr>
      <w:fldChar w:fldCharType="begin" w:fldLock="1"/>
    </w:r>
    <w:r w:rsidRPr="00321F58">
      <w:rPr>
        <w:rStyle w:val="SidhuvudUtskott"/>
      </w:rPr>
      <w:instrText xml:space="preserve"> DOCPROPERTY Utskott</w:instrText>
    </w:r>
    <w:r w:rsidRPr="00321F58">
      <w:rPr>
        <w:rStyle w:val="SidhuvudUtskott"/>
      </w:rPr>
      <w:fldChar w:fldCharType="separate"/>
    </w:r>
    <w:r w:rsidRPr="00321F58">
      <w:rPr>
        <w:rStyle w:val="SidhuvudUtskott"/>
      </w:rPr>
      <w:t>JuU</w:t>
    </w:r>
    <w:r w:rsidRPr="00321F58">
      <w:rPr>
        <w:rStyle w:val="SidhuvudUtskott"/>
      </w:rPr>
      <w:fldChar w:fldCharType="end"/>
    </w:r>
    <w:r w:rsidRPr="00321F58">
      <w:rPr>
        <w:rStyle w:val="SidhuvudUtskott"/>
      </w:rPr>
      <w:fldChar w:fldCharType="begin" w:fldLock="1"/>
    </w:r>
    <w:r w:rsidRPr="00321F58">
      <w:rPr>
        <w:rStyle w:val="SidhuvudUtskott"/>
      </w:rPr>
      <w:instrText xml:space="preserve"> DOCPROPERTY BetänkandeNr</w:instrText>
    </w:r>
    <w:r w:rsidRPr="00321F58">
      <w:rPr>
        <w:rStyle w:val="SidhuvudUtskott"/>
      </w:rPr>
      <w:fldChar w:fldCharType="separate"/>
    </w:r>
    <w:r w:rsidRPr="00321F58">
      <w:rPr>
        <w:rStyle w:val="SidhuvudUtskott"/>
      </w:rPr>
      <w:t>17</w:t>
    </w:r>
    <w:r w:rsidRPr="00321F58">
      <w:rPr>
        <w:rStyle w:val="SidhuvudUtskott"/>
      </w:rPr>
      <w:fldChar w:fldCharType="end"/>
    </w:r>
    <w:r w:rsidRPr="00321F58">
      <w:t xml:space="preserve">     </w:t>
    </w:r>
    <w:r w:rsidRPr="00321F58">
      <w:rPr>
        <w:rStyle w:val="SidhuvudBilaga"/>
      </w:rPr>
      <w:t xml:space="preserve"> </w:t>
    </w:r>
    <w:r w:rsidRPr="00321F58">
      <w:rPr>
        <w:rStyle w:val="SidhuvudRubrikReferens"/>
      </w:rPr>
      <w:fldChar w:fldCharType="begin" w:fldLock="1"/>
    </w:r>
    <w:r w:rsidRPr="00321F58">
      <w:rPr>
        <w:rStyle w:val="SidhuvudRubrikReferens"/>
      </w:rPr>
      <w:instrText xml:space="preserve"> StyleREF "Rubrik 1" </w:instrText>
    </w:r>
    <w:r w:rsidRPr="00321F58">
      <w:rPr>
        <w:rStyle w:val="SidhuvudRubrikReferens"/>
      </w:rPr>
      <w:fldChar w:fldCharType="separate"/>
    </w:r>
    <w:r w:rsidRPr="00321F58">
      <w:rPr>
        <w:rStyle w:val="SidhuvudRubrikReferens"/>
      </w:rPr>
      <w:t>Innehållsförteckning</w:t>
    </w:r>
    <w:r w:rsidRPr="00321F58">
      <w:rPr>
        <w:rStyle w:val="SidhuvudRubrikReferens"/>
      </w:rPr>
      <w:fldChar w:fldCharType="end"/>
    </w:r>
  </w:p>
  <w:p w:rsidR="00D70951" w:rsidRPr="00321F58" w:rsidRDefault="00D70951">
    <w:pPr>
      <w:pStyle w:val="SidhuvudKantJmn"/>
      <w:framePr w:w="8732" w:h="567" w:hRule="exact" w:vSpace="0" w:wrap="around" w:vAnchor="page" w:y="341" w:anchorLock="0"/>
    </w:pPr>
    <w:r w:rsidRPr="00321F58">
      <w:rPr>
        <w:rStyle w:val="SidhuvudUtskott"/>
      </w:rPr>
      <w:fldChar w:fldCharType="begin" w:fldLock="1"/>
    </w:r>
    <w:r w:rsidRPr="00321F58">
      <w:rPr>
        <w:rStyle w:val="SidhuvudUtskott"/>
      </w:rPr>
      <w:instrText xml:space="preserve"> DOCPROPERTY Status</w:instrText>
    </w:r>
    <w:r w:rsidRPr="00321F58">
      <w:rPr>
        <w:rStyle w:val="SidhuvudUtskott"/>
      </w:rPr>
      <w:fldChar w:fldCharType="end"/>
    </w:r>
    <w:r w:rsidRPr="00321F58">
      <w:rPr>
        <w:rStyle w:val="SidhuvudUtskott"/>
      </w:rPr>
      <w:fldChar w:fldCharType="begin" w:fldLock="1"/>
    </w:r>
    <w:r w:rsidRPr="00321F58">
      <w:rPr>
        <w:rStyle w:val="SidhuvudUtskott"/>
      </w:rPr>
      <w:instrText xml:space="preserve"> if </w:instrText>
    </w:r>
    <w:r w:rsidRPr="00321F58">
      <w:rPr>
        <w:rStyle w:val="SidhuvudUtskott"/>
      </w:rPr>
      <w:fldChar w:fldCharType="begin" w:fldLock="1"/>
    </w:r>
    <w:r w:rsidRPr="00321F58">
      <w:rPr>
        <w:rStyle w:val="SidhuvudUtskott"/>
      </w:rPr>
      <w:instrText xml:space="preserve"> DOCPROPERTY "UtkastDatum"</w:instrText>
    </w:r>
    <w:r w:rsidRPr="00321F58">
      <w:rPr>
        <w:rStyle w:val="SidhuvudUtskott"/>
      </w:rPr>
      <w:fldChar w:fldCharType="separate"/>
    </w:r>
    <w:r w:rsidRPr="00321F58">
      <w:rPr>
        <w:rStyle w:val="SidhuvudUtskott"/>
      </w:rPr>
      <w:instrText>Nej</w:instrText>
    </w:r>
    <w:r w:rsidRPr="00321F58">
      <w:rPr>
        <w:rStyle w:val="SidhuvudUtskott"/>
      </w:rPr>
      <w:fldChar w:fldCharType="end"/>
    </w:r>
    <w:r w:rsidRPr="00321F58">
      <w:rPr>
        <w:rStyle w:val="SidhuvudUtskott"/>
      </w:rPr>
      <w:instrText xml:space="preserve"> = "Ja" "    </w:instrText>
    </w:r>
    <w:r w:rsidRPr="00321F58">
      <w:rPr>
        <w:rStyle w:val="SidhuvudUtskott"/>
      </w:rPr>
      <w:fldChar w:fldCharType="begin" w:fldLock="1"/>
    </w:r>
    <w:r w:rsidRPr="00321F58">
      <w:rPr>
        <w:rStyle w:val="SidhuvudUtskott"/>
      </w:rPr>
      <w:instrText xml:space="preserve"> PRINTDATE \@ "yyyy-MM-dd HH.mm" </w:instrText>
    </w:r>
    <w:r w:rsidRPr="00321F58">
      <w:rPr>
        <w:rStyle w:val="SidhuvudUtskott"/>
      </w:rPr>
      <w:fldChar w:fldCharType="separate"/>
    </w:r>
    <w:r w:rsidRPr="00321F58">
      <w:rPr>
        <w:rStyle w:val="SidhuvudUtskott"/>
      </w:rPr>
      <w:instrText>2000-08-11 16.42</w:instrText>
    </w:r>
    <w:r w:rsidRPr="00321F58">
      <w:rPr>
        <w:rStyle w:val="SidhuvudUtskott"/>
      </w:rPr>
      <w:fldChar w:fldCharType="end"/>
    </w:r>
    <w:r w:rsidRPr="00321F58">
      <w:rPr>
        <w:rStyle w:val="SidhuvudUtskott"/>
      </w:rPr>
      <w:instrText xml:space="preserve">" </w:instrText>
    </w:r>
    <w:r w:rsidRPr="00321F58">
      <w:rPr>
        <w:rStyle w:val="SidhuvudUtskott"/>
      </w:rPr>
      <w:fldChar w:fldCharType="end"/>
    </w:r>
  </w:p>
  <w:p w:rsidR="00D70951" w:rsidRPr="00321F58" w:rsidRDefault="00D7095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Udda"/>
      <w:framePr w:w="8732" w:h="567" w:hRule="exact" w:vSpace="0" w:wrap="around" w:vAnchor="page" w:y="341" w:anchorLock="0"/>
    </w:pPr>
    <w:r w:rsidRPr="00321F58">
      <w:rPr>
        <w:rStyle w:val="SidhuvudRubrikReferens"/>
      </w:rPr>
      <w:fldChar w:fldCharType="begin" w:fldLock="1"/>
    </w:r>
    <w:r w:rsidRPr="00321F58">
      <w:rPr>
        <w:rStyle w:val="SidhuvudRubrikReferens"/>
      </w:rPr>
      <w:instrText xml:space="preserve"> StyleREF "Rubrik 1" </w:instrText>
    </w:r>
    <w:r w:rsidRPr="00321F58">
      <w:rPr>
        <w:rStyle w:val="SidhuvudRubrikReferens"/>
      </w:rPr>
      <w:fldChar w:fldCharType="separate"/>
    </w:r>
    <w:r w:rsidRPr="00321F58">
      <w:rPr>
        <w:rStyle w:val="SidhuvudRubrikReferens"/>
      </w:rPr>
      <w:t>Innehållsförteckning</w:t>
    </w:r>
    <w:r w:rsidRPr="00321F58">
      <w:rPr>
        <w:rStyle w:val="SidhuvudRubrikReferens"/>
      </w:rPr>
      <w:fldChar w:fldCharType="end"/>
    </w:r>
    <w:r w:rsidRPr="00321F58">
      <w:rPr>
        <w:rStyle w:val="SidhuvudBilaga"/>
      </w:rPr>
      <w:t xml:space="preserve"> </w:t>
    </w:r>
    <w:r w:rsidRPr="00321F58">
      <w:t xml:space="preserve">     </w:t>
    </w:r>
    <w:r w:rsidRPr="00321F58">
      <w:rPr>
        <w:rStyle w:val="SidhuvudUtskott"/>
      </w:rPr>
      <w:fldChar w:fldCharType="begin" w:fldLock="1"/>
    </w:r>
    <w:r w:rsidRPr="00321F58">
      <w:rPr>
        <w:rStyle w:val="SidhuvudUtskott"/>
      </w:rPr>
      <w:instrText xml:space="preserve"> DOCPROPERTY BetänkandeÅr</w:instrText>
    </w:r>
    <w:r w:rsidRPr="00321F58">
      <w:rPr>
        <w:rStyle w:val="SidhuvudUtskott"/>
      </w:rPr>
      <w:fldChar w:fldCharType="separate"/>
    </w:r>
    <w:r w:rsidRPr="00321F58">
      <w:rPr>
        <w:rStyle w:val="SidhuvudUtskott"/>
      </w:rPr>
      <w:t>2001/02</w:t>
    </w:r>
    <w:r w:rsidRPr="00321F58">
      <w:rPr>
        <w:rStyle w:val="SidhuvudUtskott"/>
      </w:rPr>
      <w:fldChar w:fldCharType="end"/>
    </w:r>
    <w:r w:rsidRPr="00321F58">
      <w:rPr>
        <w:rStyle w:val="SidhuvudUtskott"/>
      </w:rPr>
      <w:t>:</w:t>
    </w:r>
    <w:r w:rsidRPr="00321F58">
      <w:rPr>
        <w:rStyle w:val="SidhuvudUtskott"/>
      </w:rPr>
      <w:fldChar w:fldCharType="begin" w:fldLock="1"/>
    </w:r>
    <w:r w:rsidRPr="00321F58">
      <w:rPr>
        <w:rStyle w:val="SidhuvudUtskott"/>
      </w:rPr>
      <w:instrText xml:space="preserve"> DOCPROPERTY</w:instrText>
    </w:r>
    <w:r w:rsidRPr="00321F58">
      <w:instrText xml:space="preserve"> </w:instrText>
    </w:r>
    <w:r w:rsidRPr="00321F58">
      <w:rPr>
        <w:rStyle w:val="SidhuvudUtskott"/>
      </w:rPr>
      <w:instrText>Utskott</w:instrText>
    </w:r>
    <w:r w:rsidRPr="00321F58">
      <w:rPr>
        <w:rStyle w:val="SidhuvudUtskott"/>
      </w:rPr>
      <w:fldChar w:fldCharType="separate"/>
    </w:r>
    <w:r w:rsidRPr="00321F58">
      <w:rPr>
        <w:rStyle w:val="SidhuvudUtskott"/>
      </w:rPr>
      <w:t>JuU</w:t>
    </w:r>
    <w:r w:rsidRPr="00321F58">
      <w:rPr>
        <w:rStyle w:val="SidhuvudUtskott"/>
      </w:rPr>
      <w:fldChar w:fldCharType="end"/>
    </w:r>
    <w:r w:rsidRPr="00321F58">
      <w:rPr>
        <w:rStyle w:val="SidhuvudUtskott"/>
      </w:rPr>
      <w:fldChar w:fldCharType="begin" w:fldLock="1"/>
    </w:r>
    <w:r w:rsidRPr="00321F58">
      <w:rPr>
        <w:rStyle w:val="SidhuvudUtskott"/>
      </w:rPr>
      <w:instrText xml:space="preserve"> DOCPROPERTY Betä</w:instrText>
    </w:r>
    <w:r w:rsidRPr="00321F58">
      <w:rPr>
        <w:rStyle w:val="SidhuvudUtskott"/>
      </w:rPr>
      <w:instrText>n</w:instrText>
    </w:r>
    <w:r w:rsidRPr="00321F58">
      <w:rPr>
        <w:rStyle w:val="SidhuvudUtskott"/>
      </w:rPr>
      <w:instrText>kandeNr</w:instrText>
    </w:r>
    <w:r w:rsidRPr="00321F58">
      <w:rPr>
        <w:rStyle w:val="SidhuvudUtskott"/>
      </w:rPr>
      <w:fldChar w:fldCharType="separate"/>
    </w:r>
    <w:r w:rsidRPr="00321F58">
      <w:rPr>
        <w:rStyle w:val="SidhuvudUtskott"/>
      </w:rPr>
      <w:t>17</w:t>
    </w:r>
    <w:r w:rsidRPr="00321F58">
      <w:rPr>
        <w:rStyle w:val="SidhuvudUtskott"/>
      </w:rPr>
      <w:fldChar w:fldCharType="end"/>
    </w:r>
  </w:p>
  <w:p w:rsidR="00D70951" w:rsidRPr="00321F58" w:rsidRDefault="00D70951">
    <w:pPr>
      <w:pStyle w:val="SidhuvudKantUdda"/>
      <w:framePr w:w="8732" w:h="567" w:hRule="exact" w:vSpace="0" w:wrap="around" w:vAnchor="page" w:y="341" w:anchorLock="0"/>
    </w:pPr>
    <w:r w:rsidRPr="00321F58">
      <w:rPr>
        <w:rStyle w:val="SidhuvudUtskott"/>
      </w:rPr>
      <w:fldChar w:fldCharType="begin" w:fldLock="1"/>
    </w:r>
    <w:r w:rsidRPr="00321F58">
      <w:rPr>
        <w:rStyle w:val="SidhuvudUtskott"/>
      </w:rPr>
      <w:instrText xml:space="preserve"> if </w:instrText>
    </w:r>
    <w:r w:rsidRPr="00321F58">
      <w:rPr>
        <w:rStyle w:val="SidhuvudUtskott"/>
      </w:rPr>
      <w:fldChar w:fldCharType="begin" w:fldLock="1"/>
    </w:r>
    <w:r w:rsidRPr="00321F58">
      <w:rPr>
        <w:rStyle w:val="SidhuvudUtskott"/>
      </w:rPr>
      <w:instrText xml:space="preserve"> DOCPROPERTY "UtkastDatum"</w:instrText>
    </w:r>
    <w:r w:rsidRPr="00321F58">
      <w:rPr>
        <w:rStyle w:val="SidhuvudUtskott"/>
      </w:rPr>
      <w:fldChar w:fldCharType="separate"/>
    </w:r>
    <w:r w:rsidRPr="00321F58">
      <w:rPr>
        <w:rStyle w:val="SidhuvudUtskott"/>
      </w:rPr>
      <w:instrText>Nej</w:instrText>
    </w:r>
    <w:r w:rsidRPr="00321F58">
      <w:rPr>
        <w:rStyle w:val="SidhuvudUtskott"/>
      </w:rPr>
      <w:fldChar w:fldCharType="end"/>
    </w:r>
    <w:r w:rsidRPr="00321F58">
      <w:rPr>
        <w:rStyle w:val="SidhuvudUtskott"/>
      </w:rPr>
      <w:instrText xml:space="preserve"> = "Ja" "</w:instrText>
    </w:r>
    <w:r w:rsidRPr="00321F58">
      <w:rPr>
        <w:rStyle w:val="SidhuvudUtskott"/>
      </w:rPr>
      <w:fldChar w:fldCharType="begin" w:fldLock="1"/>
    </w:r>
    <w:r w:rsidRPr="00321F58">
      <w:rPr>
        <w:rStyle w:val="SidhuvudUtskott"/>
      </w:rPr>
      <w:instrText xml:space="preserve"> PRINTDATE \@ "yyyy-MM-dd HH.mm    " </w:instrText>
    </w:r>
    <w:r w:rsidRPr="00321F58">
      <w:rPr>
        <w:rStyle w:val="SidhuvudUtskott"/>
      </w:rPr>
      <w:fldChar w:fldCharType="separate"/>
    </w:r>
    <w:r w:rsidRPr="00321F58">
      <w:rPr>
        <w:rStyle w:val="SidhuvudUtskott"/>
      </w:rPr>
      <w:instrText>2000-08-11 16.42</w:instrText>
    </w:r>
    <w:r w:rsidRPr="00321F58">
      <w:rPr>
        <w:rStyle w:val="SidhuvudUtskott"/>
      </w:rPr>
      <w:fldChar w:fldCharType="end"/>
    </w:r>
    <w:r w:rsidRPr="00321F58">
      <w:rPr>
        <w:rStyle w:val="SidhuvudUtskott"/>
      </w:rPr>
      <w:instrText xml:space="preserve">" </w:instrText>
    </w:r>
    <w:r w:rsidRPr="00321F58">
      <w:rPr>
        <w:rStyle w:val="SidhuvudUtskott"/>
      </w:rPr>
      <w:fldChar w:fldCharType="end"/>
    </w:r>
    <w:r w:rsidRPr="00321F58">
      <w:rPr>
        <w:rStyle w:val="SidhuvudUtskott"/>
      </w:rPr>
      <w:fldChar w:fldCharType="begin" w:fldLock="1"/>
    </w:r>
    <w:r w:rsidRPr="00321F58">
      <w:rPr>
        <w:rStyle w:val="SidhuvudUtskott"/>
      </w:rPr>
      <w:instrText xml:space="preserve"> DOCPR</w:instrText>
    </w:r>
    <w:r w:rsidRPr="00321F58">
      <w:rPr>
        <w:rStyle w:val="SidhuvudUtskott"/>
      </w:rPr>
      <w:instrText>O</w:instrText>
    </w:r>
    <w:r w:rsidRPr="00321F58">
      <w:rPr>
        <w:rStyle w:val="SidhuvudUtskott"/>
      </w:rPr>
      <w:instrText>PERTY Status</w:instrText>
    </w:r>
    <w:r w:rsidRPr="00321F58">
      <w:rPr>
        <w:rStyle w:val="SidhuvudUtskott"/>
      </w:rPr>
      <w:fldChar w:fldCharType="end"/>
    </w:r>
  </w:p>
  <w:p w:rsidR="00D70951" w:rsidRPr="00321F58" w:rsidRDefault="00D7095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951" w:rsidRPr="00321F58" w:rsidRDefault="00D70951">
    <w:pPr>
      <w:pStyle w:val="SidhuvudKantUdda"/>
      <w:framePr w:w="8732" w:h="567" w:hRule="exact" w:vSpace="0" w:wrap="around" w:vAnchor="page" w:y="341" w:anchorLock="0"/>
    </w:pPr>
    <w:r w:rsidRPr="00321F58">
      <w:t xml:space="preserve">  </w:t>
    </w:r>
    <w:r w:rsidRPr="00321F58">
      <w:rPr>
        <w:rStyle w:val="SidhuvudUtskott"/>
      </w:rPr>
      <w:t>2001/02:JuU17</w:t>
    </w:r>
  </w:p>
  <w:p w:rsidR="00D70951" w:rsidRPr="00321F58" w:rsidRDefault="00D70951">
    <w:pPr>
      <w:pStyle w:val="SidhuvudKantUdda"/>
      <w:framePr w:w="8732" w:h="567" w:hRule="exact" w:vSpace="0" w:wrap="around" w:vAnchor="page" w:y="341" w:anchorLock="0"/>
    </w:pPr>
  </w:p>
  <w:p w:rsidR="00D70951" w:rsidRPr="00321F58" w:rsidRDefault="00D7095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EE20661"/>
    <w:multiLevelType w:val="singleLevel"/>
    <w:tmpl w:val="BC3820D4"/>
    <w:lvl w:ilvl="0">
      <w:start w:val="1"/>
      <w:numFmt w:val="lowerLetter"/>
      <w:lvlText w:val="%1)"/>
      <w:lvlJc w:val="left"/>
      <w:pPr>
        <w:tabs>
          <w:tab w:val="num" w:pos="700"/>
        </w:tabs>
        <w:ind w:left="700" w:hanging="360"/>
      </w:pPr>
      <w:rPr>
        <w:rFonts w:hint="default"/>
      </w:rPr>
    </w:lvl>
  </w:abstractNum>
  <w:abstractNum w:abstractNumId="2" w15:restartNumberingAfterBreak="0">
    <w:nsid w:val="67EF7ADC"/>
    <w:multiLevelType w:val="singleLevel"/>
    <w:tmpl w:val="1C4CED52"/>
    <w:lvl w:ilvl="0">
      <w:start w:val="1"/>
      <w:numFmt w:val="lowerLetter"/>
      <w:lvlText w:val="%1)"/>
      <w:lvlJc w:val="left"/>
      <w:pPr>
        <w:tabs>
          <w:tab w:val="num" w:pos="700"/>
        </w:tabs>
        <w:ind w:left="700" w:hanging="360"/>
      </w:pPr>
      <w:rPr>
        <w:rFonts w:hint="default"/>
      </w:rPr>
    </w:lvl>
  </w:abstractNum>
  <w:num w:numId="1" w16cid:durableId="1885213694">
    <w:abstractNumId w:val="0"/>
  </w:num>
  <w:num w:numId="2" w16cid:durableId="672533622">
    <w:abstractNumId w:val="1"/>
  </w:num>
  <w:num w:numId="3" w16cid:durableId="970399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FF70EF"/>
    <w:rsid w:val="00321F58"/>
    <w:rsid w:val="00D70951"/>
    <w:rsid w:val="00FF70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548E0F-8F55-4415-9685-9ACC14F9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Indragetstycke">
    <w:name w:val="Block Text"/>
    <w:basedOn w:val="Normal"/>
    <w:semiHidden/>
    <w:pPr>
      <w:ind w:left="3912" w:right="-284" w:hanging="3912"/>
    </w:pPr>
    <w:rPr>
      <w:snapToGrid w:val="0"/>
      <w:sz w:val="25"/>
      <w:lang w:eastAsia="sv-SE"/>
    </w:rPr>
  </w:style>
  <w:style w:type="paragraph" w:customStyle="1" w:styleId="SFSmedindrag">
    <w:name w:val="SFS med indrag"/>
    <w:basedOn w:val="Normal"/>
    <w:pPr>
      <w:tabs>
        <w:tab w:val="left" w:pos="168"/>
        <w:tab w:val="left" w:pos="396"/>
        <w:tab w:val="left" w:pos="3060"/>
      </w:tabs>
      <w:overflowPunct w:val="0"/>
      <w:autoSpaceDE w:val="0"/>
      <w:autoSpaceDN w:val="0"/>
      <w:adjustRightInd w:val="0"/>
      <w:spacing w:before="0" w:line="232" w:lineRule="exact"/>
      <w:ind w:firstLine="17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2710</Words>
  <Characters>16100</Characters>
  <Application>Microsoft Office Word</Application>
  <DocSecurity>4</DocSecurity>
  <Lines>383</Lines>
  <Paragraphs>144</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Justitieutskottets betänkande</vt:lpstr>
      <vt:lpstr>Sammanfattning</vt:lpstr>
      <vt:lpstr>Innehållsförteckning</vt:lpstr>
      <vt:lpstr>Utskottets förslag till riksdagsbeslut</vt:lpstr>
      <vt:lpstr>Redogörelse för ärendet</vt:lpstr>
      <vt:lpstr>    Ärendet och dess beredning</vt:lpstr>
      <vt:lpstr>    Bakgrund</vt:lpstr>
      <vt:lpstr>        Tillträde till stadgan m.m.</vt:lpstr>
      <vt:lpstr>        Stadgans närmare innehåll</vt:lpstr>
      <vt:lpstr>    Propositionens huvudsakliga innehåll</vt:lpstr>
      <vt:lpstr>Utskottets överväganden</vt:lpstr>
      <vt:lpstr>Förteckning över behandlade förslag</vt:lpstr>
      <vt:lpstr>    Propositionen</vt:lpstr>
      <vt:lpstr>Regeringens lagförslag</vt:lpstr>
      <vt:lpstr>Utskottets lagförslag</vt:lpstr>
      <vt:lpstr>    1. Förslag till lag om ändring i lagen (2000:562) om internationell rättslig hjä</vt:lpstr>
    </vt:vector>
  </TitlesOfParts>
  <Company>Riksdagen</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2002-04-18T11:21:00Z</cp:lastPrinted>
  <dcterms:created xsi:type="dcterms:W3CDTF">2025-12-16T00:12:00Z</dcterms:created>
  <dcterms:modified xsi:type="dcterms:W3CDTF">2025-12-16T00:12:00Z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