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D91756">
              <w:rPr>
                <w:b/>
              </w:rPr>
              <w:t>39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D91756">
              <w:t>05</w:t>
            </w:r>
            <w:r w:rsidR="00520D71">
              <w:t>-</w:t>
            </w:r>
            <w:r w:rsidR="00465A6D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91756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06C2A">
              <w:t>12:15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CA5431" w:rsidRDefault="00BD09A6" w:rsidP="00CA5431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CA5431">
              <w:t>Roger Haddad (L), Kristina Axén Olin (M), Lars Püss (M), Patrick Reslow (SD), Caroline Helmersson Olsson (S), Fredrik Christensson (C), Daniel Riazat (V)</w:t>
            </w:r>
          </w:p>
          <w:p w:rsidR="00BD09A6" w:rsidRPr="004209C4" w:rsidRDefault="00CA5431" w:rsidP="00CA5431">
            <w:pPr>
              <w:rPr>
                <w:strike/>
              </w:rPr>
            </w:pPr>
            <w:r>
              <w:t xml:space="preserve">Marie-Louise Hänel Sandström (M), Robert Stenkvist (SD), Linus Sköld (S), Christian Carlsson (KD), </w:t>
            </w:r>
            <w:r w:rsidR="001208BD">
              <w:t xml:space="preserve">Tomas Kronståhl (S), </w:t>
            </w:r>
            <w:r>
              <w:t xml:space="preserve">Michael Rubbestad (SD), Maria Nilsson (L), Roza Güclü Hedin (S), Noria Manouchi (M), Jörgen Grubb (SD), Aylin Fazelian (S), </w:t>
            </w:r>
            <w:r w:rsidRPr="00CA5431">
              <w:t>Ilona Szatmari Waldau (V)</w:t>
            </w:r>
            <w:r w:rsidR="00B7522F">
              <w:t xml:space="preserve"> och</w:t>
            </w:r>
            <w:r>
              <w:t xml:space="preserve"> Mats Berglund (MP)</w:t>
            </w:r>
            <w:r w:rsidR="00B7522F">
              <w:t>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Pr="004209C4" w:rsidRDefault="00313972" w:rsidP="0069009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</w:t>
            </w:r>
            <w:r w:rsidR="00690098">
              <w:rPr>
                <w:color w:val="000000"/>
                <w:szCs w:val="24"/>
              </w:rPr>
              <w:t xml:space="preserve"> och enheten riksdagstryck</w:t>
            </w:r>
            <w:r w:rsidRPr="001269B2">
              <w:rPr>
                <w:color w:val="000000"/>
                <w:szCs w:val="24"/>
              </w:rPr>
              <w:t xml:space="preserve"> uppkopplade på distans.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D631D" w:rsidRP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EU-överläggning om förslag till förordning om att inrätta ett</w:t>
            </w:r>
          </w:p>
          <w:p w:rsidR="003D631D" w:rsidRP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gemensamt företag för ett europeiskt högpresterande</w:t>
            </w:r>
          </w:p>
          <w:p w:rsid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datorsystem (</w:t>
            </w:r>
            <w:proofErr w:type="spellStart"/>
            <w:r w:rsidRPr="003D631D">
              <w:rPr>
                <w:b/>
                <w:snapToGrid w:val="0"/>
              </w:rPr>
              <w:t>EuroHPC</w:t>
            </w:r>
            <w:proofErr w:type="spellEnd"/>
            <w:r w:rsidRPr="003D631D">
              <w:rPr>
                <w:b/>
                <w:snapToGrid w:val="0"/>
              </w:rPr>
              <w:t>)</w:t>
            </w:r>
          </w:p>
          <w:p w:rsidR="00B7522F" w:rsidRPr="003D631D" w:rsidRDefault="00B7522F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D631D" w:rsidRDefault="002E193D" w:rsidP="002E19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</w:t>
            </w:r>
            <w:r w:rsidR="003D631D" w:rsidRPr="003D631D">
              <w:rPr>
                <w:snapToGrid w:val="0"/>
              </w:rPr>
              <w:t xml:space="preserve">tatsrådet Matilda </w:t>
            </w:r>
            <w:proofErr w:type="spellStart"/>
            <w:r w:rsidR="003D631D" w:rsidRPr="003D631D">
              <w:rPr>
                <w:snapToGrid w:val="0"/>
              </w:rPr>
              <w:t>Ernkrans</w:t>
            </w:r>
            <w:proofErr w:type="spellEnd"/>
            <w:r w:rsidR="003D631D" w:rsidRPr="003D631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biträdd av</w:t>
            </w:r>
            <w:r w:rsidR="00E644E1">
              <w:rPr>
                <w:snapToGrid w:val="0"/>
              </w:rPr>
              <w:t xml:space="preserve"> </w:t>
            </w:r>
            <w:r w:rsidR="003D631D" w:rsidRPr="003D631D">
              <w:rPr>
                <w:snapToGrid w:val="0"/>
              </w:rPr>
              <w:t>politiskt sakkunnige Klas-Herman</w:t>
            </w:r>
            <w:r>
              <w:rPr>
                <w:snapToGrid w:val="0"/>
              </w:rPr>
              <w:t xml:space="preserve"> </w:t>
            </w:r>
            <w:r w:rsidR="003D631D" w:rsidRPr="003D631D">
              <w:rPr>
                <w:snapToGrid w:val="0"/>
              </w:rPr>
              <w:t>Lundgren, ämnesrådet Per-Erik</w:t>
            </w:r>
            <w:r w:rsidR="00E644E1">
              <w:rPr>
                <w:snapToGrid w:val="0"/>
              </w:rPr>
              <w:t xml:space="preserve"> </w:t>
            </w:r>
            <w:r w:rsidR="003D631D" w:rsidRPr="003D631D">
              <w:rPr>
                <w:snapToGrid w:val="0"/>
              </w:rPr>
              <w:t>Yngwe, kanslirådet Mattias</w:t>
            </w:r>
            <w:r>
              <w:rPr>
                <w:snapToGrid w:val="0"/>
              </w:rPr>
              <w:t xml:space="preserve"> </w:t>
            </w:r>
            <w:r w:rsidR="003D631D" w:rsidRPr="003D631D">
              <w:rPr>
                <w:snapToGrid w:val="0"/>
              </w:rPr>
              <w:t>Jennerholm och departementssekreterare</w:t>
            </w:r>
            <w:r w:rsidR="00E644E1">
              <w:rPr>
                <w:snapToGrid w:val="0"/>
              </w:rPr>
              <w:t xml:space="preserve"> </w:t>
            </w:r>
            <w:r w:rsidR="003D631D" w:rsidRPr="003D631D">
              <w:rPr>
                <w:snapToGrid w:val="0"/>
              </w:rPr>
              <w:t>Jessica Umegård</w:t>
            </w:r>
            <w:r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om förslag till förordning om att inrätta ett</w:t>
            </w:r>
            <w:r w:rsidR="00E644E1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gemensamt företag för ett europeiskt högpresterande</w:t>
            </w:r>
            <w:r w:rsidR="00E644E1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datorsystem</w:t>
            </w:r>
            <w:r w:rsidR="00E644E1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(</w:t>
            </w:r>
            <w:proofErr w:type="spellStart"/>
            <w:r w:rsidRPr="002E193D">
              <w:rPr>
                <w:snapToGrid w:val="0"/>
              </w:rPr>
              <w:t>EuroHPC</w:t>
            </w:r>
            <w:proofErr w:type="spellEnd"/>
            <w:r w:rsidRPr="002E193D">
              <w:rPr>
                <w:snapToGrid w:val="0"/>
              </w:rPr>
              <w:t>)</w:t>
            </w:r>
            <w:r>
              <w:rPr>
                <w:snapToGrid w:val="0"/>
              </w:rPr>
              <w:t>.</w:t>
            </w:r>
            <w:r w:rsidR="003D631D" w:rsidRPr="003D631D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Samtliga från Utbildningsdepartementet deltog på distans.</w:t>
            </w:r>
          </w:p>
          <w:p w:rsidR="002E193D" w:rsidRDefault="002E193D" w:rsidP="002E193D">
            <w:pPr>
              <w:tabs>
                <w:tab w:val="left" w:pos="1701"/>
              </w:tabs>
              <w:rPr>
                <w:snapToGrid w:val="0"/>
              </w:rPr>
            </w:pPr>
          </w:p>
          <w:p w:rsidR="002E193D" w:rsidRPr="002E193D" w:rsidRDefault="002E193D" w:rsidP="002E193D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E193D">
              <w:rPr>
                <w:i/>
                <w:snapToGrid w:val="0"/>
              </w:rPr>
              <w:t>Underlag för överläggningen</w:t>
            </w:r>
          </w:p>
          <w:p w:rsidR="003D631D" w:rsidRPr="003D631D" w:rsidRDefault="003D631D" w:rsidP="003D631D">
            <w:pPr>
              <w:tabs>
                <w:tab w:val="left" w:pos="1701"/>
              </w:tabs>
              <w:rPr>
                <w:snapToGrid w:val="0"/>
              </w:rPr>
            </w:pPr>
            <w:r w:rsidRPr="003D631D">
              <w:rPr>
                <w:snapToGrid w:val="0"/>
              </w:rPr>
              <w:t>Promemoria från Utbildningsdepartementet (</w:t>
            </w:r>
            <w:proofErr w:type="gramStart"/>
            <w:r w:rsidRPr="003D631D">
              <w:rPr>
                <w:snapToGrid w:val="0"/>
              </w:rPr>
              <w:t>1991-2020</w:t>
            </w:r>
            <w:proofErr w:type="gramEnd"/>
            <w:r w:rsidRPr="003D631D">
              <w:rPr>
                <w:snapToGrid w:val="0"/>
              </w:rPr>
              <w:t>/21)</w:t>
            </w:r>
          </w:p>
          <w:p w:rsidR="003D631D" w:rsidRDefault="003D631D" w:rsidP="003D631D">
            <w:pPr>
              <w:tabs>
                <w:tab w:val="left" w:pos="1701"/>
              </w:tabs>
              <w:rPr>
                <w:snapToGrid w:val="0"/>
              </w:rPr>
            </w:pPr>
            <w:r w:rsidRPr="003D631D">
              <w:rPr>
                <w:snapToGrid w:val="0"/>
              </w:rPr>
              <w:t>Rådsdokument ST 08284/21</w:t>
            </w:r>
          </w:p>
          <w:p w:rsidR="00C63268" w:rsidRPr="00C63268" w:rsidRDefault="00C63268" w:rsidP="003D631D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C63268" w:rsidRPr="00C63268" w:rsidRDefault="00C63268" w:rsidP="003D631D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63268">
              <w:rPr>
                <w:i/>
                <w:snapToGrid w:val="0"/>
              </w:rPr>
              <w:t>Regeringens förslag till svensk ståndpunkt</w:t>
            </w:r>
          </w:p>
          <w:p w:rsidR="00532388" w:rsidRP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  <w:r w:rsidRPr="00532388">
              <w:rPr>
                <w:snapToGrid w:val="0"/>
              </w:rPr>
              <w:t>Regeringen anser att det är av stor betydelse att svenska och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europeiska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aktörer har tillgång till superdatorer med prestanda av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högsta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internationella klass. Datorerna kan komma att skapa helt nya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möjligheter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för forskning, teknikutveckling och innovation, vilket till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exempel kan ge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viktiga bidrag för arbetet med en hållbar utveckling.</w:t>
            </w:r>
          </w:p>
          <w:p w:rsid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</w:p>
          <w:p w:rsidR="00532388" w:rsidRP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  <w:r w:rsidRPr="00532388">
              <w:rPr>
                <w:snapToGrid w:val="0"/>
              </w:rPr>
              <w:t>Regeringen anser att de satsningar som behövs på superdatorer i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Europa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går bortom de förmågor som enskilda länder har möjlighet till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lastRenderedPageBreak/>
              <w:t>vad gäller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finansiering och genomförande. Enligt regeringen finns det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därför ett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tydligt europeiskt mervärde med initiativet.</w:t>
            </w:r>
          </w:p>
          <w:p w:rsid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</w:p>
          <w:p w:rsidR="00532388" w:rsidRP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  <w:r w:rsidRPr="00532388">
              <w:rPr>
                <w:snapToGrid w:val="0"/>
              </w:rPr>
              <w:t>Regeringen stöder den reviderade modell som föreslås för den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finansiella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administrationen av det gemensamma företaget. I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förhandlingen har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regeringen vidhållit sina kritiska synpunkter mot det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förslag som EU</w:t>
            </w:r>
            <w:r>
              <w:rPr>
                <w:snapToGrid w:val="0"/>
              </w:rPr>
              <w:t>-</w:t>
            </w:r>
            <w:r w:rsidRPr="00532388">
              <w:rPr>
                <w:snapToGrid w:val="0"/>
              </w:rPr>
              <w:t>kommissionen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lade fram. Den reviderade modellen är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förenlig med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svenska regler och metoder för implementering.</w:t>
            </w:r>
          </w:p>
          <w:p w:rsid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</w:p>
          <w:p w:rsidR="00532388" w:rsidRP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  <w:r w:rsidRPr="00532388">
              <w:rPr>
                <w:snapToGrid w:val="0"/>
              </w:rPr>
              <w:t>Regeringen ser positivt på att det gemensamma företaget även kan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finansiera uppgradering av superdatorer. Det kommer bidra till att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redan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gjorda investeringar utnyttjas på ett effektivt sätt.</w:t>
            </w:r>
          </w:p>
          <w:p w:rsid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</w:p>
          <w:p w:rsidR="00532388" w:rsidRP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  <w:r w:rsidRPr="00532388">
              <w:rPr>
                <w:snapToGrid w:val="0"/>
              </w:rPr>
              <w:t>Regeringen hade föredragit om begreppet strategisk autonomi inte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hade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använts i de artiklar som handlar om att begränsa vilka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leverantörer som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kan anlitas vid upphandling av superdatorer.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Begreppet är inte definierat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och olika länder och aktörer har olika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uppfattning om dess innebörd.</w:t>
            </w:r>
            <w:r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Regeringens anser ändå att de aktuella</w:t>
            </w:r>
            <w:r w:rsidR="00E644E1">
              <w:rPr>
                <w:snapToGrid w:val="0"/>
              </w:rPr>
              <w:t xml:space="preserve"> </w:t>
            </w:r>
            <w:r w:rsidRPr="00532388">
              <w:rPr>
                <w:snapToGrid w:val="0"/>
              </w:rPr>
              <w:t>kan artiklarna kan accepteras.</w:t>
            </w:r>
          </w:p>
          <w:p w:rsid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  <w:r w:rsidRPr="00532388">
              <w:rPr>
                <w:snapToGrid w:val="0"/>
              </w:rPr>
              <w:t>Regeringen anser att den allmänna inriktningen för förordningen om</w:t>
            </w:r>
            <w:r w:rsidR="00E644E1">
              <w:rPr>
                <w:snapToGrid w:val="0"/>
              </w:rPr>
              <w:t xml:space="preserve"> </w:t>
            </w:r>
            <w:proofErr w:type="spellStart"/>
            <w:r w:rsidRPr="00532388">
              <w:rPr>
                <w:snapToGrid w:val="0"/>
              </w:rPr>
              <w:t>EuroHPC</w:t>
            </w:r>
            <w:proofErr w:type="spellEnd"/>
            <w:r w:rsidRPr="00532388">
              <w:rPr>
                <w:snapToGrid w:val="0"/>
              </w:rPr>
              <w:t xml:space="preserve"> kan godkännas.</w:t>
            </w:r>
          </w:p>
          <w:p w:rsidR="00C94715" w:rsidRDefault="00C94715" w:rsidP="00532388">
            <w:pPr>
              <w:tabs>
                <w:tab w:val="left" w:pos="1701"/>
              </w:tabs>
              <w:rPr>
                <w:snapToGrid w:val="0"/>
              </w:rPr>
            </w:pPr>
          </w:p>
          <w:p w:rsidR="00C94715" w:rsidRPr="00C94715" w:rsidRDefault="00C94715" w:rsidP="00C947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94715">
              <w:rPr>
                <w:i/>
                <w:snapToGrid w:val="0"/>
              </w:rPr>
              <w:t>Utskottet</w:t>
            </w:r>
          </w:p>
          <w:p w:rsidR="00C94715" w:rsidRPr="00B80D51" w:rsidRDefault="00C94715" w:rsidP="00C94715">
            <w:pPr>
              <w:tabs>
                <w:tab w:val="left" w:pos="1701"/>
              </w:tabs>
              <w:rPr>
                <w:snapToGrid w:val="0"/>
              </w:rPr>
            </w:pPr>
            <w:r w:rsidRPr="00B80D51">
              <w:rPr>
                <w:snapToGrid w:val="0"/>
              </w:rPr>
              <w:t>Ordföranden konstaterade att det fanns stöd för regeringens</w:t>
            </w:r>
            <w:r w:rsidR="00E644E1">
              <w:rPr>
                <w:snapToGrid w:val="0"/>
              </w:rPr>
              <w:t xml:space="preserve"> </w:t>
            </w:r>
            <w:r w:rsidRPr="00B80D51">
              <w:rPr>
                <w:snapToGrid w:val="0"/>
              </w:rPr>
              <w:t>ståndpunkt.</w:t>
            </w:r>
          </w:p>
          <w:p w:rsidR="00C94715" w:rsidRPr="00B80D51" w:rsidRDefault="00C94715" w:rsidP="00C94715">
            <w:pPr>
              <w:tabs>
                <w:tab w:val="left" w:pos="1701"/>
              </w:tabs>
              <w:rPr>
                <w:snapToGrid w:val="0"/>
              </w:rPr>
            </w:pPr>
          </w:p>
          <w:p w:rsidR="00C94715" w:rsidRPr="00C94715" w:rsidRDefault="00C94715" w:rsidP="00C94715">
            <w:pPr>
              <w:pStyle w:val="Default"/>
              <w:rPr>
                <w:sz w:val="23"/>
                <w:szCs w:val="23"/>
              </w:rPr>
            </w:pPr>
            <w:r w:rsidRPr="00B80D51">
              <w:rPr>
                <w:sz w:val="23"/>
                <w:szCs w:val="23"/>
              </w:rPr>
              <w:t>Denna paragraf förklarades omedelbart justerad.</w:t>
            </w:r>
            <w:r>
              <w:rPr>
                <w:sz w:val="23"/>
                <w:szCs w:val="23"/>
              </w:rPr>
              <w:t xml:space="preserve"> </w:t>
            </w:r>
          </w:p>
          <w:p w:rsidR="00532388" w:rsidRDefault="00532388" w:rsidP="0053238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631D" w:rsidTr="0001177E">
        <w:tc>
          <w:tcPr>
            <w:tcW w:w="567" w:type="dxa"/>
          </w:tcPr>
          <w:p w:rsidR="003D631D" w:rsidRPr="003B4DE8" w:rsidRDefault="003D63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D631D" w:rsidRPr="003D631D" w:rsidRDefault="003D631D" w:rsidP="003D631D">
            <w:pPr>
              <w:tabs>
                <w:tab w:val="left" w:pos="1701"/>
              </w:tabs>
              <w:rPr>
                <w:snapToGrid w:val="0"/>
              </w:rPr>
            </w:pPr>
            <w:r w:rsidRPr="003D631D">
              <w:rPr>
                <w:b/>
                <w:snapToGrid w:val="0"/>
              </w:rPr>
              <w:t>EU-överläggning om rådslutsatser om att fördjupa Europeiska</w:t>
            </w:r>
          </w:p>
          <w:p w:rsid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forskningsområdet: Att ge forskare attraktiva och hållbara</w:t>
            </w:r>
            <w:r w:rsidR="00E644E1">
              <w:rPr>
                <w:b/>
                <w:snapToGrid w:val="0"/>
              </w:rPr>
              <w:t xml:space="preserve"> </w:t>
            </w:r>
            <w:r w:rsidRPr="003D631D">
              <w:rPr>
                <w:b/>
                <w:snapToGrid w:val="0"/>
              </w:rPr>
              <w:t>karriär- och arbetsvillkor samt att förverkliga</w:t>
            </w:r>
            <w:r w:rsidR="00E644E1">
              <w:rPr>
                <w:b/>
                <w:snapToGrid w:val="0"/>
              </w:rPr>
              <w:t xml:space="preserve"> </w:t>
            </w:r>
            <w:r w:rsidRPr="003D631D">
              <w:rPr>
                <w:b/>
                <w:snapToGrid w:val="0"/>
              </w:rPr>
              <w:t>kompetenscirkulation</w:t>
            </w:r>
          </w:p>
          <w:p w:rsidR="00B7522F" w:rsidRPr="003D631D" w:rsidRDefault="00B7522F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63268" w:rsidRDefault="00C63268" w:rsidP="00C632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</w:t>
            </w:r>
            <w:r w:rsidRPr="003D631D">
              <w:rPr>
                <w:snapToGrid w:val="0"/>
              </w:rPr>
              <w:t xml:space="preserve">tatsrådet Matilda </w:t>
            </w:r>
            <w:proofErr w:type="spellStart"/>
            <w:r w:rsidRPr="003D631D">
              <w:rPr>
                <w:snapToGrid w:val="0"/>
              </w:rPr>
              <w:t>Ernkrans</w:t>
            </w:r>
            <w:proofErr w:type="spellEnd"/>
            <w:r w:rsidRPr="003D631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biträdd av </w:t>
            </w:r>
            <w:r w:rsidRPr="003D631D">
              <w:rPr>
                <w:snapToGrid w:val="0"/>
              </w:rPr>
              <w:t>politiskt sakkunnige Klas-Herman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Lundgren, ämnesrådet Per-Erik Yngwe, kanslirådet Mattias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Jennerholm och departementssekreterare Jessica Umegård</w:t>
            </w:r>
            <w:r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 xml:space="preserve">om </w:t>
            </w:r>
            <w:r w:rsidRPr="00C63268">
              <w:rPr>
                <w:snapToGrid w:val="0"/>
              </w:rPr>
              <w:t xml:space="preserve">rådslutsatser om att fördjupa </w:t>
            </w:r>
            <w:proofErr w:type="gramStart"/>
            <w:r w:rsidRPr="00C63268">
              <w:rPr>
                <w:snapToGrid w:val="0"/>
              </w:rPr>
              <w:t>Europeiska</w:t>
            </w:r>
            <w:proofErr w:type="gramEnd"/>
            <w:r w:rsidR="00E644E1">
              <w:rPr>
                <w:snapToGrid w:val="0"/>
              </w:rPr>
              <w:t xml:space="preserve"> </w:t>
            </w:r>
            <w:r w:rsidRPr="00C63268">
              <w:rPr>
                <w:snapToGrid w:val="0"/>
              </w:rPr>
              <w:t>forskningsområdet: Att ge forskare attraktiva och hållbara</w:t>
            </w:r>
            <w:r w:rsidR="00E644E1">
              <w:rPr>
                <w:snapToGrid w:val="0"/>
              </w:rPr>
              <w:t xml:space="preserve"> </w:t>
            </w:r>
            <w:r w:rsidRPr="00C63268">
              <w:rPr>
                <w:snapToGrid w:val="0"/>
              </w:rPr>
              <w:t>karriär- och arbetsvillkor samt att förverkliga</w:t>
            </w:r>
            <w:r w:rsidR="00E644E1">
              <w:rPr>
                <w:snapToGrid w:val="0"/>
              </w:rPr>
              <w:t xml:space="preserve"> </w:t>
            </w:r>
            <w:r w:rsidRPr="00C63268">
              <w:rPr>
                <w:snapToGrid w:val="0"/>
              </w:rPr>
              <w:t>kompetenscirkulation</w:t>
            </w:r>
            <w:r>
              <w:rPr>
                <w:snapToGrid w:val="0"/>
              </w:rPr>
              <w:t>.</w:t>
            </w:r>
            <w:r w:rsidRPr="003D631D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Samtliga från Utbildningsdepartementet deltog på distans.</w:t>
            </w:r>
          </w:p>
          <w:p w:rsidR="00C63268" w:rsidRDefault="00C63268" w:rsidP="00C63268">
            <w:pPr>
              <w:tabs>
                <w:tab w:val="left" w:pos="1701"/>
              </w:tabs>
              <w:rPr>
                <w:snapToGrid w:val="0"/>
              </w:rPr>
            </w:pPr>
          </w:p>
          <w:p w:rsidR="00C63268" w:rsidRPr="002E193D" w:rsidRDefault="00C63268" w:rsidP="00C6326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E193D">
              <w:rPr>
                <w:i/>
                <w:snapToGrid w:val="0"/>
              </w:rPr>
              <w:t>Underlag för överläggningen</w:t>
            </w:r>
          </w:p>
          <w:p w:rsidR="00C63268" w:rsidRPr="00C63268" w:rsidRDefault="00C63268" w:rsidP="00C63268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Promemoria från Utbildningsdepartementet (</w:t>
            </w:r>
            <w:proofErr w:type="gramStart"/>
            <w:r w:rsidRPr="00C63268">
              <w:rPr>
                <w:snapToGrid w:val="0"/>
              </w:rPr>
              <w:t>1992-2020</w:t>
            </w:r>
            <w:proofErr w:type="gramEnd"/>
            <w:r w:rsidRPr="00C63268">
              <w:rPr>
                <w:snapToGrid w:val="0"/>
              </w:rPr>
              <w:t>/21)</w:t>
            </w:r>
          </w:p>
          <w:p w:rsidR="00C63268" w:rsidRDefault="00C63268" w:rsidP="00C63268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Rådsdokument ST 08322/21</w:t>
            </w:r>
          </w:p>
          <w:p w:rsidR="00C63268" w:rsidRPr="00C63268" w:rsidRDefault="00C63268" w:rsidP="00C63268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C63268" w:rsidRDefault="00C63268" w:rsidP="00C6326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63268">
              <w:rPr>
                <w:i/>
                <w:snapToGrid w:val="0"/>
              </w:rPr>
              <w:t>Regeringens förslag till svensk ståndpunkt</w:t>
            </w: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Regeringen betonar starkt att ansvaret för exempelvis</w:t>
            </w:r>
            <w:r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forskar</w:t>
            </w:r>
            <w:r>
              <w:rPr>
                <w:snapToGrid w:val="0"/>
              </w:rPr>
              <w:softHyphen/>
            </w:r>
            <w:r w:rsidRPr="00E058CF">
              <w:rPr>
                <w:snapToGrid w:val="0"/>
              </w:rPr>
              <w:t>utbildningens innehåll och organisation är nationell kompetens och</w:t>
            </w: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måste hanteras på den nationella nivån. Regeringen anser att bra och</w:t>
            </w: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trygga anställningsvillkor utgör en grundförutsättning för</w:t>
            </w:r>
            <w:r w:rsidR="00E644E1"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lastRenderedPageBreak/>
              <w:t>framgångsrik</w:t>
            </w:r>
            <w:r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forskning och innovation.</w:t>
            </w:r>
          </w:p>
          <w:p w:rsid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Regeringen välkomnar att EU-kommissionen ska analysera god praxis på</w:t>
            </w:r>
            <w:r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nationell nivå om bl.a. karriärvägar, anställning av yngre forskare och</w:t>
            </w:r>
            <w:r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jämställdhet. Det är även positivt att EU-kommissionen ska följa upp</w:t>
            </w:r>
            <w:r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forskarmobiliteten i Europa med hjälp av utvecklad statistik.</w:t>
            </w:r>
          </w:p>
          <w:p w:rsid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Regeringen anser att problemet med hot och hat mot forskare är ett</w:t>
            </w: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allvarligt samhällsproblem som behöver bemötas.</w:t>
            </w:r>
          </w:p>
          <w:p w:rsid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Regeringen ser positivt på att medlemsstater, EU-kommissionen,</w:t>
            </w: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finansiärer och forskningsutförare utvecklar arbetet med värdering av</w:t>
            </w: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forskares meriter och därmed inkluderar andra faktorer än</w:t>
            </w:r>
            <w:r w:rsidR="00E644E1"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publiceringar</w:t>
            </w:r>
            <w:r>
              <w:rPr>
                <w:snapToGrid w:val="0"/>
              </w:rPr>
              <w:t xml:space="preserve"> </w:t>
            </w:r>
            <w:r w:rsidRPr="00E058CF">
              <w:rPr>
                <w:snapToGrid w:val="0"/>
              </w:rPr>
              <w:t>och citeringar.</w:t>
            </w:r>
          </w:p>
          <w:p w:rsid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</w:p>
          <w:p w:rsidR="00E058CF" w:rsidRPr="00E058CF" w:rsidRDefault="00E058CF" w:rsidP="00E058CF">
            <w:pPr>
              <w:tabs>
                <w:tab w:val="left" w:pos="1701"/>
              </w:tabs>
              <w:rPr>
                <w:snapToGrid w:val="0"/>
              </w:rPr>
            </w:pPr>
            <w:r w:rsidRPr="00E058CF">
              <w:rPr>
                <w:snapToGrid w:val="0"/>
              </w:rPr>
              <w:t>Regeringen anser att Sverige kan godkänna rådsslutsatserna.</w:t>
            </w:r>
          </w:p>
          <w:p w:rsid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4715" w:rsidRPr="00C94715" w:rsidRDefault="00C94715" w:rsidP="00C947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94715">
              <w:rPr>
                <w:i/>
                <w:snapToGrid w:val="0"/>
              </w:rPr>
              <w:t>Utskottet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  <w:r w:rsidRPr="00B80D51">
              <w:rPr>
                <w:snapToGrid w:val="0"/>
              </w:rPr>
              <w:t>Ordföranden konstaterade att det fanns stöd för regeringens ståndpunkt.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</w:p>
          <w:p w:rsidR="00B80D51" w:rsidRPr="00C94715" w:rsidRDefault="00B80D51" w:rsidP="00B80D51">
            <w:pPr>
              <w:pStyle w:val="Default"/>
              <w:rPr>
                <w:sz w:val="23"/>
                <w:szCs w:val="23"/>
              </w:rPr>
            </w:pPr>
            <w:r w:rsidRPr="00B80D51">
              <w:rPr>
                <w:sz w:val="23"/>
                <w:szCs w:val="23"/>
              </w:rPr>
              <w:t>Denna paragraf förklarades omedelbart justerad.</w:t>
            </w:r>
            <w:r>
              <w:rPr>
                <w:sz w:val="23"/>
                <w:szCs w:val="23"/>
              </w:rPr>
              <w:t xml:space="preserve"> </w:t>
            </w:r>
          </w:p>
          <w:p w:rsidR="003D631D" w:rsidRPr="003D631D" w:rsidRDefault="003D631D" w:rsidP="00C632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631D" w:rsidTr="0001177E">
        <w:tc>
          <w:tcPr>
            <w:tcW w:w="567" w:type="dxa"/>
          </w:tcPr>
          <w:p w:rsidR="003D631D" w:rsidRPr="003B4DE8" w:rsidRDefault="003D63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 xml:space="preserve">EU-överläggning om förnyelsen av det </w:t>
            </w:r>
            <w:proofErr w:type="gramStart"/>
            <w:r w:rsidRPr="003D631D">
              <w:rPr>
                <w:b/>
                <w:snapToGrid w:val="0"/>
              </w:rPr>
              <w:t>Europeiska</w:t>
            </w:r>
            <w:proofErr w:type="gramEnd"/>
            <w:r w:rsidR="00E644E1">
              <w:rPr>
                <w:b/>
                <w:snapToGrid w:val="0"/>
              </w:rPr>
              <w:t xml:space="preserve"> </w:t>
            </w:r>
            <w:r w:rsidRPr="003D631D">
              <w:rPr>
                <w:b/>
                <w:snapToGrid w:val="0"/>
              </w:rPr>
              <w:t>forskningsområdet</w:t>
            </w:r>
          </w:p>
          <w:p w:rsidR="00B7522F" w:rsidRPr="003D631D" w:rsidRDefault="00B7522F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1251" w:rsidRDefault="00EF1251" w:rsidP="00EF125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</w:t>
            </w:r>
            <w:r w:rsidRPr="003D631D">
              <w:rPr>
                <w:snapToGrid w:val="0"/>
              </w:rPr>
              <w:t xml:space="preserve">tatsrådet Matilda </w:t>
            </w:r>
            <w:proofErr w:type="spellStart"/>
            <w:r w:rsidRPr="003D631D">
              <w:rPr>
                <w:snapToGrid w:val="0"/>
              </w:rPr>
              <w:t>Ernkrans</w:t>
            </w:r>
            <w:proofErr w:type="spellEnd"/>
            <w:r w:rsidRPr="003D631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biträdd av </w:t>
            </w:r>
            <w:r w:rsidRPr="003D631D">
              <w:rPr>
                <w:snapToGrid w:val="0"/>
              </w:rPr>
              <w:t>politiskt sakkunnige Klas-Herman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Lundgren, ämnesrådet Per-Erik Yngwe, kanslirådet Mattias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Jennerholm och departementssekreterare Jessica Umegård</w:t>
            </w:r>
            <w:r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 xml:space="preserve">om förslag till förordning </w:t>
            </w:r>
            <w:r w:rsidR="00A5503C" w:rsidRPr="00A5503C">
              <w:rPr>
                <w:snapToGrid w:val="0"/>
              </w:rPr>
              <w:t>om förnyelsen av det</w:t>
            </w:r>
            <w:r w:rsidR="00E644E1">
              <w:rPr>
                <w:snapToGrid w:val="0"/>
              </w:rPr>
              <w:t xml:space="preserve"> </w:t>
            </w:r>
            <w:proofErr w:type="gramStart"/>
            <w:r w:rsidR="00A5503C" w:rsidRPr="00A5503C">
              <w:rPr>
                <w:snapToGrid w:val="0"/>
              </w:rPr>
              <w:t>Europeiska</w:t>
            </w:r>
            <w:proofErr w:type="gramEnd"/>
            <w:r w:rsidR="00A5503C" w:rsidRPr="00A5503C">
              <w:rPr>
                <w:snapToGrid w:val="0"/>
              </w:rPr>
              <w:t xml:space="preserve"> forskningsområdet</w:t>
            </w:r>
            <w:r>
              <w:rPr>
                <w:snapToGrid w:val="0"/>
              </w:rPr>
              <w:t>.</w:t>
            </w:r>
            <w:r w:rsidRPr="003D631D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Samtliga från</w:t>
            </w:r>
            <w:r w:rsidR="00E644E1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Utbildningsdepartementet deltog på distans.</w:t>
            </w:r>
          </w:p>
          <w:p w:rsidR="00EF1251" w:rsidRDefault="00EF1251" w:rsidP="00EF1251">
            <w:pPr>
              <w:tabs>
                <w:tab w:val="left" w:pos="1701"/>
              </w:tabs>
              <w:rPr>
                <w:snapToGrid w:val="0"/>
              </w:rPr>
            </w:pPr>
          </w:p>
          <w:p w:rsidR="00EF1251" w:rsidRPr="002E193D" w:rsidRDefault="00EF1251" w:rsidP="00EF1251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E193D">
              <w:rPr>
                <w:i/>
                <w:snapToGrid w:val="0"/>
              </w:rPr>
              <w:t>Underlag för överläggningen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Promemoria från Utbildningsdepartementet (</w:t>
            </w:r>
            <w:proofErr w:type="gramStart"/>
            <w:r w:rsidRPr="00C63268">
              <w:rPr>
                <w:snapToGrid w:val="0"/>
              </w:rPr>
              <w:t>1993-2020</w:t>
            </w:r>
            <w:proofErr w:type="gramEnd"/>
            <w:r w:rsidRPr="00C63268">
              <w:rPr>
                <w:snapToGrid w:val="0"/>
              </w:rPr>
              <w:t>/21)</w:t>
            </w:r>
          </w:p>
          <w:p w:rsidR="00EF1251" w:rsidRPr="00C63268" w:rsidRDefault="00EF1251" w:rsidP="00EF1251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EF1251" w:rsidRPr="00C63268" w:rsidRDefault="00EF1251" w:rsidP="00EF1251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63268">
              <w:rPr>
                <w:i/>
                <w:snapToGrid w:val="0"/>
              </w:rPr>
              <w:t>Regeringens förslag till svensk ståndpunkt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 xml:space="preserve">Regeringen anser att </w:t>
            </w:r>
            <w:proofErr w:type="gramStart"/>
            <w:r w:rsidRPr="00737EDE">
              <w:rPr>
                <w:snapToGrid w:val="0"/>
              </w:rPr>
              <w:t>Europeiska</w:t>
            </w:r>
            <w:proofErr w:type="gramEnd"/>
            <w:r w:rsidRPr="00737EDE">
              <w:rPr>
                <w:snapToGrid w:val="0"/>
              </w:rPr>
              <w:t xml:space="preserve"> forskningsområdet (ERA) är ett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viktigt gemensamt politiskt projekt och utvecklingen av ERA är av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stor betydelse för att skapandet av ny kunskap ska vara samhället och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dess invånare till nytta. ERA ska stärka EU:s globala konkurrenskraft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och näringslivets förmåga att möta olika samhällsutmaningar.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 xml:space="preserve">Regeringen anser att utvecklingen av </w:t>
            </w:r>
            <w:proofErr w:type="gramStart"/>
            <w:r w:rsidRPr="00737EDE">
              <w:rPr>
                <w:snapToGrid w:val="0"/>
              </w:rPr>
              <w:t>ERA fortsatt</w:t>
            </w:r>
            <w:proofErr w:type="gramEnd"/>
            <w:r w:rsidRPr="00737EDE">
              <w:rPr>
                <w:snapToGrid w:val="0"/>
              </w:rPr>
              <w:t xml:space="preserve"> ska bygga på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excellens</w:t>
            </w:r>
            <w:r w:rsidR="00E644E1">
              <w:rPr>
                <w:snapToGrid w:val="0"/>
              </w:rPr>
              <w:softHyphen/>
            </w:r>
            <w:r w:rsidRPr="00737EDE">
              <w:rPr>
                <w:snapToGrid w:val="0"/>
              </w:rPr>
              <w:t>principen. Principen om excellens innebär att de bästa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forskarna med de bästa idéerna i en ansökan för en utlysning får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finansiering, vilket bör vara en hörnsten för alla investeringar inom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ERA.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anser att framtida ERA ska kopplas närmare till andra EU</w:t>
            </w:r>
            <w:r>
              <w:rPr>
                <w:snapToGrid w:val="0"/>
              </w:rPr>
              <w:t>-</w:t>
            </w:r>
            <w:r w:rsidRPr="00737EDE">
              <w:rPr>
                <w:snapToGrid w:val="0"/>
              </w:rPr>
              <w:t>strategier</w:t>
            </w:r>
            <w:r>
              <w:rPr>
                <w:snapToGrid w:val="0"/>
              </w:rPr>
              <w:t xml:space="preserve"> </w:t>
            </w:r>
            <w:r w:rsidRPr="00737EDE">
              <w:rPr>
                <w:snapToGrid w:val="0"/>
              </w:rPr>
              <w:t>för att påvisa relevansen för andra politiska prioriteringar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lastRenderedPageBreak/>
              <w:t>inom exempelvis klimat, industri och utbildning. Utvecklingen av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framtida ERA bör främja EU:s gröna och digitala omställning.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konstaterar att många av åtgärderna för att utveckla ERA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ligger på nationell nivå, och att det ansvaret bör vara tydligt.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Nationella reformer för exempelvis jämställdhet och meritokratisk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rekrytering inom akademi jämte nationella investeringar mot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treprocentsmålet i alla länder inom ERA är en förutsättning för en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verklig inre marknad för kunskap och kunskapsarbetare. Nya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målsättningar för utvecklingen av ERA kan vara önskvärda.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anser att ERA ska som utgångspunkt vara öppet för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internationellt samarbete.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framhåller att jämställdhetsperspektivet är viktigt i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utvecklingen av det framtida ERA.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menar att det är viktigt med fortsatta</w:t>
            </w:r>
            <w:r w:rsidR="00E644E1">
              <w:rPr>
                <w:snapToGrid w:val="0"/>
              </w:rPr>
              <w:t xml:space="preserve"> </w:t>
            </w:r>
            <w:r w:rsidRPr="00737EDE">
              <w:rPr>
                <w:snapToGrid w:val="0"/>
              </w:rPr>
              <w:t>samordnings</w:t>
            </w:r>
            <w:r w:rsidR="00E644E1">
              <w:rPr>
                <w:snapToGrid w:val="0"/>
              </w:rPr>
              <w:softHyphen/>
            </w:r>
            <w:r w:rsidRPr="00737EDE">
              <w:rPr>
                <w:snapToGrid w:val="0"/>
              </w:rPr>
              <w:t>satsningar inom ERA gällande forskningsinfrastrukturer</w:t>
            </w:r>
            <w:r>
              <w:rPr>
                <w:snapToGrid w:val="0"/>
              </w:rPr>
              <w:t xml:space="preserve"> </w:t>
            </w:r>
            <w:r w:rsidRPr="00737EDE">
              <w:rPr>
                <w:snapToGrid w:val="0"/>
              </w:rPr>
              <w:t>och test-</w:t>
            </w:r>
            <w:r w:rsidR="00E644E1">
              <w:rPr>
                <w:snapToGrid w:val="0"/>
              </w:rPr>
              <w:t xml:space="preserve"> </w:t>
            </w:r>
            <w:r w:rsidRPr="00737EDE">
              <w:rPr>
                <w:snapToGrid w:val="0"/>
              </w:rPr>
              <w:t>och demomiljöer. ERA bör även bidra till en stark europeisk</w:t>
            </w:r>
            <w:r w:rsidR="00E644E1">
              <w:rPr>
                <w:snapToGrid w:val="0"/>
              </w:rPr>
              <w:t xml:space="preserve"> </w:t>
            </w:r>
            <w:r w:rsidRPr="00737EDE">
              <w:rPr>
                <w:snapToGrid w:val="0"/>
              </w:rPr>
              <w:t>industriell bas och tekniskt ledarskap.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anser att mobilitet och verktyg för det är viktiga för att nå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en verkningsfull inre marknad för kunskap och kunskapsarbetare.</w:t>
            </w:r>
          </w:p>
          <w:p w:rsid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Regeringen anser att ERA bör göras mer känt för allmänheten och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valda strategier bör ta hänsyn till möjliga effekter (</w:t>
            </w:r>
            <w:proofErr w:type="spellStart"/>
            <w:r w:rsidRPr="00737EDE">
              <w:rPr>
                <w:snapToGrid w:val="0"/>
              </w:rPr>
              <w:t>impact</w:t>
            </w:r>
            <w:proofErr w:type="spellEnd"/>
            <w:r w:rsidRPr="00737EDE">
              <w:rPr>
                <w:snapToGrid w:val="0"/>
              </w:rPr>
              <w:t>) på</w:t>
            </w:r>
          </w:p>
          <w:p w:rsidR="00C63268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  <w:r w:rsidRPr="00737EDE">
              <w:rPr>
                <w:snapToGrid w:val="0"/>
              </w:rPr>
              <w:t>samhället och invånarna i stort.</w:t>
            </w:r>
          </w:p>
          <w:p w:rsidR="00737EDE" w:rsidRPr="00737EDE" w:rsidRDefault="00737EDE" w:rsidP="00737EDE">
            <w:pPr>
              <w:tabs>
                <w:tab w:val="left" w:pos="1701"/>
              </w:tabs>
              <w:rPr>
                <w:snapToGrid w:val="0"/>
              </w:rPr>
            </w:pPr>
          </w:p>
          <w:p w:rsidR="00C94715" w:rsidRPr="00C94715" w:rsidRDefault="00C94715" w:rsidP="00C947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94715">
              <w:rPr>
                <w:i/>
                <w:snapToGrid w:val="0"/>
              </w:rPr>
              <w:t>Utskottet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  <w:r w:rsidRPr="00B80D51">
              <w:rPr>
                <w:snapToGrid w:val="0"/>
              </w:rPr>
              <w:t>Ordföranden konstaterade att det fanns stöd för regeringens ståndpunkt.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</w:p>
          <w:p w:rsidR="00B80D51" w:rsidRPr="00C94715" w:rsidRDefault="00B80D51" w:rsidP="00B80D51">
            <w:pPr>
              <w:pStyle w:val="Default"/>
              <w:rPr>
                <w:sz w:val="23"/>
                <w:szCs w:val="23"/>
              </w:rPr>
            </w:pPr>
            <w:r w:rsidRPr="00B80D51">
              <w:rPr>
                <w:sz w:val="23"/>
                <w:szCs w:val="23"/>
              </w:rPr>
              <w:t>Denna paragraf förklarades omedelbart justerad.</w:t>
            </w:r>
            <w:r>
              <w:rPr>
                <w:sz w:val="23"/>
                <w:szCs w:val="23"/>
              </w:rPr>
              <w:t xml:space="preserve"> </w:t>
            </w:r>
          </w:p>
          <w:p w:rsid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631D" w:rsidTr="0001177E">
        <w:tc>
          <w:tcPr>
            <w:tcW w:w="567" w:type="dxa"/>
          </w:tcPr>
          <w:p w:rsidR="003D631D" w:rsidRPr="003B4DE8" w:rsidRDefault="003D63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193D" w:rsidRDefault="002E193D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 xml:space="preserve">EU-överläggning om rådsslutsatser om New Space for </w:t>
            </w:r>
            <w:proofErr w:type="spellStart"/>
            <w:r w:rsidRPr="003D631D">
              <w:rPr>
                <w:b/>
                <w:snapToGrid w:val="0"/>
              </w:rPr>
              <w:t>People</w:t>
            </w:r>
            <w:proofErr w:type="spellEnd"/>
          </w:p>
          <w:p w:rsidR="00B7522F" w:rsidRPr="003D631D" w:rsidRDefault="00B7522F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5503C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</w:t>
            </w:r>
            <w:r w:rsidRPr="003D631D">
              <w:rPr>
                <w:snapToGrid w:val="0"/>
              </w:rPr>
              <w:t xml:space="preserve">tatsrådet Matilda </w:t>
            </w:r>
            <w:proofErr w:type="spellStart"/>
            <w:r w:rsidRPr="003D631D">
              <w:rPr>
                <w:snapToGrid w:val="0"/>
              </w:rPr>
              <w:t>Ernkrans</w:t>
            </w:r>
            <w:proofErr w:type="spellEnd"/>
            <w:r w:rsidRPr="003D631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biträdd av </w:t>
            </w:r>
            <w:r w:rsidRPr="003D631D">
              <w:rPr>
                <w:snapToGrid w:val="0"/>
              </w:rPr>
              <w:t>politiskt sakkunnige Klas-Herman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Lundgren, ämnesrådet Per-Erik Yngwe, kanslirådet Mattias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Jennerholm och departementssekreterare Jessica Umegård</w:t>
            </w:r>
            <w:r>
              <w:rPr>
                <w:snapToGrid w:val="0"/>
              </w:rPr>
              <w:t xml:space="preserve"> </w:t>
            </w:r>
            <w:r w:rsidRPr="00A5503C">
              <w:rPr>
                <w:snapToGrid w:val="0"/>
              </w:rPr>
              <w:t xml:space="preserve">om rådsslutsatser om New Space for </w:t>
            </w:r>
            <w:proofErr w:type="spellStart"/>
            <w:r w:rsidRPr="00A5503C">
              <w:rPr>
                <w:snapToGrid w:val="0"/>
              </w:rPr>
              <w:t>People</w:t>
            </w:r>
            <w:proofErr w:type="spellEnd"/>
            <w:r>
              <w:rPr>
                <w:snapToGrid w:val="0"/>
              </w:rPr>
              <w:t>.</w:t>
            </w:r>
            <w:r w:rsidR="00E309D9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Samtliga från Utbildningsdepartementet deltog på distans.</w:t>
            </w:r>
          </w:p>
          <w:p w:rsidR="00A5503C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</w:p>
          <w:p w:rsidR="00A5503C" w:rsidRPr="002E193D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E193D">
              <w:rPr>
                <w:i/>
                <w:snapToGrid w:val="0"/>
              </w:rPr>
              <w:t>Underlag för överläggningen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Promemoria från Utbildningsdepartementet (</w:t>
            </w:r>
            <w:proofErr w:type="gramStart"/>
            <w:r w:rsidRPr="00C63268">
              <w:rPr>
                <w:snapToGrid w:val="0"/>
              </w:rPr>
              <w:t>1994-2020</w:t>
            </w:r>
            <w:proofErr w:type="gramEnd"/>
            <w:r w:rsidRPr="00C63268">
              <w:rPr>
                <w:snapToGrid w:val="0"/>
              </w:rPr>
              <w:t>/21)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Rådsdokument ST 8385/21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A5503C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63268">
              <w:rPr>
                <w:i/>
                <w:snapToGrid w:val="0"/>
              </w:rPr>
              <w:t>Regeringens förslag till svensk ståndpunkt</w:t>
            </w: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t>Rådsslutsatserna ligger väl i linje med den svenska rymdstrategins</w:t>
            </w: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t>prioriteringar.</w:t>
            </w:r>
          </w:p>
          <w:p w:rsid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lastRenderedPageBreak/>
              <w:t>Rådsslutsatserna ger en rimlig och rättvisande beskrivning av den</w:t>
            </w: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t>europeiska rymdverksamhetens utveckling, behov och möjligheter att</w:t>
            </w: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t>bidra till ett hållbart samhälle, miljö och klimat, samt ekonomi, mot</w:t>
            </w: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t>bakgrund av den globala utvecklingen.</w:t>
            </w:r>
          </w:p>
          <w:p w:rsid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</w:p>
          <w:p w:rsid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  <w:r w:rsidRPr="00DE5198">
              <w:rPr>
                <w:snapToGrid w:val="0"/>
              </w:rPr>
              <w:t>De ställningstaganden som anges i den senaste versionen av</w:t>
            </w:r>
            <w:r w:rsidR="00E309D9">
              <w:rPr>
                <w:snapToGrid w:val="0"/>
              </w:rPr>
              <w:t xml:space="preserve"> </w:t>
            </w:r>
            <w:r w:rsidRPr="00DE5198">
              <w:rPr>
                <w:snapToGrid w:val="0"/>
              </w:rPr>
              <w:t>rådsslutsatserna är väl valda och regeringen föreslår att</w:t>
            </w:r>
            <w:r w:rsidR="00E309D9">
              <w:rPr>
                <w:snapToGrid w:val="0"/>
              </w:rPr>
              <w:t xml:space="preserve"> </w:t>
            </w:r>
            <w:r w:rsidRPr="00DE5198">
              <w:rPr>
                <w:snapToGrid w:val="0"/>
              </w:rPr>
              <w:t>rådsslutsatserna</w:t>
            </w:r>
            <w:r>
              <w:rPr>
                <w:snapToGrid w:val="0"/>
              </w:rPr>
              <w:t xml:space="preserve"> </w:t>
            </w:r>
            <w:r w:rsidRPr="00DE5198">
              <w:rPr>
                <w:snapToGrid w:val="0"/>
              </w:rPr>
              <w:t>som helhet kan stödjas.</w:t>
            </w:r>
          </w:p>
          <w:p w:rsidR="00DE5198" w:rsidRPr="00DE5198" w:rsidRDefault="00DE5198" w:rsidP="00DE5198">
            <w:pPr>
              <w:tabs>
                <w:tab w:val="left" w:pos="1701"/>
              </w:tabs>
              <w:rPr>
                <w:snapToGrid w:val="0"/>
              </w:rPr>
            </w:pPr>
          </w:p>
          <w:p w:rsidR="00C94715" w:rsidRPr="00C94715" w:rsidRDefault="00C94715" w:rsidP="00C947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94715">
              <w:rPr>
                <w:i/>
                <w:snapToGrid w:val="0"/>
              </w:rPr>
              <w:t>Utskottet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  <w:r w:rsidRPr="00B80D51">
              <w:rPr>
                <w:snapToGrid w:val="0"/>
              </w:rPr>
              <w:t>Ordföranden konstaterade att det fanns stöd för regeringens ståndpunkt.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</w:p>
          <w:p w:rsidR="00B80D51" w:rsidRPr="00C94715" w:rsidRDefault="00B80D51" w:rsidP="00B80D51">
            <w:pPr>
              <w:pStyle w:val="Default"/>
              <w:rPr>
                <w:sz w:val="23"/>
                <w:szCs w:val="23"/>
              </w:rPr>
            </w:pPr>
            <w:r w:rsidRPr="00B80D51">
              <w:rPr>
                <w:sz w:val="23"/>
                <w:szCs w:val="23"/>
              </w:rPr>
              <w:t>Denna paragraf förklarades omedelbart justerad.</w:t>
            </w:r>
            <w:r>
              <w:rPr>
                <w:sz w:val="23"/>
                <w:szCs w:val="23"/>
              </w:rPr>
              <w:t xml:space="preserve"> </w:t>
            </w:r>
          </w:p>
          <w:p w:rsidR="003D631D" w:rsidRDefault="003D631D" w:rsidP="00A550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631D" w:rsidTr="0001177E">
        <w:tc>
          <w:tcPr>
            <w:tcW w:w="567" w:type="dxa"/>
          </w:tcPr>
          <w:p w:rsidR="003D631D" w:rsidRPr="003B4DE8" w:rsidRDefault="003D63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193D" w:rsidRPr="003D631D" w:rsidRDefault="002E193D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EU-överläggning om rådsslutsatser om rymdverksamhetens</w:t>
            </w:r>
          </w:p>
          <w:p w:rsidR="002E193D" w:rsidRDefault="002E193D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nytta för människor i europeiska kustområden</w:t>
            </w:r>
          </w:p>
          <w:p w:rsidR="00B7522F" w:rsidRPr="003D631D" w:rsidRDefault="00B7522F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5503C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</w:t>
            </w:r>
            <w:r w:rsidRPr="003D631D">
              <w:rPr>
                <w:snapToGrid w:val="0"/>
              </w:rPr>
              <w:t xml:space="preserve">tatsrådet Matilda </w:t>
            </w:r>
            <w:proofErr w:type="spellStart"/>
            <w:r w:rsidRPr="003D631D">
              <w:rPr>
                <w:snapToGrid w:val="0"/>
              </w:rPr>
              <w:t>Ernkrans</w:t>
            </w:r>
            <w:proofErr w:type="spellEnd"/>
            <w:r w:rsidRPr="003D631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biträdd av </w:t>
            </w:r>
            <w:r w:rsidRPr="003D631D">
              <w:rPr>
                <w:snapToGrid w:val="0"/>
              </w:rPr>
              <w:t>politiskt sakkunnige Klas-Herman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Lundgren, ämnesrådet Per-Erik Yngwe, kanslirådet Mattias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Jennerholm och departementssekreterare Jessica Umegård</w:t>
            </w:r>
            <w:r>
              <w:rPr>
                <w:snapToGrid w:val="0"/>
              </w:rPr>
              <w:t xml:space="preserve"> </w:t>
            </w:r>
            <w:r w:rsidRPr="00A5503C">
              <w:rPr>
                <w:snapToGrid w:val="0"/>
              </w:rPr>
              <w:t>om rådsslutsatser om rymdverksamhetens</w:t>
            </w:r>
            <w:r w:rsidR="00F72D5E">
              <w:rPr>
                <w:snapToGrid w:val="0"/>
              </w:rPr>
              <w:t xml:space="preserve"> </w:t>
            </w:r>
            <w:r w:rsidRPr="00A5503C">
              <w:rPr>
                <w:snapToGrid w:val="0"/>
              </w:rPr>
              <w:t>nytta för människor i europeiska kustområden</w:t>
            </w:r>
            <w:r>
              <w:rPr>
                <w:snapToGrid w:val="0"/>
              </w:rPr>
              <w:t>.</w:t>
            </w:r>
            <w:r w:rsidRPr="003D631D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Samtliga från Utbildningsdepartementet deltog på distans.</w:t>
            </w:r>
          </w:p>
          <w:p w:rsidR="00A5503C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</w:p>
          <w:p w:rsidR="00A5503C" w:rsidRPr="002E193D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E193D">
              <w:rPr>
                <w:i/>
                <w:snapToGrid w:val="0"/>
              </w:rPr>
              <w:t>Underlag för överläggningen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Promemoria från Utbildningsdepartementet (</w:t>
            </w:r>
            <w:proofErr w:type="gramStart"/>
            <w:r w:rsidRPr="00C63268">
              <w:rPr>
                <w:snapToGrid w:val="0"/>
              </w:rPr>
              <w:t>1995-2020</w:t>
            </w:r>
            <w:proofErr w:type="gramEnd"/>
            <w:r w:rsidRPr="00C63268">
              <w:rPr>
                <w:snapToGrid w:val="0"/>
              </w:rPr>
              <w:t>/21)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Rådsdokument ST 8458/21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63268">
              <w:rPr>
                <w:i/>
                <w:snapToGrid w:val="0"/>
              </w:rPr>
              <w:t>Regeringens förslag till svensk ståndpunkt</w:t>
            </w:r>
          </w:p>
          <w:p w:rsidR="00C20D84" w:rsidRP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  <w:r w:rsidRPr="00C20D84">
              <w:rPr>
                <w:snapToGrid w:val="0"/>
              </w:rPr>
              <w:t>Rådsslutsatserna ligger väl i linje med den svenska rymdstrategins</w:t>
            </w:r>
          </w:p>
          <w:p w:rsidR="00C20D84" w:rsidRP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  <w:r w:rsidRPr="00C20D84">
              <w:rPr>
                <w:snapToGrid w:val="0"/>
              </w:rPr>
              <w:t>prioriteringar, inte minst när det gäller de möjligheter som ökad</w:t>
            </w:r>
          </w:p>
          <w:p w:rsidR="00C20D84" w:rsidRP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  <w:r w:rsidRPr="00C20D84">
              <w:rPr>
                <w:snapToGrid w:val="0"/>
              </w:rPr>
              <w:t>användning av satellitdata erbjuder för samhällsutvecklingen för</w:t>
            </w:r>
            <w:r w:rsidR="00F72D5E"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Sverige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och andra europeiska kustnationer.</w:t>
            </w:r>
          </w:p>
          <w:p w:rsid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</w:p>
          <w:p w:rsidR="00C20D84" w:rsidRP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  <w:r w:rsidRPr="00C20D84">
              <w:rPr>
                <w:snapToGrid w:val="0"/>
              </w:rPr>
              <w:t>Rådsslutsatserna ger en rimlig och utvecklingsinriktad beskrivning av den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europeiska rymdverksamhetens, särskilt genom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Copernicus</w:t>
            </w:r>
            <w:r>
              <w:rPr>
                <w:snapToGrid w:val="0"/>
              </w:rPr>
              <w:softHyphen/>
            </w:r>
            <w:r w:rsidRPr="00C20D84">
              <w:rPr>
                <w:snapToGrid w:val="0"/>
              </w:rPr>
              <w:t>programmet,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möjligheter att i större utsträckning bidra till insatser för samhälle, miljö,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klimat och ekonomi, i de europeiska kustområdena med beaktande av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dessa områdens särskilda karaktär och behov.</w:t>
            </w:r>
          </w:p>
          <w:p w:rsid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</w:p>
          <w:p w:rsidR="00C20D84" w:rsidRP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  <w:r w:rsidRPr="00C20D84">
              <w:rPr>
                <w:snapToGrid w:val="0"/>
              </w:rPr>
              <w:t>De ställningstaganden som anges i den senaste versionen av</w:t>
            </w:r>
          </w:p>
          <w:p w:rsidR="00C63268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  <w:r w:rsidRPr="00C20D84">
              <w:rPr>
                <w:snapToGrid w:val="0"/>
              </w:rPr>
              <w:t>rådsslutsatserna är väl valda och regeringen föreslår att rådsslutsatserna</w:t>
            </w:r>
            <w:r>
              <w:rPr>
                <w:snapToGrid w:val="0"/>
              </w:rPr>
              <w:t xml:space="preserve"> </w:t>
            </w:r>
            <w:r w:rsidRPr="00C20D84">
              <w:rPr>
                <w:snapToGrid w:val="0"/>
              </w:rPr>
              <w:t>som helhet kan stödjas.</w:t>
            </w:r>
          </w:p>
          <w:p w:rsidR="00C20D84" w:rsidRDefault="00C20D84" w:rsidP="00C20D84">
            <w:pPr>
              <w:tabs>
                <w:tab w:val="left" w:pos="1701"/>
              </w:tabs>
              <w:rPr>
                <w:snapToGrid w:val="0"/>
              </w:rPr>
            </w:pPr>
          </w:p>
          <w:p w:rsidR="00C94715" w:rsidRPr="00C94715" w:rsidRDefault="00C94715" w:rsidP="00C947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94715">
              <w:rPr>
                <w:i/>
                <w:snapToGrid w:val="0"/>
              </w:rPr>
              <w:t>Utskottet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  <w:r w:rsidRPr="00B80D51">
              <w:rPr>
                <w:snapToGrid w:val="0"/>
              </w:rPr>
              <w:t>Ordföranden konstaterade att det fanns stöd för regeringens ståndpunkt.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</w:p>
          <w:p w:rsidR="00B80D51" w:rsidRPr="00C94715" w:rsidRDefault="00B80D51" w:rsidP="00B80D51">
            <w:pPr>
              <w:pStyle w:val="Default"/>
              <w:rPr>
                <w:sz w:val="23"/>
                <w:szCs w:val="23"/>
              </w:rPr>
            </w:pPr>
            <w:r w:rsidRPr="00B80D51">
              <w:rPr>
                <w:sz w:val="23"/>
                <w:szCs w:val="23"/>
              </w:rPr>
              <w:t>Denna paragraf förklarades omedelbart justerad.</w:t>
            </w:r>
            <w:r>
              <w:rPr>
                <w:sz w:val="23"/>
                <w:szCs w:val="23"/>
              </w:rPr>
              <w:t xml:space="preserve"> </w:t>
            </w:r>
          </w:p>
          <w:p w:rsidR="002E193D" w:rsidRDefault="002E193D" w:rsidP="00A550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631D" w:rsidTr="0001177E">
        <w:tc>
          <w:tcPr>
            <w:tcW w:w="567" w:type="dxa"/>
          </w:tcPr>
          <w:p w:rsidR="003D631D" w:rsidRPr="003B4DE8" w:rsidRDefault="003D63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E193D" w:rsidRDefault="002E193D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631D">
              <w:rPr>
                <w:b/>
                <w:snapToGrid w:val="0"/>
              </w:rPr>
              <w:t>EU-överläggning om rymdtrafikledning</w:t>
            </w:r>
          </w:p>
          <w:p w:rsidR="00B7522F" w:rsidRPr="003D631D" w:rsidRDefault="00B7522F" w:rsidP="002E19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5503C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överlade med s</w:t>
            </w:r>
            <w:r w:rsidRPr="003D631D">
              <w:rPr>
                <w:snapToGrid w:val="0"/>
              </w:rPr>
              <w:t xml:space="preserve">tatsrådet Matilda </w:t>
            </w:r>
            <w:proofErr w:type="spellStart"/>
            <w:r w:rsidRPr="003D631D">
              <w:rPr>
                <w:snapToGrid w:val="0"/>
              </w:rPr>
              <w:t>Ernkrans</w:t>
            </w:r>
            <w:proofErr w:type="spellEnd"/>
            <w:r w:rsidRPr="003D631D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biträdd av </w:t>
            </w:r>
            <w:r w:rsidRPr="003D631D">
              <w:rPr>
                <w:snapToGrid w:val="0"/>
              </w:rPr>
              <w:t>politiskt sakkunnige Klas-Herman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Lundgren, ämnesrådet Per-Erik Yngwe, kanslirådet Mattias</w:t>
            </w:r>
            <w:r>
              <w:rPr>
                <w:snapToGrid w:val="0"/>
              </w:rPr>
              <w:t xml:space="preserve"> </w:t>
            </w:r>
            <w:r w:rsidRPr="003D631D">
              <w:rPr>
                <w:snapToGrid w:val="0"/>
              </w:rPr>
              <w:t>Jennerholm och departementssekreterare Jessica Umegård</w:t>
            </w:r>
            <w:r>
              <w:rPr>
                <w:snapToGrid w:val="0"/>
              </w:rPr>
              <w:t xml:space="preserve"> </w:t>
            </w:r>
            <w:r w:rsidRPr="00A5503C">
              <w:rPr>
                <w:snapToGrid w:val="0"/>
              </w:rPr>
              <w:t>om rymdtrafikledning</w:t>
            </w:r>
            <w:r>
              <w:rPr>
                <w:snapToGrid w:val="0"/>
              </w:rPr>
              <w:t>.</w:t>
            </w:r>
            <w:r w:rsidRPr="003D631D">
              <w:rPr>
                <w:snapToGrid w:val="0"/>
              </w:rPr>
              <w:t xml:space="preserve"> </w:t>
            </w:r>
            <w:r w:rsidRPr="002E193D">
              <w:rPr>
                <w:snapToGrid w:val="0"/>
              </w:rPr>
              <w:t>Samtliga från Utbildningsdepartementet deltog på distans.</w:t>
            </w:r>
          </w:p>
          <w:p w:rsidR="00A5503C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</w:p>
          <w:p w:rsidR="00A5503C" w:rsidRPr="002E193D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E193D">
              <w:rPr>
                <w:i/>
                <w:snapToGrid w:val="0"/>
              </w:rPr>
              <w:t>Underlag för överläggningen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snapToGrid w:val="0"/>
              </w:rPr>
            </w:pPr>
            <w:r w:rsidRPr="00C63268">
              <w:rPr>
                <w:snapToGrid w:val="0"/>
              </w:rPr>
              <w:t>Promemoria från Utbildningsdepartementet (</w:t>
            </w:r>
            <w:proofErr w:type="gramStart"/>
            <w:r w:rsidRPr="00C63268">
              <w:rPr>
                <w:snapToGrid w:val="0"/>
              </w:rPr>
              <w:t>1996-2020</w:t>
            </w:r>
            <w:proofErr w:type="gramEnd"/>
            <w:r w:rsidRPr="00C63268">
              <w:rPr>
                <w:snapToGrid w:val="0"/>
              </w:rPr>
              <w:t>/21)</w:t>
            </w:r>
          </w:p>
          <w:p w:rsidR="00A5503C" w:rsidRPr="00C63268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C63268" w:rsidRDefault="00A5503C" w:rsidP="00A5503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63268">
              <w:rPr>
                <w:i/>
                <w:snapToGrid w:val="0"/>
              </w:rPr>
              <w:t>Regeringens förslag till svensk ståndpunkt</w:t>
            </w: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Rymden och rymdverksamhetens betydelse för olika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samhälls</w:t>
            </w:r>
            <w:r>
              <w:rPr>
                <w:snapToGrid w:val="0"/>
              </w:rPr>
              <w:softHyphen/>
            </w:r>
            <w:r w:rsidRPr="004D1D2C">
              <w:rPr>
                <w:snapToGrid w:val="0"/>
              </w:rPr>
              <w:t>funktioner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växer på många områden, t.ex. för kommunikation,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navigation, finansiella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transaktioner, jordobservation och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klimat</w:t>
            </w:r>
            <w:r>
              <w:rPr>
                <w:snapToGrid w:val="0"/>
              </w:rPr>
              <w:softHyphen/>
            </w:r>
            <w:r w:rsidRPr="004D1D2C">
              <w:rPr>
                <w:snapToGrid w:val="0"/>
              </w:rPr>
              <w:t>övervakning. Samhället har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därför blivit allt mer beroende av de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tjänster och funktioner som det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ökande antalet satelliter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tillhandahåller.</w:t>
            </w:r>
          </w:p>
          <w:p w:rsid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Rymdverksamhet har också utrikes-, säkerhets- och försvarspolitiska</w:t>
            </w: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dimensioner, vilket blir mer påtagligt när allt fler aktörer engagerar sig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rymden.</w:t>
            </w:r>
          </w:p>
          <w:p w:rsid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Rymdverksamhet måste bedrivas med nyttan för samhället i fokus där</w:t>
            </w: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bl.a. möjligheterna att bidra till Agenda 2030 tas till vara.</w:t>
            </w:r>
          </w:p>
          <w:p w:rsid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Det har därmed blivit viktigare att vi skyddar rymdmiljön och bidrar till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ett långsiktigt hållbart och fredligt nyttjande av rymden för att säkerställa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tillgången till den.</w:t>
            </w:r>
          </w:p>
          <w:p w:rsid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</w:p>
          <w:p w:rsid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  <w:r w:rsidRPr="004D1D2C">
              <w:rPr>
                <w:snapToGrid w:val="0"/>
              </w:rPr>
              <w:t>Utveckling av en gemensam STM-strategi för Europa vore ett viktigt steg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framåt som en utgångspunkt för internationella diskussioner i frågan och</w:t>
            </w:r>
            <w:r>
              <w:rPr>
                <w:snapToGrid w:val="0"/>
              </w:rPr>
              <w:t xml:space="preserve"> </w:t>
            </w:r>
            <w:r w:rsidRPr="004D1D2C">
              <w:rPr>
                <w:snapToGrid w:val="0"/>
              </w:rPr>
              <w:t>för hållbar rymdverksamhet även i framtiden.</w:t>
            </w:r>
          </w:p>
          <w:p w:rsidR="004D1D2C" w:rsidRPr="004D1D2C" w:rsidRDefault="004D1D2C" w:rsidP="004D1D2C">
            <w:pPr>
              <w:tabs>
                <w:tab w:val="left" w:pos="1701"/>
              </w:tabs>
              <w:rPr>
                <w:snapToGrid w:val="0"/>
              </w:rPr>
            </w:pPr>
          </w:p>
          <w:p w:rsidR="00C94715" w:rsidRPr="00C94715" w:rsidRDefault="00C94715" w:rsidP="00C9471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94715">
              <w:rPr>
                <w:i/>
                <w:snapToGrid w:val="0"/>
              </w:rPr>
              <w:t>Utskottet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  <w:r w:rsidRPr="00B80D51">
              <w:rPr>
                <w:snapToGrid w:val="0"/>
              </w:rPr>
              <w:t>Ordföranden konstaterade att det fanns stöd för regeringens ståndpunkt.</w:t>
            </w:r>
          </w:p>
          <w:p w:rsidR="00B80D51" w:rsidRPr="00B80D51" w:rsidRDefault="00B80D51" w:rsidP="00B80D51">
            <w:pPr>
              <w:tabs>
                <w:tab w:val="left" w:pos="1701"/>
              </w:tabs>
              <w:rPr>
                <w:snapToGrid w:val="0"/>
              </w:rPr>
            </w:pPr>
          </w:p>
          <w:p w:rsidR="00B80D51" w:rsidRPr="00C94715" w:rsidRDefault="00B80D51" w:rsidP="00B80D51">
            <w:pPr>
              <w:pStyle w:val="Default"/>
              <w:rPr>
                <w:sz w:val="23"/>
                <w:szCs w:val="23"/>
              </w:rPr>
            </w:pPr>
            <w:r w:rsidRPr="00B80D51">
              <w:rPr>
                <w:sz w:val="23"/>
                <w:szCs w:val="23"/>
              </w:rPr>
              <w:t>Denna paragraf förklarades omedelbart justerad.</w:t>
            </w:r>
            <w:r>
              <w:rPr>
                <w:sz w:val="23"/>
                <w:szCs w:val="23"/>
              </w:rPr>
              <w:t xml:space="preserve"> </w:t>
            </w:r>
          </w:p>
          <w:p w:rsidR="003D631D" w:rsidRDefault="003D631D" w:rsidP="00A550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631D" w:rsidTr="0001177E">
        <w:tc>
          <w:tcPr>
            <w:tcW w:w="567" w:type="dxa"/>
          </w:tcPr>
          <w:p w:rsidR="003D631D" w:rsidRPr="003B4DE8" w:rsidRDefault="003D63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D631D" w:rsidRDefault="003D631D" w:rsidP="003D63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D631D" w:rsidRDefault="003D631D" w:rsidP="003D631D">
            <w:pPr>
              <w:tabs>
                <w:tab w:val="left" w:pos="1701"/>
              </w:tabs>
              <w:rPr>
                <w:snapToGrid w:val="0"/>
              </w:rPr>
            </w:pPr>
          </w:p>
          <w:p w:rsidR="003D631D" w:rsidRDefault="003D631D" w:rsidP="003D631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2020/21:38.</w:t>
            </w:r>
          </w:p>
          <w:p w:rsidR="003D631D" w:rsidRPr="003D631D" w:rsidRDefault="003D631D" w:rsidP="003D631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1F1D2F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90098" w:rsidTr="00E309D9">
        <w:tc>
          <w:tcPr>
            <w:tcW w:w="567" w:type="dxa"/>
          </w:tcPr>
          <w:p w:rsidR="00690098" w:rsidRPr="00D91756" w:rsidRDefault="00690098" w:rsidP="00E309D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</w:t>
            </w:r>
          </w:p>
        </w:tc>
        <w:tc>
          <w:tcPr>
            <w:tcW w:w="6946" w:type="dxa"/>
            <w:gridSpan w:val="2"/>
          </w:tcPr>
          <w:p w:rsidR="00690098" w:rsidRDefault="00690098" w:rsidP="00E309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Ungdomspolitisk skrivelse (UbU6y)</w:t>
            </w:r>
          </w:p>
          <w:p w:rsidR="00690098" w:rsidRDefault="00690098" w:rsidP="00E309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0098" w:rsidRDefault="00690098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4C7A">
              <w:rPr>
                <w:bCs/>
                <w:color w:val="000000"/>
                <w:szCs w:val="24"/>
              </w:rPr>
              <w:t xml:space="preserve">Utskottet fortsatte behandlingen av frågan om yttrande till </w:t>
            </w:r>
            <w:r w:rsidRPr="00634C7A">
              <w:rPr>
                <w:bCs/>
                <w:color w:val="000000"/>
                <w:szCs w:val="24"/>
              </w:rPr>
              <w:lastRenderedPageBreak/>
              <w:t>kulturutskottet</w:t>
            </w:r>
            <w:r>
              <w:rPr>
                <w:bCs/>
                <w:color w:val="000000"/>
                <w:szCs w:val="24"/>
              </w:rPr>
              <w:t xml:space="preserve"> över skrivelse 2020/21:105 och motioner.</w:t>
            </w:r>
          </w:p>
          <w:p w:rsidR="00690098" w:rsidRDefault="00690098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90098" w:rsidRDefault="00690098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yttrande 2020/</w:t>
            </w:r>
            <w:proofErr w:type="gramStart"/>
            <w:r>
              <w:rPr>
                <w:bCs/>
                <w:color w:val="000000"/>
                <w:szCs w:val="24"/>
              </w:rPr>
              <w:t>21:UbU</w:t>
            </w:r>
            <w:proofErr w:type="gramEnd"/>
            <w:r>
              <w:rPr>
                <w:bCs/>
                <w:color w:val="000000"/>
                <w:szCs w:val="24"/>
              </w:rPr>
              <w:t>6y</w:t>
            </w:r>
            <w:r w:rsidR="00B753CA">
              <w:rPr>
                <w:bCs/>
                <w:color w:val="000000"/>
                <w:szCs w:val="24"/>
              </w:rPr>
              <w:t>.</w:t>
            </w:r>
          </w:p>
          <w:p w:rsidR="00B753CA" w:rsidRDefault="00B753CA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753CA" w:rsidRPr="00634C7A" w:rsidRDefault="00B753CA" w:rsidP="00B753C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 och KD</w:t>
            </w:r>
            <w:r w:rsidRPr="00793CD3">
              <w:rPr>
                <w:color w:val="000000"/>
                <w:szCs w:val="24"/>
              </w:rPr>
              <w:t>-ledamöterna</w:t>
            </w:r>
            <w:r>
              <w:rPr>
                <w:szCs w:val="26"/>
              </w:rPr>
              <w:t xml:space="preserve"> anmälde avvikande meningar. </w:t>
            </w:r>
            <w:r>
              <w:rPr>
                <w:color w:val="000000"/>
                <w:szCs w:val="24"/>
                <w:highlight w:val="yellow"/>
              </w:rPr>
              <w:br/>
            </w:r>
            <w:r w:rsidRPr="00793CD3">
              <w:rPr>
                <w:color w:val="000000"/>
                <w:szCs w:val="24"/>
              </w:rPr>
              <w:t>M-ledamöterna</w:t>
            </w:r>
            <w:r w:rsidRPr="00793CD3">
              <w:rPr>
                <w:szCs w:val="26"/>
              </w:rPr>
              <w:t xml:space="preserve"> a</w:t>
            </w:r>
            <w:r>
              <w:rPr>
                <w:szCs w:val="26"/>
              </w:rPr>
              <w:t>nmälde ett särskilt yttrande.</w:t>
            </w:r>
          </w:p>
        </w:tc>
      </w:tr>
      <w:tr w:rsidR="00690098" w:rsidTr="00E309D9">
        <w:tc>
          <w:tcPr>
            <w:tcW w:w="567" w:type="dxa"/>
          </w:tcPr>
          <w:p w:rsidR="00690098" w:rsidRPr="00D91756" w:rsidRDefault="00690098" w:rsidP="00E309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90098" w:rsidRDefault="00690098" w:rsidP="00E309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90098" w:rsidTr="00E309D9">
        <w:tc>
          <w:tcPr>
            <w:tcW w:w="567" w:type="dxa"/>
          </w:tcPr>
          <w:p w:rsidR="00690098" w:rsidRPr="00D91756" w:rsidRDefault="00690098" w:rsidP="00E309D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90098" w:rsidRDefault="00690098" w:rsidP="00E309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Barns och ungas läsning (UbU7y)</w:t>
            </w:r>
          </w:p>
          <w:p w:rsidR="00690098" w:rsidRDefault="00690098" w:rsidP="00E309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90098" w:rsidRDefault="00690098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4C7A">
              <w:rPr>
                <w:bCs/>
                <w:color w:val="000000"/>
                <w:szCs w:val="24"/>
              </w:rPr>
              <w:t>Utskottet fortsatte behandlingen av frågan om yttrande till kulturutskottet</w:t>
            </w:r>
            <w:r>
              <w:rPr>
                <w:bCs/>
                <w:color w:val="000000"/>
                <w:szCs w:val="24"/>
              </w:rPr>
              <w:t xml:space="preserve"> över skrivelse 2020/21:95 och motioner.</w:t>
            </w:r>
          </w:p>
          <w:p w:rsidR="00690098" w:rsidRDefault="00690098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90098" w:rsidRDefault="00690098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yttrande 2020/</w:t>
            </w:r>
            <w:proofErr w:type="gramStart"/>
            <w:r>
              <w:rPr>
                <w:bCs/>
                <w:color w:val="000000"/>
                <w:szCs w:val="24"/>
              </w:rPr>
              <w:t>21:UbU</w:t>
            </w:r>
            <w:proofErr w:type="gramEnd"/>
            <w:r>
              <w:rPr>
                <w:bCs/>
                <w:color w:val="000000"/>
                <w:szCs w:val="24"/>
              </w:rPr>
              <w:t>7y.</w:t>
            </w:r>
          </w:p>
          <w:p w:rsidR="00B753CA" w:rsidRDefault="00B753CA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753CA" w:rsidRDefault="00B753CA" w:rsidP="00E309D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 och KD</w:t>
            </w:r>
            <w:r w:rsidRPr="00793CD3">
              <w:rPr>
                <w:color w:val="000000"/>
                <w:szCs w:val="24"/>
              </w:rPr>
              <w:t>-ledamöterna</w:t>
            </w:r>
            <w:r>
              <w:rPr>
                <w:szCs w:val="26"/>
              </w:rPr>
              <w:t xml:space="preserve"> anmälde avvikande meningar. </w:t>
            </w:r>
            <w:r>
              <w:rPr>
                <w:color w:val="000000"/>
                <w:szCs w:val="24"/>
                <w:highlight w:val="yellow"/>
              </w:rPr>
              <w:br/>
            </w:r>
            <w:r w:rsidRPr="00793CD3">
              <w:rPr>
                <w:color w:val="000000"/>
                <w:szCs w:val="24"/>
              </w:rPr>
              <w:t>M-ledamöterna</w:t>
            </w:r>
            <w:r w:rsidRPr="00793CD3">
              <w:rPr>
                <w:szCs w:val="26"/>
              </w:rPr>
              <w:t xml:space="preserve"> a</w:t>
            </w:r>
            <w:r>
              <w:rPr>
                <w:szCs w:val="26"/>
              </w:rPr>
              <w:t>nmälde ett särskilt yttrande.</w:t>
            </w:r>
          </w:p>
          <w:p w:rsidR="00690098" w:rsidRDefault="00690098" w:rsidP="00E309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91756" w:rsidRDefault="00D9175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Subsidiaritetsprövning av förslag om unionens deltagande i det europeiska partnerskap för metrologi som har inletts av flera medlemsstater </w:t>
            </w:r>
          </w:p>
          <w:p w:rsidR="00D91756" w:rsidRDefault="00D91756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D91756" w:rsidRPr="00F573AE" w:rsidRDefault="00D9175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573AE">
              <w:rPr>
                <w:color w:val="000000"/>
                <w:szCs w:val="24"/>
              </w:rPr>
              <w:t>Utskottet subsidiaritetspröv</w:t>
            </w:r>
            <w:r w:rsidR="00F573AE" w:rsidRPr="00F573AE">
              <w:rPr>
                <w:color w:val="000000"/>
                <w:szCs w:val="24"/>
              </w:rPr>
              <w:t xml:space="preserve">ade </w:t>
            </w:r>
            <w:r w:rsidR="00F573AE" w:rsidRPr="00F573AE">
              <w:rPr>
                <w:bCs/>
                <w:color w:val="000000"/>
                <w:szCs w:val="24"/>
              </w:rPr>
              <w:t xml:space="preserve">förslag om unionens deltagande i det europeiska partnerskap för metrologi som har inletts av flera medlemsstater, </w:t>
            </w:r>
            <w:proofErr w:type="gramStart"/>
            <w:r w:rsidRPr="00F573AE">
              <w:rPr>
                <w:color w:val="000000"/>
                <w:szCs w:val="24"/>
              </w:rPr>
              <w:t>COM</w:t>
            </w:r>
            <w:r w:rsidR="00690098" w:rsidRPr="00F573AE">
              <w:rPr>
                <w:color w:val="000000"/>
                <w:szCs w:val="24"/>
              </w:rPr>
              <w:t>(</w:t>
            </w:r>
            <w:proofErr w:type="gramEnd"/>
            <w:r w:rsidR="00690098" w:rsidRPr="00F573AE">
              <w:rPr>
                <w:color w:val="000000"/>
                <w:szCs w:val="24"/>
              </w:rPr>
              <w:t>2021) 89.</w:t>
            </w:r>
          </w:p>
          <w:p w:rsidR="00D91756" w:rsidRDefault="00D91756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656420" w:rsidRDefault="00AA3EEC" w:rsidP="00BB7028">
            <w:pPr>
              <w:tabs>
                <w:tab w:val="left" w:pos="1701"/>
              </w:tabs>
            </w:pPr>
            <w:r>
              <w:t xml:space="preserve">Utskottet ansåg att förslaget inte strider mot subsidiaritetsprincipen. </w:t>
            </w:r>
          </w:p>
          <w:p w:rsidR="00AA3EEC" w:rsidRDefault="00AA3EEC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91756" w:rsidTr="0001177E">
        <w:tc>
          <w:tcPr>
            <w:tcW w:w="567" w:type="dxa"/>
          </w:tcPr>
          <w:p w:rsidR="00D91756" w:rsidRPr="003B4DE8" w:rsidRDefault="00D9175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91756" w:rsidRDefault="00D9175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Vuxenutbildning (UbU15)</w:t>
            </w:r>
          </w:p>
          <w:p w:rsidR="00690098" w:rsidRDefault="00690098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91756" w:rsidRPr="00634C7A" w:rsidRDefault="00634C7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4C7A">
              <w:rPr>
                <w:bCs/>
                <w:color w:val="000000"/>
                <w:szCs w:val="24"/>
              </w:rPr>
              <w:t>Utskottet behandlade motioner</w:t>
            </w:r>
            <w:r w:rsidR="00690098">
              <w:rPr>
                <w:bCs/>
                <w:color w:val="000000"/>
                <w:szCs w:val="24"/>
              </w:rPr>
              <w:t>.</w:t>
            </w:r>
          </w:p>
          <w:p w:rsidR="00634C7A" w:rsidRPr="00634C7A" w:rsidRDefault="00634C7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4C7A">
              <w:rPr>
                <w:bCs/>
                <w:color w:val="000000"/>
                <w:szCs w:val="24"/>
              </w:rPr>
              <w:t xml:space="preserve"> </w:t>
            </w:r>
          </w:p>
          <w:p w:rsidR="00634C7A" w:rsidRPr="00634C7A" w:rsidRDefault="00634C7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4C7A">
              <w:rPr>
                <w:bCs/>
                <w:color w:val="000000"/>
                <w:szCs w:val="24"/>
              </w:rPr>
              <w:t>Ärendet bordlades.</w:t>
            </w:r>
          </w:p>
          <w:p w:rsidR="00D91756" w:rsidRDefault="00D91756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C4EC0" w:rsidTr="0001177E">
        <w:tc>
          <w:tcPr>
            <w:tcW w:w="567" w:type="dxa"/>
          </w:tcPr>
          <w:p w:rsidR="005C4EC0" w:rsidRPr="00656420" w:rsidRDefault="005C4EC0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C4EC0" w:rsidRDefault="005C4EC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nationella kunskapsmätningar för att löpande följa utvecklingen i svensk skola</w:t>
            </w:r>
          </w:p>
          <w:p w:rsidR="005C4EC0" w:rsidRDefault="005C4EC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484028" w:rsidRDefault="00484028" w:rsidP="00484028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Ledamoten från Centerpartiet föreslog att utskottet skulle ta ett utskottsinitiativ enligt bilaga 3.</w:t>
            </w:r>
          </w:p>
          <w:p w:rsidR="00484028" w:rsidRDefault="00484028" w:rsidP="00484028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84028" w:rsidRDefault="00484028" w:rsidP="00484028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Förslaget bordlades.</w:t>
            </w:r>
          </w:p>
          <w:p w:rsidR="005C4EC0" w:rsidRDefault="005C4EC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C4EC0" w:rsidTr="0001177E">
        <w:tc>
          <w:tcPr>
            <w:tcW w:w="567" w:type="dxa"/>
          </w:tcPr>
          <w:p w:rsidR="005C4EC0" w:rsidRPr="00656420" w:rsidRDefault="005C4EC0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C4EC0" w:rsidRDefault="005C4EC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</w:t>
            </w:r>
            <w:r w:rsidR="003D16B6">
              <w:rPr>
                <w:b/>
                <w:bCs/>
                <w:color w:val="000000"/>
                <w:szCs w:val="24"/>
              </w:rPr>
              <w:t xml:space="preserve"> bättre och långsiktiga förutsättningar för resursskolor</w:t>
            </w:r>
          </w:p>
          <w:p w:rsidR="005C4EC0" w:rsidRDefault="005C4EC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484028" w:rsidRDefault="00484028" w:rsidP="00484028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Ledamöterna från Moderaterna och Kristdemokraterna föreslog att utskottet skulle ta ett utskottsinitiativ enligt bilaga 4.</w:t>
            </w:r>
          </w:p>
          <w:p w:rsidR="00484028" w:rsidRDefault="00484028" w:rsidP="00484028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84028" w:rsidRDefault="00484028" w:rsidP="00484028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Förslaget bordlades.</w:t>
            </w:r>
          </w:p>
          <w:p w:rsidR="005C4EC0" w:rsidRDefault="005C4EC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B1613">
              <w:rPr>
                <w:szCs w:val="24"/>
              </w:rPr>
              <w:t xml:space="preserve">torsdagen </w:t>
            </w:r>
            <w:r w:rsidR="00BB7028">
              <w:rPr>
                <w:szCs w:val="24"/>
              </w:rPr>
              <w:t xml:space="preserve">den </w:t>
            </w:r>
            <w:r w:rsidR="00DB1613">
              <w:rPr>
                <w:szCs w:val="24"/>
              </w:rPr>
              <w:t>20 maj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DB1613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690098" w:rsidRDefault="0069009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B1613" w:rsidP="00D817DA">
            <w:pPr>
              <w:tabs>
                <w:tab w:val="left" w:pos="1701"/>
              </w:tabs>
            </w:pPr>
            <w:r>
              <w:t xml:space="preserve">Karolina </w:t>
            </w:r>
            <w:r w:rsidR="00B65B87">
              <w:t>Gustafson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B1613">
              <w:t>tors</w:t>
            </w:r>
            <w:r w:rsidRPr="00C56172">
              <w:t>dagen</w:t>
            </w:r>
            <w:r w:rsidR="00DB1613">
              <w:t xml:space="preserve"> den 20 maj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E309D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E309D9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E309D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E309D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E309D9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DB1613">
              <w:t>39</w:t>
            </w:r>
          </w:p>
        </w:tc>
      </w:tr>
      <w:tr w:rsidR="00C150F8" w:rsidTr="00E309D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E309D9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E309D9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E309D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C9167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9167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9167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F3808">
              <w:rPr>
                <w:sz w:val="22"/>
              </w:rPr>
              <w:t>3</w:t>
            </w:r>
            <w:r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9167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9167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9167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13-</w:t>
            </w:r>
            <w:r w:rsidR="003D16B6">
              <w:rPr>
                <w:sz w:val="22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E309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6110B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Haddad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RPr="00001172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0117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RPr="00EC27A5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RPr="00EC27A5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RPr="00EC27A5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EC27A5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RPr="009E1FCA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91678" w:rsidRPr="009E1FCA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91678" w:rsidRPr="009E1FCA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9E1FCA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91678" w:rsidRPr="00402D5D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91678" w:rsidRPr="00402D5D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7F380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402D5D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0C461C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Pr="003D41A2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91678" w:rsidTr="00E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C91678" w:rsidRPr="003D41A2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91678" w:rsidRDefault="00C91678" w:rsidP="00C916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84028" w:rsidRDefault="00484028" w:rsidP="004479E5">
      <w:pPr>
        <w:tabs>
          <w:tab w:val="left" w:pos="1276"/>
        </w:tabs>
        <w:ind w:left="-1134" w:firstLine="1134"/>
      </w:pPr>
    </w:p>
    <w:sectPr w:rsidR="00484028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9D9" w:rsidRDefault="00E309D9" w:rsidP="00484028">
      <w:r>
        <w:separator/>
      </w:r>
    </w:p>
  </w:endnote>
  <w:endnote w:type="continuationSeparator" w:id="0">
    <w:p w:rsidR="00E309D9" w:rsidRDefault="00E309D9" w:rsidP="0048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9D9" w:rsidRDefault="00E309D9" w:rsidP="00484028">
      <w:r>
        <w:separator/>
      </w:r>
    </w:p>
  </w:footnote>
  <w:footnote w:type="continuationSeparator" w:id="0">
    <w:p w:rsidR="00E309D9" w:rsidRDefault="00E309D9" w:rsidP="0048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56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5286"/>
    <w:rsid w:val="00097DF0"/>
    <w:rsid w:val="000A2204"/>
    <w:rsid w:val="000B5D40"/>
    <w:rsid w:val="000B76C8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08BD"/>
    <w:rsid w:val="00126727"/>
    <w:rsid w:val="00127778"/>
    <w:rsid w:val="00135412"/>
    <w:rsid w:val="00143656"/>
    <w:rsid w:val="00161A87"/>
    <w:rsid w:val="001634B9"/>
    <w:rsid w:val="001671DE"/>
    <w:rsid w:val="001712BC"/>
    <w:rsid w:val="001803BA"/>
    <w:rsid w:val="00186651"/>
    <w:rsid w:val="001A287E"/>
    <w:rsid w:val="001D5522"/>
    <w:rsid w:val="001F1D2F"/>
    <w:rsid w:val="001F5AC6"/>
    <w:rsid w:val="002059AD"/>
    <w:rsid w:val="00207D45"/>
    <w:rsid w:val="0022226E"/>
    <w:rsid w:val="00224EC3"/>
    <w:rsid w:val="00237DB6"/>
    <w:rsid w:val="002462FF"/>
    <w:rsid w:val="00253162"/>
    <w:rsid w:val="002608E3"/>
    <w:rsid w:val="00267FC1"/>
    <w:rsid w:val="002871AD"/>
    <w:rsid w:val="0029212F"/>
    <w:rsid w:val="002A3434"/>
    <w:rsid w:val="002D5CD8"/>
    <w:rsid w:val="002E193D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16B6"/>
    <w:rsid w:val="003D41A2"/>
    <w:rsid w:val="003D631D"/>
    <w:rsid w:val="003F0380"/>
    <w:rsid w:val="003F4AD8"/>
    <w:rsid w:val="00400443"/>
    <w:rsid w:val="00402D5D"/>
    <w:rsid w:val="0040376B"/>
    <w:rsid w:val="00407517"/>
    <w:rsid w:val="004214D1"/>
    <w:rsid w:val="00424C64"/>
    <w:rsid w:val="004309E7"/>
    <w:rsid w:val="00437505"/>
    <w:rsid w:val="004479E5"/>
    <w:rsid w:val="00447E69"/>
    <w:rsid w:val="004514FD"/>
    <w:rsid w:val="00453542"/>
    <w:rsid w:val="0045482B"/>
    <w:rsid w:val="00465A6D"/>
    <w:rsid w:val="004674B5"/>
    <w:rsid w:val="00483EB5"/>
    <w:rsid w:val="00484028"/>
    <w:rsid w:val="004875DF"/>
    <w:rsid w:val="004C4C01"/>
    <w:rsid w:val="004D1D2C"/>
    <w:rsid w:val="004E024A"/>
    <w:rsid w:val="004F4D53"/>
    <w:rsid w:val="00501D18"/>
    <w:rsid w:val="00506C2A"/>
    <w:rsid w:val="00520D71"/>
    <w:rsid w:val="00532388"/>
    <w:rsid w:val="005331E3"/>
    <w:rsid w:val="005349AA"/>
    <w:rsid w:val="00537D8B"/>
    <w:rsid w:val="00567B6A"/>
    <w:rsid w:val="005739C0"/>
    <w:rsid w:val="00576AFA"/>
    <w:rsid w:val="00587BBF"/>
    <w:rsid w:val="005A3941"/>
    <w:rsid w:val="005A4EAC"/>
    <w:rsid w:val="005A63E8"/>
    <w:rsid w:val="005C4EC0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4C7A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0098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37EDE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3808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95553"/>
    <w:rsid w:val="00896EBD"/>
    <w:rsid w:val="008B080B"/>
    <w:rsid w:val="008B4A0D"/>
    <w:rsid w:val="008C35C4"/>
    <w:rsid w:val="008D5A27"/>
    <w:rsid w:val="008E2E78"/>
    <w:rsid w:val="008F009B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5503C"/>
    <w:rsid w:val="00A65178"/>
    <w:rsid w:val="00A66B33"/>
    <w:rsid w:val="00A84772"/>
    <w:rsid w:val="00A956F9"/>
    <w:rsid w:val="00AA3EEC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65B87"/>
    <w:rsid w:val="00B73227"/>
    <w:rsid w:val="00B734EF"/>
    <w:rsid w:val="00B7522F"/>
    <w:rsid w:val="00B753CA"/>
    <w:rsid w:val="00B80D51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0D84"/>
    <w:rsid w:val="00C21DC4"/>
    <w:rsid w:val="00C24CCF"/>
    <w:rsid w:val="00C318F6"/>
    <w:rsid w:val="00C422E7"/>
    <w:rsid w:val="00C616C4"/>
    <w:rsid w:val="00C62BD3"/>
    <w:rsid w:val="00C63268"/>
    <w:rsid w:val="00C6692B"/>
    <w:rsid w:val="00C66AC4"/>
    <w:rsid w:val="00C76BCC"/>
    <w:rsid w:val="00C77DBB"/>
    <w:rsid w:val="00C82E31"/>
    <w:rsid w:val="00C866DE"/>
    <w:rsid w:val="00C87373"/>
    <w:rsid w:val="00C91678"/>
    <w:rsid w:val="00C94715"/>
    <w:rsid w:val="00C96CF1"/>
    <w:rsid w:val="00CA2266"/>
    <w:rsid w:val="00CA5431"/>
    <w:rsid w:val="00CA63B9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91756"/>
    <w:rsid w:val="00DA2684"/>
    <w:rsid w:val="00DB1613"/>
    <w:rsid w:val="00DB451F"/>
    <w:rsid w:val="00DE08F2"/>
    <w:rsid w:val="00DE3264"/>
    <w:rsid w:val="00DE5198"/>
    <w:rsid w:val="00E03441"/>
    <w:rsid w:val="00E04650"/>
    <w:rsid w:val="00E058CF"/>
    <w:rsid w:val="00E12E8A"/>
    <w:rsid w:val="00E13501"/>
    <w:rsid w:val="00E15C69"/>
    <w:rsid w:val="00E15FBD"/>
    <w:rsid w:val="00E1627A"/>
    <w:rsid w:val="00E23AB7"/>
    <w:rsid w:val="00E2514D"/>
    <w:rsid w:val="00E309D9"/>
    <w:rsid w:val="00E362AB"/>
    <w:rsid w:val="00E45BEC"/>
    <w:rsid w:val="00E644E1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1251"/>
    <w:rsid w:val="00F12574"/>
    <w:rsid w:val="00F23954"/>
    <w:rsid w:val="00F33EF9"/>
    <w:rsid w:val="00F46F0D"/>
    <w:rsid w:val="00F573AC"/>
    <w:rsid w:val="00F573AE"/>
    <w:rsid w:val="00F7021F"/>
    <w:rsid w:val="00F70C44"/>
    <w:rsid w:val="00F72877"/>
    <w:rsid w:val="00F72D5E"/>
    <w:rsid w:val="00F816D5"/>
    <w:rsid w:val="00F8533C"/>
    <w:rsid w:val="00FA12EF"/>
    <w:rsid w:val="00FA21CE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1364E-37B6-4ADA-975F-8F5B067E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C947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unhideWhenUsed/>
    <w:rsid w:val="00484028"/>
    <w:pPr>
      <w:widowControl/>
      <w:tabs>
        <w:tab w:val="left" w:pos="284"/>
      </w:tabs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4028"/>
  </w:style>
  <w:style w:type="character" w:styleId="Fotnotsreferens">
    <w:name w:val="footnote reference"/>
    <w:basedOn w:val="Standardstycketeckensnitt"/>
    <w:uiPriority w:val="99"/>
    <w:unhideWhenUsed/>
    <w:rsid w:val="00484028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484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2061</Words>
  <Characters>13916</Characters>
  <Application>Microsoft Office Word</Application>
  <DocSecurity>4</DocSecurity>
  <Lines>1265</Lines>
  <Paragraphs>431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Karolina Mårtensson</dc:creator>
  <cp:keywords/>
  <dc:description/>
  <cp:lastModifiedBy>Anna Bolmström</cp:lastModifiedBy>
  <cp:revision>2</cp:revision>
  <cp:lastPrinted>2013-04-22T11:37:00Z</cp:lastPrinted>
  <dcterms:created xsi:type="dcterms:W3CDTF">2021-05-24T12:32:00Z</dcterms:created>
  <dcterms:modified xsi:type="dcterms:W3CDTF">2021-05-24T12:32:00Z</dcterms:modified>
</cp:coreProperties>
</file>