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9C94FFE-3457-4ED0-B6EA-701789A6D65C}"/>
</file>

<file path=customXml/itemProps3.xml><?xml version="1.0" encoding="utf-8"?>
<ds:datastoreItem xmlns:ds="http://schemas.openxmlformats.org/officeDocument/2006/customXml" ds:itemID="{1F3144E5-552D-4165-B529-79F8CFF1DD5B}"/>
</file>

<file path=customXml/itemProps4.xml><?xml version="1.0" encoding="utf-8"?>
<ds:datastoreItem xmlns:ds="http://schemas.openxmlformats.org/officeDocument/2006/customXml" ds:itemID="{CBC37E9A-57DA-41DD-AC66-8D55A01B3962}"/>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