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C05" w:rsidRPr="00FD44A7" w:rsidRDefault="00D10C05">
      <w:pPr>
        <w:pStyle w:val="Frslagsrubrik"/>
        <w:numPr>
          <w:ilvl w:val="0"/>
          <w:numId w:val="0"/>
        </w:numPr>
      </w:pPr>
      <w:r w:rsidRPr="00FD44A7">
        <w:t>Förslag till riksdagsbeslut</w:t>
      </w:r>
    </w:p>
    <w:p w:rsidR="00D10C05" w:rsidRPr="00FD44A7" w:rsidRDefault="00D10C05">
      <w:pPr>
        <w:pStyle w:val="Hemstlatt"/>
        <w:numPr>
          <w:ilvl w:val="0"/>
          <w:numId w:val="1"/>
        </w:numPr>
      </w:pPr>
      <w:r w:rsidRPr="00FD44A7">
        <w:t xml:space="preserve">Riksdagen tillkännager för regeringen som sin mening vad som anförs i motionen om att </w:t>
      </w:r>
      <w:r w:rsidRPr="00FD44A7">
        <w:rPr>
          <w:color w:val="000000"/>
          <w:szCs w:val="24"/>
        </w:rPr>
        <w:t>beaktandet av miljökons</w:t>
      </w:r>
      <w:r w:rsidRPr="00FD44A7">
        <w:rPr>
          <w:color w:val="000000"/>
          <w:szCs w:val="24"/>
        </w:rPr>
        <w:t>e</w:t>
      </w:r>
      <w:r w:rsidRPr="00FD44A7">
        <w:rPr>
          <w:color w:val="000000"/>
          <w:szCs w:val="24"/>
        </w:rPr>
        <w:t>kvenser av export av  växtskyddsmedel bör införas som en del i K</w:t>
      </w:r>
      <w:r w:rsidRPr="00FD44A7">
        <w:rPr>
          <w:color w:val="000000"/>
          <w:szCs w:val="24"/>
        </w:rPr>
        <w:t>e</w:t>
      </w:r>
      <w:r w:rsidRPr="00FD44A7">
        <w:rPr>
          <w:color w:val="000000"/>
          <w:szCs w:val="24"/>
        </w:rPr>
        <w:t>mikalieinspektionens uppdrag.</w:t>
      </w:r>
    </w:p>
    <w:p w:rsidR="00D10C05" w:rsidRPr="00FD44A7" w:rsidRDefault="00D10C05">
      <w:pPr>
        <w:pStyle w:val="Hemstlatt"/>
        <w:numPr>
          <w:ilvl w:val="0"/>
          <w:numId w:val="1"/>
        </w:numPr>
      </w:pPr>
      <w:r w:rsidRPr="00FD44A7">
        <w:t>Riksdagen tillkännager för regeringen som sin mening vad som anförs i motionen om</w:t>
      </w:r>
      <w:r w:rsidRPr="00FD44A7">
        <w:rPr>
          <w:color w:val="000000"/>
        </w:rPr>
        <w:t xml:space="preserve"> vikten av att säkerställa att berörda me</w:t>
      </w:r>
      <w:r w:rsidRPr="00FD44A7">
        <w:rPr>
          <w:color w:val="000000"/>
        </w:rPr>
        <w:t>d</w:t>
      </w:r>
      <w:r w:rsidRPr="00FD44A7">
        <w:rPr>
          <w:color w:val="000000"/>
        </w:rPr>
        <w:t>lemsstater harmoniserar tolkningen av den nya växtskyddsmedelsfö</w:t>
      </w:r>
      <w:r w:rsidRPr="00FD44A7">
        <w:rPr>
          <w:color w:val="000000"/>
        </w:rPr>
        <w:t>r</w:t>
      </w:r>
      <w:r w:rsidRPr="00FD44A7">
        <w:rPr>
          <w:color w:val="000000"/>
        </w:rPr>
        <w:t>ordningen i fråga om godkännande och utfasning av växtskyddsm</w:t>
      </w:r>
      <w:r w:rsidRPr="00FD44A7">
        <w:rPr>
          <w:color w:val="000000"/>
        </w:rPr>
        <w:t>e</w:t>
      </w:r>
      <w:r w:rsidRPr="00FD44A7">
        <w:rPr>
          <w:color w:val="000000"/>
        </w:rPr>
        <w:t>del.</w:t>
      </w:r>
    </w:p>
    <w:p w:rsidR="00D10C05" w:rsidRPr="00FD44A7" w:rsidRDefault="00D10C05">
      <w:pPr>
        <w:pStyle w:val="Hemstlatt"/>
        <w:numPr>
          <w:ilvl w:val="0"/>
          <w:numId w:val="1"/>
        </w:numPr>
      </w:pPr>
      <w:r w:rsidRPr="00FD44A7">
        <w:t>Riksdagen tillkännager för regeringen som sin mening vad som anförs i motionen om</w:t>
      </w:r>
      <w:r w:rsidRPr="00FD44A7">
        <w:rPr>
          <w:color w:val="000000"/>
          <w:szCs w:val="24"/>
        </w:rPr>
        <w:t xml:space="preserve"> vikten av lika villkor för företagare inom de gröna näringarna.</w:t>
      </w:r>
    </w:p>
    <w:p w:rsidR="00D10C05" w:rsidRPr="00FD44A7" w:rsidRDefault="00D10C05">
      <w:pPr>
        <w:pStyle w:val="Rubrik1"/>
        <w:numPr>
          <w:ilvl w:val="0"/>
          <w:numId w:val="0"/>
        </w:numPr>
      </w:pPr>
      <w:r w:rsidRPr="00FD44A7">
        <w:t>Motivering</w:t>
      </w:r>
    </w:p>
    <w:p w:rsidR="00D10C05" w:rsidRPr="00FD44A7" w:rsidRDefault="00D10C05">
      <w:r w:rsidRPr="00FD44A7">
        <w:t>Att det finns ett heltäckande och effektivt växtskydd vid odling av trädgårds- och jordbruksprodukter är en viktig samhällsfråga. För att trygga livsmedel</w:t>
      </w:r>
      <w:r w:rsidRPr="00FD44A7">
        <w:t>s</w:t>
      </w:r>
      <w:r w:rsidRPr="00FD44A7">
        <w:t>försörjningen måste ibland växtskyddsmedel användas eftersom skadegörare och ogräs angriper odlade grödor. Skadan de orsakar kan bli mycket omfa</w:t>
      </w:r>
      <w:r w:rsidRPr="00FD44A7">
        <w:t>t</w:t>
      </w:r>
      <w:r w:rsidRPr="00FD44A7">
        <w:t>tande. Vid all odling är växtskyddsåtgärder av olika slag därför nödvändiga. Medlen bidrar till en ökad produktivitet med goda och jämna skördar samt konkurrenskraftiga priser på livsmedel, foder och annan biomassa. En god kvalitet för människors och djurs hälsa grundläggs genom sortval och o</w:t>
      </w:r>
      <w:r w:rsidRPr="00FD44A7">
        <w:t>d</w:t>
      </w:r>
      <w:r w:rsidRPr="00FD44A7">
        <w:t>lingsteknik, men kan säkras med växtskyddsmedel och rätt lagring.</w:t>
      </w:r>
    </w:p>
    <w:p w:rsidR="00D10C05" w:rsidRPr="00FD44A7" w:rsidRDefault="00D10C05">
      <w:pPr>
        <w:pStyle w:val="Normaltindrag"/>
      </w:pPr>
      <w:r w:rsidRPr="00FD44A7">
        <w:lastRenderedPageBreak/>
        <w:t>Proble</w:t>
      </w:r>
      <w:r w:rsidRPr="00FD44A7">
        <w:t>met är att delar av den svenska odlingen framöver kommer att sakna tillgång till ett effektivt växtskydd.</w:t>
      </w:r>
    </w:p>
    <w:p w:rsidR="00D10C05" w:rsidRPr="00FD44A7" w:rsidRDefault="00D10C05">
      <w:pPr>
        <w:pStyle w:val="Normaltindrag"/>
      </w:pPr>
      <w:r w:rsidRPr="00FD44A7">
        <w:t>Exempel på detta är hantering av ogräs i morots-, lök- och jordgubbso</w:t>
      </w:r>
      <w:r w:rsidRPr="00FD44A7">
        <w:t>d</w:t>
      </w:r>
      <w:r w:rsidRPr="00FD44A7">
        <w:t>ling, insekter i fruktodling</w:t>
      </w:r>
      <w:r w:rsidRPr="00FD44A7">
        <w:rPr>
          <w:color w:val="0000FF"/>
        </w:rPr>
        <w:t>,</w:t>
      </w:r>
      <w:r w:rsidRPr="00FD44A7">
        <w:t xml:space="preserve"> jordloppor i våroljeväxtodling och rapsbaggar som är resistenta. Riskerna för utveckling av resistens kommer allmänt att öka då antalet verkningsmekanismer endast blir ett fåtal eller i värsta fall en enda.</w:t>
      </w:r>
    </w:p>
    <w:p w:rsidR="00D10C05" w:rsidRPr="00FD44A7" w:rsidRDefault="00D10C05">
      <w:pPr>
        <w:pStyle w:val="Normaltindrag"/>
      </w:pPr>
      <w:r w:rsidRPr="00FD44A7">
        <w:t>Problemet är bland annat att Kemikalieinspektionen (KemI) – som ansv</w:t>
      </w:r>
      <w:r w:rsidRPr="00FD44A7">
        <w:t>a</w:t>
      </w:r>
      <w:r w:rsidRPr="00FD44A7">
        <w:t>rar för processen om godkännande av växtskyddsmedel i Sverige – inte längre tar hänsyn till produktionens behov av ett speciellt växtskyddsmedel. Tidigare gjordes alltid en risk- och nyttobedömning men KemI menar att EU:s regler inte längre medger det. Andra länder gör dock en annan tolkning.</w:t>
      </w:r>
    </w:p>
    <w:p w:rsidR="00D10C05" w:rsidRPr="00FD44A7" w:rsidRDefault="00D10C05">
      <w:pPr>
        <w:pStyle w:val="Normaltindrag"/>
      </w:pPr>
      <w:r w:rsidRPr="00FD44A7">
        <w:t>Ett högaktuellt exempel är svensk odling av lök, morötter, palsternacka och bruna bönor. Där har användningen av de två viktigaste växtskyddsme</w:t>
      </w:r>
      <w:r w:rsidRPr="00FD44A7">
        <w:t>d</w:t>
      </w:r>
      <w:r w:rsidRPr="00FD44A7">
        <w:t>len förbjudits i Sverige från och med odlingssäsongen 2011, medan medlen är fortsatt godkända i de flesta europeiska länder.</w:t>
      </w:r>
    </w:p>
    <w:p w:rsidR="00D10C05" w:rsidRPr="00FD44A7" w:rsidRDefault="00D10C05">
      <w:pPr>
        <w:pStyle w:val="Normaltindrag"/>
      </w:pPr>
      <w:r w:rsidRPr="00FD44A7">
        <w:t>Odlarna själva arbetar för att hitta alternativa lösningar, men trots flera år av studier i fältförsök har man inte kunnat finna vare sig nya effektiva väx</w:t>
      </w:r>
      <w:r w:rsidRPr="00FD44A7">
        <w:t>t</w:t>
      </w:r>
      <w:r w:rsidRPr="00FD44A7">
        <w:t>skyddsmedel eller mekaniska metoder som fungerar.</w:t>
      </w:r>
    </w:p>
    <w:p w:rsidR="00D10C05" w:rsidRPr="00FD44A7" w:rsidRDefault="00D10C05">
      <w:pPr>
        <w:pStyle w:val="Normaltindrag"/>
      </w:pPr>
      <w:r w:rsidRPr="00FD44A7">
        <w:t>Risken är uppenbar att svenska jordbrukares konkurrenskraft minskar och att vi därmed riskerar att tappa produktion inom landet. Vi riskerar dessutom att exportera miljöpåverkan och hänvisa konsumenter till att köpa importerad lök och bruna bönor som då har producerats med hjälp av de medel som är förbjudna i Sverige. Vilken miljönytta som vi då har uppnått kan förstås di</w:t>
      </w:r>
      <w:r w:rsidRPr="00FD44A7">
        <w:t>s</w:t>
      </w:r>
      <w:r w:rsidRPr="00FD44A7">
        <w:t>kuteras. I synnerhet som svenskt lantbruk redan jobbar hårt för att minimera a</w:t>
      </w:r>
      <w:r w:rsidRPr="00FD44A7">
        <w:t>n</w:t>
      </w:r>
      <w:r w:rsidRPr="00FD44A7">
        <w:t>vändningen av kemikalier och för att stoppa läckage till omgivande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44A7">
        <w:trPr>
          <w:cantSplit/>
        </w:trPr>
        <w:tc>
          <w:tcPr>
            <w:tcW w:w="3046" w:type="dxa"/>
          </w:tcPr>
          <w:p w:rsidR="00D10C05" w:rsidRPr="00FD44A7" w:rsidRDefault="00D10C05">
            <w:pPr>
              <w:pStyle w:val="UnderskriftDatum"/>
              <w:spacing w:before="240"/>
            </w:pPr>
            <w:r w:rsidRPr="00FD44A7">
              <w:t>Stockholm den 22 september 2011</w:t>
            </w:r>
          </w:p>
        </w:tc>
        <w:tc>
          <w:tcPr>
            <w:tcW w:w="3047" w:type="dxa"/>
          </w:tcPr>
          <w:p w:rsidR="00D10C05" w:rsidRPr="00FD44A7" w:rsidRDefault="00D10C05">
            <w:pPr>
              <w:pStyle w:val="Underskrifter"/>
              <w:spacing w:before="240"/>
            </w:pPr>
          </w:p>
        </w:tc>
      </w:tr>
      <w:tr w:rsidR="00000000" w:rsidRPr="00FD44A7">
        <w:trPr>
          <w:cantSplit/>
        </w:trPr>
        <w:tc>
          <w:tcPr>
            <w:tcW w:w="3046" w:type="dxa"/>
          </w:tcPr>
          <w:p w:rsidR="00D10C05" w:rsidRPr="00FD44A7" w:rsidRDefault="00D10C05">
            <w:pPr>
              <w:pStyle w:val="Underskrifter"/>
            </w:pPr>
            <w:r w:rsidRPr="00FD44A7">
              <w:t>Betty Malmberg (M)</w:t>
            </w:r>
          </w:p>
        </w:tc>
        <w:tc>
          <w:tcPr>
            <w:tcW w:w="3046" w:type="dxa"/>
          </w:tcPr>
          <w:p w:rsidR="00D10C05" w:rsidRPr="00FD44A7" w:rsidRDefault="00D10C05">
            <w:pPr>
              <w:pStyle w:val="Underskrifter"/>
            </w:pPr>
            <w:r w:rsidRPr="00FD44A7">
              <w:t>Eva Bengtson Skogsberg (M)</w:t>
            </w:r>
          </w:p>
        </w:tc>
      </w:tr>
    </w:tbl>
    <w:p w:rsidR="00D10C05" w:rsidRPr="00FD44A7" w:rsidRDefault="00D10C05">
      <w:pPr>
        <w:pStyle w:val="Normaltindrag"/>
      </w:pPr>
    </w:p>
    <w:sectPr w:rsidR="00D10C05" w:rsidRPr="00FD4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C05" w:rsidRPr="00FD44A7" w:rsidRDefault="00D10C05">
      <w:r w:rsidRPr="00FD44A7">
        <w:separator/>
      </w:r>
    </w:p>
  </w:endnote>
  <w:endnote w:type="continuationSeparator" w:id="0">
    <w:p w:rsidR="00D10C05" w:rsidRPr="00FD44A7" w:rsidRDefault="00D10C05">
      <w:r w:rsidRPr="00FD4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05" w:rsidRPr="00FD44A7" w:rsidRDefault="00FD44A7">
    <w:pPr>
      <w:pStyle w:val="Sidfot"/>
    </w:pPr>
    <w:r w:rsidRPr="00FD4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946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05" w:rsidRDefault="00D10C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C05" w:rsidRDefault="00D10C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05" w:rsidRPr="00FD44A7" w:rsidRDefault="00FD44A7">
    <w:pPr>
      <w:pStyle w:val="Sidfot"/>
    </w:pPr>
    <w:r w:rsidRPr="00FD4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730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05" w:rsidRDefault="00D10C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C05" w:rsidRDefault="00D10C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05" w:rsidRPr="00FD44A7" w:rsidRDefault="00FD44A7">
    <w:pPr>
      <w:pStyle w:val="Sidfot"/>
    </w:pPr>
    <w:r w:rsidRPr="00FD4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866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05" w:rsidRDefault="00D10C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C05" w:rsidRDefault="00D10C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C05" w:rsidRPr="00FD44A7" w:rsidRDefault="00D10C05">
      <w:r w:rsidRPr="00FD44A7">
        <w:separator/>
      </w:r>
    </w:p>
  </w:footnote>
  <w:footnote w:type="continuationSeparator" w:id="0">
    <w:p w:rsidR="00D10C05" w:rsidRPr="00FD44A7" w:rsidRDefault="00D10C05">
      <w:r w:rsidRPr="00FD4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05" w:rsidRPr="00FD44A7" w:rsidRDefault="00FD44A7">
    <w:pPr>
      <w:pStyle w:val="Sidhuvud"/>
    </w:pPr>
    <w:r w:rsidRPr="00FD4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47024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05" w:rsidRDefault="00D10C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C05" w:rsidRDefault="00D10C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05" w:rsidRPr="00FD44A7" w:rsidRDefault="00FD44A7">
    <w:pPr>
      <w:pStyle w:val="Sidhuvud"/>
    </w:pPr>
    <w:r w:rsidRPr="00FD4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540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C05" w:rsidRDefault="00D10C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C05" w:rsidRDefault="00D10C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C05" w:rsidRPr="00FD44A7" w:rsidRDefault="00D10C05">
    <w:pPr>
      <w:pStyle w:val="FSHNormal"/>
      <w:tabs>
        <w:tab w:val="right" w:pos="5840"/>
      </w:tabs>
    </w:pPr>
    <w:r w:rsidRPr="00FD44A7">
      <w:br/>
    </w:r>
    <w:r w:rsidRPr="00FD44A7">
      <w:fldChar w:fldCharType="begin" w:fldLock="1"/>
    </w:r>
    <w:r w:rsidRPr="00FD44A7">
      <w:instrText xml:space="preserve"> DOCPROPERTY</w:instrText>
    </w:r>
    <w:r w:rsidRPr="00FD44A7">
      <w:rPr>
        <w:sz w:val="18"/>
      </w:rPr>
      <w:instrText xml:space="preserve"> "YearUser" *\charformat </w:instrText>
    </w:r>
    <w:r w:rsidRPr="00FD44A7">
      <w:fldChar w:fldCharType="separate"/>
    </w:r>
    <w:r w:rsidRPr="00FD44A7">
      <w:t>2011/12</w:t>
    </w:r>
    <w:r w:rsidRPr="00FD44A7">
      <w:fldChar w:fldCharType="end"/>
    </w:r>
    <w:r w:rsidRPr="00FD44A7">
      <w:t xml:space="preserve"> </w:t>
    </w:r>
    <w:r w:rsidRPr="00FD44A7">
      <w:tab/>
      <w:t xml:space="preserve">mnr: </w:t>
    </w:r>
    <w:r w:rsidRPr="00FD44A7">
      <w:fldChar w:fldCharType="begin" w:fldLock="1"/>
    </w:r>
    <w:r w:rsidRPr="00FD44A7">
      <w:instrText xml:space="preserve"> DOCPROPERTY</w:instrText>
    </w:r>
    <w:r w:rsidRPr="00FD44A7">
      <w:rPr>
        <w:sz w:val="18"/>
      </w:rPr>
      <w:instrText xml:space="preserve"> "Motionsnummer" *\charformat </w:instrText>
    </w:r>
    <w:r w:rsidRPr="00FD44A7">
      <w:fldChar w:fldCharType="separate"/>
    </w:r>
    <w:r w:rsidRPr="00FD44A7">
      <w:t>MJ350</w:t>
    </w:r>
    <w:r w:rsidRPr="00FD44A7">
      <w:fldChar w:fldCharType="end"/>
    </w:r>
    <w:r w:rsidRPr="00FD44A7">
      <w:br/>
    </w:r>
    <w:r w:rsidRPr="00FD44A7">
      <w:fldChar w:fldCharType="begin" w:fldLock="1"/>
    </w:r>
    <w:r w:rsidRPr="00FD44A7">
      <w:instrText xml:space="preserve"> DOCPROPERTY</w:instrText>
    </w:r>
    <w:r w:rsidRPr="00FD44A7">
      <w:rPr>
        <w:sz w:val="18"/>
      </w:rPr>
      <w:instrText xml:space="preserve"> "Samling" *\charformat </w:instrText>
    </w:r>
    <w:r w:rsidRPr="00FD44A7">
      <w:fldChar w:fldCharType="end"/>
    </w:r>
    <w:r w:rsidRPr="00FD44A7">
      <w:tab/>
      <w:t xml:space="preserve">pnr: </w:t>
    </w:r>
    <w:r w:rsidRPr="00FD44A7">
      <w:fldChar w:fldCharType="begin" w:fldLock="1"/>
    </w:r>
    <w:r w:rsidRPr="00FD44A7">
      <w:instrText xml:space="preserve"> DOCPROPERTY</w:instrText>
    </w:r>
    <w:r w:rsidRPr="00FD44A7">
      <w:rPr>
        <w:sz w:val="18"/>
      </w:rPr>
      <w:instrText xml:space="preserve"> "Partinummer" *\charformat </w:instrText>
    </w:r>
    <w:r w:rsidRPr="00FD44A7">
      <w:fldChar w:fldCharType="separate"/>
    </w:r>
    <w:r w:rsidRPr="00FD44A7">
      <w:t>M140</w:t>
    </w:r>
    <w:r w:rsidRPr="00FD44A7">
      <w:fldChar w:fldCharType="end"/>
    </w:r>
  </w:p>
  <w:p w:rsidR="00D10C05" w:rsidRPr="00FD44A7" w:rsidRDefault="00D10C05">
    <w:pPr>
      <w:pStyle w:val="FSHRub1"/>
    </w:pPr>
    <w:r w:rsidRPr="00FD44A7">
      <w:t>Motion till riksdagen</w:t>
    </w:r>
    <w:r w:rsidRPr="00FD44A7">
      <w:br/>
    </w:r>
    <w:r w:rsidRPr="00FD44A7">
      <w:fldChar w:fldCharType="begin" w:fldLock="1"/>
    </w:r>
    <w:r w:rsidRPr="00FD44A7">
      <w:instrText xml:space="preserve"> DOCPROPERTY "YearUser" *\charformat </w:instrText>
    </w:r>
    <w:r w:rsidRPr="00FD44A7">
      <w:fldChar w:fldCharType="separate"/>
    </w:r>
    <w:r w:rsidRPr="00FD44A7">
      <w:t>2011/12</w:t>
    </w:r>
    <w:r w:rsidRPr="00FD44A7">
      <w:fldChar w:fldCharType="end"/>
    </w:r>
    <w:r w:rsidRPr="00FD44A7">
      <w:t>:</w:t>
    </w:r>
    <w:r w:rsidRPr="00FD44A7">
      <w:fldChar w:fldCharType="begin" w:fldLock="1"/>
    </w:r>
    <w:r w:rsidRPr="00FD44A7">
      <w:instrText xml:space="preserve"> DOCPROPERTY "Motionsnummer" *\charformat </w:instrText>
    </w:r>
    <w:r w:rsidRPr="00FD44A7">
      <w:fldChar w:fldCharType="separate"/>
    </w:r>
    <w:r w:rsidRPr="00FD44A7">
      <w:t>MJ350</w:t>
    </w:r>
    <w:r w:rsidRPr="00FD44A7">
      <w:fldChar w:fldCharType="end"/>
    </w:r>
  </w:p>
  <w:p w:rsidR="00D10C05" w:rsidRPr="00FD44A7" w:rsidRDefault="00D10C05">
    <w:pPr>
      <w:pStyle w:val="FSHNormalS5"/>
    </w:pPr>
    <w:r w:rsidRPr="00FD44A7">
      <w:fldChar w:fldCharType="begin" w:fldLock="1"/>
    </w:r>
    <w:r w:rsidRPr="00FD44A7">
      <w:instrText xml:space="preserve"> DOCPROPERTY "MotionarText" *\charformat </w:instrText>
    </w:r>
    <w:r w:rsidRPr="00FD44A7">
      <w:fldChar w:fldCharType="separate"/>
    </w:r>
    <w:r w:rsidRPr="00FD44A7">
      <w:t>av Betty Malmberg och Eva Bengtson Skogsberg (M)</w:t>
    </w:r>
    <w:r w:rsidRPr="00FD44A7">
      <w:fldChar w:fldCharType="end"/>
    </w:r>
    <w:r w:rsidRPr="00FD44A7">
      <w:br/>
    </w:r>
    <w:r w:rsidRPr="00FD44A7">
      <w:fldChar w:fldCharType="begin" w:fldLock="1"/>
    </w:r>
    <w:r w:rsidRPr="00FD44A7">
      <w:instrText xml:space="preserve"> DOCPROPERTY "SvarFrasKort" *\charformat </w:instrText>
    </w:r>
    <w:r w:rsidRPr="00FD44A7">
      <w:fldChar w:fldCharType="end"/>
    </w:r>
  </w:p>
  <w:p w:rsidR="00D10C05" w:rsidRPr="00FD44A7" w:rsidRDefault="00D10C05">
    <w:pPr>
      <w:pStyle w:val="FSHTitel"/>
    </w:pPr>
    <w:r w:rsidRPr="00FD44A7">
      <w:fldChar w:fldCharType="begin" w:fldLock="1"/>
    </w:r>
    <w:r w:rsidRPr="00FD44A7">
      <w:instrText xml:space="preserve"> DOCPROPERTY</w:instrText>
    </w:r>
    <w:r w:rsidRPr="00FD44A7">
      <w:rPr>
        <w:sz w:val="18"/>
      </w:rPr>
      <w:instrText xml:space="preserve"> "RubrikSvar" *\charformat </w:instrText>
    </w:r>
    <w:r w:rsidRPr="00FD44A7">
      <w:fldChar w:fldCharType="separate"/>
    </w:r>
    <w:r w:rsidRPr="00FD44A7">
      <w:t>Växtskyddsmedel och lika villkor för företagarna inom de gröna näringarna</w:t>
    </w:r>
    <w:r w:rsidRPr="00FD44A7">
      <w:fldChar w:fldCharType="end"/>
    </w:r>
  </w:p>
  <w:p w:rsidR="00D10C05" w:rsidRPr="00FD44A7" w:rsidRDefault="00D10C05">
    <w:pPr>
      <w:pStyle w:val="Normal00"/>
    </w:pPr>
  </w:p>
  <w:p w:rsidR="00D10C05" w:rsidRPr="00FD44A7" w:rsidRDefault="00D10C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D40FC"/>
    <w:multiLevelType w:val="multilevel"/>
    <w:tmpl w:val="F252F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D0062"/>
    <w:multiLevelType w:val="hybridMultilevel"/>
    <w:tmpl w:val="FCAACC42"/>
    <w:lvl w:ilvl="0" w:tplc="DC462B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4C95E94"/>
    <w:multiLevelType w:val="multilevel"/>
    <w:tmpl w:val="29C0F39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8979880">
    <w:abstractNumId w:val="3"/>
  </w:num>
  <w:num w:numId="2" w16cid:durableId="686709981">
    <w:abstractNumId w:val="2"/>
  </w:num>
  <w:num w:numId="3" w16cid:durableId="1727070239">
    <w:abstractNumId w:val="1"/>
  </w:num>
  <w:num w:numId="4" w16cid:durableId="1438480790">
    <w:abstractNumId w:val="0"/>
  </w:num>
  <w:num w:numId="5" w16cid:durableId="804008118">
    <w:abstractNumId w:val="7"/>
  </w:num>
  <w:num w:numId="6" w16cid:durableId="2023235796">
    <w:abstractNumId w:val="6"/>
  </w:num>
  <w:num w:numId="7" w16cid:durableId="665406110">
    <w:abstractNumId w:val="5"/>
  </w:num>
  <w:num w:numId="8" w16cid:durableId="1331251888">
    <w:abstractNumId w:val="4"/>
  </w:num>
  <w:num w:numId="9" w16cid:durableId="144779735">
    <w:abstractNumId w:val="8"/>
  </w:num>
  <w:num w:numId="10" w16cid:durableId="1752703760">
    <w:abstractNumId w:val="9"/>
  </w:num>
  <w:num w:numId="11" w16cid:durableId="1532185955">
    <w:abstractNumId w:val="11"/>
  </w:num>
  <w:num w:numId="12" w16cid:durableId="258300551">
    <w:abstractNumId w:val="15"/>
  </w:num>
  <w:num w:numId="13" w16cid:durableId="1219247544">
    <w:abstractNumId w:val="17"/>
  </w:num>
  <w:num w:numId="14" w16cid:durableId="2011525461">
    <w:abstractNumId w:val="19"/>
  </w:num>
  <w:num w:numId="15" w16cid:durableId="556823216">
    <w:abstractNumId w:val="12"/>
  </w:num>
  <w:num w:numId="16" w16cid:durableId="548029040">
    <w:abstractNumId w:val="21"/>
  </w:num>
  <w:num w:numId="17" w16cid:durableId="129714131">
    <w:abstractNumId w:val="20"/>
  </w:num>
  <w:num w:numId="18" w16cid:durableId="1067142459">
    <w:abstractNumId w:val="16"/>
  </w:num>
  <w:num w:numId="19" w16cid:durableId="148373546">
    <w:abstractNumId w:val="13"/>
  </w:num>
  <w:num w:numId="20" w16cid:durableId="69885342">
    <w:abstractNumId w:val="18"/>
  </w:num>
  <w:num w:numId="21" w16cid:durableId="1294557638">
    <w:abstractNumId w:val="10"/>
  </w:num>
  <w:num w:numId="22" w16cid:durableId="9017952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E10749B9-50F3-4AE2-A75E-70F010ECB0A4},{F9A12FF8-B921-4E09-9F32-8218F19982B8}"/>
  </w:docVars>
  <w:rsids>
    <w:rsidRoot w:val="000E4960"/>
    <w:rsid w:val="000E4960"/>
    <w:rsid w:val="00D10C05"/>
    <w:rsid w:val="00FD44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EB5ABD-C438-4648-83BE-2D47CF4B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2711</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M0140</vt:lpstr>
    </vt:vector>
  </TitlesOfParts>
  <Company>Riksdagen</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M0140</dc:title>
  <dc:subject>M0140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2011-11-22T07:13:00Z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Växtskyddsmedel och lika villkor för företagarna inom de gröna näringarna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Växtskyddsmedel och lika villkor för företagarna inom de gröna näringarna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Eva Bengtson Skogsberg (M)</vt:lpwstr>
  </property>
  <property fmtid="{D5CDD505-2E9C-101B-9397-08002B2CF9AE}" pid="26" name="MotionarLista">
    <vt:lpwstr>Malmberg, Betty (M)\Bengtson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20112012000000000077000001400069</vt:lpwstr>
  </property>
  <property fmtid="{D5CDD505-2E9C-101B-9397-08002B2CF9AE}" pid="47" name="datum">
    <vt:lpwstr>110922</vt:lpwstr>
  </property>
  <property fmtid="{D5CDD505-2E9C-101B-9397-08002B2CF9AE}" pid="48" name="avsändar-e-post">
    <vt:lpwstr>andreas.green@riksdagen.se</vt:lpwstr>
  </property>
  <property fmtid="{D5CDD505-2E9C-101B-9397-08002B2CF9AE}" pid="49" name="id">
    <vt:lpwstr>20112012000000000077000001400069</vt:lpwstr>
  </property>
  <property fmtid="{D5CDD505-2E9C-101B-9397-08002B2CF9AE}" pid="50" name="nummer">
    <vt:lpwstr>350</vt:lpwstr>
  </property>
  <property fmtid="{D5CDD505-2E9C-101B-9397-08002B2CF9AE}" pid="51" name="utskottsbeteckning">
    <vt:lpwstr>MJ</vt:lpwstr>
  </property>
  <property fmtid="{D5CDD505-2E9C-101B-9397-08002B2CF9AE}" pid="52" name="GlobalUID">
    <vt:lpwstr>{0062E74B-F12D-4AF7-A3AB-4F6884129389}</vt:lpwstr>
  </property>
  <property fmtid="{D5CDD505-2E9C-101B-9397-08002B2CF9AE}" pid="53" name="Överföringar">
    <vt:i4>0</vt:i4>
  </property>
  <property fmtid="{D5CDD505-2E9C-101B-9397-08002B2CF9AE}" pid="54" name="Checksum">
    <vt:lpwstr>*0020670032293*</vt:lpwstr>
  </property>
  <property fmtid="{D5CDD505-2E9C-101B-9397-08002B2CF9AE}" pid="55" name="skuggnummer">
    <vt:lpwstr>1763</vt:lpwstr>
  </property>
  <property fmtid="{D5CDD505-2E9C-101B-9397-08002B2CF9AE}" pid="56" name="urixVersion">
    <vt:lpwstr>4.5.0.25</vt:lpwstr>
  </property>
  <property fmtid="{D5CDD505-2E9C-101B-9397-08002B2CF9AE}" pid="57" name="urixOrigin">
    <vt:lpwstr>111122 08:14:13.553</vt:lpwstr>
  </property>
  <property fmtid="{D5CDD505-2E9C-101B-9397-08002B2CF9AE}" pid="58" name="urixGuid">
    <vt:lpwstr>{1FC5DC36-CC5B-4758-9B7A-477CE4CA6BFF}</vt:lpwstr>
  </property>
</Properties>
</file>