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A82E61">
              <w:rPr>
                <w:b/>
              </w:rPr>
              <w:t>6</w:t>
            </w:r>
            <w:r w:rsidR="00DE339A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A82E61">
              <w:t>05-2</w:t>
            </w:r>
            <w:r w:rsidR="0054548E">
              <w:t>7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2C065C">
              <w:t>3</w:t>
            </w:r>
            <w:r w:rsidR="00FB3CAB">
              <w:t>0-</w:t>
            </w:r>
            <w:r w:rsidR="00974220">
              <w:t>11.</w:t>
            </w:r>
            <w:r w:rsidR="0054548E">
              <w:t>44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61C12" w:rsidRDefault="00761C12" w:rsidP="0096348C">
      <w:pPr>
        <w:tabs>
          <w:tab w:val="left" w:pos="1701"/>
        </w:tabs>
        <w:rPr>
          <w:snapToGrid w:val="0"/>
          <w:color w:val="000000"/>
        </w:rPr>
      </w:pPr>
    </w:p>
    <w:p w:rsidR="00F01354" w:rsidRDefault="00F0135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796"/>
      </w:tblGrid>
      <w:tr w:rsidR="00717F37" w:rsidTr="00A82E61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796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="00EC34B7" w:rsidRPr="00EC34B7">
              <w:rPr>
                <w:snapToGrid w:val="0"/>
                <w:szCs w:val="24"/>
              </w:rPr>
              <w:t xml:space="preserve">Gunilla Carlsson (S), </w:t>
            </w:r>
            <w:r w:rsidR="00DE339A">
              <w:rPr>
                <w:snapToGrid w:val="0"/>
                <w:szCs w:val="24"/>
              </w:rPr>
              <w:t xml:space="preserve">Adnan Dibrani (S), </w:t>
            </w:r>
            <w:r w:rsidR="00EC34B7">
              <w:rPr>
                <w:snapToGrid w:val="0"/>
                <w:szCs w:val="24"/>
              </w:rPr>
              <w:t>Ingela Nylund Watz (S), Ingemar Nilsson (S), Eva Lindh (S)</w:t>
            </w:r>
            <w:r w:rsidR="003A30CA">
              <w:rPr>
                <w:snapToGrid w:val="0"/>
                <w:szCs w:val="24"/>
              </w:rPr>
              <w:t>,</w:t>
            </w:r>
            <w:r w:rsidR="00EC34B7">
              <w:rPr>
                <w:snapToGrid w:val="0"/>
                <w:szCs w:val="24"/>
              </w:rPr>
              <w:t xml:space="preserve"> </w:t>
            </w:r>
            <w:r w:rsidR="0075384A" w:rsidRPr="00EC34B7">
              <w:rPr>
                <w:szCs w:val="24"/>
              </w:rPr>
              <w:t xml:space="preserve">Elisabeth Svantesson (M), </w:t>
            </w:r>
            <w:r w:rsidR="000E3445" w:rsidRPr="00EC34B7">
              <w:rPr>
                <w:snapToGrid w:val="0"/>
                <w:szCs w:val="24"/>
              </w:rPr>
              <w:t>Edward Riedl (M), Jan Ericson (M),</w:t>
            </w:r>
            <w:r w:rsidR="00EC34B7">
              <w:rPr>
                <w:snapToGrid w:val="0"/>
                <w:szCs w:val="24"/>
              </w:rPr>
              <w:t xml:space="preserve"> Magdalena Schröder (M), </w:t>
            </w:r>
            <w:r w:rsidR="00EC34B7" w:rsidRPr="00EC34B7">
              <w:rPr>
                <w:snapToGrid w:val="0"/>
                <w:szCs w:val="24"/>
              </w:rPr>
              <w:t xml:space="preserve">Sofia Westergren (M), </w:t>
            </w:r>
            <w:r w:rsidR="000E3445" w:rsidRPr="00EC34B7">
              <w:rPr>
                <w:snapToGrid w:val="0"/>
                <w:szCs w:val="24"/>
              </w:rPr>
              <w:t>Dennis Dioukarev (SD),</w:t>
            </w:r>
            <w:r w:rsidR="00EC34B7">
              <w:rPr>
                <w:snapToGrid w:val="0"/>
                <w:szCs w:val="24"/>
              </w:rPr>
              <w:t xml:space="preserve"> </w:t>
            </w:r>
            <w:r w:rsidR="00DE339A">
              <w:rPr>
                <w:snapToGrid w:val="0"/>
                <w:szCs w:val="24"/>
              </w:rPr>
              <w:t xml:space="preserve">Alexander Christiansson (SD), </w:t>
            </w:r>
            <w:r w:rsidR="00EC34B7">
              <w:rPr>
                <w:snapToGrid w:val="0"/>
                <w:szCs w:val="24"/>
              </w:rPr>
              <w:t xml:space="preserve">Emil Källström (C), Ulla Andersson (V), </w:t>
            </w:r>
            <w:r w:rsidR="000E3445" w:rsidRPr="00EC34B7">
              <w:rPr>
                <w:snapToGrid w:val="0"/>
                <w:szCs w:val="24"/>
              </w:rPr>
              <w:t>Ilona Szatmari Waldau (V)</w:t>
            </w:r>
            <w:r w:rsidR="00EC34B7" w:rsidRPr="00EC34B7">
              <w:rPr>
                <w:snapToGrid w:val="0"/>
                <w:szCs w:val="24"/>
              </w:rPr>
              <w:t xml:space="preserve">, </w:t>
            </w:r>
            <w:r w:rsidR="00EC34B7">
              <w:rPr>
                <w:snapToGrid w:val="0"/>
                <w:szCs w:val="24"/>
              </w:rPr>
              <w:t xml:space="preserve">Jakob Forssmed (KD), </w:t>
            </w:r>
            <w:r w:rsidR="000E3445" w:rsidRPr="00EC34B7">
              <w:rPr>
                <w:snapToGrid w:val="0"/>
                <w:szCs w:val="24"/>
              </w:rPr>
              <w:t>Robert Halef (KD)</w:t>
            </w:r>
            <w:r w:rsidR="00EC34B7">
              <w:rPr>
                <w:snapToGrid w:val="0"/>
                <w:szCs w:val="24"/>
              </w:rPr>
              <w:t xml:space="preserve"> </w:t>
            </w:r>
            <w:r w:rsidR="00EC34B7" w:rsidRPr="00EC34B7">
              <w:rPr>
                <w:snapToGrid w:val="0"/>
                <w:szCs w:val="24"/>
              </w:rPr>
              <w:t>och Karolina Skoog (MP)</w:t>
            </w:r>
            <w:r w:rsidR="00EC34B7">
              <w:rPr>
                <w:snapToGrid w:val="0"/>
                <w:szCs w:val="24"/>
              </w:rPr>
              <w:t xml:space="preserve">. 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54548E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Nio </w:t>
            </w:r>
            <w:r w:rsidR="00FB3CAB" w:rsidRPr="000E3445">
              <w:rPr>
                <w:snapToGrid w:val="0"/>
                <w:szCs w:val="24"/>
              </w:rPr>
              <w:t>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 w:rsidR="00DE339A">
              <w:rPr>
                <w:b/>
                <w:snapToGrid w:val="0"/>
              </w:rPr>
              <w:t>2</w:t>
            </w:r>
          </w:p>
        </w:tc>
        <w:tc>
          <w:tcPr>
            <w:tcW w:w="7796" w:type="dxa"/>
          </w:tcPr>
          <w:p w:rsidR="00626F43" w:rsidRPr="00A82E61" w:rsidRDefault="00626F43" w:rsidP="00626F43">
            <w:pPr>
              <w:outlineLvl w:val="0"/>
              <w:rPr>
                <w:b/>
                <w:bCs/>
              </w:rPr>
            </w:pPr>
            <w:r w:rsidRPr="00A82E61">
              <w:rPr>
                <w:b/>
                <w:bCs/>
              </w:rPr>
              <w:t>Ändringar i regelverket om hantering av finansiella företag i kris (FiU33)</w:t>
            </w: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bCs/>
              </w:rPr>
              <w:t>p</w:t>
            </w:r>
            <w:r w:rsidRPr="00A82E61">
              <w:rPr>
                <w:bCs/>
              </w:rPr>
              <w:t>rop. 2020/21:155</w:t>
            </w:r>
            <w:r>
              <w:rPr>
                <w:bCs/>
              </w:rPr>
              <w:t xml:space="preserve"> och </w:t>
            </w:r>
            <w:r w:rsidRPr="00A82E61">
              <w:rPr>
                <w:bCs/>
              </w:rPr>
              <w:t>motion</w:t>
            </w:r>
            <w:r>
              <w:rPr>
                <w:bCs/>
              </w:rPr>
              <w:t>.</w:t>
            </w:r>
          </w:p>
          <w:p w:rsidR="00626F43" w:rsidRDefault="00626F43" w:rsidP="00626F43">
            <w:pPr>
              <w:outlineLvl w:val="0"/>
              <w:rPr>
                <w:bCs/>
              </w:rPr>
            </w:pPr>
          </w:p>
          <w:p w:rsidR="00DE339A" w:rsidRDefault="00DE339A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2020/</w:t>
            </w:r>
            <w:proofErr w:type="gramStart"/>
            <w:r>
              <w:rPr>
                <w:bCs/>
              </w:rPr>
              <w:t>21:FiU</w:t>
            </w:r>
            <w:proofErr w:type="gramEnd"/>
            <w:r>
              <w:rPr>
                <w:bCs/>
              </w:rPr>
              <w:t>33</w:t>
            </w:r>
            <w:r w:rsidR="0054548E">
              <w:rPr>
                <w:bCs/>
              </w:rPr>
              <w:t>.</w:t>
            </w:r>
          </w:p>
          <w:p w:rsidR="00DE339A" w:rsidRDefault="00DE339A" w:rsidP="00626F43">
            <w:pPr>
              <w:outlineLvl w:val="0"/>
              <w:rPr>
                <w:bCs/>
              </w:rPr>
            </w:pPr>
          </w:p>
          <w:p w:rsidR="00DE339A" w:rsidRDefault="00DE339A" w:rsidP="00626F4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M- och SD-ledamöterna anmälde reservation. </w:t>
            </w:r>
          </w:p>
          <w:p w:rsidR="00626F43" w:rsidRPr="00AD47F5" w:rsidRDefault="00626F43" w:rsidP="00DE339A">
            <w:pPr>
              <w:outlineLvl w:val="0"/>
              <w:rPr>
                <w:b/>
                <w:bCs/>
              </w:rPr>
            </w:pP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 w:rsidR="00DE339A">
              <w:rPr>
                <w:b/>
                <w:snapToGrid w:val="0"/>
              </w:rPr>
              <w:t>3</w:t>
            </w:r>
          </w:p>
        </w:tc>
        <w:tc>
          <w:tcPr>
            <w:tcW w:w="7796" w:type="dxa"/>
          </w:tcPr>
          <w:p w:rsidR="00DE339A" w:rsidRPr="00DE339A" w:rsidRDefault="00DE339A" w:rsidP="00DE339A">
            <w:pPr>
              <w:rPr>
                <w:b/>
              </w:rPr>
            </w:pPr>
            <w:r w:rsidRPr="00DE339A">
              <w:rPr>
                <w:b/>
              </w:rPr>
              <w:t>Riktlinjer för den ekonomiska politiken (FiU20)</w:t>
            </w:r>
          </w:p>
          <w:p w:rsidR="00DE339A" w:rsidRDefault="00DE339A" w:rsidP="00DE339A">
            <w:r>
              <w:t xml:space="preserve">Utskottet inledde behandlingen av </w:t>
            </w:r>
            <w:r w:rsidR="003C48AB">
              <w:t>p</w:t>
            </w:r>
            <w:r>
              <w:t xml:space="preserve">rop. 2020/21:100, </w:t>
            </w:r>
            <w:proofErr w:type="spellStart"/>
            <w:r>
              <w:t>skr</w:t>
            </w:r>
            <w:proofErr w:type="spellEnd"/>
            <w:r>
              <w:t xml:space="preserve">. 2020/21:145, </w:t>
            </w:r>
            <w:proofErr w:type="spellStart"/>
            <w:r>
              <w:t>skr</w:t>
            </w:r>
            <w:proofErr w:type="spellEnd"/>
            <w:r>
              <w:t xml:space="preserve">. 2020/21:146, motioner och </w:t>
            </w:r>
            <w:r w:rsidR="003C48AB">
              <w:t>s</w:t>
            </w:r>
            <w:r>
              <w:t>katteutskottets yttrande (SkU7y).</w:t>
            </w:r>
          </w:p>
          <w:p w:rsidR="00DE339A" w:rsidRDefault="00DE339A" w:rsidP="00DE339A"/>
          <w:p w:rsidR="00DE339A" w:rsidRDefault="00DE339A" w:rsidP="00DE339A">
            <w:r>
              <w:t xml:space="preserve">Ärendet bordlades. </w:t>
            </w:r>
          </w:p>
          <w:p w:rsidR="00626F43" w:rsidRPr="00A82E61" w:rsidRDefault="00626F43" w:rsidP="00626F43"/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 w:rsidR="00DE339A">
              <w:rPr>
                <w:b/>
                <w:snapToGrid w:val="0"/>
              </w:rPr>
              <w:t>4</w:t>
            </w:r>
          </w:p>
        </w:tc>
        <w:tc>
          <w:tcPr>
            <w:tcW w:w="7796" w:type="dxa"/>
          </w:tcPr>
          <w:p w:rsidR="00DE339A" w:rsidRPr="00DE339A" w:rsidRDefault="00DE339A" w:rsidP="00DE339A">
            <w:pPr>
              <w:outlineLvl w:val="0"/>
              <w:rPr>
                <w:b/>
                <w:bCs/>
              </w:rPr>
            </w:pPr>
            <w:proofErr w:type="spellStart"/>
            <w:r w:rsidRPr="00DE339A">
              <w:rPr>
                <w:b/>
                <w:bCs/>
              </w:rPr>
              <w:t>Vårändringsbudget</w:t>
            </w:r>
            <w:proofErr w:type="spellEnd"/>
            <w:r w:rsidRPr="00DE339A">
              <w:rPr>
                <w:b/>
                <w:bCs/>
              </w:rPr>
              <w:t xml:space="preserve"> för 2021 (FiU21)</w:t>
            </w:r>
          </w:p>
          <w:p w:rsidR="00DE339A" w:rsidRDefault="00DE339A" w:rsidP="00DE339A">
            <w:pPr>
              <w:rPr>
                <w:bCs/>
              </w:rPr>
            </w:pPr>
            <w:r w:rsidRPr="00DE339A">
              <w:t xml:space="preserve">Utskottet inledde behandlingen av </w:t>
            </w:r>
            <w:r w:rsidRPr="00DE339A">
              <w:rPr>
                <w:bCs/>
              </w:rPr>
              <w:t>prop. 2020/21:99, motion och yttranden från andra utskott</w:t>
            </w:r>
            <w:r>
              <w:rPr>
                <w:bCs/>
              </w:rPr>
              <w:t xml:space="preserve">. </w:t>
            </w:r>
          </w:p>
          <w:p w:rsidR="00DE339A" w:rsidRDefault="00DE339A" w:rsidP="00DE339A"/>
          <w:p w:rsidR="00DE339A" w:rsidRDefault="00DE339A" w:rsidP="00DE339A">
            <w:r>
              <w:t xml:space="preserve">Ärendet bordlades. </w:t>
            </w:r>
          </w:p>
          <w:p w:rsidR="00626F43" w:rsidRPr="00AD47F5" w:rsidRDefault="00626F43" w:rsidP="00626F43">
            <w:pPr>
              <w:outlineLvl w:val="0"/>
              <w:rPr>
                <w:b/>
                <w:bCs/>
              </w:rPr>
            </w:pPr>
          </w:p>
        </w:tc>
      </w:tr>
      <w:tr w:rsidR="00DE339A" w:rsidTr="00A82E61">
        <w:trPr>
          <w:trHeight w:val="707"/>
        </w:trPr>
        <w:tc>
          <w:tcPr>
            <w:tcW w:w="639" w:type="dxa"/>
          </w:tcPr>
          <w:p w:rsidR="00DE339A" w:rsidRPr="0075384A" w:rsidRDefault="00DE339A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5</w:t>
            </w:r>
          </w:p>
        </w:tc>
        <w:tc>
          <w:tcPr>
            <w:tcW w:w="7796" w:type="dxa"/>
          </w:tcPr>
          <w:p w:rsidR="00DE339A" w:rsidRPr="00DE339A" w:rsidRDefault="00DE339A" w:rsidP="00DE339A">
            <w:pPr>
              <w:rPr>
                <w:b/>
                <w:bCs/>
              </w:rPr>
            </w:pPr>
            <w:r w:rsidRPr="00DE339A">
              <w:rPr>
                <w:b/>
                <w:bCs/>
              </w:rPr>
              <w:t>Årsredovisning för staten 2020 (FiU30)</w:t>
            </w:r>
          </w:p>
          <w:p w:rsidR="00DE339A" w:rsidRDefault="00DE339A" w:rsidP="00DE339A">
            <w:pPr>
              <w:rPr>
                <w:bCs/>
              </w:rPr>
            </w:pPr>
            <w:r w:rsidRPr="00DE339A">
              <w:t xml:space="preserve">Utskottet inledde behandlingen av </w:t>
            </w:r>
            <w:proofErr w:type="spellStart"/>
            <w:r w:rsidRPr="00DE339A">
              <w:rPr>
                <w:bCs/>
              </w:rPr>
              <w:t>skr</w:t>
            </w:r>
            <w:proofErr w:type="spellEnd"/>
            <w:r w:rsidRPr="00DE339A">
              <w:rPr>
                <w:bCs/>
              </w:rPr>
              <w:t xml:space="preserve">. 2020/21:101, </w:t>
            </w:r>
            <w:proofErr w:type="spellStart"/>
            <w:r w:rsidRPr="00DE339A">
              <w:rPr>
                <w:bCs/>
              </w:rPr>
              <w:t>redog</w:t>
            </w:r>
            <w:proofErr w:type="spellEnd"/>
            <w:r w:rsidRPr="00DE339A">
              <w:rPr>
                <w:bCs/>
              </w:rPr>
              <w:t>. 2020/</w:t>
            </w:r>
            <w:proofErr w:type="gramStart"/>
            <w:r w:rsidRPr="00DE339A">
              <w:rPr>
                <w:bCs/>
              </w:rPr>
              <w:t>21:RR</w:t>
            </w:r>
            <w:proofErr w:type="gramEnd"/>
            <w:r w:rsidRPr="00DE339A">
              <w:rPr>
                <w:bCs/>
              </w:rPr>
              <w:t>4 och  Försvarsutskottets yttrande (FöU10y)</w:t>
            </w:r>
            <w:r>
              <w:rPr>
                <w:bCs/>
              </w:rPr>
              <w:t xml:space="preserve">. </w:t>
            </w:r>
          </w:p>
          <w:p w:rsidR="00DE339A" w:rsidRDefault="00DE339A" w:rsidP="00DE339A">
            <w:pPr>
              <w:rPr>
                <w:bCs/>
              </w:rPr>
            </w:pPr>
          </w:p>
          <w:p w:rsidR="00DE339A" w:rsidRDefault="00DE339A" w:rsidP="00DE339A">
            <w:r>
              <w:t xml:space="preserve">Ärendet bordlades. </w:t>
            </w:r>
          </w:p>
          <w:p w:rsidR="00DE339A" w:rsidRDefault="00DE339A" w:rsidP="00626F43">
            <w:pPr>
              <w:rPr>
                <w:b/>
                <w:bCs/>
              </w:rPr>
            </w:pP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DE339A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7</w:t>
            </w:r>
          </w:p>
        </w:tc>
        <w:tc>
          <w:tcPr>
            <w:tcW w:w="7796" w:type="dxa"/>
          </w:tcPr>
          <w:p w:rsidR="00626F43" w:rsidRDefault="00DE339A" w:rsidP="00626F43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  <w:p w:rsidR="00DE339A" w:rsidRPr="009053ED" w:rsidRDefault="00C51C2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kalla företrädare för regeringen för information om hanteringen av riksdagens tillkännagivande </w:t>
            </w:r>
            <w:r w:rsidRPr="009053ED">
              <w:rPr>
                <w:bCs/>
              </w:rPr>
              <w:t>om åtgärder för civilsamhället</w:t>
            </w:r>
            <w:r>
              <w:rPr>
                <w:bCs/>
              </w:rPr>
              <w:t xml:space="preserve"> till ett kommande sammanträde.  </w:t>
            </w: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339A">
              <w:rPr>
                <w:b/>
                <w:snapToGrid w:val="0"/>
              </w:rPr>
              <w:t>7</w:t>
            </w:r>
          </w:p>
        </w:tc>
        <w:tc>
          <w:tcPr>
            <w:tcW w:w="7796" w:type="dxa"/>
          </w:tcPr>
          <w:p w:rsidR="00626F43" w:rsidRDefault="00626F43" w:rsidP="00626F43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626F43" w:rsidRPr="00410210" w:rsidRDefault="00DE339A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Tisdag 1 juni</w:t>
            </w:r>
            <w:r w:rsidR="00626F43">
              <w:rPr>
                <w:bCs/>
              </w:rPr>
              <w:t xml:space="preserve"> kl. 10.30.</w:t>
            </w:r>
          </w:p>
          <w:p w:rsidR="00626F43" w:rsidRPr="00410210" w:rsidRDefault="00626F43" w:rsidP="00626F43">
            <w:pPr>
              <w:outlineLvl w:val="0"/>
              <w:rPr>
                <w:bCs/>
              </w:rPr>
            </w:pPr>
          </w:p>
          <w:p w:rsidR="00626F43" w:rsidRPr="00AD47F5" w:rsidRDefault="00626F43" w:rsidP="00626F43">
            <w:pPr>
              <w:outlineLvl w:val="0"/>
              <w:rPr>
                <w:b/>
                <w:bCs/>
              </w:rPr>
            </w:pPr>
          </w:p>
        </w:tc>
      </w:tr>
      <w:tr w:rsidR="00626F43" w:rsidTr="00A82E61"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6" w:type="dxa"/>
          </w:tcPr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626F43" w:rsidRPr="00D12ED4" w:rsidRDefault="00626F43" w:rsidP="00626F43">
            <w:pPr>
              <w:outlineLvl w:val="0"/>
              <w:rPr>
                <w:bCs/>
              </w:rPr>
            </w:pPr>
          </w:p>
        </w:tc>
      </w:tr>
      <w:tr w:rsidR="00626F43" w:rsidTr="00FB3CAB">
        <w:tc>
          <w:tcPr>
            <w:tcW w:w="8435" w:type="dxa"/>
            <w:gridSpan w:val="2"/>
          </w:tcPr>
          <w:p w:rsidR="00626F43" w:rsidRPr="00BD39D1" w:rsidRDefault="00626F43" w:rsidP="00626F43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01354" w:rsidRDefault="00F01354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01354" w:rsidRDefault="00F01354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C6D3E" w:rsidRDefault="00CC6D3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AA0D2F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AA0D2F">
        <w:rPr>
          <w:sz w:val="22"/>
          <w:szCs w:val="22"/>
        </w:rPr>
        <w:t>6</w:t>
      </w:r>
      <w:r w:rsidR="00DE339A">
        <w:rPr>
          <w:sz w:val="22"/>
          <w:szCs w:val="22"/>
        </w:rPr>
        <w:t>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54548E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33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33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DE33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FD" w:rsidRDefault="00000BFD">
      <w:r>
        <w:separator/>
      </w:r>
    </w:p>
  </w:endnote>
  <w:endnote w:type="continuationSeparator" w:id="0">
    <w:p w:rsidR="00000BFD" w:rsidRDefault="000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FD" w:rsidRDefault="00000BFD">
      <w:r>
        <w:separator/>
      </w:r>
    </w:p>
  </w:footnote>
  <w:footnote w:type="continuationSeparator" w:id="0">
    <w:p w:rsidR="00000BFD" w:rsidRDefault="0000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06EA"/>
    <w:multiLevelType w:val="hybridMultilevel"/>
    <w:tmpl w:val="BEE01F6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E5A29"/>
    <w:multiLevelType w:val="hybridMultilevel"/>
    <w:tmpl w:val="2D9AB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552ABD"/>
    <w:multiLevelType w:val="hybridMultilevel"/>
    <w:tmpl w:val="80909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06220"/>
    <w:multiLevelType w:val="hybridMultilevel"/>
    <w:tmpl w:val="3E162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C3895"/>
    <w:multiLevelType w:val="hybridMultilevel"/>
    <w:tmpl w:val="E5A0D4C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4F135894"/>
    <w:multiLevelType w:val="hybridMultilevel"/>
    <w:tmpl w:val="F5D8F126"/>
    <w:lvl w:ilvl="0" w:tplc="BBC04ED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3420"/>
    <w:multiLevelType w:val="hybridMultilevel"/>
    <w:tmpl w:val="E34C84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532B"/>
    <w:multiLevelType w:val="hybridMultilevel"/>
    <w:tmpl w:val="CE5064C2"/>
    <w:lvl w:ilvl="0" w:tplc="0102F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4F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E1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80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27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06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C8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09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E9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290E17"/>
    <w:multiLevelType w:val="hybridMultilevel"/>
    <w:tmpl w:val="61AEB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7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16"/>
  </w:num>
  <w:num w:numId="15">
    <w:abstractNumId w:val="15"/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0BFD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71E3"/>
    <w:rsid w:val="000B29E8"/>
    <w:rsid w:val="000B4B42"/>
    <w:rsid w:val="000C726F"/>
    <w:rsid w:val="000E010A"/>
    <w:rsid w:val="000E151F"/>
    <w:rsid w:val="000E3445"/>
    <w:rsid w:val="000E58AB"/>
    <w:rsid w:val="000F747E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0478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30CA"/>
    <w:rsid w:val="003A48EB"/>
    <w:rsid w:val="003A69D1"/>
    <w:rsid w:val="003A6F3C"/>
    <w:rsid w:val="003C0E60"/>
    <w:rsid w:val="003C1D28"/>
    <w:rsid w:val="003C3701"/>
    <w:rsid w:val="003C48AB"/>
    <w:rsid w:val="003D2821"/>
    <w:rsid w:val="003F39D9"/>
    <w:rsid w:val="00400734"/>
    <w:rsid w:val="00410210"/>
    <w:rsid w:val="00410507"/>
    <w:rsid w:val="00410AFE"/>
    <w:rsid w:val="00413964"/>
    <w:rsid w:val="0041580F"/>
    <w:rsid w:val="0042098E"/>
    <w:rsid w:val="00423FDF"/>
    <w:rsid w:val="00430C08"/>
    <w:rsid w:val="00440F4D"/>
    <w:rsid w:val="00450BFD"/>
    <w:rsid w:val="00454D13"/>
    <w:rsid w:val="00454E86"/>
    <w:rsid w:val="00461C67"/>
    <w:rsid w:val="00462AC9"/>
    <w:rsid w:val="00462C17"/>
    <w:rsid w:val="0047277D"/>
    <w:rsid w:val="00474848"/>
    <w:rsid w:val="004A0267"/>
    <w:rsid w:val="004A0CDF"/>
    <w:rsid w:val="004A36BA"/>
    <w:rsid w:val="004A4171"/>
    <w:rsid w:val="004A41BC"/>
    <w:rsid w:val="004A719A"/>
    <w:rsid w:val="004B1312"/>
    <w:rsid w:val="004C3373"/>
    <w:rsid w:val="004C6601"/>
    <w:rsid w:val="004C6A09"/>
    <w:rsid w:val="004D4929"/>
    <w:rsid w:val="004E2BD4"/>
    <w:rsid w:val="004E59CD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548E"/>
    <w:rsid w:val="0054604E"/>
    <w:rsid w:val="0055672C"/>
    <w:rsid w:val="00562EF7"/>
    <w:rsid w:val="0057774D"/>
    <w:rsid w:val="00577C45"/>
    <w:rsid w:val="00580536"/>
    <w:rsid w:val="005832EE"/>
    <w:rsid w:val="00583B96"/>
    <w:rsid w:val="005874E8"/>
    <w:rsid w:val="005956B3"/>
    <w:rsid w:val="005A0175"/>
    <w:rsid w:val="005A5091"/>
    <w:rsid w:val="005B498F"/>
    <w:rsid w:val="005C1541"/>
    <w:rsid w:val="005C61EB"/>
    <w:rsid w:val="005D0C11"/>
    <w:rsid w:val="005E28B9"/>
    <w:rsid w:val="005E2FA7"/>
    <w:rsid w:val="005E439C"/>
    <w:rsid w:val="00626F43"/>
    <w:rsid w:val="00627839"/>
    <w:rsid w:val="00643E28"/>
    <w:rsid w:val="006457B3"/>
    <w:rsid w:val="00650B8D"/>
    <w:rsid w:val="006572A3"/>
    <w:rsid w:val="00667E9B"/>
    <w:rsid w:val="006702C0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384A"/>
    <w:rsid w:val="00755F03"/>
    <w:rsid w:val="00761C12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5B82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3ED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09D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220"/>
    <w:rsid w:val="0097434A"/>
    <w:rsid w:val="0097719E"/>
    <w:rsid w:val="00991390"/>
    <w:rsid w:val="009A10DD"/>
    <w:rsid w:val="009A68FE"/>
    <w:rsid w:val="009A772E"/>
    <w:rsid w:val="009B0A01"/>
    <w:rsid w:val="009B18B5"/>
    <w:rsid w:val="009B5F52"/>
    <w:rsid w:val="009C27A1"/>
    <w:rsid w:val="009D20DC"/>
    <w:rsid w:val="009D2290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299E"/>
    <w:rsid w:val="00A63190"/>
    <w:rsid w:val="00A640B1"/>
    <w:rsid w:val="00A67C77"/>
    <w:rsid w:val="00A744C3"/>
    <w:rsid w:val="00A75B9F"/>
    <w:rsid w:val="00A82E61"/>
    <w:rsid w:val="00A85A29"/>
    <w:rsid w:val="00A938C6"/>
    <w:rsid w:val="00AA0D2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93CFF"/>
    <w:rsid w:val="00BB5A67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030B"/>
    <w:rsid w:val="00C3449C"/>
    <w:rsid w:val="00C35200"/>
    <w:rsid w:val="00C3579D"/>
    <w:rsid w:val="00C447CF"/>
    <w:rsid w:val="00C45FAF"/>
    <w:rsid w:val="00C51C23"/>
    <w:rsid w:val="00C540B9"/>
    <w:rsid w:val="00C574FE"/>
    <w:rsid w:val="00C63961"/>
    <w:rsid w:val="00C64E6C"/>
    <w:rsid w:val="00C66E21"/>
    <w:rsid w:val="00C7489D"/>
    <w:rsid w:val="00C74946"/>
    <w:rsid w:val="00C82D0B"/>
    <w:rsid w:val="00C8766C"/>
    <w:rsid w:val="00C93236"/>
    <w:rsid w:val="00CA15CA"/>
    <w:rsid w:val="00CA58BF"/>
    <w:rsid w:val="00CB01C5"/>
    <w:rsid w:val="00CB0940"/>
    <w:rsid w:val="00CB50C7"/>
    <w:rsid w:val="00CC0949"/>
    <w:rsid w:val="00CC1AE1"/>
    <w:rsid w:val="00CC4B83"/>
    <w:rsid w:val="00CC60EB"/>
    <w:rsid w:val="00CC6D3E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339A"/>
    <w:rsid w:val="00DE54FF"/>
    <w:rsid w:val="00DF06AE"/>
    <w:rsid w:val="00DF7220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53A4"/>
    <w:rsid w:val="00E97AED"/>
    <w:rsid w:val="00EA4AA0"/>
    <w:rsid w:val="00EB6C36"/>
    <w:rsid w:val="00EC107D"/>
    <w:rsid w:val="00EC1224"/>
    <w:rsid w:val="00EC14B0"/>
    <w:rsid w:val="00EC34B7"/>
    <w:rsid w:val="00EC4415"/>
    <w:rsid w:val="00ED357E"/>
    <w:rsid w:val="00EE57B7"/>
    <w:rsid w:val="00EF16D4"/>
    <w:rsid w:val="00EF57E7"/>
    <w:rsid w:val="00EF721A"/>
    <w:rsid w:val="00F01354"/>
    <w:rsid w:val="00F013FB"/>
    <w:rsid w:val="00F055E5"/>
    <w:rsid w:val="00F06D7D"/>
    <w:rsid w:val="00F14A8D"/>
    <w:rsid w:val="00F215FF"/>
    <w:rsid w:val="00F27AB4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C2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F5D5-A627-46C7-B54F-A75885B0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3473</Characters>
  <Application>Microsoft Office Word</Application>
  <DocSecurity>4</DocSecurity>
  <Lines>1157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2021-06-01T14:33:00Z</dcterms:created>
  <dcterms:modified xsi:type="dcterms:W3CDTF">2021-06-01T14:33:00Z</dcterms:modified>
</cp:coreProperties>
</file>