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Onsdagen den 25 november 2020</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09.00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16.00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14</w:t>
            </w:r>
          </w:p>
        </w:tc>
        <w:tc>
          <w:tcPr>
            <w:tcW w:w="5680" w:type="dxa"/>
            <w:gridSpan w:val="3"/>
            <w:vAlign w:val="bottom"/>
          </w:tcPr>
          <w:p w:rsidR="00C57C00" w:rsidRPr="006F2BC3" w:rsidP="006F2BC3">
            <w:pPr>
              <w:pStyle w:val="renderubrik"/>
            </w:pPr>
            <w:r>
              <w:rPr>
                <w:rtl w:val="0"/>
              </w:rPr>
              <w:t>Finansutskottets betänkande FiU1</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Statens budget 2021 – rambeslutet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debatten om rambeslutet.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tio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Elisabeth Svantesson (M)</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Oscar Sjöstedt (SD)</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Rickard Nordin (C)</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Ulla Andersson (V)</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Jakob Forssmed (KD)</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Åsa Westlund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Mats Persson (L)</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Karolina Skog (MP)</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Finansminister Magdalena Andersson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Niklas Wykman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Eric Westroth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Helena Vilhelmsson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Tony Haddou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14</w:t>
            </w:r>
          </w:p>
        </w:tc>
        <w:tc>
          <w:tcPr>
            <w:tcW w:w="5200" w:type="dxa"/>
            <w:vAlign w:val="bottom"/>
          </w:tcPr>
          <w:p w:rsidR="00C57C00" w:rsidRPr="006F2BC3" w:rsidP="006F2BC3">
            <w:r w:rsidRPr="006F2BC3">
              <w:t>Hampus Hagman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15</w:t>
            </w:r>
          </w:p>
        </w:tc>
        <w:tc>
          <w:tcPr>
            <w:tcW w:w="5200" w:type="dxa"/>
            <w:vAlign w:val="bottom"/>
          </w:tcPr>
          <w:p w:rsidR="00C57C00" w:rsidRPr="006F2BC3" w:rsidP="006F2BC3">
            <w:r w:rsidRPr="006F2BC3">
              <w:t>Jörgen Hellman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16</w:t>
            </w:r>
          </w:p>
        </w:tc>
        <w:tc>
          <w:tcPr>
            <w:tcW w:w="5200" w:type="dxa"/>
            <w:vAlign w:val="bottom"/>
          </w:tcPr>
          <w:p w:rsidR="00C57C00" w:rsidRPr="006F2BC3" w:rsidP="006F2BC3">
            <w:r w:rsidRPr="006F2BC3">
              <w:t>Gulan Avci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17</w:t>
            </w:r>
          </w:p>
        </w:tc>
        <w:tc>
          <w:tcPr>
            <w:tcW w:w="5200" w:type="dxa"/>
            <w:vAlign w:val="bottom"/>
          </w:tcPr>
          <w:p w:rsidR="00C57C00" w:rsidRPr="006F2BC3" w:rsidP="006F2BC3">
            <w:r w:rsidRPr="006F2BC3">
              <w:t>Rebecka Le Moine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2.34</w:t>
            </w:r>
          </w:p>
        </w:tc>
        <w:tc>
          <w:tcPr>
            <w:tcW w:w="1460" w:type="dxa"/>
            <w:gridSpan w:val="2"/>
            <w:vAlign w:val="bottom"/>
          </w:tcPr>
          <w:p w:rsidR="00C57C00" w:rsidRPr="006F2BC3" w:rsidP="006F2BC3">
            <w:pPr>
              <w:pStyle w:val="TalartidSumma"/>
            </w:pPr>
            <w:r w:rsidRPr="006F2BC3">
              <w:t>2.34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15</w:t>
            </w:r>
          </w:p>
        </w:tc>
        <w:tc>
          <w:tcPr>
            <w:tcW w:w="5680" w:type="dxa"/>
            <w:gridSpan w:val="3"/>
            <w:vAlign w:val="bottom"/>
          </w:tcPr>
          <w:p w:rsidR="00C57C00" w:rsidRPr="006F2BC3" w:rsidP="006F2BC3">
            <w:pPr>
              <w:pStyle w:val="renderubrik"/>
            </w:pPr>
            <w:r>
              <w:rPr>
                <w:rtl w:val="0"/>
              </w:rPr>
              <w:t>Finansutskottets betänkande FiU11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Höständringsbudget för 2020 samt extra ändringsbudget för 2020 – ytterligare medel till kommuner och regioner, ökad testning och andra merkostnader med anledning av coronaviruset samt ändrade regler för kostförmån i särskilda fall</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Åsa Westlund (S)</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0.04</w:t>
            </w:r>
          </w:p>
        </w:tc>
        <w:tc>
          <w:tcPr>
            <w:tcW w:w="1460" w:type="dxa"/>
            <w:gridSpan w:val="2"/>
            <w:vAlign w:val="bottom"/>
          </w:tcPr>
          <w:p w:rsidR="00C57C00" w:rsidRPr="006F2BC3" w:rsidP="006F2BC3">
            <w:pPr>
              <w:pStyle w:val="TalartidSumma"/>
            </w:pPr>
            <w:r w:rsidRPr="006F2BC3">
              <w:t>2.38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16</w:t>
            </w:r>
          </w:p>
        </w:tc>
        <w:tc>
          <w:tcPr>
            <w:tcW w:w="5680" w:type="dxa"/>
            <w:gridSpan w:val="3"/>
            <w:vAlign w:val="bottom"/>
          </w:tcPr>
          <w:p w:rsidR="00C57C00" w:rsidRPr="006F2BC3" w:rsidP="006F2BC3">
            <w:pPr>
              <w:pStyle w:val="renderubrik"/>
            </w:pPr>
            <w:r>
              <w:rPr>
                <w:rtl w:val="0"/>
              </w:rPr>
              <w:t>Finansutskottets betänkande FiU14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Ändrade krav på insiderförteckningar och några tillsynsfrågor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2.38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17</w:t>
            </w:r>
          </w:p>
        </w:tc>
        <w:tc>
          <w:tcPr>
            <w:tcW w:w="5680" w:type="dxa"/>
            <w:gridSpan w:val="3"/>
            <w:vAlign w:val="bottom"/>
          </w:tcPr>
          <w:p w:rsidR="00C57C00" w:rsidRPr="006F2BC3" w:rsidP="006F2BC3">
            <w:pPr>
              <w:pStyle w:val="renderubrik"/>
            </w:pPr>
            <w:r>
              <w:rPr>
                <w:rtl w:val="0"/>
              </w:rPr>
              <w:t>Skatteutskottets betänkande SkU8</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Vissa ändringar i skattelagstiftningen till följd av resolutionsregelverket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2.38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18</w:t>
            </w:r>
          </w:p>
        </w:tc>
        <w:tc>
          <w:tcPr>
            <w:tcW w:w="5680" w:type="dxa"/>
            <w:gridSpan w:val="3"/>
            <w:vAlign w:val="bottom"/>
          </w:tcPr>
          <w:p w:rsidR="00C57C00" w:rsidRPr="006F2BC3" w:rsidP="006F2BC3">
            <w:pPr>
              <w:pStyle w:val="renderubrik"/>
            </w:pPr>
            <w:r>
              <w:rPr>
                <w:rtl w:val="0"/>
              </w:rPr>
              <w:t>Skatteutskottets betänkande SkU9</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Justerande bestämmelser om avdrag för koncernbidragsspärrade underskott och avdrag för negativt räntenetto</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2.38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19</w:t>
            </w:r>
          </w:p>
        </w:tc>
        <w:tc>
          <w:tcPr>
            <w:tcW w:w="5680" w:type="dxa"/>
            <w:gridSpan w:val="3"/>
            <w:vAlign w:val="bottom"/>
          </w:tcPr>
          <w:p w:rsidR="00C57C00" w:rsidRPr="006F2BC3" w:rsidP="006F2BC3">
            <w:pPr>
              <w:pStyle w:val="renderubrik"/>
            </w:pPr>
            <w:r>
              <w:rPr>
                <w:rtl w:val="0"/>
              </w:rPr>
              <w:t>Skatteutskottets betänkande SkU10</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Motåtgärder på skatteområdet mot icke samarbetsvilliga jurisdiktioner och vissa andra inkomstskattefrågor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0.00</w:t>
            </w:r>
          </w:p>
        </w:tc>
        <w:tc>
          <w:tcPr>
            <w:tcW w:w="1460" w:type="dxa"/>
            <w:gridSpan w:val="2"/>
            <w:vAlign w:val="bottom"/>
          </w:tcPr>
          <w:p w:rsidR="00C57C00" w:rsidRPr="006F2BC3" w:rsidP="006F2BC3">
            <w:pPr>
              <w:pStyle w:val="TalartidSumma"/>
            </w:pPr>
            <w:r w:rsidRPr="006F2BC3">
              <w:t>2.38</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20</w:t>
            </w:r>
          </w:p>
        </w:tc>
        <w:tc>
          <w:tcPr>
            <w:tcW w:w="5680" w:type="dxa"/>
            <w:gridSpan w:val="3"/>
            <w:vAlign w:val="bottom"/>
          </w:tcPr>
          <w:p w:rsidR="00C57C00" w:rsidRPr="006F2BC3" w:rsidP="006F2BC3">
            <w:pPr>
              <w:pStyle w:val="renderubrik"/>
            </w:pPr>
            <w:r>
              <w:rPr>
                <w:rtl w:val="0"/>
              </w:rPr>
              <w:t>Justitieutskottets betänkande JuU10</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Åtgärder till skydd för Sveriges säkerhet vid överlåtelser av säkerhetskänslig verksamhet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Mikael Damsgaard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Helena Vilhelmsson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Johan Pehrson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0.18</w:t>
            </w:r>
          </w:p>
        </w:tc>
        <w:tc>
          <w:tcPr>
            <w:tcW w:w="1460" w:type="dxa"/>
            <w:gridSpan w:val="2"/>
            <w:vAlign w:val="bottom"/>
          </w:tcPr>
          <w:p w:rsidR="00C57C00" w:rsidRPr="006F2BC3" w:rsidP="006F2BC3">
            <w:pPr>
              <w:pStyle w:val="TalartidSumma"/>
            </w:pPr>
            <w:r w:rsidRPr="006F2BC3">
              <w:t>2.56</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2 tim. 56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Onsdagen den 25 november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2020-11-25</SAFIR_Sammantradesdatum_Doc>
    <SAFIR_SammantradeID xmlns="C07A1A6C-0B19-41D9-BDF8-F523BA3921EB">18437edf-a77a-4cdc-87db-4798bbf42e02</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572BE617-51F2-4468-B85A-6A502EF0D11D}"/>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Onsdagen den 25 november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