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AD2" w:rsidRPr="0058774B" w:rsidRDefault="0033261B" w:rsidP="00B27A1F">
      <w:pPr>
        <w:pStyle w:val="Hemstlrubrik"/>
      </w:pPr>
      <w:r w:rsidRPr="0058774B">
        <w:t>Förslag till riksdagsbeslut</w:t>
      </w:r>
    </w:p>
    <w:p w:rsidR="00DF2AD2" w:rsidRPr="0058774B" w:rsidRDefault="00DF2AD2" w:rsidP="0033261B">
      <w:pPr>
        <w:pStyle w:val="Hemstlatt"/>
      </w:pPr>
      <w:r w:rsidRPr="0058774B">
        <w:t>Riksdagen tillkännager för regeringen som sin mening vad i motionen anförs om att svenska strukturpr</w:t>
      </w:r>
      <w:r w:rsidR="005F46B7" w:rsidRPr="0058774B">
        <w:t>ogram tillförs medel som erhåll</w:t>
      </w:r>
      <w:r w:rsidRPr="0058774B">
        <w:t>s genom att euro/SEK anpassas till faktiska förhållanden, varvid redan gjorda u</w:t>
      </w:r>
      <w:r w:rsidRPr="0058774B">
        <w:t>t</w:t>
      </w:r>
      <w:r w:rsidRPr="0058774B">
        <w:t>betalningar från EU omräknas till den kurs som rådde vid betalningstil</w:t>
      </w:r>
      <w:r w:rsidRPr="0058774B">
        <w:t>l</w:t>
      </w:r>
      <w:r w:rsidRPr="0058774B">
        <w:t>fällena.</w:t>
      </w:r>
    </w:p>
    <w:p w:rsidR="00DF2AD2" w:rsidRPr="0058774B" w:rsidRDefault="00DF2AD2" w:rsidP="0033261B">
      <w:pPr>
        <w:pStyle w:val="Hemstlatt"/>
      </w:pPr>
      <w:r w:rsidRPr="0058774B">
        <w:t>Riksdagen tillkännager för regeringen som sin mening vad i motionen anförs om behovet av en fortsättningsvis löpande anpassning av valut</w:t>
      </w:r>
      <w:r w:rsidRPr="0058774B">
        <w:t>a</w:t>
      </w:r>
      <w:r w:rsidRPr="0058774B">
        <w:t>kursen.</w:t>
      </w:r>
    </w:p>
    <w:p w:rsidR="00DF2AD2" w:rsidRPr="0058774B" w:rsidRDefault="00DF2AD2" w:rsidP="0033261B">
      <w:pPr>
        <w:pStyle w:val="Hemstlatt"/>
      </w:pPr>
      <w:r w:rsidRPr="0058774B">
        <w:t>Riksdagen tillkännager för regeringen som sin mening vad i motionen anförs om att särskild vikt läggs vid redovisningen av strukturfondernas me</w:t>
      </w:r>
      <w:r w:rsidRPr="0058774B">
        <w:t>d</w:t>
      </w:r>
      <w:r w:rsidRPr="0058774B">
        <w:t>finansiering och uppnådda resultat.</w:t>
      </w:r>
    </w:p>
    <w:p w:rsidR="00DF2AD2" w:rsidRPr="0058774B" w:rsidRDefault="00DF2AD2" w:rsidP="0033261B">
      <w:pPr>
        <w:pStyle w:val="Hemstlatt"/>
      </w:pPr>
      <w:r w:rsidRPr="0058774B">
        <w:t xml:space="preserve">Riksdagen tillkännager för regeringen som sin mening vad i motionen anförs om innebörd och effekter </w:t>
      </w:r>
      <w:r w:rsidR="005F46B7" w:rsidRPr="0058774B">
        <w:t xml:space="preserve">av </w:t>
      </w:r>
      <w:r w:rsidRPr="0058774B">
        <w:t>att EU:s strukturfonder så långt som möjligt skall användas för att stärka Sveriges tillväxt och regionala u</w:t>
      </w:r>
      <w:r w:rsidRPr="0058774B">
        <w:t>t</w:t>
      </w:r>
      <w:r w:rsidRPr="0058774B">
        <w:t>veckling.</w:t>
      </w:r>
    </w:p>
    <w:p w:rsidR="00DF2AD2" w:rsidRPr="0058774B" w:rsidRDefault="00DF2AD2" w:rsidP="0033261B">
      <w:pPr>
        <w:pStyle w:val="Hemstlatt"/>
      </w:pPr>
      <w:r w:rsidRPr="0058774B">
        <w:t>Riksdagen tillkännager för regeringen som sin mening vad i motionen anförs om offentlig medfinansiering såtillvida att de anslag som riksd</w:t>
      </w:r>
      <w:r w:rsidRPr="0058774B">
        <w:t>a</w:t>
      </w:r>
      <w:r w:rsidRPr="0058774B">
        <w:t>gen och regeringen i annan ordning tilldelar statens myndigheter kan a</w:t>
      </w:r>
      <w:r w:rsidRPr="0058774B">
        <w:t>n</w:t>
      </w:r>
      <w:r w:rsidRPr="0058774B">
        <w:t>vändas för nati</w:t>
      </w:r>
      <w:r w:rsidR="005F46B7" w:rsidRPr="0058774B">
        <w:t>onell offentlig medfinansiering</w:t>
      </w:r>
      <w:r w:rsidRPr="0058774B">
        <w:t xml:space="preserve"> samt att kommuner och landsting också svarar för medfinansiering.</w:t>
      </w:r>
    </w:p>
    <w:p w:rsidR="00DF2AD2" w:rsidRPr="0058774B" w:rsidRDefault="00DF2AD2" w:rsidP="0033261B">
      <w:pPr>
        <w:pStyle w:val="Hemstlatt"/>
        <w:rPr>
          <w:spacing w:val="-3"/>
          <w:szCs w:val="19"/>
        </w:rPr>
      </w:pPr>
      <w:r w:rsidRPr="0058774B">
        <w:t xml:space="preserve">Riksdagen tillkännager för regeringen som sin mening vad i motionen </w:t>
      </w:r>
      <w:r w:rsidRPr="0058774B">
        <w:rPr>
          <w:spacing w:val="-3"/>
          <w:szCs w:val="19"/>
        </w:rPr>
        <w:t>anförs om budgetutrymm</w:t>
      </w:r>
      <w:r w:rsidR="005F46B7" w:rsidRPr="0058774B">
        <w:rPr>
          <w:spacing w:val="-3"/>
          <w:szCs w:val="19"/>
        </w:rPr>
        <w:t>e</w:t>
      </w:r>
      <w:r w:rsidR="00B27A1F" w:rsidRPr="0058774B">
        <w:rPr>
          <w:spacing w:val="-3"/>
          <w:szCs w:val="19"/>
        </w:rPr>
        <w:t>t</w:t>
      </w:r>
      <w:r w:rsidR="005F46B7" w:rsidRPr="0058774B">
        <w:rPr>
          <w:spacing w:val="-3"/>
          <w:szCs w:val="19"/>
        </w:rPr>
        <w:t xml:space="preserve"> och </w:t>
      </w:r>
      <w:r w:rsidR="00B27A1F" w:rsidRPr="0058774B">
        <w:rPr>
          <w:spacing w:val="-3"/>
          <w:szCs w:val="19"/>
        </w:rPr>
        <w:t>om en översyn</w:t>
      </w:r>
      <w:r w:rsidRPr="0058774B">
        <w:rPr>
          <w:spacing w:val="-3"/>
          <w:szCs w:val="19"/>
        </w:rPr>
        <w:t xml:space="preserve"> av budgetlagen (1996:1059).</w:t>
      </w:r>
    </w:p>
    <w:p w:rsidR="00DF2AD2" w:rsidRPr="0058774B" w:rsidRDefault="00DF2AD2" w:rsidP="00DF2AD2">
      <w:pPr>
        <w:pStyle w:val="Rubrik1"/>
      </w:pPr>
      <w:r w:rsidRPr="0058774B">
        <w:lastRenderedPageBreak/>
        <w:t>Motivering</w:t>
      </w:r>
    </w:p>
    <w:p w:rsidR="00DF2AD2" w:rsidRPr="0058774B" w:rsidRDefault="00DF2AD2" w:rsidP="004511E2">
      <w:r w:rsidRPr="0058774B">
        <w:t xml:space="preserve">Som medlem i Europeiska </w:t>
      </w:r>
      <w:r w:rsidR="001006F3" w:rsidRPr="0058774B">
        <w:t xml:space="preserve">unionen </w:t>
      </w:r>
      <w:r w:rsidRPr="0058774B">
        <w:t>erhåller Sverige stöd från EG:s struktu</w:t>
      </w:r>
      <w:r w:rsidRPr="0058774B">
        <w:t>r</w:t>
      </w:r>
      <w:r w:rsidRPr="0058774B">
        <w:t>fonder. Under p</w:t>
      </w:r>
      <w:r w:rsidRPr="0058774B">
        <w:t>e</w:t>
      </w:r>
      <w:r w:rsidRPr="0058774B">
        <w:t>rioden 2000</w:t>
      </w:r>
      <w:r w:rsidR="000373F8" w:rsidRPr="0058774B">
        <w:t>–</w:t>
      </w:r>
      <w:r w:rsidRPr="0058774B">
        <w:t xml:space="preserve">2006 uppgår stödet till cirka 2,3 miljarder </w:t>
      </w:r>
      <w:r w:rsidR="001006F3" w:rsidRPr="0058774B">
        <w:t>euro</w:t>
      </w:r>
      <w:r w:rsidRPr="0058774B">
        <w:rPr>
          <w:rStyle w:val="Fotnotsreferens"/>
        </w:rPr>
        <w:footnoteReference w:id="2"/>
      </w:r>
      <w:r w:rsidRPr="0058774B">
        <w:t>. Omräknat med den kurs som regeringen den 23 juni 2005 har fastställt i fö</w:t>
      </w:r>
      <w:r w:rsidRPr="0058774B">
        <w:t>r</w:t>
      </w:r>
      <w:r w:rsidRPr="0058774B">
        <w:t>ordning (SFS 1999:710) om valutakurs vid stöd från EG:s strukturfonder</w:t>
      </w:r>
      <w:r w:rsidR="001006F3" w:rsidRPr="0058774B">
        <w:t xml:space="preserve"> –</w:t>
      </w:r>
      <w:r w:rsidRPr="0058774B">
        <w:t xml:space="preserve"> 1</w:t>
      </w:r>
      <w:r w:rsidR="001006F3" w:rsidRPr="0058774B">
        <w:t xml:space="preserve"> euro motsvarar 8,</w:t>
      </w:r>
      <w:r w:rsidRPr="0058774B">
        <w:t>60 SEK</w:t>
      </w:r>
      <w:r w:rsidR="001006F3" w:rsidRPr="0058774B">
        <w:t xml:space="preserve"> –</w:t>
      </w:r>
      <w:r w:rsidRPr="0058774B">
        <w:t xml:space="preserve"> uppgår EU:s stöd till Sverige till cirka 20 milja</w:t>
      </w:r>
      <w:r w:rsidRPr="0058774B">
        <w:t>r</w:t>
      </w:r>
      <w:r w:rsidRPr="0058774B">
        <w:t xml:space="preserve">der SEK. </w:t>
      </w:r>
    </w:p>
    <w:p w:rsidR="00DF2AD2" w:rsidRPr="0058774B" w:rsidRDefault="00DF2AD2" w:rsidP="001006F3">
      <w:pPr>
        <w:pStyle w:val="Normaltindrag"/>
      </w:pPr>
      <w:r w:rsidRPr="0058774B">
        <w:t>Det skall framhållas att samtliga strukturfondsprogram erhåller stödet i euro, men att stödet däre</w:t>
      </w:r>
      <w:r w:rsidRPr="0058774B">
        <w:t>f</w:t>
      </w:r>
      <w:r w:rsidRPr="0058774B">
        <w:t xml:space="preserve">ter räknas om till kronor. Det är således Europeiska </w:t>
      </w:r>
      <w:r w:rsidR="001006F3" w:rsidRPr="0058774B">
        <w:t xml:space="preserve">unionens </w:t>
      </w:r>
      <w:r w:rsidRPr="0058774B">
        <w:t xml:space="preserve">valuta </w:t>
      </w:r>
      <w:r w:rsidR="001006F3" w:rsidRPr="0058774B">
        <w:t xml:space="preserve">som </w:t>
      </w:r>
      <w:r w:rsidRPr="0058774B">
        <w:t xml:space="preserve">ger grundvärdena. </w:t>
      </w:r>
    </w:p>
    <w:p w:rsidR="00DF2AD2" w:rsidRPr="0058774B" w:rsidRDefault="00DF2AD2" w:rsidP="001006F3">
      <w:pPr>
        <w:pStyle w:val="Normaltindrag"/>
      </w:pPr>
      <w:r w:rsidRPr="0058774B">
        <w:t>Med en anpassning av valutakursen till en kurs som har gällt för gjorda u</w:t>
      </w:r>
      <w:r w:rsidRPr="0058774B">
        <w:t>t</w:t>
      </w:r>
      <w:r w:rsidRPr="0058774B">
        <w:t>betalningar skulle ytterligare väsentliga ekonomiska resurser kunna tillföras Sv</w:t>
      </w:r>
      <w:r w:rsidRPr="0058774B">
        <w:t>e</w:t>
      </w:r>
      <w:r w:rsidRPr="0058774B">
        <w:t>r</w:t>
      </w:r>
      <w:r w:rsidR="001006F3" w:rsidRPr="0058774B">
        <w:t>ige. Dessa uppgår till mer än 1</w:t>
      </w:r>
      <w:r w:rsidRPr="0058774B">
        <w:t xml:space="preserve"> miljard SEK, och skulle komma till stor nytta för de områden och regioner som omfattas av strukturfondsprogra</w:t>
      </w:r>
      <w:r w:rsidRPr="0058774B">
        <w:t>m</w:t>
      </w:r>
      <w:r w:rsidRPr="0058774B">
        <w:t xml:space="preserve">men. Härutöver bör en löpande anpassning ske med hänsyn till kursen vid varje tillfälle, och belasta strukturfondsprogrammen i denna omfattning. </w:t>
      </w:r>
    </w:p>
    <w:p w:rsidR="00DF2AD2" w:rsidRPr="0058774B" w:rsidRDefault="00DF2AD2" w:rsidP="001006F3">
      <w:pPr>
        <w:pStyle w:val="Normaltindrag"/>
      </w:pPr>
      <w:r w:rsidRPr="0058774B">
        <w:t>Genomgång av tiotusentals transaktioner i de svenska strukturfondspr</w:t>
      </w:r>
      <w:r w:rsidRPr="0058774B">
        <w:t>o</w:t>
      </w:r>
      <w:r w:rsidRPr="0058774B">
        <w:t xml:space="preserve">grammen fram till och med juni 2005, registrerade och redovisade i </w:t>
      </w:r>
      <w:r w:rsidR="001006F3" w:rsidRPr="0058774B">
        <w:t xml:space="preserve">Nuteks </w:t>
      </w:r>
      <w:r w:rsidRPr="0058774B">
        <w:t>datasystem Stins, och som resulterat i utbetalningar från EU, visar att den ve</w:t>
      </w:r>
      <w:r w:rsidR="001006F3" w:rsidRPr="0058774B">
        <w:t>rkliga kursen har varit att en euro</w:t>
      </w:r>
      <w:r w:rsidRPr="0058774B">
        <w:t xml:space="preserve"> motsvarat 9,15 SEK. Genom att utbeta</w:t>
      </w:r>
      <w:r w:rsidRPr="0058774B">
        <w:t>l</w:t>
      </w:r>
      <w:r w:rsidRPr="0058774B">
        <w:t>ningarna redan har gjorts, finns därmed ingen valut</w:t>
      </w:r>
      <w:r w:rsidRPr="0058774B">
        <w:t>a</w:t>
      </w:r>
      <w:r w:rsidRPr="0058774B">
        <w:t xml:space="preserve">risk. </w:t>
      </w:r>
    </w:p>
    <w:p w:rsidR="00DF2AD2" w:rsidRPr="0058774B" w:rsidRDefault="00DF2AD2" w:rsidP="001006F3">
      <w:pPr>
        <w:pStyle w:val="Normaltindrag"/>
      </w:pPr>
      <w:r w:rsidRPr="0058774B">
        <w:t>Ett förtydligande exempel kan åskådliggöra de effekter som en artificiellt låg kurs ger upphov till:</w:t>
      </w:r>
    </w:p>
    <w:p w:rsidR="00DF2AD2" w:rsidRPr="0058774B" w:rsidRDefault="00DF2AD2" w:rsidP="001006F3">
      <w:pPr>
        <w:pStyle w:val="Normaltindrag"/>
      </w:pPr>
      <w:r w:rsidRPr="0058774B">
        <w:t>Ett projekt genomförs med ett ekonomiskt stöd från en av strukturfonderna om 1 miljon SEK. Vid avräkning mot strukturfondsprogrammet används kursen 8,60, vilket resulterar i ett b</w:t>
      </w:r>
      <w:r w:rsidRPr="0058774B">
        <w:t>e</w:t>
      </w:r>
      <w:r w:rsidRPr="0058774B">
        <w:t xml:space="preserve">lopp om 116 280 </w:t>
      </w:r>
      <w:r w:rsidR="001006F3" w:rsidRPr="0058774B">
        <w:t>euro</w:t>
      </w:r>
      <w:r w:rsidRPr="0058774B">
        <w:t>. När detta stöd därefter rekvireras från EU, används den dagsaktuella ku</w:t>
      </w:r>
      <w:r w:rsidRPr="0058774B">
        <w:t>r</w:t>
      </w:r>
      <w:r w:rsidRPr="0058774B">
        <w:t xml:space="preserve">sen. Med kursen 9,15 kommer därför 109 290 </w:t>
      </w:r>
      <w:r w:rsidR="001006F3" w:rsidRPr="0058774B">
        <w:t>euro</w:t>
      </w:r>
      <w:r w:rsidRPr="0058774B">
        <w:t xml:space="preserve"> att rekvireras hos och utbetalas från EU. Mellanskillnaden, 116 280 </w:t>
      </w:r>
      <w:r w:rsidR="001006F3" w:rsidRPr="0058774B">
        <w:t>euro</w:t>
      </w:r>
      <w:r w:rsidRPr="0058774B">
        <w:t xml:space="preserve"> minus 109 290 </w:t>
      </w:r>
      <w:r w:rsidR="001006F3" w:rsidRPr="0058774B">
        <w:t>euro</w:t>
      </w:r>
      <w:r w:rsidRPr="0058774B">
        <w:t xml:space="preserve"> eller 6 990 </w:t>
      </w:r>
      <w:r w:rsidR="001006F3" w:rsidRPr="0058774B">
        <w:t>euro</w:t>
      </w:r>
      <w:r w:rsidRPr="0058774B">
        <w:t>, motsv</w:t>
      </w:r>
      <w:r w:rsidRPr="0058774B">
        <w:t>a</w:t>
      </w:r>
      <w:r w:rsidRPr="0058774B">
        <w:t>rande 63 950 SEK vid kurs 9,15, kommer inte att utbetalas utan stannar kvar hos EU. Ett annat sätt att uttrycka det, är att projektet har blivit 63 950 SEK dyrare, eller att beloppet skulle ha kunnat användas till andra projekt. När detta förfarande upprepas i tusentals projekt, kommer så småningom Sv</w:t>
      </w:r>
      <w:r w:rsidRPr="0058774B">
        <w:t>e</w:t>
      </w:r>
      <w:r w:rsidRPr="0058774B">
        <w:t>rige att förlora miljardbelopp.</w:t>
      </w:r>
    </w:p>
    <w:p w:rsidR="00DF2AD2" w:rsidRPr="0058774B" w:rsidRDefault="00DF2AD2" w:rsidP="001006F3">
      <w:pPr>
        <w:pStyle w:val="Normaltindrag"/>
      </w:pPr>
      <w:r w:rsidRPr="0058774B">
        <w:t>Genom korrigering av den valutakurs som tillämpas i strukturfondspr</w:t>
      </w:r>
      <w:r w:rsidRPr="0058774B">
        <w:t>o</w:t>
      </w:r>
      <w:r w:rsidRPr="0058774B">
        <w:t>grammen kan Sverige däremot tillgodogöra sig de</w:t>
      </w:r>
      <w:r w:rsidRPr="0058774B">
        <w:t>s</w:t>
      </w:r>
      <w:r w:rsidRPr="0058774B">
        <w:t xml:space="preserve">sa resurser. </w:t>
      </w:r>
    </w:p>
    <w:p w:rsidR="00DF2AD2" w:rsidRPr="0058774B" w:rsidRDefault="00DF2AD2" w:rsidP="001006F3">
      <w:pPr>
        <w:pStyle w:val="Normaltindrag"/>
      </w:pPr>
      <w:r w:rsidRPr="0058774B">
        <w:t>Skillnaden mellan den i juni 2005 fastställda kursen om 8,60 och den hi</w:t>
      </w:r>
      <w:r w:rsidRPr="0058774B">
        <w:t>t</w:t>
      </w:r>
      <w:r w:rsidRPr="0058774B">
        <w:t>tills genomsnittliga kursen för gjorda utbetalningar från EU är 9,15 minus 8,60 eller cirka 0,55 SEK. Med ett t</w:t>
      </w:r>
      <w:r w:rsidRPr="0058774B">
        <w:t>o</w:t>
      </w:r>
      <w:r w:rsidR="001006F3" w:rsidRPr="0058774B">
        <w:t>talt stöd om 2,3 miljarder euro</w:t>
      </w:r>
      <w:r w:rsidRPr="0058774B">
        <w:t xml:space="preserve"> blir detta 1 265 000 000 SEK. </w:t>
      </w:r>
    </w:p>
    <w:p w:rsidR="00DF2AD2" w:rsidRPr="0058774B" w:rsidRDefault="00DF2AD2" w:rsidP="00035FBC">
      <w:pPr>
        <w:pStyle w:val="Rubrik1"/>
      </w:pPr>
      <w:r w:rsidRPr="0058774B">
        <w:t>Propositionens innehåll</w:t>
      </w:r>
    </w:p>
    <w:p w:rsidR="00DF2AD2" w:rsidRPr="0058774B" w:rsidRDefault="00DF2AD2" w:rsidP="004511E2">
      <w:r w:rsidRPr="0058774B">
        <w:t>I budget</w:t>
      </w:r>
      <w:r w:rsidR="001006F3" w:rsidRPr="0058774B">
        <w:t>propositionen, utgiftsområde 19</w:t>
      </w:r>
      <w:r w:rsidRPr="0058774B">
        <w:t xml:space="preserve"> Regional utveckling, redogörs bland annat för än</w:t>
      </w:r>
      <w:r w:rsidRPr="0058774B">
        <w:t>d</w:t>
      </w:r>
      <w:r w:rsidRPr="0058774B">
        <w:t>ringen av tillämpad kurs enligt förordning (SFS 1999:710) om valutakurs vid stöd från EG:s strukturfonder. I propositionen nämns dock inget om vilken den verkliga kursen hittills har varit, eller vilka överväganden regeringen har gjort vid sin ändring av tillämpad kurs. Inte he</w:t>
      </w:r>
      <w:r w:rsidRPr="0058774B">
        <w:t>l</w:t>
      </w:r>
      <w:r w:rsidRPr="0058774B">
        <w:t>ler i bilagorna för övriga utgiftsområden som omfattar stöd från EU redogörs för frågan om grunderna för omräkningskurs eller något om dess möjliga effekter. Det gäller utgiftsområd</w:t>
      </w:r>
      <w:r w:rsidRPr="0058774B">
        <w:t>e</w:t>
      </w:r>
      <w:r w:rsidRPr="0058774B">
        <w:t>na 13 Arbetsmarknad, 14 Arbetsliv och 23 Jordbruk, fiske med ansl</w:t>
      </w:r>
      <w:r w:rsidRPr="0058774B">
        <w:t>u</w:t>
      </w:r>
      <w:r w:rsidRPr="0058774B">
        <w:t xml:space="preserve">tande näringar. </w:t>
      </w:r>
    </w:p>
    <w:p w:rsidR="00DF2AD2" w:rsidRPr="0058774B" w:rsidRDefault="00DF2AD2" w:rsidP="001006F3">
      <w:pPr>
        <w:pStyle w:val="Normaltindrag"/>
      </w:pPr>
      <w:r w:rsidRPr="0058774B">
        <w:t>Däremot redogörs på flera ställen om den medfinansiering som struktu</w:t>
      </w:r>
      <w:r w:rsidRPr="0058774B">
        <w:t>r</w:t>
      </w:r>
      <w:r w:rsidRPr="0058774B">
        <w:t>fonderna medverkat med. Ett stort antal projekt och program redovisas, i första hand central projektverks</w:t>
      </w:r>
      <w:r w:rsidR="001006F3" w:rsidRPr="0058774B">
        <w:t>amhet, exempelvis på sidorna 19–</w:t>
      </w:r>
      <w:r w:rsidRPr="0058774B">
        <w:t>21 i utgift</w:t>
      </w:r>
      <w:r w:rsidRPr="0058774B">
        <w:t>s</w:t>
      </w:r>
      <w:r w:rsidRPr="0058774B">
        <w:t>område 19. Vidare framhålls i propositionen struktu</w:t>
      </w:r>
      <w:r w:rsidRPr="0058774B">
        <w:t>r</w:t>
      </w:r>
      <w:r w:rsidRPr="0058774B">
        <w:t>fondernas betydelse såväl för den regionala utvecklingen generellt som för de regionala tillväx</w:t>
      </w:r>
      <w:r w:rsidRPr="0058774B">
        <w:t>t</w:t>
      </w:r>
      <w:r w:rsidRPr="0058774B">
        <w:t>programmen. Bland annat påpekas att EG:s strukturfondsprogram har inneb</w:t>
      </w:r>
      <w:r w:rsidRPr="0058774B">
        <w:t>u</w:t>
      </w:r>
      <w:r w:rsidRPr="0058774B">
        <w:t>rit ett betydande ekonomiskt tillskott till utgiftsområdet och att de har stim</w:t>
      </w:r>
      <w:r w:rsidRPr="0058774B">
        <w:t>u</w:t>
      </w:r>
      <w:r w:rsidRPr="0058774B">
        <w:t>lerat till nytänkande och ökar konkret lokalt och regionalt utvecklingsarbete, liksom att strukturfondsprogrammen är viktiga instrument i politiken för ekonomisk och social sammanhållning. Även vad framgår av propositionens resultatredovisning kan konstateras att strukturfonderna utgör viktiga insa</w:t>
      </w:r>
      <w:r w:rsidRPr="0058774B">
        <w:t>t</w:t>
      </w:r>
      <w:r w:rsidRPr="0058774B">
        <w:t>ser för Sveriges utveckling.</w:t>
      </w:r>
    </w:p>
    <w:p w:rsidR="00DF2AD2" w:rsidRPr="0058774B" w:rsidRDefault="00DF2AD2" w:rsidP="000373F8">
      <w:pPr>
        <w:pStyle w:val="Normaltindrag"/>
        <w:spacing w:after="40"/>
      </w:pPr>
      <w:r w:rsidRPr="0058774B">
        <w:t>Nedanstående sammanställning visar målsättning och i april 2005 uppnå</w:t>
      </w:r>
      <w:r w:rsidRPr="0058774B">
        <w:t>d</w:t>
      </w:r>
      <w:r w:rsidRPr="0058774B">
        <w:t>da resultat för de så kallade kärnindikatorerna:</w:t>
      </w:r>
    </w:p>
    <w:tbl>
      <w:tblPr>
        <w:tblW w:w="5998" w:type="dxa"/>
        <w:tblInd w:w="-38" w:type="dxa"/>
        <w:tblLayout w:type="fixed"/>
        <w:tblCellMar>
          <w:left w:w="70" w:type="dxa"/>
          <w:right w:w="70" w:type="dxa"/>
        </w:tblCellMar>
        <w:tblLook w:val="01E0" w:firstRow="1" w:lastRow="1" w:firstColumn="1" w:lastColumn="1" w:noHBand="0" w:noVBand="0"/>
      </w:tblPr>
      <w:tblGrid>
        <w:gridCol w:w="1789"/>
        <w:gridCol w:w="1929"/>
        <w:gridCol w:w="2280"/>
      </w:tblGrid>
      <w:tr w:rsidR="00DF2AD2" w:rsidRPr="0058774B">
        <w:tblPrEx>
          <w:tblCellMar>
            <w:top w:w="0" w:type="dxa"/>
            <w:bottom w:w="0" w:type="dxa"/>
          </w:tblCellMar>
        </w:tblPrEx>
        <w:tc>
          <w:tcPr>
            <w:tcW w:w="1789" w:type="dxa"/>
            <w:tcBorders>
              <w:top w:val="single" w:sz="4" w:space="0" w:color="auto"/>
              <w:bottom w:val="single" w:sz="4" w:space="0" w:color="auto"/>
            </w:tcBorders>
          </w:tcPr>
          <w:p w:rsidR="00DF2AD2" w:rsidRPr="0058774B" w:rsidRDefault="00DF2AD2" w:rsidP="001006F3">
            <w:pPr>
              <w:spacing w:before="60" w:line="200" w:lineRule="exact"/>
              <w:rPr>
                <w:b/>
                <w:sz w:val="16"/>
                <w:szCs w:val="16"/>
              </w:rPr>
            </w:pPr>
            <w:r w:rsidRPr="0058774B">
              <w:rPr>
                <w:b/>
                <w:sz w:val="16"/>
                <w:szCs w:val="16"/>
              </w:rPr>
              <w:t>Indikator</w:t>
            </w:r>
          </w:p>
        </w:tc>
        <w:tc>
          <w:tcPr>
            <w:tcW w:w="1929" w:type="dxa"/>
            <w:tcBorders>
              <w:top w:val="single" w:sz="4" w:space="0" w:color="auto"/>
              <w:bottom w:val="single" w:sz="4" w:space="0" w:color="auto"/>
            </w:tcBorders>
          </w:tcPr>
          <w:p w:rsidR="00DF2AD2" w:rsidRPr="0058774B" w:rsidRDefault="00DF2AD2" w:rsidP="001006F3">
            <w:pPr>
              <w:spacing w:before="60" w:line="200" w:lineRule="exact"/>
              <w:rPr>
                <w:b/>
                <w:sz w:val="16"/>
                <w:szCs w:val="16"/>
              </w:rPr>
            </w:pPr>
            <w:r w:rsidRPr="0058774B">
              <w:rPr>
                <w:b/>
                <w:sz w:val="16"/>
                <w:szCs w:val="16"/>
              </w:rPr>
              <w:t>Målsättning 2000-2006</w:t>
            </w:r>
          </w:p>
        </w:tc>
        <w:tc>
          <w:tcPr>
            <w:tcW w:w="2280" w:type="dxa"/>
            <w:tcBorders>
              <w:top w:val="single" w:sz="4" w:space="0" w:color="auto"/>
              <w:bottom w:val="single" w:sz="4" w:space="0" w:color="auto"/>
            </w:tcBorders>
          </w:tcPr>
          <w:p w:rsidR="00DF2AD2" w:rsidRPr="0058774B" w:rsidRDefault="00DF2AD2" w:rsidP="001006F3">
            <w:pPr>
              <w:spacing w:before="60" w:line="200" w:lineRule="exact"/>
              <w:rPr>
                <w:b/>
                <w:sz w:val="16"/>
                <w:szCs w:val="16"/>
              </w:rPr>
            </w:pPr>
            <w:r w:rsidRPr="0058774B">
              <w:rPr>
                <w:b/>
                <w:sz w:val="16"/>
                <w:szCs w:val="16"/>
              </w:rPr>
              <w:t>Uppnådda resultat april 2005</w:t>
            </w:r>
          </w:p>
        </w:tc>
      </w:tr>
      <w:tr w:rsidR="00DF2AD2" w:rsidRPr="0058774B">
        <w:tblPrEx>
          <w:tblCellMar>
            <w:top w:w="0" w:type="dxa"/>
            <w:bottom w:w="0" w:type="dxa"/>
          </w:tblCellMar>
        </w:tblPrEx>
        <w:trPr>
          <w:trHeight w:val="170"/>
        </w:trPr>
        <w:tc>
          <w:tcPr>
            <w:tcW w:w="1789" w:type="dxa"/>
            <w:tcBorders>
              <w:top w:val="single" w:sz="4" w:space="0" w:color="auto"/>
            </w:tcBorders>
            <w:vAlign w:val="bottom"/>
          </w:tcPr>
          <w:p w:rsidR="00DF2AD2" w:rsidRPr="0058774B" w:rsidRDefault="00DF2AD2" w:rsidP="00582047">
            <w:pPr>
              <w:spacing w:before="0" w:line="200" w:lineRule="exact"/>
              <w:rPr>
                <w:sz w:val="16"/>
                <w:szCs w:val="16"/>
              </w:rPr>
            </w:pPr>
            <w:r w:rsidRPr="0058774B">
              <w:rPr>
                <w:sz w:val="16"/>
                <w:szCs w:val="16"/>
              </w:rPr>
              <w:t>Nya arbetstillfällen</w:t>
            </w:r>
          </w:p>
        </w:tc>
        <w:tc>
          <w:tcPr>
            <w:tcW w:w="1929" w:type="dxa"/>
            <w:tcBorders>
              <w:top w:val="single" w:sz="4" w:space="0" w:color="auto"/>
            </w:tcBorders>
            <w:vAlign w:val="bottom"/>
          </w:tcPr>
          <w:p w:rsidR="00DF2AD2" w:rsidRPr="0058774B" w:rsidRDefault="00DF2AD2" w:rsidP="00582047">
            <w:pPr>
              <w:spacing w:before="0" w:line="200" w:lineRule="exact"/>
              <w:ind w:right="690"/>
              <w:jc w:val="right"/>
              <w:rPr>
                <w:sz w:val="16"/>
                <w:szCs w:val="16"/>
              </w:rPr>
            </w:pPr>
            <w:r w:rsidRPr="0058774B">
              <w:rPr>
                <w:sz w:val="16"/>
                <w:szCs w:val="16"/>
              </w:rPr>
              <w:t>32 800</w:t>
            </w:r>
          </w:p>
        </w:tc>
        <w:tc>
          <w:tcPr>
            <w:tcW w:w="2280" w:type="dxa"/>
            <w:tcBorders>
              <w:top w:val="single" w:sz="4" w:space="0" w:color="auto"/>
            </w:tcBorders>
            <w:vAlign w:val="bottom"/>
          </w:tcPr>
          <w:p w:rsidR="00DF2AD2" w:rsidRPr="0058774B" w:rsidRDefault="00DF2AD2" w:rsidP="00582047">
            <w:pPr>
              <w:spacing w:before="0" w:line="200" w:lineRule="exact"/>
              <w:ind w:right="880"/>
              <w:jc w:val="right"/>
              <w:rPr>
                <w:sz w:val="16"/>
                <w:szCs w:val="16"/>
              </w:rPr>
            </w:pPr>
            <w:r w:rsidRPr="0058774B">
              <w:rPr>
                <w:sz w:val="16"/>
                <w:szCs w:val="16"/>
              </w:rPr>
              <w:t>34 900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Varav för kvinnor</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13 400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Varav för män</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21 500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Bevarade arbetstillfällen</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12 600</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16 000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Varav för kvinnor</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6 500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 xml:space="preserve">Varav för män </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9 500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Nya företag</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8 000</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13 000</w:t>
            </w:r>
          </w:p>
        </w:tc>
      </w:tr>
      <w:tr w:rsidR="00DF2AD2" w:rsidRPr="0058774B">
        <w:tblPrEx>
          <w:tblCellMar>
            <w:top w:w="0" w:type="dxa"/>
            <w:bottom w:w="0" w:type="dxa"/>
          </w:tblCellMar>
        </w:tblPrEx>
        <w:tc>
          <w:tcPr>
            <w:tcW w:w="1789" w:type="dxa"/>
          </w:tcPr>
          <w:p w:rsidR="00DF2AD2" w:rsidRPr="0058774B" w:rsidRDefault="00DF2AD2" w:rsidP="001006F3">
            <w:pPr>
              <w:spacing w:before="60" w:line="200" w:lineRule="exact"/>
              <w:rPr>
                <w:sz w:val="16"/>
                <w:szCs w:val="16"/>
              </w:rPr>
            </w:pPr>
            <w:r w:rsidRPr="0058774B">
              <w:rPr>
                <w:sz w:val="16"/>
                <w:szCs w:val="16"/>
              </w:rPr>
              <w:t>Varav ägda av kvinnor</w:t>
            </w:r>
          </w:p>
        </w:tc>
        <w:tc>
          <w:tcPr>
            <w:tcW w:w="1929" w:type="dxa"/>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Pr>
          <w:p w:rsidR="00DF2AD2" w:rsidRPr="0058774B" w:rsidRDefault="00DF2AD2" w:rsidP="00582047">
            <w:pPr>
              <w:spacing w:before="60" w:line="200" w:lineRule="exact"/>
              <w:ind w:right="880"/>
              <w:jc w:val="right"/>
              <w:rPr>
                <w:sz w:val="16"/>
                <w:szCs w:val="16"/>
              </w:rPr>
            </w:pPr>
            <w:r w:rsidRPr="0058774B">
              <w:rPr>
                <w:sz w:val="16"/>
                <w:szCs w:val="16"/>
              </w:rPr>
              <w:t>4 400</w:t>
            </w:r>
          </w:p>
        </w:tc>
      </w:tr>
      <w:tr w:rsidR="00DF2AD2" w:rsidRPr="0058774B">
        <w:tblPrEx>
          <w:tblCellMar>
            <w:top w:w="0" w:type="dxa"/>
            <w:bottom w:w="0" w:type="dxa"/>
          </w:tblCellMar>
        </w:tblPrEx>
        <w:tc>
          <w:tcPr>
            <w:tcW w:w="1789" w:type="dxa"/>
            <w:tcBorders>
              <w:bottom w:val="single" w:sz="4" w:space="0" w:color="auto"/>
            </w:tcBorders>
          </w:tcPr>
          <w:p w:rsidR="00DF2AD2" w:rsidRPr="0058774B" w:rsidRDefault="00DF2AD2" w:rsidP="001006F3">
            <w:pPr>
              <w:spacing w:before="60" w:line="200" w:lineRule="exact"/>
              <w:rPr>
                <w:sz w:val="16"/>
                <w:szCs w:val="16"/>
              </w:rPr>
            </w:pPr>
            <w:r w:rsidRPr="0058774B">
              <w:rPr>
                <w:sz w:val="16"/>
                <w:szCs w:val="16"/>
              </w:rPr>
              <w:t>Varav ägda av män</w:t>
            </w:r>
          </w:p>
        </w:tc>
        <w:tc>
          <w:tcPr>
            <w:tcW w:w="1929" w:type="dxa"/>
            <w:tcBorders>
              <w:bottom w:val="single" w:sz="4" w:space="0" w:color="auto"/>
            </w:tcBorders>
          </w:tcPr>
          <w:p w:rsidR="00DF2AD2" w:rsidRPr="0058774B" w:rsidRDefault="00DF2AD2" w:rsidP="00582047">
            <w:pPr>
              <w:spacing w:before="60" w:line="200" w:lineRule="exact"/>
              <w:ind w:right="690"/>
              <w:jc w:val="right"/>
              <w:rPr>
                <w:sz w:val="16"/>
                <w:szCs w:val="16"/>
              </w:rPr>
            </w:pPr>
            <w:r w:rsidRPr="0058774B">
              <w:rPr>
                <w:sz w:val="16"/>
                <w:szCs w:val="16"/>
              </w:rPr>
              <w:t>-</w:t>
            </w:r>
          </w:p>
        </w:tc>
        <w:tc>
          <w:tcPr>
            <w:tcW w:w="2280" w:type="dxa"/>
            <w:tcBorders>
              <w:bottom w:val="single" w:sz="4" w:space="0" w:color="auto"/>
            </w:tcBorders>
          </w:tcPr>
          <w:p w:rsidR="00DF2AD2" w:rsidRPr="0058774B" w:rsidRDefault="00DF2AD2" w:rsidP="00582047">
            <w:pPr>
              <w:spacing w:before="60" w:line="200" w:lineRule="exact"/>
              <w:ind w:right="880"/>
              <w:jc w:val="right"/>
              <w:rPr>
                <w:sz w:val="16"/>
                <w:szCs w:val="16"/>
              </w:rPr>
            </w:pPr>
            <w:r w:rsidRPr="0058774B">
              <w:rPr>
                <w:sz w:val="16"/>
                <w:szCs w:val="16"/>
              </w:rPr>
              <w:t>7 700</w:t>
            </w:r>
          </w:p>
        </w:tc>
      </w:tr>
    </w:tbl>
    <w:p w:rsidR="00DF2AD2" w:rsidRPr="0058774B" w:rsidRDefault="00DF2AD2" w:rsidP="001006F3">
      <w:r w:rsidRPr="0058774B">
        <w:t xml:space="preserve">I varje avseende har således strukturfondsprogrammens resultat överträffat uppställda mål </w:t>
      </w:r>
      <w:r w:rsidR="001006F3" w:rsidRPr="0058774B">
        <w:t>innan</w:t>
      </w:r>
      <w:r w:rsidRPr="0058774B">
        <w:t xml:space="preserve"> hela strukturfondsperioden är genomförd. Det skall också noteras att projekt kommer att kunna bedrivas under 2007, varför mer än två år återstår innan slutliga resultat kan redov</w:t>
      </w:r>
      <w:r w:rsidRPr="0058774B">
        <w:t>i</w:t>
      </w:r>
      <w:r w:rsidRPr="0058774B">
        <w:t xml:space="preserve">sas. </w:t>
      </w:r>
    </w:p>
    <w:p w:rsidR="00DF2AD2" w:rsidRPr="0058774B" w:rsidRDefault="00DF2AD2" w:rsidP="001006F3">
      <w:pPr>
        <w:pStyle w:val="Normaltindrag"/>
      </w:pPr>
      <w:r w:rsidRPr="0058774B">
        <w:t>Det är, som propositionen också framhåller, viktiga insatser som kan göras med stöd av stru</w:t>
      </w:r>
      <w:r w:rsidRPr="0058774B">
        <w:t>k</w:t>
      </w:r>
      <w:r w:rsidRPr="0058774B">
        <w:t xml:space="preserve">turfonderna. </w:t>
      </w:r>
    </w:p>
    <w:p w:rsidR="00DF2AD2" w:rsidRPr="0058774B" w:rsidRDefault="00DF2AD2" w:rsidP="001006F3">
      <w:pPr>
        <w:pStyle w:val="Normaltindrag"/>
      </w:pPr>
      <w:r w:rsidRPr="0058774B">
        <w:t>Mot bakgrund av denna positiva bedömning av strukturfonderna är det y</w:t>
      </w:r>
      <w:r w:rsidRPr="0058774B">
        <w:t>t</w:t>
      </w:r>
      <w:r w:rsidRPr="0058774B">
        <w:t>terst rimligt att Sv</w:t>
      </w:r>
      <w:r w:rsidRPr="0058774B">
        <w:t>e</w:t>
      </w:r>
      <w:r w:rsidRPr="0058774B">
        <w:t xml:space="preserve">rige gör det mesta möjliga i syfte att tillgodogöra sig de resurser som tilldelats oss från EU och därmed främja Sveriges tillväxt och sysselsättning. </w:t>
      </w:r>
    </w:p>
    <w:p w:rsidR="00DF2AD2" w:rsidRPr="0058774B" w:rsidRDefault="00DF2AD2" w:rsidP="00035FBC">
      <w:pPr>
        <w:pStyle w:val="Rubrik1"/>
      </w:pPr>
      <w:r w:rsidRPr="0058774B">
        <w:t xml:space="preserve">Innebörd och effekter av en höjd omräkningskurs </w:t>
      </w:r>
      <w:r w:rsidR="001006F3" w:rsidRPr="0058774B">
        <w:t xml:space="preserve">för </w:t>
      </w:r>
      <w:r w:rsidRPr="0058774B">
        <w:t>euro mot svenska kronor</w:t>
      </w:r>
    </w:p>
    <w:p w:rsidR="00DF2AD2" w:rsidRPr="0058774B" w:rsidRDefault="00DF2AD2" w:rsidP="004511E2">
      <w:r w:rsidRPr="0058774B">
        <w:t>Innebörden av en höjd omräkningskurs är att de svenska strukturfondspr</w:t>
      </w:r>
      <w:r w:rsidRPr="0058774B">
        <w:t>o</w:t>
      </w:r>
      <w:r w:rsidRPr="0058774B">
        <w:t>grammen tillförs y</w:t>
      </w:r>
      <w:r w:rsidRPr="0058774B">
        <w:t>t</w:t>
      </w:r>
      <w:r w:rsidRPr="0058774B">
        <w:t>terligare ekonomiska resurser. Fler projekt och insatser kommer att kunna finansieras, utvec</w:t>
      </w:r>
      <w:r w:rsidRPr="0058774B">
        <w:t>k</w:t>
      </w:r>
      <w:r w:rsidRPr="0058774B">
        <w:t>lingen i berörda regioner kan stärkas än mer och fler arbetstillfällen och företag skapas. Inom arbetsmarknaden ko</w:t>
      </w:r>
      <w:r w:rsidRPr="0058774B">
        <w:t>m</w:t>
      </w:r>
      <w:r w:rsidRPr="0058774B">
        <w:t>mer anställda i främst de mindre företagen att kunna höja sin kunskap och sin kompetens. Sammantaget berörs ett stort antal samhällsområden. I ett makr</w:t>
      </w:r>
      <w:r w:rsidRPr="0058774B">
        <w:t>o</w:t>
      </w:r>
      <w:r w:rsidRPr="0058774B">
        <w:t>ekonomiskt perspektiv stärks förutsättningarna des</w:t>
      </w:r>
      <w:r w:rsidRPr="0058774B">
        <w:t>s</w:t>
      </w:r>
      <w:r w:rsidRPr="0058774B">
        <w:t xml:space="preserve">utom för att tillväxten skall öka. </w:t>
      </w:r>
    </w:p>
    <w:p w:rsidR="00DF2AD2" w:rsidRPr="0058774B" w:rsidRDefault="00DF2AD2" w:rsidP="00035FBC">
      <w:pPr>
        <w:pStyle w:val="Rubrik1"/>
      </w:pPr>
      <w:r w:rsidRPr="0058774B">
        <w:t>Åtaganden för nationell offentlig medfinansiering</w:t>
      </w:r>
    </w:p>
    <w:p w:rsidR="00DF2AD2" w:rsidRPr="0058774B" w:rsidRDefault="00DF2AD2" w:rsidP="004511E2">
      <w:r w:rsidRPr="0058774B">
        <w:t>Strukturfondsprogrammen kräver nationell offentlig finansiering. Denna finansiering fördelas inte enbart på staten, utan tillgodoses också av komm</w:t>
      </w:r>
      <w:r w:rsidRPr="0058774B">
        <w:t>u</w:t>
      </w:r>
      <w:r w:rsidRPr="0058774B">
        <w:t>ner och landsting. Vad gäller den sta</w:t>
      </w:r>
      <w:r w:rsidRPr="0058774B">
        <w:t>t</w:t>
      </w:r>
      <w:r w:rsidRPr="0058774B">
        <w:t>liga finansieringen har återkommande en missuppfattning förts till torgs, nämligen att staten skulle avkrävas motsv</w:t>
      </w:r>
      <w:r w:rsidRPr="0058774B">
        <w:t>a</w:t>
      </w:r>
      <w:r w:rsidRPr="0058774B">
        <w:t>rande summa som medfinansiering. Med andra ord skulle statsbudgeten b</w:t>
      </w:r>
      <w:r w:rsidRPr="0058774B">
        <w:t>e</w:t>
      </w:r>
      <w:r w:rsidRPr="0058774B">
        <w:t xml:space="preserve">höva utökas med 1,2 miljarder SEK när ytterligare 1,2 miljarder SEK kan tillföras via strukturfonderna. I åtminstone två avseenden är detta en direkt felaktig ståndpunkt. </w:t>
      </w:r>
    </w:p>
    <w:p w:rsidR="00DF2AD2" w:rsidRPr="0058774B" w:rsidRDefault="00DF2AD2" w:rsidP="000373F8">
      <w:pPr>
        <w:pStyle w:val="Normaltindrag"/>
        <w:spacing w:after="40"/>
      </w:pPr>
      <w:r w:rsidRPr="0058774B">
        <w:t>För det första är staten, som nyss nämnts, inte ensam nationell medfinans</w:t>
      </w:r>
      <w:r w:rsidRPr="0058774B">
        <w:t>i</w:t>
      </w:r>
      <w:r w:rsidRPr="0058774B">
        <w:t>är, vilket framgår av budgetpropositionen. Den offentliga svenska medfina</w:t>
      </w:r>
      <w:r w:rsidRPr="0058774B">
        <w:t>n</w:t>
      </w:r>
      <w:r w:rsidRPr="0058774B">
        <w:t>sieringen har i strukturfondsprogra</w:t>
      </w:r>
      <w:r w:rsidRPr="0058774B">
        <w:t>m</w:t>
      </w:r>
      <w:r w:rsidRPr="0058774B">
        <w:t>men följande fördelning:</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1906"/>
      </w:tblGrid>
      <w:tr w:rsidR="004511E2" w:rsidRPr="0058774B">
        <w:tc>
          <w:tcPr>
            <w:tcW w:w="1905" w:type="dxa"/>
            <w:tcBorders>
              <w:top w:val="single" w:sz="4" w:space="0" w:color="auto"/>
              <w:bottom w:val="single" w:sz="4" w:space="0" w:color="auto"/>
            </w:tcBorders>
          </w:tcPr>
          <w:p w:rsidR="004511E2" w:rsidRPr="0058774B" w:rsidRDefault="004511E2" w:rsidP="001006F3">
            <w:pPr>
              <w:spacing w:before="60" w:line="200" w:lineRule="exact"/>
              <w:rPr>
                <w:b/>
                <w:sz w:val="16"/>
                <w:szCs w:val="16"/>
              </w:rPr>
            </w:pPr>
            <w:r w:rsidRPr="0058774B">
              <w:rPr>
                <w:b/>
                <w:sz w:val="16"/>
                <w:szCs w:val="16"/>
              </w:rPr>
              <w:t>Finansiär</w:t>
            </w:r>
          </w:p>
        </w:tc>
        <w:tc>
          <w:tcPr>
            <w:tcW w:w="1906" w:type="dxa"/>
            <w:tcBorders>
              <w:top w:val="single" w:sz="4" w:space="0" w:color="auto"/>
              <w:bottom w:val="single" w:sz="4" w:space="0" w:color="auto"/>
            </w:tcBorders>
          </w:tcPr>
          <w:p w:rsidR="004511E2" w:rsidRPr="0058774B" w:rsidRDefault="004511E2" w:rsidP="001006F3">
            <w:pPr>
              <w:spacing w:before="60" w:line="200" w:lineRule="exact"/>
              <w:jc w:val="right"/>
              <w:rPr>
                <w:b/>
                <w:sz w:val="16"/>
                <w:szCs w:val="16"/>
              </w:rPr>
            </w:pPr>
            <w:r w:rsidRPr="0058774B">
              <w:rPr>
                <w:b/>
                <w:sz w:val="16"/>
                <w:szCs w:val="16"/>
              </w:rPr>
              <w:t>Andel, procent</w:t>
            </w:r>
          </w:p>
        </w:tc>
      </w:tr>
      <w:tr w:rsidR="004511E2" w:rsidRPr="0058774B">
        <w:tc>
          <w:tcPr>
            <w:tcW w:w="1905" w:type="dxa"/>
            <w:tcBorders>
              <w:top w:val="single" w:sz="4" w:space="0" w:color="auto"/>
            </w:tcBorders>
          </w:tcPr>
          <w:p w:rsidR="004511E2" w:rsidRPr="0058774B" w:rsidRDefault="004511E2" w:rsidP="001006F3">
            <w:pPr>
              <w:spacing w:before="60" w:line="200" w:lineRule="exact"/>
              <w:rPr>
                <w:sz w:val="16"/>
                <w:szCs w:val="16"/>
              </w:rPr>
            </w:pPr>
            <w:r w:rsidRPr="0058774B">
              <w:rPr>
                <w:sz w:val="16"/>
                <w:szCs w:val="16"/>
              </w:rPr>
              <w:t>Kommuner</w:t>
            </w:r>
          </w:p>
        </w:tc>
        <w:tc>
          <w:tcPr>
            <w:tcW w:w="1906" w:type="dxa"/>
            <w:tcBorders>
              <w:top w:val="single" w:sz="4" w:space="0" w:color="auto"/>
            </w:tcBorders>
          </w:tcPr>
          <w:p w:rsidR="004511E2" w:rsidRPr="0058774B" w:rsidRDefault="004511E2" w:rsidP="00582047">
            <w:pPr>
              <w:spacing w:before="60" w:line="200" w:lineRule="exact"/>
              <w:ind w:right="460"/>
              <w:jc w:val="right"/>
              <w:rPr>
                <w:sz w:val="16"/>
                <w:szCs w:val="16"/>
              </w:rPr>
            </w:pPr>
            <w:r w:rsidRPr="0058774B">
              <w:rPr>
                <w:sz w:val="16"/>
                <w:szCs w:val="16"/>
              </w:rPr>
              <w:t>32</w:t>
            </w:r>
          </w:p>
        </w:tc>
      </w:tr>
      <w:tr w:rsidR="004511E2" w:rsidRPr="0058774B">
        <w:tc>
          <w:tcPr>
            <w:tcW w:w="1905" w:type="dxa"/>
          </w:tcPr>
          <w:p w:rsidR="004511E2" w:rsidRPr="0058774B" w:rsidRDefault="004511E2" w:rsidP="001006F3">
            <w:pPr>
              <w:spacing w:before="60" w:line="200" w:lineRule="exact"/>
              <w:rPr>
                <w:sz w:val="16"/>
                <w:szCs w:val="16"/>
              </w:rPr>
            </w:pPr>
            <w:r w:rsidRPr="0058774B">
              <w:rPr>
                <w:sz w:val="16"/>
                <w:szCs w:val="16"/>
              </w:rPr>
              <w:t>Landsting</w:t>
            </w:r>
          </w:p>
        </w:tc>
        <w:tc>
          <w:tcPr>
            <w:tcW w:w="1906" w:type="dxa"/>
          </w:tcPr>
          <w:p w:rsidR="004511E2" w:rsidRPr="0058774B" w:rsidRDefault="004511E2" w:rsidP="00582047">
            <w:pPr>
              <w:spacing w:before="60" w:line="200" w:lineRule="exact"/>
              <w:ind w:right="460"/>
              <w:jc w:val="right"/>
              <w:rPr>
                <w:sz w:val="16"/>
                <w:szCs w:val="16"/>
              </w:rPr>
            </w:pPr>
            <w:r w:rsidRPr="0058774B">
              <w:rPr>
                <w:sz w:val="16"/>
                <w:szCs w:val="16"/>
              </w:rPr>
              <w:t>4</w:t>
            </w:r>
          </w:p>
        </w:tc>
      </w:tr>
      <w:tr w:rsidR="004511E2" w:rsidRPr="0058774B">
        <w:tc>
          <w:tcPr>
            <w:tcW w:w="1905" w:type="dxa"/>
          </w:tcPr>
          <w:p w:rsidR="004511E2" w:rsidRPr="0058774B" w:rsidRDefault="004511E2" w:rsidP="001006F3">
            <w:pPr>
              <w:spacing w:before="60" w:line="200" w:lineRule="exact"/>
              <w:rPr>
                <w:sz w:val="16"/>
                <w:szCs w:val="16"/>
              </w:rPr>
            </w:pPr>
            <w:r w:rsidRPr="0058774B">
              <w:rPr>
                <w:sz w:val="16"/>
                <w:szCs w:val="16"/>
              </w:rPr>
              <w:t>Länsstyrelser</w:t>
            </w:r>
          </w:p>
        </w:tc>
        <w:tc>
          <w:tcPr>
            <w:tcW w:w="1906" w:type="dxa"/>
          </w:tcPr>
          <w:p w:rsidR="004511E2" w:rsidRPr="0058774B" w:rsidRDefault="004511E2" w:rsidP="00582047">
            <w:pPr>
              <w:spacing w:before="60" w:line="200" w:lineRule="exact"/>
              <w:ind w:right="460"/>
              <w:jc w:val="right"/>
              <w:rPr>
                <w:sz w:val="16"/>
                <w:szCs w:val="16"/>
              </w:rPr>
            </w:pPr>
            <w:r w:rsidRPr="0058774B">
              <w:rPr>
                <w:sz w:val="16"/>
                <w:szCs w:val="16"/>
              </w:rPr>
              <w:t>26</w:t>
            </w:r>
          </w:p>
        </w:tc>
      </w:tr>
      <w:tr w:rsidR="004511E2" w:rsidRPr="0058774B">
        <w:tc>
          <w:tcPr>
            <w:tcW w:w="1905" w:type="dxa"/>
            <w:tcBorders>
              <w:bottom w:val="single" w:sz="4" w:space="0" w:color="auto"/>
            </w:tcBorders>
          </w:tcPr>
          <w:p w:rsidR="004511E2" w:rsidRPr="0058774B" w:rsidRDefault="004511E2" w:rsidP="001006F3">
            <w:pPr>
              <w:spacing w:before="60" w:line="200" w:lineRule="exact"/>
              <w:rPr>
                <w:sz w:val="16"/>
                <w:szCs w:val="16"/>
              </w:rPr>
            </w:pPr>
            <w:r w:rsidRPr="0058774B">
              <w:rPr>
                <w:sz w:val="16"/>
                <w:szCs w:val="16"/>
              </w:rPr>
              <w:t>Övrig statlig finansiering</w:t>
            </w:r>
          </w:p>
        </w:tc>
        <w:tc>
          <w:tcPr>
            <w:tcW w:w="1906" w:type="dxa"/>
            <w:tcBorders>
              <w:bottom w:val="single" w:sz="4" w:space="0" w:color="auto"/>
            </w:tcBorders>
          </w:tcPr>
          <w:p w:rsidR="004511E2" w:rsidRPr="0058774B" w:rsidRDefault="004511E2" w:rsidP="00582047">
            <w:pPr>
              <w:spacing w:before="60" w:line="200" w:lineRule="exact"/>
              <w:ind w:right="460"/>
              <w:jc w:val="right"/>
              <w:rPr>
                <w:sz w:val="16"/>
                <w:szCs w:val="16"/>
              </w:rPr>
            </w:pPr>
            <w:r w:rsidRPr="0058774B">
              <w:rPr>
                <w:sz w:val="16"/>
                <w:szCs w:val="16"/>
              </w:rPr>
              <w:t>33</w:t>
            </w:r>
          </w:p>
        </w:tc>
      </w:tr>
    </w:tbl>
    <w:p w:rsidR="00DF2AD2" w:rsidRPr="0058774B" w:rsidRDefault="00DF2AD2" w:rsidP="001006F3">
      <w:r w:rsidRPr="0058774B">
        <w:t>För det andra krävs, med ett undantag, inga särskilda tillskott för att uppnå den statliga medf</w:t>
      </w:r>
      <w:r w:rsidRPr="0058774B">
        <w:t>i</w:t>
      </w:r>
      <w:r w:rsidRPr="0058774B">
        <w:t>nansieringen. Reglerna för sammanhållningspolitiken är att de nationella offentliga me</w:t>
      </w:r>
      <w:r w:rsidRPr="0058774B">
        <w:t>d</w:t>
      </w:r>
      <w:r w:rsidRPr="0058774B">
        <w:t>len inte får minska som en följd av att ett land tilldelas medel från strukturfonderna. Detta är den grun</w:t>
      </w:r>
      <w:r w:rsidRPr="0058774B">
        <w:t>d</w:t>
      </w:r>
      <w:r w:rsidRPr="0058774B">
        <w:t>läggande regeln om additionalitet. Samtidigt finns dock undantag från denna regel. Skulle exe</w:t>
      </w:r>
      <w:r w:rsidRPr="0058774B">
        <w:t>m</w:t>
      </w:r>
      <w:r w:rsidRPr="0058774B">
        <w:t>pelvis arbetsmarknadspolitiken kräva mindre satsningar tack vare ett gyn</w:t>
      </w:r>
      <w:r w:rsidRPr="0058774B">
        <w:t>n</w:t>
      </w:r>
      <w:r w:rsidRPr="0058774B">
        <w:t>sammare sysselsättningsläge, kan ett land inte tvingas att onödigtvis upprät</w:t>
      </w:r>
      <w:r w:rsidRPr="0058774B">
        <w:t>t</w:t>
      </w:r>
      <w:r w:rsidRPr="0058774B">
        <w:t>hålla en viss anslag</w:t>
      </w:r>
      <w:r w:rsidRPr="0058774B">
        <w:t>s</w:t>
      </w:r>
      <w:r w:rsidRPr="0058774B">
        <w:t xml:space="preserve">nivå. </w:t>
      </w:r>
    </w:p>
    <w:p w:rsidR="00DF2AD2" w:rsidRPr="0058774B" w:rsidRDefault="00DF2AD2" w:rsidP="001006F3">
      <w:pPr>
        <w:pStyle w:val="Normaltindrag"/>
      </w:pPr>
      <w:r w:rsidRPr="0058774B">
        <w:t>Därför kan de anslag som redan har tilldelats verk och myndigheter anvä</w:t>
      </w:r>
      <w:r w:rsidRPr="0058774B">
        <w:t>n</w:t>
      </w:r>
      <w:r w:rsidRPr="0058774B">
        <w:t>das som medfina</w:t>
      </w:r>
      <w:r w:rsidRPr="0058774B">
        <w:t>n</w:t>
      </w:r>
      <w:r w:rsidRPr="0058774B">
        <w:t>siering till strukturfonderna. I sin tur betyder det att de statliga anslagen kommer att kunna växlas upp</w:t>
      </w:r>
      <w:r w:rsidR="001006F3" w:rsidRPr="0058774B">
        <w:t xml:space="preserve"> –</w:t>
      </w:r>
      <w:r w:rsidRPr="0058774B">
        <w:t xml:space="preserve"> medel från strukturfonderna kan läggas till de statliga anslagen vid finansiering av enskilda projekt. </w:t>
      </w:r>
    </w:p>
    <w:p w:rsidR="00DF2AD2" w:rsidRPr="0058774B" w:rsidRDefault="00DF2AD2" w:rsidP="001006F3">
      <w:pPr>
        <w:pStyle w:val="Normaltindrag"/>
      </w:pPr>
      <w:r w:rsidRPr="0058774B">
        <w:t>Här kan några konkreta exempel, bland ett mycket stort anta</w:t>
      </w:r>
      <w:r w:rsidR="000373F8" w:rsidRPr="0058774B">
        <w:t>l, tydliggöra vad frågan gäller.</w:t>
      </w:r>
      <w:r w:rsidRPr="0058774B">
        <w:t xml:space="preserve"> </w:t>
      </w:r>
    </w:p>
    <w:p w:rsidR="00DF2AD2" w:rsidRPr="0058774B" w:rsidRDefault="00DF2AD2" w:rsidP="00035FBC">
      <w:pPr>
        <w:pStyle w:val="Rubrik1"/>
      </w:pPr>
      <w:r w:rsidRPr="0058774B">
        <w:t>Bredbandssatsningar</w:t>
      </w:r>
    </w:p>
    <w:p w:rsidR="00DF2AD2" w:rsidRPr="0058774B" w:rsidRDefault="00DF2AD2" w:rsidP="00A84453">
      <w:r w:rsidRPr="0058774B">
        <w:t>R</w:t>
      </w:r>
      <w:r w:rsidR="001006F3" w:rsidRPr="0058774B">
        <w:t>iksdagen beslutade under 2000/</w:t>
      </w:r>
      <w:r w:rsidRPr="0058774B">
        <w:t>01 att anvisa pengar för stöd till kommuner för anlägga</w:t>
      </w:r>
      <w:r w:rsidRPr="0058774B">
        <w:t>n</w:t>
      </w:r>
      <w:r w:rsidRPr="0058774B">
        <w:t>de av telenät (villkor regleras i förordning 2000:1469) och stöd till kommuner för anläggande av orts</w:t>
      </w:r>
      <w:r w:rsidR="001006F3" w:rsidRPr="0058774B">
        <w:t>s</w:t>
      </w:r>
      <w:r w:rsidRPr="0058774B">
        <w:t>ammanbindande nät (förordning 2001:350). Det var en påtaglig satsning för att bygga ut bredbandskapaciteten i områden med befolkningsunderlag otillräckliga för att nå företag</w:t>
      </w:r>
      <w:r w:rsidRPr="0058774B">
        <w:t>s</w:t>
      </w:r>
      <w:r w:rsidRPr="0058774B">
        <w:t>ekonomisk lönsamhet. Här har de statliga insatserna i flera strukturfondsområden ko</w:t>
      </w:r>
      <w:r w:rsidRPr="0058774B">
        <w:t>m</w:t>
      </w:r>
      <w:r w:rsidRPr="0058774B">
        <w:t>plett</w:t>
      </w:r>
      <w:r w:rsidRPr="0058774B">
        <w:t>e</w:t>
      </w:r>
      <w:r w:rsidRPr="0058774B">
        <w:t>rats med strukturfondsmedel, med resultat att bredbanden når längre ut, fler orter, fler företag och fler enskilda invånare. Totalt uppgår strukturfo</w:t>
      </w:r>
      <w:r w:rsidRPr="0058774B">
        <w:t>n</w:t>
      </w:r>
      <w:r w:rsidRPr="0058774B">
        <w:t>dernas medfinansiering till de nationella bredbandssatsningarna till cirka 500 miljoner SEK. Staten har inte behövt gå in med en enda krona extra utöver ursprungliga anslag. Sverige når ett ännu bättre resultat tack vare strukturfo</w:t>
      </w:r>
      <w:r w:rsidRPr="0058774B">
        <w:t>n</w:t>
      </w:r>
      <w:r w:rsidRPr="0058774B">
        <w:t>derna. Det skall också noteras att staten gick före, fonderna har därefter ko</w:t>
      </w:r>
      <w:r w:rsidRPr="0058774B">
        <w:t>m</w:t>
      </w:r>
      <w:r w:rsidRPr="0058774B">
        <w:t xml:space="preserve">pletterat den statliga insatsen, som på så sätt har växlats upp. </w:t>
      </w:r>
    </w:p>
    <w:p w:rsidR="00DF2AD2" w:rsidRPr="0058774B" w:rsidRDefault="00DF2AD2" w:rsidP="00035FBC">
      <w:pPr>
        <w:pStyle w:val="Rubrik1"/>
      </w:pPr>
      <w:r w:rsidRPr="0058774B">
        <w:t>Väginvesteringar</w:t>
      </w:r>
    </w:p>
    <w:p w:rsidR="00DF2AD2" w:rsidRPr="0058774B" w:rsidRDefault="00DF2AD2" w:rsidP="00A84453">
      <w:r w:rsidRPr="0058774B">
        <w:t>Ett annat exempel kan åskådliggöras med investeringar i vägar. Vägverket har enligt länstr</w:t>
      </w:r>
      <w:r w:rsidRPr="0058774B">
        <w:t>a</w:t>
      </w:r>
      <w:r w:rsidRPr="0058774B">
        <w:t>fikplanerna fastlagda investeringsplaner. Möjligheten att därmed göra specifika ytterligare sat</w:t>
      </w:r>
      <w:r w:rsidRPr="0058774B">
        <w:t>s</w:t>
      </w:r>
      <w:r w:rsidRPr="0058774B">
        <w:t>ningar är starkt begränsade, alternativt att man får stuva om i planen för att lösgöra medel för ett angeläget, plötsligt, up</w:t>
      </w:r>
      <w:r w:rsidRPr="0058774B">
        <w:t>p</w:t>
      </w:r>
      <w:r w:rsidRPr="0058774B">
        <w:t xml:space="preserve">kommet projekt. Men genom att lägga till strukturfondspengar till ett samlat projekt kan man klara även tillkommande investeringar. Konkret: I ett område planerades investering i </w:t>
      </w:r>
      <w:r w:rsidR="001006F3" w:rsidRPr="0058774B">
        <w:t xml:space="preserve">ett vägprojekt med totalt 25 </w:t>
      </w:r>
      <w:r w:rsidR="000373F8" w:rsidRPr="0058774B">
        <w:t>miljoner</w:t>
      </w:r>
      <w:r w:rsidR="001006F3" w:rsidRPr="0058774B">
        <w:t xml:space="preserve"> kronor</w:t>
      </w:r>
      <w:r w:rsidRPr="0058774B">
        <w:t>. Vägve</w:t>
      </w:r>
      <w:r w:rsidRPr="0058774B">
        <w:t>r</w:t>
      </w:r>
      <w:r w:rsidRPr="0058774B">
        <w:t>ket förfogade dock inte över större belopp än drygt 17 miljoner SEK från bärighetsanslaget, varför endast en begränsad del skulle kunna genomföras. G</w:t>
      </w:r>
      <w:r w:rsidRPr="0058774B">
        <w:t>e</w:t>
      </w:r>
      <w:r w:rsidRPr="0058774B">
        <w:t xml:space="preserve">nom ett bidrag från regionala fonden om knappt </w:t>
      </w:r>
      <w:r w:rsidR="001006F3" w:rsidRPr="0058774B">
        <w:t>7</w:t>
      </w:r>
      <w:r w:rsidRPr="0058774B">
        <w:t xml:space="preserve"> miljoner SEK kunde dock hela projektet r</w:t>
      </w:r>
      <w:r w:rsidR="001006F3" w:rsidRPr="0058774B">
        <w:t>ealiseras. Härigenom uppnåddes e</w:t>
      </w:r>
      <w:r w:rsidRPr="0058774B">
        <w:t xml:space="preserve">tt väsentligt bättre resultat, genom att Vägverkets egna medel förmerades. </w:t>
      </w:r>
    </w:p>
    <w:p w:rsidR="00DF2AD2" w:rsidRPr="0058774B" w:rsidRDefault="00DF2AD2" w:rsidP="00035FBC">
      <w:pPr>
        <w:pStyle w:val="Rubrik1"/>
      </w:pPr>
      <w:r w:rsidRPr="0058774B">
        <w:t>Regionalpolitiskt stöd till företag</w:t>
      </w:r>
    </w:p>
    <w:p w:rsidR="00DF2AD2" w:rsidRPr="0058774B" w:rsidRDefault="001006F3" w:rsidP="00A84453">
      <w:r w:rsidRPr="0058774B">
        <w:t xml:space="preserve">Nutek </w:t>
      </w:r>
      <w:r w:rsidR="00DF2AD2" w:rsidRPr="0058774B">
        <w:t>och länsstyrelser erhåller anslag över statsbudgeten för stöd till företag i form av bland annat regionalt utvecklingsbidrag och landsbygdsbidrag. Dessa myndigheter har sökt och erhållit stöd från olika strukturfondsprogram för att kunna vidmakthålla en högre nivå på sin stödgivning. När myndigh</w:t>
      </w:r>
      <w:r w:rsidR="00DF2AD2" w:rsidRPr="0058774B">
        <w:t>e</w:t>
      </w:r>
      <w:r w:rsidR="00DF2AD2" w:rsidRPr="0058774B">
        <w:t xml:space="preserve">terna då beviljar stöd, utgörs inemot hälften av det stödbelopp som ett företag beviljas, medfinansiering från Europeiska regionala utvecklingsfonden. </w:t>
      </w:r>
      <w:r w:rsidRPr="0058774B">
        <w:t>N</w:t>
      </w:r>
      <w:r w:rsidRPr="0058774B">
        <w:t>u</w:t>
      </w:r>
      <w:r w:rsidRPr="0058774B">
        <w:t xml:space="preserve">tek </w:t>
      </w:r>
      <w:r w:rsidR="00DF2AD2" w:rsidRPr="0058774B">
        <w:t>och länsstyrelser har hittills under nuvarande strukturfondsperiod tilldelats betydande belopp. Även här kan stödet räknas i hundratals miljoner SEK från strukturfondsprogra</w:t>
      </w:r>
      <w:r w:rsidR="00DF2AD2" w:rsidRPr="0058774B">
        <w:t>m</w:t>
      </w:r>
      <w:r w:rsidR="00DF2AD2" w:rsidRPr="0058774B">
        <w:t>men, utan att de statliga anslagen har behövt ökas med en enda krona. I stället har tilldelade anslag vä</w:t>
      </w:r>
      <w:r w:rsidR="00DF2AD2" w:rsidRPr="0058774B">
        <w:t>x</w:t>
      </w:r>
      <w:r w:rsidR="00DF2AD2" w:rsidRPr="0058774B">
        <w:t>lats upp.</w:t>
      </w:r>
    </w:p>
    <w:p w:rsidR="00DF2AD2" w:rsidRPr="0058774B" w:rsidRDefault="00DF2AD2" w:rsidP="001006F3">
      <w:pPr>
        <w:pStyle w:val="Normaltindrag"/>
      </w:pPr>
      <w:r w:rsidRPr="0058774B">
        <w:t>På likartat sätt förhåller det sig inom andra områden som berörs av stru</w:t>
      </w:r>
      <w:r w:rsidRPr="0058774B">
        <w:t>k</w:t>
      </w:r>
      <w:r w:rsidRPr="0058774B">
        <w:t>turfonderna. Arbet</w:t>
      </w:r>
      <w:r w:rsidRPr="0058774B">
        <w:t>s</w:t>
      </w:r>
      <w:r w:rsidRPr="0058774B">
        <w:t>marknadsverkets pengar utgör i hög grad medfinansiering till sociala fonden. Inga ytterligare tillskott eller ökning av anslag till</w:t>
      </w:r>
      <w:r w:rsidR="001006F3" w:rsidRPr="0058774B">
        <w:t xml:space="preserve"> AMS erfordras. Tvärtom kan AMS</w:t>
      </w:r>
      <w:r w:rsidRPr="0058774B">
        <w:t xml:space="preserve"> resurser växlas upp, på samma sätt som för Vägverket och en rad andra myndigheter.</w:t>
      </w:r>
    </w:p>
    <w:p w:rsidR="00DF2AD2" w:rsidRPr="0058774B" w:rsidRDefault="00DF2AD2" w:rsidP="001006F3">
      <w:pPr>
        <w:pStyle w:val="Normaltindrag"/>
      </w:pPr>
      <w:r w:rsidRPr="0058774B">
        <w:t>Det ställs sålunda inte några ytterligare krav, med ett undantag, på att st</w:t>
      </w:r>
      <w:r w:rsidRPr="0058774B">
        <w:t>a</w:t>
      </w:r>
      <w:r w:rsidRPr="0058774B">
        <w:t>ten skall öka sina a</w:t>
      </w:r>
      <w:r w:rsidRPr="0058774B">
        <w:t>n</w:t>
      </w:r>
      <w:r w:rsidRPr="0058774B">
        <w:t xml:space="preserve">slag i och med att omräkningskursen från </w:t>
      </w:r>
      <w:r w:rsidR="001006F3" w:rsidRPr="0058774B">
        <w:t>euro</w:t>
      </w:r>
      <w:r w:rsidRPr="0058774B">
        <w:t xml:space="preserve"> till SEK räknas upp. Redan befintliga anslag kan användas. Och skulle det till äventyrs saknas anslag, en risk som måste bedömas vara i det närmaste obefintlig, kan EU eller någon annan inte tvinga den svenska staten att öka sina anslag. Kr</w:t>
      </w:r>
      <w:r w:rsidRPr="0058774B">
        <w:t>a</w:t>
      </w:r>
      <w:r w:rsidRPr="0058774B">
        <w:t>vet är att staten inte minskar sina anslag som en konsekvens av stödet från strukturfonde</w:t>
      </w:r>
      <w:r w:rsidRPr="0058774B">
        <w:t>r</w:t>
      </w:r>
      <w:r w:rsidRPr="0058774B">
        <w:t>na.</w:t>
      </w:r>
    </w:p>
    <w:p w:rsidR="00DF2AD2" w:rsidRPr="0058774B" w:rsidRDefault="00DF2AD2" w:rsidP="00035FBC">
      <w:pPr>
        <w:pStyle w:val="Rubrik1"/>
      </w:pPr>
      <w:r w:rsidRPr="0058774B">
        <w:t>Effekter på statsbudgeten, finansiering</w:t>
      </w:r>
    </w:p>
    <w:p w:rsidR="00DF2AD2" w:rsidRPr="0058774B" w:rsidRDefault="00DF2AD2" w:rsidP="00A84453">
      <w:r w:rsidRPr="0058774B">
        <w:t>I ett avseende är staten entydig och tillkommande medfinansiär för struktu</w:t>
      </w:r>
      <w:r w:rsidRPr="0058774B">
        <w:t>r</w:t>
      </w:r>
      <w:r w:rsidRPr="0058774B">
        <w:t xml:space="preserve">fonderna. Detta gäller insatser för kompetensutveckling hos anställda inom det nationella programmet för Växtkraft och motsvarande inom de två mål 1-programmen, med finansiering från EU:s </w:t>
      </w:r>
      <w:r w:rsidR="001006F3" w:rsidRPr="0058774B">
        <w:t xml:space="preserve">sociala </w:t>
      </w:r>
      <w:r w:rsidRPr="0058774B">
        <w:t>fond. I propositionen, u</w:t>
      </w:r>
      <w:r w:rsidRPr="0058774B">
        <w:t>t</w:t>
      </w:r>
      <w:r w:rsidRPr="0058774B">
        <w:t>giftsområde 13, redovisas att en anslagsökning om 36 miljoner SEK har blivit nödvändig som följd av att kursen har höjts från 8,50 till 8,60. Med en ytterl</w:t>
      </w:r>
      <w:r w:rsidRPr="0058774B">
        <w:t>i</w:t>
      </w:r>
      <w:r w:rsidRPr="0058774B">
        <w:t>gare hö</w:t>
      </w:r>
      <w:r w:rsidRPr="0058774B">
        <w:t>j</w:t>
      </w:r>
      <w:r w:rsidRPr="0058774B">
        <w:t>ning till 9,15, det vill säga med 55 öre, erfordras således en ytterligare anslagshöjning om 193 miljoner SEK, för att täcka den statliga medfinansi</w:t>
      </w:r>
      <w:r w:rsidRPr="0058774B">
        <w:t>e</w:t>
      </w:r>
      <w:r w:rsidRPr="0058774B">
        <w:t>ringen. Anslagsökningen måste finansi</w:t>
      </w:r>
      <w:r w:rsidRPr="0058774B">
        <w:t>e</w:t>
      </w:r>
      <w:r w:rsidRPr="0058774B">
        <w:t>ras.</w:t>
      </w:r>
    </w:p>
    <w:p w:rsidR="00DF2AD2" w:rsidRPr="0058774B" w:rsidRDefault="00DF2AD2" w:rsidP="001006F3">
      <w:pPr>
        <w:pStyle w:val="Normaltindrag"/>
      </w:pPr>
      <w:r w:rsidRPr="0058774B">
        <w:t>Inom utgiftsområde 13, Arbetsmarknad, redovisas föreliggande insatser. Delvis likartade i</w:t>
      </w:r>
      <w:r w:rsidRPr="0058774B">
        <w:t>n</w:t>
      </w:r>
      <w:r w:rsidRPr="0058774B">
        <w:t>satser genomförs inom utgiftsområdet, bland annat köp av arbetsmarknadsutbildning, anslag 22:3. De insatser som genomförs med f</w:t>
      </w:r>
      <w:r w:rsidRPr="0058774B">
        <w:t>i</w:t>
      </w:r>
      <w:r w:rsidRPr="0058774B">
        <w:t>nansiering från sociala fonden har som grundläggande syfte att stärka den enskildes ställning i arbetslivet. Genom kompetensutveckling skall han e</w:t>
      </w:r>
      <w:r w:rsidRPr="0058774B">
        <w:t>l</w:t>
      </w:r>
      <w:r w:rsidRPr="0058774B">
        <w:t>ler hon effektivare och lättare kunna ta sig an nya och mer kvalificerade arbet</w:t>
      </w:r>
      <w:r w:rsidRPr="0058774B">
        <w:t>s</w:t>
      </w:r>
      <w:r w:rsidRPr="0058774B">
        <w:t>uppgifter. A</w:t>
      </w:r>
      <w:r w:rsidRPr="0058774B">
        <w:t>l</w:t>
      </w:r>
      <w:r w:rsidRPr="0058774B">
        <w:t>ternativet skulle i vissa fall annars kunna vara att inte längre ha några arbetsuppgifter, det vill säga att hamna i arbetslöshet. Vår bedömning är att sådana insatser kan vara minst lika värd</w:t>
      </w:r>
      <w:r w:rsidRPr="0058774B">
        <w:t>e</w:t>
      </w:r>
      <w:r w:rsidRPr="0058774B">
        <w:t>fulla som insatser riktade till dem som saknar arbete. Genom kompetens- och kunskapsutveckling för</w:t>
      </w:r>
      <w:r w:rsidRPr="0058774B">
        <w:t>e</w:t>
      </w:r>
      <w:r w:rsidRPr="0058774B">
        <w:t>kommer man helt enkelt att personer hamnar i arbetslöshet, samtidigt som föru</w:t>
      </w:r>
      <w:r w:rsidRPr="0058774B">
        <w:t>t</w:t>
      </w:r>
      <w:r w:rsidRPr="0058774B">
        <w:t>sättningarna för tillväxt stärks. Vi föreslår därför att 200 mil</w:t>
      </w:r>
      <w:r w:rsidR="001006F3" w:rsidRPr="0058774B">
        <w:t>joner SEK överförs från anslag</w:t>
      </w:r>
      <w:r w:rsidRPr="0058774B">
        <w:t xml:space="preserve"> 22:3 Köp av arbets</w:t>
      </w:r>
      <w:r w:rsidR="001006F3" w:rsidRPr="0058774B">
        <w:t>marknadsutbildning till anslag</w:t>
      </w:r>
      <w:r w:rsidRPr="0058774B">
        <w:t xml:space="preserve"> </w:t>
      </w:r>
      <w:r w:rsidR="001006F3" w:rsidRPr="0058774B">
        <w:t>22:6 Europeiska socialfonden m.</w:t>
      </w:r>
      <w:r w:rsidRPr="0058774B">
        <w:t>m. för per</w:t>
      </w:r>
      <w:r w:rsidR="001006F3" w:rsidRPr="0058774B">
        <w:t>ioden 2000–</w:t>
      </w:r>
      <w:r w:rsidRPr="0058774B">
        <w:t xml:space="preserve">2006. </w:t>
      </w:r>
    </w:p>
    <w:p w:rsidR="00DF2AD2" w:rsidRPr="0058774B" w:rsidRDefault="00DF2AD2" w:rsidP="009C3234">
      <w:pPr>
        <w:pStyle w:val="Rubrik1"/>
      </w:pPr>
      <w:r w:rsidRPr="0058774B">
        <w:t>Eventuella risker med en höjd växelkurs</w:t>
      </w:r>
    </w:p>
    <w:p w:rsidR="00DF2AD2" w:rsidRPr="0058774B" w:rsidRDefault="00DF2AD2" w:rsidP="00A84453">
      <w:r w:rsidRPr="0058774B">
        <w:t>En plötslig växelkursförändring skulle kunna ställa staten inför åtaganden som inte har kunnat förutses, och därmed skapa ekonomiska påfrestningar. Ovan har nämnts att hittills gjorda u</w:t>
      </w:r>
      <w:r w:rsidRPr="0058774B">
        <w:t>t</w:t>
      </w:r>
      <w:r w:rsidRPr="0058774B">
        <w:t xml:space="preserve">betalningar har gjorts till en kurs om cirka 9,15. I dag har närmare två tredjedelar av de totala ekonomiska ramarna resulterat i utbetalningar från EU. Det innebär att med den faktiska kurs som gällt </w:t>
      </w:r>
      <w:r w:rsidR="001006F3" w:rsidRPr="0058774B">
        <w:t xml:space="preserve">ligger </w:t>
      </w:r>
      <w:r w:rsidRPr="0058774B">
        <w:t xml:space="preserve">betydande belopp så att säga vilande i EU. En enkel beräkning visar, med ett totalt stöd från EU om 2,3 miljarder </w:t>
      </w:r>
      <w:r w:rsidR="001006F3" w:rsidRPr="0058774B">
        <w:t>euro</w:t>
      </w:r>
      <w:r w:rsidRPr="0058774B">
        <w:t>, med två tredjedelar utbetalade och en kursskillnad om 0,55 i förhållande till den kurs som fas</w:t>
      </w:r>
      <w:r w:rsidRPr="0058774B">
        <w:t>t</w:t>
      </w:r>
      <w:r w:rsidRPr="0058774B">
        <w:t>ställts i förordning (SFS 1999:710) om valutakurs vid stöd från EG:s struktu</w:t>
      </w:r>
      <w:r w:rsidRPr="0058774B">
        <w:t>r</w:t>
      </w:r>
      <w:r w:rsidRPr="0058774B">
        <w:t>fonder, 8,60, att 1 265 miljoner SEK skulle kunna tillföras de svenska pr</w:t>
      </w:r>
      <w:r w:rsidRPr="0058774B">
        <w:t>o</w:t>
      </w:r>
      <w:r w:rsidRPr="0058774B">
        <w:t>grammen. Eftersom det är en valutakursdifferens för redan gjorda betalningar, existerar som nyss nämnts ingen val</w:t>
      </w:r>
      <w:r w:rsidRPr="0058774B">
        <w:t>u</w:t>
      </w:r>
      <w:r w:rsidRPr="0058774B">
        <w:t xml:space="preserve">tarisk. </w:t>
      </w:r>
    </w:p>
    <w:p w:rsidR="00035FBC" w:rsidRPr="0058774B" w:rsidRDefault="00DF2AD2" w:rsidP="001006F3">
      <w:pPr>
        <w:pStyle w:val="Normaltindrag"/>
      </w:pPr>
      <w:r w:rsidRPr="0058774B">
        <w:t>Dessa medel bör komma till användning genom att de sin</w:t>
      </w:r>
      <w:r w:rsidR="001006F3" w:rsidRPr="0058774B">
        <w:t xml:space="preserve"> i</w:t>
      </w:r>
      <w:r w:rsidRPr="0058774B">
        <w:t xml:space="preserve"> helhet tillförs strukturfondspr</w:t>
      </w:r>
      <w:r w:rsidRPr="0058774B">
        <w:t>o</w:t>
      </w:r>
      <w:r w:rsidRPr="0058774B">
        <w:t>grammen. Vad sedan gäller kursen för de medel som inte betalats från EU, bör en väsentligt högre kurs än nu rådande om 8,60 tillä</w:t>
      </w:r>
      <w:r w:rsidRPr="0058774B">
        <w:t>m</w:t>
      </w:r>
      <w:r w:rsidRPr="0058774B">
        <w:t>pas, en kurs mer anpassad till rådande situa</w:t>
      </w:r>
      <w:r w:rsidR="001006F3" w:rsidRPr="0058774B">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2047" w:rsidRPr="0058774B">
        <w:tblPrEx>
          <w:tblCellMar>
            <w:top w:w="0" w:type="dxa"/>
            <w:bottom w:w="0" w:type="dxa"/>
          </w:tblCellMar>
        </w:tblPrEx>
        <w:trPr>
          <w:cantSplit/>
        </w:trPr>
        <w:tc>
          <w:tcPr>
            <w:tcW w:w="3046" w:type="dxa"/>
          </w:tcPr>
          <w:p w:rsidR="00582047" w:rsidRPr="0058774B" w:rsidRDefault="00582047" w:rsidP="00582047">
            <w:pPr>
              <w:pStyle w:val="UnderskriftDatum"/>
              <w:spacing w:before="240"/>
            </w:pPr>
            <w:r w:rsidRPr="0058774B">
              <w:t>Stockholm den 30 september 2005</w:t>
            </w:r>
          </w:p>
        </w:tc>
        <w:tc>
          <w:tcPr>
            <w:tcW w:w="3047" w:type="dxa"/>
          </w:tcPr>
          <w:p w:rsidR="00582047" w:rsidRPr="0058774B" w:rsidRDefault="00582047" w:rsidP="00582047">
            <w:pPr>
              <w:pStyle w:val="Underskrifter"/>
              <w:spacing w:before="240"/>
            </w:pPr>
          </w:p>
        </w:tc>
      </w:tr>
      <w:tr w:rsidR="00582047" w:rsidRPr="0058774B">
        <w:tblPrEx>
          <w:tblCellMar>
            <w:top w:w="0" w:type="dxa"/>
            <w:bottom w:w="0" w:type="dxa"/>
          </w:tblCellMar>
        </w:tblPrEx>
        <w:trPr>
          <w:cantSplit/>
        </w:trPr>
        <w:tc>
          <w:tcPr>
            <w:tcW w:w="3046" w:type="dxa"/>
          </w:tcPr>
          <w:p w:rsidR="00582047" w:rsidRPr="0058774B" w:rsidRDefault="00582047" w:rsidP="00582047">
            <w:pPr>
              <w:pStyle w:val="Underskrifter"/>
            </w:pPr>
            <w:r w:rsidRPr="0058774B">
              <w:t>Solveig Hellquist (fp)</w:t>
            </w:r>
          </w:p>
        </w:tc>
        <w:tc>
          <w:tcPr>
            <w:tcW w:w="3047" w:type="dxa"/>
          </w:tcPr>
          <w:p w:rsidR="00582047" w:rsidRPr="0058774B" w:rsidRDefault="00582047" w:rsidP="00582047">
            <w:pPr>
              <w:pStyle w:val="Underskrifter"/>
            </w:pPr>
          </w:p>
        </w:tc>
      </w:tr>
      <w:tr w:rsidR="00582047" w:rsidRPr="0058774B">
        <w:tblPrEx>
          <w:tblCellMar>
            <w:top w:w="0" w:type="dxa"/>
            <w:bottom w:w="0" w:type="dxa"/>
          </w:tblCellMar>
        </w:tblPrEx>
        <w:trPr>
          <w:cantSplit/>
        </w:trPr>
        <w:tc>
          <w:tcPr>
            <w:tcW w:w="3046" w:type="dxa"/>
          </w:tcPr>
          <w:p w:rsidR="00582047" w:rsidRPr="0058774B" w:rsidRDefault="00582047" w:rsidP="00582047">
            <w:pPr>
              <w:pStyle w:val="Underskrifter"/>
            </w:pPr>
            <w:r w:rsidRPr="0058774B">
              <w:t>Bertil Kjellberg (m)</w:t>
            </w:r>
          </w:p>
        </w:tc>
        <w:tc>
          <w:tcPr>
            <w:tcW w:w="3047" w:type="dxa"/>
          </w:tcPr>
          <w:p w:rsidR="00582047" w:rsidRPr="0058774B" w:rsidRDefault="00582047" w:rsidP="00582047">
            <w:pPr>
              <w:pStyle w:val="Underskrifter"/>
            </w:pPr>
            <w:r w:rsidRPr="0058774B">
              <w:t>Lars Lindén (kd)</w:t>
            </w:r>
          </w:p>
        </w:tc>
      </w:tr>
      <w:tr w:rsidR="00582047" w:rsidRPr="0058774B">
        <w:tblPrEx>
          <w:tblCellMar>
            <w:top w:w="0" w:type="dxa"/>
            <w:bottom w:w="0" w:type="dxa"/>
          </w:tblCellMar>
        </w:tblPrEx>
        <w:trPr>
          <w:cantSplit/>
        </w:trPr>
        <w:tc>
          <w:tcPr>
            <w:tcW w:w="3046" w:type="dxa"/>
          </w:tcPr>
          <w:p w:rsidR="00582047" w:rsidRPr="0058774B" w:rsidRDefault="00582047" w:rsidP="00582047">
            <w:pPr>
              <w:pStyle w:val="Underskrifter"/>
            </w:pPr>
            <w:r w:rsidRPr="0058774B">
              <w:t>Birgitta Sellén (c)</w:t>
            </w:r>
          </w:p>
        </w:tc>
        <w:tc>
          <w:tcPr>
            <w:tcW w:w="3047" w:type="dxa"/>
          </w:tcPr>
          <w:p w:rsidR="00582047" w:rsidRPr="0058774B" w:rsidRDefault="00582047" w:rsidP="00582047">
            <w:pPr>
              <w:pStyle w:val="Underskrifter"/>
            </w:pPr>
            <w:r w:rsidRPr="0058774B">
              <w:t>Ulf Holm (mp)</w:t>
            </w:r>
          </w:p>
        </w:tc>
      </w:tr>
    </w:tbl>
    <w:p w:rsidR="00DF2AD2" w:rsidRPr="0058774B" w:rsidRDefault="00DF2AD2" w:rsidP="00582047">
      <w:pPr>
        <w:pStyle w:val="Normaltindrag"/>
      </w:pPr>
    </w:p>
    <w:sectPr w:rsidR="00DF2AD2" w:rsidRPr="0058774B" w:rsidSect="00582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A06" w:rsidRPr="0058774B" w:rsidRDefault="00DE6A06">
      <w:r w:rsidRPr="0058774B">
        <w:separator/>
      </w:r>
    </w:p>
  </w:endnote>
  <w:endnote w:type="continuationSeparator" w:id="0">
    <w:p w:rsidR="00DE6A06" w:rsidRPr="0058774B" w:rsidRDefault="00DE6A06">
      <w:r w:rsidRPr="00587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58774B" w:rsidP="00582047">
    <w:pPr>
      <w:pStyle w:val="Sidfot"/>
    </w:pPr>
    <w:r w:rsidRPr="005877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2761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F8" w:rsidRDefault="000373F8">
                          <w:pPr>
                            <w:pStyle w:val="NormalS5sidnrV"/>
                          </w:pPr>
                          <w:r>
                            <w:fldChar w:fldCharType="begin"/>
                          </w:r>
                          <w:r>
                            <w:instrText xml:space="preserve"> PAGE *\charformat</w:instrText>
                          </w:r>
                          <w:r>
                            <w:fldChar w:fldCharType="separate"/>
                          </w:r>
                          <w:r w:rsidR="000B6E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3F8" w:rsidRDefault="000373F8">
                    <w:pPr>
                      <w:pStyle w:val="NormalS5sidnrV"/>
                    </w:pPr>
                    <w:r>
                      <w:fldChar w:fldCharType="begin"/>
                    </w:r>
                    <w:r>
                      <w:instrText xml:space="preserve"> PAGE *\charformat</w:instrText>
                    </w:r>
                    <w:r>
                      <w:fldChar w:fldCharType="separate"/>
                    </w:r>
                    <w:r w:rsidR="000B6E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58774B" w:rsidP="00582047">
    <w:pPr>
      <w:pStyle w:val="Sidfot"/>
    </w:pPr>
    <w:r w:rsidRPr="005877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056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F8" w:rsidRDefault="000373F8">
                          <w:pPr>
                            <w:pStyle w:val="NormalS5sidnrH"/>
                            <w:ind w:right="0"/>
                          </w:pPr>
                          <w:r>
                            <w:fldChar w:fldCharType="begin"/>
                          </w:r>
                          <w:r>
                            <w:instrText xml:space="preserve"> PAGE *\charformat</w:instrText>
                          </w:r>
                          <w:r>
                            <w:fldChar w:fldCharType="separate"/>
                          </w:r>
                          <w:r w:rsidR="000B6E9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3F8" w:rsidRDefault="000373F8">
                    <w:pPr>
                      <w:pStyle w:val="NormalS5sidnrH"/>
                      <w:ind w:right="0"/>
                    </w:pPr>
                    <w:r>
                      <w:fldChar w:fldCharType="begin"/>
                    </w:r>
                    <w:r>
                      <w:instrText xml:space="preserve"> PAGE *\charformat</w:instrText>
                    </w:r>
                    <w:r>
                      <w:fldChar w:fldCharType="separate"/>
                    </w:r>
                    <w:r w:rsidR="000B6E9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58774B" w:rsidP="00582047">
    <w:pPr>
      <w:pStyle w:val="Sidfot"/>
    </w:pPr>
    <w:r w:rsidRPr="005877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225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F8" w:rsidRDefault="000373F8">
                          <w:pPr>
                            <w:pStyle w:val="NormalS5sidnrH"/>
                            <w:ind w:right="0"/>
                          </w:pPr>
                          <w:r>
                            <w:fldChar w:fldCharType="begin"/>
                          </w:r>
                          <w:r>
                            <w:instrText xml:space="preserve"> PAGE *\charformat</w:instrText>
                          </w:r>
                          <w:r>
                            <w:fldChar w:fldCharType="separate"/>
                          </w:r>
                          <w:r w:rsidR="000B6E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3F8" w:rsidRDefault="000373F8">
                    <w:pPr>
                      <w:pStyle w:val="NormalS5sidnrH"/>
                      <w:ind w:right="0"/>
                    </w:pPr>
                    <w:r>
                      <w:fldChar w:fldCharType="begin"/>
                    </w:r>
                    <w:r>
                      <w:instrText xml:space="preserve"> PAGE *\charformat</w:instrText>
                    </w:r>
                    <w:r>
                      <w:fldChar w:fldCharType="separate"/>
                    </w:r>
                    <w:r w:rsidR="000B6E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A06" w:rsidRPr="0058774B" w:rsidRDefault="00DE6A06" w:rsidP="001006F3">
      <w:pPr>
        <w:pStyle w:val="Sidfot"/>
      </w:pPr>
    </w:p>
  </w:footnote>
  <w:footnote w:type="continuationSeparator" w:id="0">
    <w:p w:rsidR="00DE6A06" w:rsidRPr="0058774B" w:rsidRDefault="00DE6A06" w:rsidP="001006F3">
      <w:pPr>
        <w:pStyle w:val="Sidfot"/>
      </w:pPr>
    </w:p>
  </w:footnote>
  <w:footnote w:type="continuationNotice" w:id="1">
    <w:p w:rsidR="00DE6A06" w:rsidRPr="0058774B" w:rsidRDefault="00DE6A06"/>
  </w:footnote>
  <w:footnote w:id="2">
    <w:p w:rsidR="000373F8" w:rsidRPr="0058774B" w:rsidRDefault="000373F8" w:rsidP="00DF2AD2">
      <w:pPr>
        <w:pStyle w:val="Fotnotstext"/>
        <w:rPr>
          <w:sz w:val="16"/>
          <w:szCs w:val="16"/>
        </w:rPr>
      </w:pPr>
      <w:r w:rsidRPr="0058774B">
        <w:rPr>
          <w:rStyle w:val="Fotnotsreferens"/>
          <w:sz w:val="19"/>
          <w:szCs w:val="19"/>
        </w:rPr>
        <w:footnoteRef/>
      </w:r>
      <w:r w:rsidRPr="0058774B">
        <w:t xml:space="preserve"> </w:t>
      </w:r>
      <w:r w:rsidRPr="0058774B">
        <w:rPr>
          <w:sz w:val="16"/>
          <w:szCs w:val="16"/>
        </w:rPr>
        <w:t>Uppgifterna om exakt vilka belopp som tilldelats Sverige i olika program och initiativ varierar något, beroende på källa. Respektive programs hemsida har inte genomgående korrekta uppgifter. Vi stöder oss därför i huvudsak på de uppgifter som redovisas i budge</w:t>
      </w:r>
      <w:r w:rsidRPr="0058774B">
        <w:rPr>
          <w:sz w:val="16"/>
          <w:szCs w:val="16"/>
        </w:rPr>
        <w:t>t</w:t>
      </w:r>
      <w:r w:rsidRPr="0058774B">
        <w:rPr>
          <w:sz w:val="16"/>
          <w:szCs w:val="16"/>
        </w:rPr>
        <w:t>propositionen samt i Nuteks skrift ”Utveckla Sverige – EU:s strukturfo</w:t>
      </w:r>
      <w:r w:rsidRPr="0058774B">
        <w:rPr>
          <w:sz w:val="16"/>
          <w:szCs w:val="16"/>
        </w:rPr>
        <w:t>n</w:t>
      </w:r>
      <w:r w:rsidRPr="0058774B">
        <w:rPr>
          <w:sz w:val="16"/>
          <w:szCs w:val="16"/>
        </w:rPr>
        <w:t xml:space="preserve">der 2000–2006”.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58774B" w:rsidP="00582047">
    <w:pPr>
      <w:pStyle w:val="Sidhuvud"/>
    </w:pPr>
    <w:r w:rsidRPr="005877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759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F8" w:rsidRDefault="000373F8">
                          <w:pPr>
                            <w:pStyle w:val="KantRubrikS5V"/>
                          </w:pPr>
                          <w:r>
                            <w:fldChar w:fldCharType="begin"/>
                          </w:r>
                          <w:r>
                            <w:instrText xml:space="preserve"> DOCPROPERTY "YearUser" *\charformat </w:instrText>
                          </w:r>
                          <w:r>
                            <w:fldChar w:fldCharType="separate"/>
                          </w:r>
                          <w:r w:rsidR="000B6E99">
                            <w:t>2005/06</w:t>
                          </w:r>
                          <w:r>
                            <w:fldChar w:fldCharType="end"/>
                          </w:r>
                          <w:r>
                            <w:t>:</w:t>
                          </w:r>
                          <w:r>
                            <w:fldChar w:fldCharType="begin"/>
                          </w:r>
                          <w:r>
                            <w:instrText xml:space="preserve"> DOCPROPERTY "Motionsnummer" *\charformat </w:instrText>
                          </w:r>
                          <w:r>
                            <w:fldChar w:fldCharType="separate"/>
                          </w:r>
                          <w:r w:rsidR="000B6E99">
                            <w:t>N453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3F8" w:rsidRDefault="000373F8">
                    <w:pPr>
                      <w:pStyle w:val="KantRubrikS5V"/>
                    </w:pPr>
                    <w:r>
                      <w:fldChar w:fldCharType="begin"/>
                    </w:r>
                    <w:r>
                      <w:instrText xml:space="preserve"> DOCPROPERTY "YearUser" *\charformat </w:instrText>
                    </w:r>
                    <w:r>
                      <w:fldChar w:fldCharType="separate"/>
                    </w:r>
                    <w:r w:rsidR="000B6E99">
                      <w:t>2005/06</w:t>
                    </w:r>
                    <w:r>
                      <w:fldChar w:fldCharType="end"/>
                    </w:r>
                    <w:r>
                      <w:t>:</w:t>
                    </w:r>
                    <w:r>
                      <w:fldChar w:fldCharType="begin"/>
                    </w:r>
                    <w:r>
                      <w:instrText xml:space="preserve"> DOCPROPERTY "Motionsnummer" *\charformat </w:instrText>
                    </w:r>
                    <w:r>
                      <w:fldChar w:fldCharType="separate"/>
                    </w:r>
                    <w:r w:rsidR="000B6E99">
                      <w:t>N453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58774B" w:rsidP="00582047">
    <w:pPr>
      <w:pStyle w:val="Sidhuvud"/>
    </w:pPr>
    <w:r w:rsidRPr="005877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930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F8" w:rsidRDefault="000373F8">
                          <w:pPr>
                            <w:pStyle w:val="KantRubrikS5H"/>
                            <w:ind w:right="0"/>
                          </w:pPr>
                          <w:r>
                            <w:fldChar w:fldCharType="begin"/>
                          </w:r>
                          <w:r>
                            <w:instrText xml:space="preserve"> DOCPROPERTY "YearUser" *\charformat </w:instrText>
                          </w:r>
                          <w:r>
                            <w:fldChar w:fldCharType="separate"/>
                          </w:r>
                          <w:r w:rsidR="000B6E99">
                            <w:t>2005/06</w:t>
                          </w:r>
                          <w:r>
                            <w:fldChar w:fldCharType="end"/>
                          </w:r>
                          <w:r>
                            <w:t>:</w:t>
                          </w:r>
                          <w:r>
                            <w:fldChar w:fldCharType="begin"/>
                          </w:r>
                          <w:r>
                            <w:instrText xml:space="preserve"> DOCPROPERTY "Motionsnummer" *\charformat </w:instrText>
                          </w:r>
                          <w:r>
                            <w:fldChar w:fldCharType="separate"/>
                          </w:r>
                          <w:r w:rsidR="000B6E99">
                            <w:t>N453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3F8" w:rsidRDefault="000373F8">
                    <w:pPr>
                      <w:pStyle w:val="KantRubrikS5H"/>
                      <w:ind w:right="0"/>
                    </w:pPr>
                    <w:r>
                      <w:fldChar w:fldCharType="begin"/>
                    </w:r>
                    <w:r>
                      <w:instrText xml:space="preserve"> DOCPROPERTY "YearUser" *\charformat </w:instrText>
                    </w:r>
                    <w:r>
                      <w:fldChar w:fldCharType="separate"/>
                    </w:r>
                    <w:r w:rsidR="000B6E99">
                      <w:t>2005/06</w:t>
                    </w:r>
                    <w:r>
                      <w:fldChar w:fldCharType="end"/>
                    </w:r>
                    <w:r>
                      <w:t>:</w:t>
                    </w:r>
                    <w:r>
                      <w:fldChar w:fldCharType="begin"/>
                    </w:r>
                    <w:r>
                      <w:instrText xml:space="preserve"> DOCPROPERTY "Motionsnummer" *\charformat </w:instrText>
                    </w:r>
                    <w:r>
                      <w:fldChar w:fldCharType="separate"/>
                    </w:r>
                    <w:r w:rsidR="000B6E99">
                      <w:t>N453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F8" w:rsidRPr="0058774B" w:rsidRDefault="000373F8">
    <w:pPr>
      <w:pStyle w:val="FSHNormal"/>
      <w:tabs>
        <w:tab w:val="right" w:pos="5840"/>
      </w:tabs>
    </w:pPr>
    <w:r w:rsidRPr="0058774B">
      <w:br/>
    </w:r>
    <w:r w:rsidRPr="0058774B">
      <w:fldChar w:fldCharType="begin" w:fldLock="1"/>
    </w:r>
    <w:r w:rsidRPr="0058774B">
      <w:instrText xml:space="preserve"> DOCPROPERTY</w:instrText>
    </w:r>
    <w:r w:rsidRPr="0058774B">
      <w:rPr>
        <w:sz w:val="18"/>
      </w:rPr>
      <w:instrText xml:space="preserve"> "YearUser" *\charformat </w:instrText>
    </w:r>
    <w:r w:rsidRPr="0058774B">
      <w:fldChar w:fldCharType="separate"/>
    </w:r>
    <w:r w:rsidR="000B6E99" w:rsidRPr="0058774B">
      <w:t>2005/06</w:t>
    </w:r>
    <w:r w:rsidRPr="0058774B">
      <w:fldChar w:fldCharType="end"/>
    </w:r>
    <w:r w:rsidRPr="0058774B">
      <w:t xml:space="preserve"> </w:t>
    </w:r>
    <w:r w:rsidRPr="0058774B">
      <w:tab/>
      <w:t xml:space="preserve">mnr: </w:t>
    </w:r>
    <w:r w:rsidRPr="0058774B">
      <w:fldChar w:fldCharType="begin" w:fldLock="1"/>
    </w:r>
    <w:r w:rsidRPr="0058774B">
      <w:instrText xml:space="preserve"> DOCPROPERTY</w:instrText>
    </w:r>
    <w:r w:rsidRPr="0058774B">
      <w:rPr>
        <w:sz w:val="18"/>
      </w:rPr>
      <w:instrText xml:space="preserve"> "Motionsnummer" *\charformat </w:instrText>
    </w:r>
    <w:r w:rsidRPr="0058774B">
      <w:fldChar w:fldCharType="separate"/>
    </w:r>
    <w:r w:rsidR="000B6E99" w:rsidRPr="0058774B">
      <w:t>N453</w:t>
    </w:r>
    <w:r w:rsidRPr="0058774B">
      <w:fldChar w:fldCharType="end"/>
    </w:r>
    <w:r w:rsidRPr="0058774B">
      <w:br/>
    </w:r>
    <w:r w:rsidRPr="0058774B">
      <w:fldChar w:fldCharType="begin" w:fldLock="1"/>
    </w:r>
    <w:r w:rsidRPr="0058774B">
      <w:instrText xml:space="preserve"> DOCPROPERTY</w:instrText>
    </w:r>
    <w:r w:rsidRPr="0058774B">
      <w:rPr>
        <w:sz w:val="18"/>
      </w:rPr>
      <w:instrText xml:space="preserve"> "Samling" *\charformat </w:instrText>
    </w:r>
    <w:r w:rsidRPr="0058774B">
      <w:fldChar w:fldCharType="end"/>
    </w:r>
    <w:r w:rsidRPr="0058774B">
      <w:tab/>
      <w:t xml:space="preserve">pnr: </w:t>
    </w:r>
    <w:r w:rsidRPr="0058774B">
      <w:fldChar w:fldCharType="begin" w:fldLock="1"/>
    </w:r>
    <w:r w:rsidRPr="0058774B">
      <w:instrText xml:space="preserve"> DOCPROPERTY</w:instrText>
    </w:r>
    <w:r w:rsidRPr="0058774B">
      <w:rPr>
        <w:sz w:val="18"/>
      </w:rPr>
      <w:instrText xml:space="preserve"> "Partinummer" *\charformat </w:instrText>
    </w:r>
    <w:r w:rsidRPr="0058774B">
      <w:fldChar w:fldCharType="separate"/>
    </w:r>
    <w:r w:rsidR="000B6E99" w:rsidRPr="0058774B">
      <w:t>-fp708</w:t>
    </w:r>
    <w:r w:rsidRPr="0058774B">
      <w:fldChar w:fldCharType="end"/>
    </w:r>
  </w:p>
  <w:p w:rsidR="000373F8" w:rsidRPr="0058774B" w:rsidRDefault="000373F8">
    <w:pPr>
      <w:pStyle w:val="FSHRub1"/>
    </w:pPr>
    <w:r w:rsidRPr="0058774B">
      <w:t>Motion till riksdagen</w:t>
    </w:r>
    <w:r w:rsidRPr="0058774B">
      <w:br/>
    </w:r>
    <w:r w:rsidRPr="0058774B">
      <w:fldChar w:fldCharType="begin" w:fldLock="1"/>
    </w:r>
    <w:r w:rsidRPr="0058774B">
      <w:instrText xml:space="preserve"> DOCPROPERTY "YearUser" *\charformat </w:instrText>
    </w:r>
    <w:r w:rsidRPr="0058774B">
      <w:fldChar w:fldCharType="separate"/>
    </w:r>
    <w:r w:rsidR="000B6E99" w:rsidRPr="0058774B">
      <w:t>2005/06</w:t>
    </w:r>
    <w:r w:rsidRPr="0058774B">
      <w:fldChar w:fldCharType="end"/>
    </w:r>
    <w:r w:rsidRPr="0058774B">
      <w:t>:</w:t>
    </w:r>
    <w:r w:rsidRPr="0058774B">
      <w:fldChar w:fldCharType="begin" w:fldLock="1"/>
    </w:r>
    <w:r w:rsidRPr="0058774B">
      <w:instrText xml:space="preserve"> DOCPROPERTY "Motionsnummer" *\charformat </w:instrText>
    </w:r>
    <w:r w:rsidRPr="0058774B">
      <w:fldChar w:fldCharType="separate"/>
    </w:r>
    <w:r w:rsidR="000B6E99" w:rsidRPr="0058774B">
      <w:t>N453</w:t>
    </w:r>
    <w:r w:rsidRPr="0058774B">
      <w:fldChar w:fldCharType="end"/>
    </w:r>
  </w:p>
  <w:p w:rsidR="000373F8" w:rsidRPr="0058774B" w:rsidRDefault="000373F8">
    <w:pPr>
      <w:pStyle w:val="FSHNormalS5"/>
    </w:pPr>
    <w:r w:rsidRPr="0058774B">
      <w:fldChar w:fldCharType="begin" w:fldLock="1"/>
    </w:r>
    <w:r w:rsidRPr="0058774B">
      <w:instrText xml:space="preserve"> DOCPROPERTY "MotionarText" *\charformat </w:instrText>
    </w:r>
    <w:r w:rsidRPr="0058774B">
      <w:fldChar w:fldCharType="separate"/>
    </w:r>
    <w:r w:rsidR="000B6E99" w:rsidRPr="0058774B">
      <w:t>av Solveig Hellquist m.fl. (fp, m, kd, c, mp)</w:t>
    </w:r>
    <w:r w:rsidRPr="0058774B">
      <w:fldChar w:fldCharType="end"/>
    </w:r>
    <w:r w:rsidRPr="0058774B">
      <w:br/>
    </w:r>
    <w:r w:rsidRPr="0058774B">
      <w:fldChar w:fldCharType="begin" w:fldLock="1"/>
    </w:r>
    <w:r w:rsidRPr="0058774B">
      <w:instrText xml:space="preserve"> DOCPROPERTY "SvarFrasKort" *\charformat </w:instrText>
    </w:r>
    <w:r w:rsidRPr="0058774B">
      <w:fldChar w:fldCharType="end"/>
    </w:r>
  </w:p>
  <w:p w:rsidR="000373F8" w:rsidRPr="0058774B" w:rsidRDefault="000373F8">
    <w:pPr>
      <w:pStyle w:val="FSHTitel"/>
    </w:pPr>
    <w:r w:rsidRPr="0058774B">
      <w:fldChar w:fldCharType="begin" w:fldLock="1"/>
    </w:r>
    <w:r w:rsidRPr="0058774B">
      <w:instrText xml:space="preserve"> DOCPROPERTY</w:instrText>
    </w:r>
    <w:r w:rsidRPr="0058774B">
      <w:rPr>
        <w:sz w:val="18"/>
      </w:rPr>
      <w:instrText xml:space="preserve"> "RubrikSvar" *\charformat </w:instrText>
    </w:r>
    <w:r w:rsidRPr="0058774B">
      <w:fldChar w:fldCharType="separate"/>
    </w:r>
    <w:r w:rsidR="000B6E99" w:rsidRPr="0058774B">
      <w:t>Valutakursen i svenska strukturfondsprogrammet</w:t>
    </w:r>
    <w:r w:rsidRPr="0058774B">
      <w:fldChar w:fldCharType="end"/>
    </w:r>
  </w:p>
  <w:p w:rsidR="000373F8" w:rsidRPr="0058774B" w:rsidRDefault="000373F8" w:rsidP="005820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E54F2E"/>
    <w:multiLevelType w:val="hybridMultilevel"/>
    <w:tmpl w:val="DB1088E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3C6DC4"/>
    <w:multiLevelType w:val="hybridMultilevel"/>
    <w:tmpl w:val="7A98AD3A"/>
    <w:lvl w:ilvl="0" w:tplc="F926EC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7130780">
    <w:abstractNumId w:val="14"/>
  </w:num>
  <w:num w:numId="2" w16cid:durableId="1573781775">
    <w:abstractNumId w:val="10"/>
  </w:num>
  <w:num w:numId="3" w16cid:durableId="1454834819">
    <w:abstractNumId w:val="11"/>
  </w:num>
  <w:num w:numId="4" w16cid:durableId="1363478786">
    <w:abstractNumId w:val="13"/>
  </w:num>
  <w:num w:numId="5" w16cid:durableId="1146511728">
    <w:abstractNumId w:val="8"/>
  </w:num>
  <w:num w:numId="6" w16cid:durableId="1121341115">
    <w:abstractNumId w:val="3"/>
  </w:num>
  <w:num w:numId="7" w16cid:durableId="638920779">
    <w:abstractNumId w:val="2"/>
  </w:num>
  <w:num w:numId="8" w16cid:durableId="1943688556">
    <w:abstractNumId w:val="1"/>
  </w:num>
  <w:num w:numId="9" w16cid:durableId="1471367256">
    <w:abstractNumId w:val="0"/>
  </w:num>
  <w:num w:numId="10" w16cid:durableId="393361091">
    <w:abstractNumId w:val="9"/>
  </w:num>
  <w:num w:numId="11" w16cid:durableId="573200543">
    <w:abstractNumId w:val="7"/>
  </w:num>
  <w:num w:numId="12" w16cid:durableId="168757321">
    <w:abstractNumId w:val="6"/>
  </w:num>
  <w:num w:numId="13" w16cid:durableId="66223259">
    <w:abstractNumId w:val="5"/>
  </w:num>
  <w:num w:numId="14" w16cid:durableId="574556047">
    <w:abstractNumId w:val="4"/>
  </w:num>
  <w:num w:numId="15" w16cid:durableId="394937171">
    <w:abstractNumId w:val="12"/>
  </w:num>
  <w:num w:numId="16" w16cid:durableId="198325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511E2"/>
    <w:rsid w:val="00035FBC"/>
    <w:rsid w:val="000373F8"/>
    <w:rsid w:val="0004381F"/>
    <w:rsid w:val="00064BC3"/>
    <w:rsid w:val="00066775"/>
    <w:rsid w:val="00072FB9"/>
    <w:rsid w:val="00083321"/>
    <w:rsid w:val="000B6E99"/>
    <w:rsid w:val="00100531"/>
    <w:rsid w:val="001006F3"/>
    <w:rsid w:val="00201DFB"/>
    <w:rsid w:val="00204A63"/>
    <w:rsid w:val="00212FF1"/>
    <w:rsid w:val="00230193"/>
    <w:rsid w:val="0025068A"/>
    <w:rsid w:val="002818D3"/>
    <w:rsid w:val="002972EE"/>
    <w:rsid w:val="002C4757"/>
    <w:rsid w:val="002D11A8"/>
    <w:rsid w:val="0033261B"/>
    <w:rsid w:val="00445271"/>
    <w:rsid w:val="004511E2"/>
    <w:rsid w:val="00464AA2"/>
    <w:rsid w:val="004A0504"/>
    <w:rsid w:val="004E38D9"/>
    <w:rsid w:val="00582047"/>
    <w:rsid w:val="0058774B"/>
    <w:rsid w:val="005B145B"/>
    <w:rsid w:val="005F46B7"/>
    <w:rsid w:val="0066796C"/>
    <w:rsid w:val="00740D6D"/>
    <w:rsid w:val="00794149"/>
    <w:rsid w:val="007B67A7"/>
    <w:rsid w:val="007C6092"/>
    <w:rsid w:val="009372AA"/>
    <w:rsid w:val="009C2FEE"/>
    <w:rsid w:val="009C3234"/>
    <w:rsid w:val="00A053C6"/>
    <w:rsid w:val="00A84453"/>
    <w:rsid w:val="00B13BF0"/>
    <w:rsid w:val="00B27A1F"/>
    <w:rsid w:val="00B55B81"/>
    <w:rsid w:val="00BD2414"/>
    <w:rsid w:val="00C1285C"/>
    <w:rsid w:val="00C27B7D"/>
    <w:rsid w:val="00CF7A43"/>
    <w:rsid w:val="00D1174F"/>
    <w:rsid w:val="00D400D6"/>
    <w:rsid w:val="00DC6C70"/>
    <w:rsid w:val="00DE6A06"/>
    <w:rsid w:val="00DF2AD2"/>
    <w:rsid w:val="00E22893"/>
    <w:rsid w:val="00E360DE"/>
    <w:rsid w:val="00E46459"/>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C1BB4-B6D2-4327-A480-ED027AAE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DF2AD2"/>
    <w:pPr>
      <w:spacing w:line="240" w:lineRule="auto"/>
    </w:pPr>
    <w:rPr>
      <w:sz w:val="20"/>
    </w:rPr>
  </w:style>
  <w:style w:type="character" w:styleId="Fotnotsreferens">
    <w:name w:val="footnote reference"/>
    <w:basedOn w:val="Standardstycketeckensnitt"/>
    <w:semiHidden/>
    <w:rsid w:val="00DF2AD2"/>
    <w:rPr>
      <w:vertAlign w:val="superscript"/>
    </w:rPr>
  </w:style>
  <w:style w:type="paragraph" w:customStyle="1" w:styleId="Hemstlrubrik">
    <w:name w:val="Hemstl_rubrik"/>
    <w:basedOn w:val="Rubrik1"/>
    <w:next w:val="Normal"/>
    <w:rsid w:val="00B27A1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204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4511E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2227</Words>
  <Characters>13343</Characters>
  <Application>Microsoft Office Word</Application>
  <DocSecurity>4</DocSecurity>
  <Lines>277</Lines>
  <Paragraphs>105</Paragraphs>
  <ScaleCrop>false</ScaleCrop>
  <HeadingPairs>
    <vt:vector size="2" baseType="variant">
      <vt:variant>
        <vt:lpstr>Rubrik</vt:lpstr>
      </vt:variant>
      <vt:variant>
        <vt:i4>1</vt:i4>
      </vt:variant>
    </vt:vector>
  </HeadingPairs>
  <TitlesOfParts>
    <vt:vector size="1" baseType="lpstr">
      <vt:lpstr>N453</vt:lpstr>
    </vt:vector>
  </TitlesOfParts>
  <Company>Riksdagen</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N453</dc:title>
  <dc:subject>N453</dc:subject>
  <dc:creator>Riksdagen</dc:creator>
  <cp:keywords>Riksdagen</cp:keywords>
  <dc:description/>
  <cp:lastModifiedBy>Lars Brink</cp:lastModifiedBy>
  <cp:revision>2</cp:revision>
  <cp:lastPrinted>2006-01-12T13:01:00Z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Valutakursen i svenska strukturfondsprogrammet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Valutakursen i svenska strukturfondsprogrammet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-fp708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Solveig Hellquist m.fl. (fp, m, kd, c, mp)</vt:lpwstr>
  </property>
  <property fmtid="{D5CDD505-2E9C-101B-9397-08002B2CF9AE}" pid="26" name="MotionarLista">
    <vt:lpwstr>Hellquist, Solveig (fp)\Kjellberg, Bertil (m)\Lindén, Lars (kd)\Sellén, Birgitta (c)\Holm,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Bertil Kjellberg (m), Lars Lindén (kd), Birgitta Sellén (c),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20052006000001020112000007080070</vt:lpwstr>
  </property>
  <property fmtid="{D5CDD505-2E9C-101B-9397-08002B2CF9AE}" pid="47" name="datum">
    <vt:lpwstr>050930</vt:lpwstr>
  </property>
  <property fmtid="{D5CDD505-2E9C-101B-9397-08002B2CF9AE}" pid="48" name="avsändar-e-post">
    <vt:lpwstr>anna.prucha@riksdagen.se</vt:lpwstr>
  </property>
  <property fmtid="{D5CDD505-2E9C-101B-9397-08002B2CF9AE}" pid="49" name="id">
    <vt:lpwstr>20052006000001020112000007080070</vt:lpwstr>
  </property>
  <property fmtid="{D5CDD505-2E9C-101B-9397-08002B2CF9AE}" pid="50" name="nummer">
    <vt:lpwstr>453</vt:lpwstr>
  </property>
  <property fmtid="{D5CDD505-2E9C-101B-9397-08002B2CF9AE}" pid="51" name="utskottsbeteckning">
    <vt:lpwstr>N</vt:lpwstr>
  </property>
</Properties>
</file>