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6F8E" w:rsidRPr="0063332A" w:rsidRDefault="009B6F8E">
      <w:pPr>
        <w:pStyle w:val="Hemstlrubrik"/>
        <w:shd w:val="clear" w:color="000000" w:fill="auto"/>
      </w:pPr>
      <w:r w:rsidRPr="0063332A">
        <w:t>Förslag till riksdagsbeslut</w:t>
      </w:r>
    </w:p>
    <w:p w:rsidR="009B6F8E" w:rsidRPr="0063332A" w:rsidRDefault="009B6F8E">
      <w:pPr>
        <w:pStyle w:val="Hemstlatt"/>
        <w:numPr>
          <w:ilvl w:val="0"/>
          <w:numId w:val="1"/>
        </w:numPr>
        <w:shd w:val="clear" w:color="000000" w:fill="auto"/>
      </w:pPr>
      <w:r w:rsidRPr="0063332A">
        <w:t xml:space="preserve">Riksdagen avslår regeringens </w:t>
      </w:r>
      <w:r w:rsidRPr="0063332A">
        <w:rPr>
          <w:color w:val="000000"/>
        </w:rPr>
        <w:t>föreslagna använ</w:t>
      </w:r>
      <w:r w:rsidRPr="0063332A">
        <w:rPr>
          <w:color w:val="000000"/>
        </w:rPr>
        <w:t>d</w:t>
      </w:r>
      <w:r w:rsidRPr="0063332A">
        <w:rPr>
          <w:color w:val="000000"/>
        </w:rPr>
        <w:t xml:space="preserve">ning av det under utgiftsområde 21 Energi uppförda anslaget 35:10 </w:t>
      </w:r>
      <w:r w:rsidRPr="0063332A">
        <w:rPr>
          <w:iCs/>
          <w:color w:val="000000"/>
        </w:rPr>
        <w:t>Stöd för konvertering från direktverkande elvärme m.m</w:t>
      </w:r>
      <w:r w:rsidRPr="0063332A">
        <w:rPr>
          <w:color w:val="000000"/>
        </w:rPr>
        <w:t>. (avsnitt 3.2.17).</w:t>
      </w:r>
    </w:p>
    <w:p w:rsidR="009B6F8E" w:rsidRPr="0063332A" w:rsidRDefault="009B6F8E">
      <w:pPr>
        <w:pStyle w:val="Hemstlatt"/>
        <w:numPr>
          <w:ilvl w:val="0"/>
          <w:numId w:val="1"/>
        </w:numPr>
        <w:shd w:val="clear" w:color="000000" w:fill="auto"/>
      </w:pPr>
      <w:r w:rsidRPr="0063332A">
        <w:t xml:space="preserve">Riksdagen avslår </w:t>
      </w:r>
      <w:r w:rsidRPr="0063332A">
        <w:rPr>
          <w:color w:val="000000"/>
        </w:rPr>
        <w:t>regeringens förslag att Luftfartsstyrelsen får läggas ned (avsnitt 3.2.18).</w:t>
      </w:r>
    </w:p>
    <w:p w:rsidR="009B6F8E" w:rsidRPr="0063332A" w:rsidRDefault="009B6F8E">
      <w:pPr>
        <w:pStyle w:val="Hemstlatt"/>
        <w:numPr>
          <w:ilvl w:val="0"/>
          <w:numId w:val="1"/>
        </w:numPr>
        <w:shd w:val="clear" w:color="000000" w:fill="auto"/>
      </w:pPr>
      <w:r w:rsidRPr="0063332A">
        <w:t>Riksdagen anvisar med följande ändringar i förhållande till regeringens förslag anslagen i tilläggsbudgeten enligt uppstäl</w:t>
      </w:r>
      <w:r w:rsidRPr="0063332A">
        <w:t>l</w:t>
      </w:r>
      <w:r w:rsidRPr="0063332A">
        <w:t>ning:</w:t>
      </w:r>
    </w:p>
    <w:tbl>
      <w:tblPr>
        <w:tblW w:w="5954" w:type="dxa"/>
        <w:tblInd w:w="55" w:type="dxa"/>
        <w:tblLayout w:type="fixed"/>
        <w:tblCellMar>
          <w:left w:w="70" w:type="dxa"/>
          <w:right w:w="70" w:type="dxa"/>
        </w:tblCellMar>
        <w:tblLook w:val="0000" w:firstRow="0" w:lastRow="0" w:firstColumn="0" w:lastColumn="0" w:noHBand="0" w:noVBand="0"/>
      </w:tblPr>
      <w:tblGrid>
        <w:gridCol w:w="672"/>
        <w:gridCol w:w="606"/>
        <w:gridCol w:w="177"/>
        <w:gridCol w:w="3128"/>
        <w:gridCol w:w="1371"/>
      </w:tblGrid>
      <w:tr w:rsidR="00000000" w:rsidRPr="0063332A">
        <w:tc>
          <w:tcPr>
            <w:tcW w:w="672" w:type="dxa"/>
            <w:tcBorders>
              <w:top w:val="single" w:sz="4" w:space="0" w:color="auto"/>
              <w:left w:val="nil"/>
              <w:bottom w:val="single" w:sz="4" w:space="0" w:color="auto"/>
              <w:right w:val="nil"/>
            </w:tcBorders>
            <w:noWrap/>
          </w:tcPr>
          <w:p w:rsidR="009B6F8E" w:rsidRPr="0063332A" w:rsidRDefault="009B6F8E">
            <w:pPr>
              <w:shd w:val="clear" w:color="000000" w:fill="auto"/>
              <w:spacing w:before="60" w:line="200" w:lineRule="exact"/>
              <w:rPr>
                <w:b/>
                <w:bCs/>
                <w:spacing w:val="-4"/>
                <w:sz w:val="16"/>
                <w:szCs w:val="16"/>
              </w:rPr>
            </w:pPr>
            <w:r w:rsidRPr="0063332A">
              <w:rPr>
                <w:b/>
                <w:bCs/>
                <w:spacing w:val="-4"/>
                <w:sz w:val="16"/>
                <w:szCs w:val="16"/>
              </w:rPr>
              <w:t>Utgifts</w:t>
            </w:r>
            <w:r w:rsidRPr="0063332A">
              <w:rPr>
                <w:b/>
                <w:bCs/>
                <w:spacing w:val="-4"/>
                <w:sz w:val="16"/>
                <w:szCs w:val="16"/>
              </w:rPr>
              <w:softHyphen/>
              <w:t>område</w:t>
            </w:r>
          </w:p>
        </w:tc>
        <w:tc>
          <w:tcPr>
            <w:tcW w:w="783" w:type="dxa"/>
            <w:gridSpan w:val="2"/>
            <w:tcBorders>
              <w:top w:val="single" w:sz="4" w:space="0" w:color="auto"/>
              <w:left w:val="nil"/>
              <w:bottom w:val="single" w:sz="4" w:space="0" w:color="auto"/>
              <w:right w:val="nil"/>
            </w:tcBorders>
            <w:noWrap/>
          </w:tcPr>
          <w:p w:rsidR="009B6F8E" w:rsidRPr="0063332A" w:rsidRDefault="009B6F8E">
            <w:pPr>
              <w:shd w:val="clear" w:color="000000" w:fill="auto"/>
              <w:spacing w:before="60" w:line="200" w:lineRule="exact"/>
              <w:jc w:val="center"/>
              <w:rPr>
                <w:b/>
                <w:bCs/>
                <w:spacing w:val="-2"/>
                <w:sz w:val="16"/>
                <w:szCs w:val="16"/>
              </w:rPr>
            </w:pPr>
            <w:r w:rsidRPr="0063332A">
              <w:rPr>
                <w:b/>
                <w:bCs/>
                <w:spacing w:val="-2"/>
                <w:sz w:val="16"/>
                <w:szCs w:val="16"/>
              </w:rPr>
              <w:t>Anslag</w:t>
            </w:r>
          </w:p>
        </w:tc>
        <w:tc>
          <w:tcPr>
            <w:tcW w:w="3128" w:type="dxa"/>
            <w:tcBorders>
              <w:top w:val="single" w:sz="4" w:space="0" w:color="auto"/>
              <w:left w:val="nil"/>
              <w:bottom w:val="single" w:sz="4" w:space="0" w:color="auto"/>
              <w:right w:val="nil"/>
            </w:tcBorders>
            <w:noWrap/>
          </w:tcPr>
          <w:p w:rsidR="009B6F8E" w:rsidRPr="0063332A" w:rsidRDefault="009B6F8E">
            <w:pPr>
              <w:shd w:val="clear" w:color="000000" w:fill="auto"/>
              <w:spacing w:before="60" w:line="200" w:lineRule="exact"/>
              <w:rPr>
                <w:b/>
                <w:bCs/>
                <w:sz w:val="16"/>
                <w:szCs w:val="16"/>
              </w:rPr>
            </w:pPr>
          </w:p>
        </w:tc>
        <w:tc>
          <w:tcPr>
            <w:tcW w:w="1371" w:type="dxa"/>
            <w:tcBorders>
              <w:top w:val="single" w:sz="4" w:space="0" w:color="auto"/>
              <w:left w:val="nil"/>
              <w:bottom w:val="single" w:sz="4" w:space="0" w:color="auto"/>
              <w:right w:val="nil"/>
            </w:tcBorders>
            <w:noWrap/>
          </w:tcPr>
          <w:p w:rsidR="009B6F8E" w:rsidRPr="0063332A" w:rsidRDefault="009B6F8E">
            <w:pPr>
              <w:shd w:val="clear" w:color="000000" w:fill="auto"/>
              <w:spacing w:before="60" w:line="200" w:lineRule="exact"/>
              <w:ind w:left="-113" w:right="-57"/>
              <w:jc w:val="right"/>
              <w:rPr>
                <w:b/>
                <w:bCs/>
                <w:sz w:val="16"/>
                <w:szCs w:val="16"/>
              </w:rPr>
            </w:pPr>
            <w:r w:rsidRPr="0063332A">
              <w:rPr>
                <w:b/>
                <w:bCs/>
                <w:spacing w:val="-2"/>
                <w:sz w:val="16"/>
                <w:szCs w:val="16"/>
              </w:rPr>
              <w:t xml:space="preserve">Avvikelse från regeringens förslag </w:t>
            </w:r>
            <w:r w:rsidRPr="0063332A">
              <w:rPr>
                <w:b/>
                <w:bCs/>
                <w:spacing w:val="-2"/>
                <w:sz w:val="16"/>
                <w:szCs w:val="16"/>
              </w:rPr>
              <w:br/>
            </w:r>
            <w:r w:rsidRPr="0063332A">
              <w:rPr>
                <w:bCs/>
                <w:spacing w:val="-2"/>
                <w:sz w:val="16"/>
                <w:szCs w:val="16"/>
              </w:rPr>
              <w:t>(miljoner kronor)</w:t>
            </w:r>
          </w:p>
        </w:tc>
      </w:tr>
      <w:tr w:rsidR="00000000" w:rsidRPr="0063332A">
        <w:tc>
          <w:tcPr>
            <w:tcW w:w="672" w:type="dxa"/>
            <w:noWrap/>
            <w:vAlign w:val="bottom"/>
          </w:tcPr>
          <w:p w:rsidR="009B6F8E" w:rsidRPr="0063332A" w:rsidRDefault="009B6F8E">
            <w:pPr>
              <w:shd w:val="clear" w:color="000000" w:fill="auto"/>
              <w:spacing w:before="60" w:line="200" w:lineRule="exact"/>
              <w:ind w:right="170"/>
              <w:jc w:val="right"/>
              <w:rPr>
                <w:sz w:val="16"/>
                <w:szCs w:val="16"/>
              </w:rPr>
            </w:pPr>
            <w:r w:rsidRPr="0063332A">
              <w:rPr>
                <w:sz w:val="16"/>
                <w:szCs w:val="16"/>
              </w:rPr>
              <w:t>1</w:t>
            </w:r>
          </w:p>
        </w:tc>
        <w:tc>
          <w:tcPr>
            <w:tcW w:w="606" w:type="dxa"/>
            <w:noWrap/>
            <w:vAlign w:val="bottom"/>
          </w:tcPr>
          <w:p w:rsidR="009B6F8E" w:rsidRPr="0063332A" w:rsidRDefault="009B6F8E">
            <w:pPr>
              <w:shd w:val="clear" w:color="000000" w:fill="auto"/>
              <w:spacing w:before="60" w:line="200" w:lineRule="exact"/>
              <w:jc w:val="right"/>
              <w:rPr>
                <w:sz w:val="16"/>
                <w:szCs w:val="16"/>
              </w:rPr>
            </w:pPr>
            <w:r w:rsidRPr="0063332A">
              <w:rPr>
                <w:sz w:val="16"/>
                <w:szCs w:val="16"/>
              </w:rPr>
              <w:t>90:5</w:t>
            </w:r>
          </w:p>
        </w:tc>
        <w:tc>
          <w:tcPr>
            <w:tcW w:w="3305" w:type="dxa"/>
            <w:gridSpan w:val="2"/>
            <w:noWrap/>
            <w:vAlign w:val="bottom"/>
          </w:tcPr>
          <w:p w:rsidR="009B6F8E" w:rsidRPr="0063332A" w:rsidRDefault="009B6F8E">
            <w:pPr>
              <w:shd w:val="clear" w:color="000000" w:fill="auto"/>
              <w:spacing w:before="60" w:line="200" w:lineRule="exact"/>
              <w:rPr>
                <w:sz w:val="16"/>
                <w:szCs w:val="16"/>
              </w:rPr>
            </w:pPr>
            <w:r w:rsidRPr="0063332A">
              <w:rPr>
                <w:sz w:val="16"/>
                <w:szCs w:val="16"/>
              </w:rPr>
              <w:t>Regeringskansliet</w:t>
            </w:r>
          </w:p>
        </w:tc>
        <w:tc>
          <w:tcPr>
            <w:tcW w:w="1371" w:type="dxa"/>
            <w:noWrap/>
            <w:vAlign w:val="bottom"/>
          </w:tcPr>
          <w:p w:rsidR="009B6F8E" w:rsidRPr="0063332A" w:rsidRDefault="009B6F8E">
            <w:pPr>
              <w:shd w:val="clear" w:color="000000" w:fill="auto"/>
              <w:spacing w:before="60" w:line="200" w:lineRule="exact"/>
              <w:jc w:val="right"/>
              <w:rPr>
                <w:sz w:val="16"/>
                <w:szCs w:val="16"/>
              </w:rPr>
            </w:pPr>
            <w:r w:rsidRPr="0063332A">
              <w:rPr>
                <w:sz w:val="16"/>
                <w:szCs w:val="16"/>
              </w:rPr>
              <w:t>–51</w:t>
            </w:r>
          </w:p>
        </w:tc>
      </w:tr>
      <w:tr w:rsidR="00000000" w:rsidRPr="0063332A">
        <w:tc>
          <w:tcPr>
            <w:tcW w:w="672" w:type="dxa"/>
            <w:noWrap/>
            <w:vAlign w:val="bottom"/>
          </w:tcPr>
          <w:p w:rsidR="009B6F8E" w:rsidRPr="0063332A" w:rsidRDefault="009B6F8E">
            <w:pPr>
              <w:shd w:val="clear" w:color="000000" w:fill="auto"/>
              <w:spacing w:before="60" w:line="200" w:lineRule="exact"/>
              <w:ind w:right="170"/>
              <w:jc w:val="right"/>
              <w:rPr>
                <w:sz w:val="16"/>
                <w:szCs w:val="16"/>
              </w:rPr>
            </w:pPr>
            <w:r w:rsidRPr="0063332A">
              <w:rPr>
                <w:sz w:val="16"/>
                <w:szCs w:val="16"/>
              </w:rPr>
              <w:t>4</w:t>
            </w:r>
          </w:p>
        </w:tc>
        <w:tc>
          <w:tcPr>
            <w:tcW w:w="606" w:type="dxa"/>
            <w:noWrap/>
            <w:vAlign w:val="bottom"/>
          </w:tcPr>
          <w:p w:rsidR="009B6F8E" w:rsidRPr="0063332A" w:rsidRDefault="009B6F8E">
            <w:pPr>
              <w:shd w:val="clear" w:color="000000" w:fill="auto"/>
              <w:spacing w:before="60" w:line="200" w:lineRule="exact"/>
              <w:jc w:val="right"/>
              <w:rPr>
                <w:sz w:val="16"/>
                <w:szCs w:val="16"/>
              </w:rPr>
            </w:pPr>
            <w:r w:rsidRPr="0063332A">
              <w:rPr>
                <w:sz w:val="16"/>
                <w:szCs w:val="16"/>
              </w:rPr>
              <w:t>4:1</w:t>
            </w:r>
          </w:p>
        </w:tc>
        <w:tc>
          <w:tcPr>
            <w:tcW w:w="3305" w:type="dxa"/>
            <w:gridSpan w:val="2"/>
            <w:noWrap/>
            <w:vAlign w:val="bottom"/>
          </w:tcPr>
          <w:p w:rsidR="009B6F8E" w:rsidRPr="0063332A" w:rsidRDefault="009B6F8E">
            <w:pPr>
              <w:shd w:val="clear" w:color="000000" w:fill="auto"/>
              <w:spacing w:before="60" w:line="200" w:lineRule="exact"/>
              <w:rPr>
                <w:sz w:val="16"/>
                <w:szCs w:val="16"/>
              </w:rPr>
            </w:pPr>
            <w:r w:rsidRPr="0063332A">
              <w:rPr>
                <w:sz w:val="16"/>
                <w:szCs w:val="16"/>
              </w:rPr>
              <w:t>Polisorganisationen</w:t>
            </w:r>
          </w:p>
        </w:tc>
        <w:tc>
          <w:tcPr>
            <w:tcW w:w="1371" w:type="dxa"/>
            <w:noWrap/>
            <w:vAlign w:val="bottom"/>
          </w:tcPr>
          <w:p w:rsidR="009B6F8E" w:rsidRPr="0063332A" w:rsidRDefault="009B6F8E">
            <w:pPr>
              <w:shd w:val="clear" w:color="000000" w:fill="auto"/>
              <w:spacing w:before="60" w:line="200" w:lineRule="exact"/>
              <w:jc w:val="right"/>
              <w:rPr>
                <w:sz w:val="16"/>
                <w:szCs w:val="16"/>
              </w:rPr>
            </w:pPr>
            <w:r w:rsidRPr="0063332A">
              <w:rPr>
                <w:sz w:val="16"/>
                <w:szCs w:val="16"/>
              </w:rPr>
              <w:t>25</w:t>
            </w:r>
          </w:p>
        </w:tc>
      </w:tr>
      <w:tr w:rsidR="00000000" w:rsidRPr="0063332A">
        <w:tc>
          <w:tcPr>
            <w:tcW w:w="672" w:type="dxa"/>
            <w:noWrap/>
            <w:vAlign w:val="bottom"/>
          </w:tcPr>
          <w:p w:rsidR="009B6F8E" w:rsidRPr="0063332A" w:rsidRDefault="009B6F8E">
            <w:pPr>
              <w:shd w:val="clear" w:color="000000" w:fill="auto"/>
              <w:spacing w:before="60" w:line="200" w:lineRule="exact"/>
              <w:ind w:right="170"/>
              <w:jc w:val="right"/>
              <w:rPr>
                <w:sz w:val="16"/>
                <w:szCs w:val="16"/>
              </w:rPr>
            </w:pPr>
            <w:r w:rsidRPr="0063332A">
              <w:rPr>
                <w:sz w:val="16"/>
                <w:szCs w:val="16"/>
              </w:rPr>
              <w:t>9</w:t>
            </w:r>
          </w:p>
        </w:tc>
        <w:tc>
          <w:tcPr>
            <w:tcW w:w="606" w:type="dxa"/>
            <w:noWrap/>
            <w:vAlign w:val="bottom"/>
          </w:tcPr>
          <w:p w:rsidR="009B6F8E" w:rsidRPr="0063332A" w:rsidRDefault="009B6F8E">
            <w:pPr>
              <w:shd w:val="clear" w:color="000000" w:fill="auto"/>
              <w:spacing w:before="60" w:line="200" w:lineRule="exact"/>
              <w:jc w:val="right"/>
              <w:rPr>
                <w:sz w:val="16"/>
                <w:szCs w:val="16"/>
              </w:rPr>
            </w:pPr>
            <w:r w:rsidRPr="0063332A">
              <w:rPr>
                <w:sz w:val="16"/>
                <w:szCs w:val="16"/>
              </w:rPr>
              <w:t>13:3</w:t>
            </w:r>
          </w:p>
        </w:tc>
        <w:tc>
          <w:tcPr>
            <w:tcW w:w="3305" w:type="dxa"/>
            <w:gridSpan w:val="2"/>
            <w:noWrap/>
            <w:vAlign w:val="bottom"/>
          </w:tcPr>
          <w:p w:rsidR="009B6F8E" w:rsidRPr="0063332A" w:rsidRDefault="009B6F8E">
            <w:pPr>
              <w:shd w:val="clear" w:color="000000" w:fill="auto"/>
              <w:spacing w:before="60" w:line="200" w:lineRule="exact"/>
              <w:rPr>
                <w:sz w:val="16"/>
                <w:szCs w:val="16"/>
              </w:rPr>
            </w:pPr>
            <w:r w:rsidRPr="0063332A">
              <w:rPr>
                <w:sz w:val="16"/>
                <w:szCs w:val="16"/>
              </w:rPr>
              <w:t>Bidrag till hälso- och sjukvård</w:t>
            </w:r>
          </w:p>
        </w:tc>
        <w:tc>
          <w:tcPr>
            <w:tcW w:w="1371" w:type="dxa"/>
            <w:noWrap/>
            <w:vAlign w:val="bottom"/>
          </w:tcPr>
          <w:p w:rsidR="009B6F8E" w:rsidRPr="0063332A" w:rsidRDefault="009B6F8E">
            <w:pPr>
              <w:shd w:val="clear" w:color="000000" w:fill="auto"/>
              <w:spacing w:before="60" w:line="200" w:lineRule="exact"/>
              <w:jc w:val="right"/>
              <w:rPr>
                <w:sz w:val="16"/>
                <w:szCs w:val="16"/>
              </w:rPr>
            </w:pPr>
            <w:r w:rsidRPr="0063332A">
              <w:rPr>
                <w:sz w:val="16"/>
                <w:szCs w:val="16"/>
              </w:rPr>
              <w:t>1</w:t>
            </w:r>
          </w:p>
        </w:tc>
      </w:tr>
      <w:tr w:rsidR="00000000" w:rsidRPr="0063332A">
        <w:tc>
          <w:tcPr>
            <w:tcW w:w="672" w:type="dxa"/>
            <w:noWrap/>
            <w:vAlign w:val="bottom"/>
          </w:tcPr>
          <w:p w:rsidR="009B6F8E" w:rsidRPr="0063332A" w:rsidRDefault="009B6F8E">
            <w:pPr>
              <w:shd w:val="clear" w:color="000000" w:fill="auto"/>
              <w:spacing w:before="60" w:line="200" w:lineRule="exact"/>
              <w:ind w:right="170"/>
              <w:jc w:val="right"/>
              <w:rPr>
                <w:sz w:val="16"/>
                <w:szCs w:val="16"/>
              </w:rPr>
            </w:pPr>
          </w:p>
        </w:tc>
        <w:tc>
          <w:tcPr>
            <w:tcW w:w="606" w:type="dxa"/>
            <w:noWrap/>
            <w:vAlign w:val="bottom"/>
          </w:tcPr>
          <w:p w:rsidR="009B6F8E" w:rsidRPr="0063332A" w:rsidRDefault="009B6F8E">
            <w:pPr>
              <w:shd w:val="clear" w:color="000000" w:fill="auto"/>
              <w:spacing w:before="60" w:line="200" w:lineRule="exact"/>
              <w:jc w:val="right"/>
              <w:rPr>
                <w:sz w:val="16"/>
                <w:szCs w:val="16"/>
              </w:rPr>
            </w:pPr>
            <w:r w:rsidRPr="0063332A">
              <w:rPr>
                <w:sz w:val="16"/>
                <w:szCs w:val="16"/>
              </w:rPr>
              <w:t>13:9</w:t>
            </w:r>
          </w:p>
        </w:tc>
        <w:tc>
          <w:tcPr>
            <w:tcW w:w="3305" w:type="dxa"/>
            <w:gridSpan w:val="2"/>
            <w:noWrap/>
            <w:vAlign w:val="bottom"/>
          </w:tcPr>
          <w:p w:rsidR="009B6F8E" w:rsidRPr="0063332A" w:rsidRDefault="009B6F8E">
            <w:pPr>
              <w:shd w:val="clear" w:color="000000" w:fill="auto"/>
              <w:spacing w:before="60" w:line="200" w:lineRule="exact"/>
              <w:rPr>
                <w:sz w:val="16"/>
                <w:szCs w:val="16"/>
              </w:rPr>
            </w:pPr>
            <w:r w:rsidRPr="0063332A">
              <w:rPr>
                <w:sz w:val="16"/>
                <w:szCs w:val="16"/>
              </w:rPr>
              <w:t>Bidrag till psykiatri</w:t>
            </w:r>
          </w:p>
        </w:tc>
        <w:tc>
          <w:tcPr>
            <w:tcW w:w="1371" w:type="dxa"/>
            <w:noWrap/>
            <w:vAlign w:val="bottom"/>
          </w:tcPr>
          <w:p w:rsidR="009B6F8E" w:rsidRPr="0063332A" w:rsidRDefault="009B6F8E">
            <w:pPr>
              <w:shd w:val="clear" w:color="000000" w:fill="auto"/>
              <w:spacing w:before="60" w:line="200" w:lineRule="exact"/>
              <w:jc w:val="right"/>
              <w:rPr>
                <w:sz w:val="16"/>
                <w:szCs w:val="16"/>
              </w:rPr>
            </w:pPr>
            <w:r w:rsidRPr="0063332A">
              <w:rPr>
                <w:sz w:val="16"/>
                <w:szCs w:val="16"/>
              </w:rPr>
              <w:t>1,5</w:t>
            </w:r>
          </w:p>
        </w:tc>
      </w:tr>
      <w:tr w:rsidR="00000000" w:rsidRPr="0063332A">
        <w:tc>
          <w:tcPr>
            <w:tcW w:w="672" w:type="dxa"/>
            <w:noWrap/>
            <w:vAlign w:val="bottom"/>
          </w:tcPr>
          <w:p w:rsidR="009B6F8E" w:rsidRPr="0063332A" w:rsidRDefault="009B6F8E">
            <w:pPr>
              <w:shd w:val="clear" w:color="000000" w:fill="auto"/>
              <w:spacing w:before="60" w:line="200" w:lineRule="exact"/>
              <w:ind w:right="170"/>
              <w:jc w:val="right"/>
              <w:rPr>
                <w:sz w:val="16"/>
                <w:szCs w:val="16"/>
              </w:rPr>
            </w:pPr>
            <w:r w:rsidRPr="0063332A">
              <w:rPr>
                <w:sz w:val="16"/>
                <w:szCs w:val="16"/>
              </w:rPr>
              <w:t>10</w:t>
            </w:r>
          </w:p>
        </w:tc>
        <w:tc>
          <w:tcPr>
            <w:tcW w:w="606" w:type="dxa"/>
            <w:noWrap/>
            <w:vAlign w:val="bottom"/>
          </w:tcPr>
          <w:p w:rsidR="009B6F8E" w:rsidRPr="0063332A" w:rsidRDefault="009B6F8E">
            <w:pPr>
              <w:shd w:val="clear" w:color="000000" w:fill="auto"/>
              <w:spacing w:before="60" w:line="200" w:lineRule="exact"/>
              <w:jc w:val="right"/>
              <w:rPr>
                <w:sz w:val="16"/>
                <w:szCs w:val="16"/>
              </w:rPr>
            </w:pPr>
            <w:r w:rsidRPr="0063332A">
              <w:rPr>
                <w:sz w:val="16"/>
                <w:szCs w:val="16"/>
              </w:rPr>
              <w:t>19:6</w:t>
            </w:r>
          </w:p>
        </w:tc>
        <w:tc>
          <w:tcPr>
            <w:tcW w:w="3305" w:type="dxa"/>
            <w:gridSpan w:val="2"/>
            <w:noWrap/>
            <w:vAlign w:val="bottom"/>
          </w:tcPr>
          <w:p w:rsidR="009B6F8E" w:rsidRPr="0063332A" w:rsidRDefault="009B6F8E">
            <w:pPr>
              <w:shd w:val="clear" w:color="000000" w:fill="auto"/>
              <w:spacing w:before="60" w:line="200" w:lineRule="exact"/>
              <w:rPr>
                <w:sz w:val="16"/>
                <w:szCs w:val="16"/>
              </w:rPr>
            </w:pPr>
            <w:r w:rsidRPr="0063332A">
              <w:rPr>
                <w:sz w:val="16"/>
                <w:szCs w:val="16"/>
              </w:rPr>
              <w:t>Försäkringskassan</w:t>
            </w:r>
          </w:p>
        </w:tc>
        <w:tc>
          <w:tcPr>
            <w:tcW w:w="1371" w:type="dxa"/>
            <w:noWrap/>
            <w:vAlign w:val="bottom"/>
          </w:tcPr>
          <w:p w:rsidR="009B6F8E" w:rsidRPr="0063332A" w:rsidRDefault="009B6F8E">
            <w:pPr>
              <w:shd w:val="clear" w:color="000000" w:fill="auto"/>
              <w:spacing w:before="60" w:line="200" w:lineRule="exact"/>
              <w:jc w:val="right"/>
              <w:rPr>
                <w:sz w:val="16"/>
                <w:szCs w:val="16"/>
              </w:rPr>
            </w:pPr>
            <w:r w:rsidRPr="0063332A">
              <w:rPr>
                <w:sz w:val="16"/>
                <w:szCs w:val="16"/>
              </w:rPr>
              <w:t>–15</w:t>
            </w:r>
          </w:p>
        </w:tc>
      </w:tr>
      <w:tr w:rsidR="00000000" w:rsidRPr="0063332A">
        <w:tc>
          <w:tcPr>
            <w:tcW w:w="672" w:type="dxa"/>
            <w:noWrap/>
            <w:vAlign w:val="bottom"/>
          </w:tcPr>
          <w:p w:rsidR="009B6F8E" w:rsidRPr="0063332A" w:rsidRDefault="009B6F8E">
            <w:pPr>
              <w:shd w:val="clear" w:color="000000" w:fill="auto"/>
              <w:spacing w:before="60" w:line="200" w:lineRule="exact"/>
              <w:ind w:right="170"/>
              <w:jc w:val="right"/>
              <w:rPr>
                <w:sz w:val="16"/>
                <w:szCs w:val="16"/>
              </w:rPr>
            </w:pPr>
            <w:r w:rsidRPr="0063332A">
              <w:rPr>
                <w:sz w:val="16"/>
                <w:szCs w:val="16"/>
              </w:rPr>
              <w:t>13</w:t>
            </w:r>
          </w:p>
        </w:tc>
        <w:tc>
          <w:tcPr>
            <w:tcW w:w="606" w:type="dxa"/>
            <w:noWrap/>
            <w:vAlign w:val="bottom"/>
          </w:tcPr>
          <w:p w:rsidR="009B6F8E" w:rsidRPr="0063332A" w:rsidRDefault="009B6F8E">
            <w:pPr>
              <w:shd w:val="clear" w:color="000000" w:fill="auto"/>
              <w:spacing w:before="60" w:line="200" w:lineRule="exact"/>
              <w:jc w:val="right"/>
              <w:rPr>
                <w:sz w:val="16"/>
                <w:szCs w:val="16"/>
              </w:rPr>
            </w:pPr>
            <w:r w:rsidRPr="0063332A">
              <w:rPr>
                <w:sz w:val="16"/>
                <w:szCs w:val="16"/>
              </w:rPr>
              <w:t>10:3</w:t>
            </w:r>
          </w:p>
        </w:tc>
        <w:tc>
          <w:tcPr>
            <w:tcW w:w="3305" w:type="dxa"/>
            <w:gridSpan w:val="2"/>
            <w:noWrap/>
            <w:vAlign w:val="bottom"/>
          </w:tcPr>
          <w:p w:rsidR="009B6F8E" w:rsidRPr="0063332A" w:rsidRDefault="009B6F8E">
            <w:pPr>
              <w:shd w:val="clear" w:color="000000" w:fill="auto"/>
              <w:spacing w:before="60" w:line="200" w:lineRule="exact"/>
              <w:rPr>
                <w:sz w:val="16"/>
                <w:szCs w:val="16"/>
              </w:rPr>
            </w:pPr>
            <w:r w:rsidRPr="0063332A">
              <w:rPr>
                <w:sz w:val="16"/>
                <w:szCs w:val="16"/>
              </w:rPr>
              <w:t>Kommunersättningar vid flyktingmottagande</w:t>
            </w:r>
          </w:p>
        </w:tc>
        <w:tc>
          <w:tcPr>
            <w:tcW w:w="1371" w:type="dxa"/>
            <w:noWrap/>
            <w:vAlign w:val="bottom"/>
          </w:tcPr>
          <w:p w:rsidR="009B6F8E" w:rsidRPr="0063332A" w:rsidRDefault="009B6F8E">
            <w:pPr>
              <w:shd w:val="clear" w:color="000000" w:fill="auto"/>
              <w:spacing w:before="60" w:line="200" w:lineRule="exact"/>
              <w:jc w:val="right"/>
              <w:rPr>
                <w:sz w:val="16"/>
                <w:szCs w:val="16"/>
              </w:rPr>
            </w:pPr>
            <w:r w:rsidRPr="0063332A">
              <w:rPr>
                <w:sz w:val="16"/>
                <w:szCs w:val="16"/>
              </w:rPr>
              <w:t>4</w:t>
            </w:r>
          </w:p>
        </w:tc>
      </w:tr>
      <w:tr w:rsidR="00000000" w:rsidRPr="0063332A">
        <w:tc>
          <w:tcPr>
            <w:tcW w:w="672" w:type="dxa"/>
            <w:noWrap/>
          </w:tcPr>
          <w:p w:rsidR="009B6F8E" w:rsidRPr="0063332A" w:rsidRDefault="009B6F8E">
            <w:pPr>
              <w:shd w:val="clear" w:color="000000" w:fill="auto"/>
              <w:spacing w:before="60" w:line="200" w:lineRule="exact"/>
              <w:ind w:right="170"/>
              <w:jc w:val="right"/>
              <w:rPr>
                <w:sz w:val="16"/>
                <w:szCs w:val="16"/>
              </w:rPr>
            </w:pPr>
            <w:r w:rsidRPr="0063332A">
              <w:rPr>
                <w:sz w:val="16"/>
                <w:szCs w:val="16"/>
              </w:rPr>
              <w:t>20</w:t>
            </w:r>
          </w:p>
        </w:tc>
        <w:tc>
          <w:tcPr>
            <w:tcW w:w="606" w:type="dxa"/>
            <w:noWrap/>
          </w:tcPr>
          <w:p w:rsidR="009B6F8E" w:rsidRPr="0063332A" w:rsidRDefault="009B6F8E">
            <w:pPr>
              <w:shd w:val="clear" w:color="000000" w:fill="auto"/>
              <w:spacing w:before="60" w:line="200" w:lineRule="exact"/>
              <w:jc w:val="right"/>
              <w:rPr>
                <w:sz w:val="16"/>
                <w:szCs w:val="16"/>
              </w:rPr>
            </w:pPr>
            <w:r w:rsidRPr="0063332A">
              <w:rPr>
                <w:sz w:val="16"/>
                <w:szCs w:val="16"/>
              </w:rPr>
              <w:t>34:4</w:t>
            </w:r>
          </w:p>
        </w:tc>
        <w:tc>
          <w:tcPr>
            <w:tcW w:w="3305" w:type="dxa"/>
            <w:gridSpan w:val="2"/>
            <w:noWrap/>
            <w:vAlign w:val="bottom"/>
          </w:tcPr>
          <w:p w:rsidR="009B6F8E" w:rsidRPr="0063332A" w:rsidRDefault="009B6F8E">
            <w:pPr>
              <w:shd w:val="clear" w:color="000000" w:fill="auto"/>
              <w:spacing w:before="60" w:line="200" w:lineRule="exact"/>
              <w:rPr>
                <w:spacing w:val="-2"/>
                <w:sz w:val="16"/>
                <w:szCs w:val="16"/>
              </w:rPr>
            </w:pPr>
            <w:r w:rsidRPr="0063332A">
              <w:rPr>
                <w:spacing w:val="-2"/>
                <w:sz w:val="16"/>
                <w:szCs w:val="16"/>
              </w:rPr>
              <w:t>Sanering och återställning av förorenade områden</w:t>
            </w:r>
          </w:p>
        </w:tc>
        <w:tc>
          <w:tcPr>
            <w:tcW w:w="1371" w:type="dxa"/>
            <w:noWrap/>
            <w:vAlign w:val="bottom"/>
          </w:tcPr>
          <w:p w:rsidR="009B6F8E" w:rsidRPr="0063332A" w:rsidRDefault="009B6F8E">
            <w:pPr>
              <w:shd w:val="clear" w:color="000000" w:fill="auto"/>
              <w:spacing w:before="60" w:line="200" w:lineRule="exact"/>
              <w:jc w:val="right"/>
              <w:rPr>
                <w:sz w:val="16"/>
                <w:szCs w:val="16"/>
              </w:rPr>
            </w:pPr>
            <w:r w:rsidRPr="0063332A">
              <w:rPr>
                <w:sz w:val="16"/>
                <w:szCs w:val="16"/>
              </w:rPr>
              <w:t>50</w:t>
            </w:r>
          </w:p>
        </w:tc>
      </w:tr>
      <w:tr w:rsidR="00000000" w:rsidRPr="0063332A">
        <w:tc>
          <w:tcPr>
            <w:tcW w:w="672" w:type="dxa"/>
            <w:noWrap/>
            <w:vAlign w:val="bottom"/>
          </w:tcPr>
          <w:p w:rsidR="009B6F8E" w:rsidRPr="0063332A" w:rsidRDefault="009B6F8E">
            <w:pPr>
              <w:shd w:val="clear" w:color="000000" w:fill="auto"/>
              <w:spacing w:before="60" w:line="200" w:lineRule="exact"/>
              <w:ind w:right="170"/>
              <w:jc w:val="right"/>
              <w:rPr>
                <w:sz w:val="16"/>
                <w:szCs w:val="16"/>
              </w:rPr>
            </w:pPr>
            <w:r w:rsidRPr="0063332A">
              <w:rPr>
                <w:sz w:val="16"/>
                <w:szCs w:val="16"/>
              </w:rPr>
              <w:t>22</w:t>
            </w:r>
          </w:p>
        </w:tc>
        <w:tc>
          <w:tcPr>
            <w:tcW w:w="606" w:type="dxa"/>
            <w:noWrap/>
            <w:vAlign w:val="bottom"/>
          </w:tcPr>
          <w:p w:rsidR="009B6F8E" w:rsidRPr="0063332A" w:rsidRDefault="009B6F8E">
            <w:pPr>
              <w:shd w:val="clear" w:color="000000" w:fill="auto"/>
              <w:spacing w:before="60" w:line="200" w:lineRule="exact"/>
              <w:jc w:val="right"/>
              <w:rPr>
                <w:sz w:val="16"/>
                <w:szCs w:val="16"/>
              </w:rPr>
            </w:pPr>
            <w:r w:rsidRPr="0063332A">
              <w:rPr>
                <w:sz w:val="16"/>
                <w:szCs w:val="16"/>
              </w:rPr>
              <w:t>36:2</w:t>
            </w:r>
          </w:p>
        </w:tc>
        <w:tc>
          <w:tcPr>
            <w:tcW w:w="3305" w:type="dxa"/>
            <w:gridSpan w:val="2"/>
            <w:noWrap/>
            <w:vAlign w:val="bottom"/>
          </w:tcPr>
          <w:p w:rsidR="009B6F8E" w:rsidRPr="0063332A" w:rsidRDefault="009B6F8E">
            <w:pPr>
              <w:shd w:val="clear" w:color="000000" w:fill="auto"/>
              <w:spacing w:before="60" w:line="200" w:lineRule="exact"/>
              <w:rPr>
                <w:sz w:val="16"/>
                <w:szCs w:val="16"/>
              </w:rPr>
            </w:pPr>
            <w:r w:rsidRPr="0063332A">
              <w:rPr>
                <w:sz w:val="16"/>
                <w:szCs w:val="16"/>
              </w:rPr>
              <w:t>Väghållning och statsbidrag</w:t>
            </w:r>
          </w:p>
        </w:tc>
        <w:tc>
          <w:tcPr>
            <w:tcW w:w="1371" w:type="dxa"/>
            <w:noWrap/>
            <w:vAlign w:val="bottom"/>
          </w:tcPr>
          <w:p w:rsidR="009B6F8E" w:rsidRPr="0063332A" w:rsidRDefault="009B6F8E">
            <w:pPr>
              <w:shd w:val="clear" w:color="000000" w:fill="auto"/>
              <w:spacing w:before="60" w:line="200" w:lineRule="exact"/>
              <w:jc w:val="right"/>
              <w:rPr>
                <w:sz w:val="16"/>
                <w:szCs w:val="16"/>
              </w:rPr>
            </w:pPr>
            <w:r w:rsidRPr="0063332A">
              <w:rPr>
                <w:sz w:val="16"/>
                <w:szCs w:val="16"/>
              </w:rPr>
              <w:t>–120</w:t>
            </w:r>
          </w:p>
        </w:tc>
      </w:tr>
      <w:tr w:rsidR="00000000" w:rsidRPr="0063332A">
        <w:tc>
          <w:tcPr>
            <w:tcW w:w="672" w:type="dxa"/>
            <w:noWrap/>
            <w:vAlign w:val="bottom"/>
          </w:tcPr>
          <w:p w:rsidR="009B6F8E" w:rsidRPr="0063332A" w:rsidRDefault="009B6F8E">
            <w:pPr>
              <w:shd w:val="clear" w:color="000000" w:fill="auto"/>
              <w:spacing w:before="60" w:line="200" w:lineRule="exact"/>
              <w:ind w:right="170"/>
              <w:jc w:val="right"/>
              <w:rPr>
                <w:sz w:val="16"/>
                <w:szCs w:val="16"/>
              </w:rPr>
            </w:pPr>
          </w:p>
        </w:tc>
        <w:tc>
          <w:tcPr>
            <w:tcW w:w="606" w:type="dxa"/>
            <w:noWrap/>
            <w:vAlign w:val="bottom"/>
          </w:tcPr>
          <w:p w:rsidR="009B6F8E" w:rsidRPr="0063332A" w:rsidRDefault="009B6F8E">
            <w:pPr>
              <w:shd w:val="clear" w:color="000000" w:fill="auto"/>
              <w:spacing w:before="60" w:line="200" w:lineRule="exact"/>
              <w:jc w:val="right"/>
              <w:rPr>
                <w:sz w:val="16"/>
                <w:szCs w:val="16"/>
              </w:rPr>
            </w:pPr>
            <w:r w:rsidRPr="0063332A">
              <w:rPr>
                <w:sz w:val="16"/>
                <w:szCs w:val="16"/>
              </w:rPr>
              <w:t>36:4</w:t>
            </w:r>
          </w:p>
        </w:tc>
        <w:tc>
          <w:tcPr>
            <w:tcW w:w="3305" w:type="dxa"/>
            <w:gridSpan w:val="2"/>
            <w:noWrap/>
            <w:vAlign w:val="bottom"/>
          </w:tcPr>
          <w:p w:rsidR="009B6F8E" w:rsidRPr="0063332A" w:rsidRDefault="009B6F8E">
            <w:pPr>
              <w:shd w:val="clear" w:color="000000" w:fill="auto"/>
              <w:spacing w:before="60" w:line="200" w:lineRule="exact"/>
              <w:rPr>
                <w:sz w:val="16"/>
                <w:szCs w:val="16"/>
              </w:rPr>
            </w:pPr>
            <w:r w:rsidRPr="0063332A">
              <w:rPr>
                <w:sz w:val="16"/>
                <w:szCs w:val="16"/>
              </w:rPr>
              <w:t>Banverket: Banhållning och sektorsuppgifter</w:t>
            </w:r>
          </w:p>
        </w:tc>
        <w:tc>
          <w:tcPr>
            <w:tcW w:w="1371" w:type="dxa"/>
            <w:noWrap/>
            <w:vAlign w:val="bottom"/>
          </w:tcPr>
          <w:p w:rsidR="009B6F8E" w:rsidRPr="0063332A" w:rsidRDefault="009B6F8E">
            <w:pPr>
              <w:shd w:val="clear" w:color="000000" w:fill="auto"/>
              <w:spacing w:before="60" w:line="200" w:lineRule="exact"/>
              <w:jc w:val="right"/>
              <w:rPr>
                <w:sz w:val="16"/>
                <w:szCs w:val="16"/>
              </w:rPr>
            </w:pPr>
            <w:r w:rsidRPr="0063332A">
              <w:rPr>
                <w:sz w:val="16"/>
                <w:szCs w:val="16"/>
              </w:rPr>
              <w:t>120</w:t>
            </w:r>
          </w:p>
        </w:tc>
      </w:tr>
      <w:tr w:rsidR="00000000" w:rsidRPr="0063332A">
        <w:tc>
          <w:tcPr>
            <w:tcW w:w="4583" w:type="dxa"/>
            <w:gridSpan w:val="4"/>
            <w:tcBorders>
              <w:top w:val="nil"/>
              <w:left w:val="nil"/>
              <w:bottom w:val="single" w:sz="4" w:space="0" w:color="auto"/>
              <w:right w:val="nil"/>
            </w:tcBorders>
            <w:noWrap/>
            <w:vAlign w:val="bottom"/>
          </w:tcPr>
          <w:p w:rsidR="009B6F8E" w:rsidRPr="0063332A" w:rsidRDefault="009B6F8E">
            <w:pPr>
              <w:shd w:val="clear" w:color="000000" w:fill="auto"/>
              <w:spacing w:before="60" w:line="200" w:lineRule="exact"/>
              <w:rPr>
                <w:b/>
                <w:bCs/>
                <w:spacing w:val="-2"/>
                <w:sz w:val="16"/>
                <w:szCs w:val="16"/>
              </w:rPr>
            </w:pPr>
            <w:r w:rsidRPr="0063332A">
              <w:rPr>
                <w:b/>
                <w:bCs/>
                <w:spacing w:val="-2"/>
                <w:sz w:val="16"/>
                <w:szCs w:val="16"/>
              </w:rPr>
              <w:t xml:space="preserve">Summa anslagsförändringar i förhållande till regeringens förslag </w:t>
            </w:r>
          </w:p>
        </w:tc>
        <w:tc>
          <w:tcPr>
            <w:tcW w:w="1371" w:type="dxa"/>
            <w:tcBorders>
              <w:top w:val="nil"/>
              <w:left w:val="nil"/>
              <w:bottom w:val="single" w:sz="4" w:space="0" w:color="auto"/>
              <w:right w:val="nil"/>
            </w:tcBorders>
            <w:noWrap/>
            <w:vAlign w:val="bottom"/>
          </w:tcPr>
          <w:p w:rsidR="009B6F8E" w:rsidRPr="0063332A" w:rsidRDefault="009B6F8E">
            <w:pPr>
              <w:shd w:val="clear" w:color="000000" w:fill="auto"/>
              <w:spacing w:before="60" w:line="200" w:lineRule="exact"/>
              <w:jc w:val="right"/>
              <w:rPr>
                <w:b/>
                <w:bCs/>
                <w:sz w:val="16"/>
                <w:szCs w:val="16"/>
              </w:rPr>
            </w:pPr>
            <w:r w:rsidRPr="0063332A">
              <w:rPr>
                <w:b/>
                <w:bCs/>
                <w:sz w:val="16"/>
                <w:szCs w:val="16"/>
              </w:rPr>
              <w:t>–15,5</w:t>
            </w:r>
          </w:p>
        </w:tc>
      </w:tr>
    </w:tbl>
    <w:p w:rsidR="009B6F8E" w:rsidRPr="0063332A" w:rsidRDefault="009B6F8E">
      <w:pPr>
        <w:shd w:val="clear" w:color="000000" w:fill="auto"/>
      </w:pPr>
    </w:p>
    <w:p w:rsidR="009B6F8E" w:rsidRPr="0063332A" w:rsidRDefault="009B6F8E">
      <w:pPr>
        <w:pStyle w:val="Hemstlatt"/>
        <w:numPr>
          <w:ilvl w:val="0"/>
          <w:numId w:val="1"/>
        </w:numPr>
        <w:shd w:val="clear" w:color="000000" w:fill="auto"/>
      </w:pPr>
      <w:r w:rsidRPr="0063332A">
        <w:t>Riksdagen tillkännager för regeringen som sin mening vad som anförs i motionen om ytterligare besparingar på anslaget för Rege</w:t>
      </w:r>
      <w:r w:rsidRPr="0063332A">
        <w:t>r</w:t>
      </w:r>
      <w:r w:rsidRPr="0063332A">
        <w:t>ingskansliet.</w:t>
      </w:r>
    </w:p>
    <w:p w:rsidR="009B6F8E" w:rsidRPr="0063332A" w:rsidRDefault="009B6F8E">
      <w:pPr>
        <w:pStyle w:val="Rubrik1"/>
        <w:pageBreakBefore/>
        <w:shd w:val="clear" w:color="000000" w:fill="auto"/>
        <w:spacing w:before="0"/>
      </w:pPr>
      <w:r w:rsidRPr="0063332A">
        <w:lastRenderedPageBreak/>
        <w:t>Motivering</w:t>
      </w:r>
    </w:p>
    <w:p w:rsidR="009B6F8E" w:rsidRPr="0063332A" w:rsidRDefault="009B6F8E">
      <w:pPr>
        <w:shd w:val="clear" w:color="000000" w:fill="auto"/>
      </w:pPr>
      <w:r w:rsidRPr="0063332A">
        <w:t>Under den senaste tiden har vi sett alltmer oroande signaler när det gäller utvecklingen på arbetsmarknaden. I regeringens vårproposition justeras pr</w:t>
      </w:r>
      <w:r w:rsidRPr="0063332A">
        <w:t>o</w:t>
      </w:r>
      <w:r w:rsidRPr="0063332A">
        <w:t xml:space="preserve">gnoserna för sysselsättningen ned och arbetslösheten upp. </w:t>
      </w:r>
    </w:p>
    <w:p w:rsidR="009B6F8E" w:rsidRPr="0063332A" w:rsidRDefault="009B6F8E">
      <w:pPr>
        <w:pStyle w:val="Normaltindrag"/>
        <w:shd w:val="clear" w:color="000000" w:fill="auto"/>
      </w:pPr>
      <w:r w:rsidRPr="0063332A">
        <w:t>Trots denna avmattning föreslår regeringen inga konkreta åtgärder för fler jobb. Tvärtom är regeringens vårbudget kliniskt ren från investeringar. 2008 riskerar att bli ett förlorat år. Återigen har en borgerlig regering slarvat bort de goda tiderna.</w:t>
      </w:r>
    </w:p>
    <w:p w:rsidR="009B6F8E" w:rsidRPr="0063332A" w:rsidRDefault="009B6F8E">
      <w:pPr>
        <w:pStyle w:val="Normaltindrag"/>
        <w:shd w:val="clear" w:color="000000" w:fill="auto"/>
      </w:pPr>
      <w:r w:rsidRPr="0063332A">
        <w:t>Vi socialdemokrater ser andra möjligheter. Det behövs konkreta investe</w:t>
      </w:r>
      <w:r w:rsidRPr="0063332A">
        <w:t>r</w:t>
      </w:r>
      <w:r w:rsidRPr="0063332A">
        <w:t>ingar för att lösa tudelningen på arbetsmarknaden: möta företagens komp</w:t>
      </w:r>
      <w:r w:rsidRPr="0063332A">
        <w:t>e</w:t>
      </w:r>
      <w:r w:rsidRPr="0063332A">
        <w:t>tensbehov, lösa långtidsarbetslösheten – inte minst bland ungdomar – och investera i framtidens jobb. Därför vill vi omgående tillsätta en kompeten</w:t>
      </w:r>
      <w:r w:rsidRPr="0063332A">
        <w:t>s</w:t>
      </w:r>
      <w:r w:rsidRPr="0063332A">
        <w:t>kommission, investera i fler och växande företag, jobb åt unga, bristutbil</w:t>
      </w:r>
      <w:r w:rsidRPr="0063332A">
        <w:t>d</w:t>
      </w:r>
      <w:r w:rsidRPr="0063332A">
        <w:t xml:space="preserve">ning och fler jobb åt nyanlända flyktingar. </w:t>
      </w:r>
    </w:p>
    <w:p w:rsidR="009B6F8E" w:rsidRPr="0063332A" w:rsidRDefault="009B6F8E">
      <w:pPr>
        <w:shd w:val="clear" w:color="000000" w:fill="auto"/>
        <w:rPr>
          <w:b/>
          <w:szCs w:val="19"/>
        </w:rPr>
      </w:pPr>
      <w:r w:rsidRPr="0063332A">
        <w:rPr>
          <w:b/>
          <w:szCs w:val="19"/>
        </w:rPr>
        <w:t>Redan på tilläggsbudgeten för 2008 föreslår vi i vår vårbudgetmotion med riktlinjer för den ekonomiska politiken och budgetpolitiken (se m</w:t>
      </w:r>
      <w:r w:rsidRPr="0063332A">
        <w:rPr>
          <w:b/>
          <w:szCs w:val="19"/>
        </w:rPr>
        <w:t>o</w:t>
      </w:r>
      <w:r w:rsidRPr="0063332A">
        <w:rPr>
          <w:b/>
          <w:szCs w:val="19"/>
        </w:rPr>
        <w:t>tion 2007/08:Fi11) följande offensiva satsningar:</w:t>
      </w:r>
    </w:p>
    <w:tbl>
      <w:tblPr>
        <w:tblStyle w:val="Tabellrutnt"/>
        <w:tblW w:w="58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864"/>
        <w:gridCol w:w="1033"/>
      </w:tblGrid>
      <w:tr w:rsidR="00000000" w:rsidRPr="0063332A">
        <w:tc>
          <w:tcPr>
            <w:tcW w:w="5148" w:type="dxa"/>
            <w:tcBorders>
              <w:top w:val="single" w:sz="4" w:space="0" w:color="auto"/>
              <w:bottom w:val="single" w:sz="4" w:space="0" w:color="auto"/>
            </w:tcBorders>
          </w:tcPr>
          <w:p w:rsidR="009B6F8E" w:rsidRPr="0063332A" w:rsidRDefault="009B6F8E">
            <w:pPr>
              <w:shd w:val="clear" w:color="000000" w:fill="auto"/>
              <w:spacing w:before="60" w:line="200" w:lineRule="exact"/>
              <w:rPr>
                <w:sz w:val="16"/>
                <w:szCs w:val="16"/>
              </w:rPr>
            </w:pPr>
            <w:r w:rsidRPr="0063332A">
              <w:rPr>
                <w:sz w:val="16"/>
                <w:szCs w:val="16"/>
              </w:rPr>
              <w:t>(miljoner kronor)</w:t>
            </w:r>
          </w:p>
        </w:tc>
        <w:tc>
          <w:tcPr>
            <w:tcW w:w="1082" w:type="dxa"/>
            <w:tcBorders>
              <w:top w:val="single" w:sz="4" w:space="0" w:color="auto"/>
              <w:bottom w:val="single" w:sz="4" w:space="0" w:color="auto"/>
            </w:tcBorders>
            <w:vAlign w:val="bottom"/>
          </w:tcPr>
          <w:p w:rsidR="009B6F8E" w:rsidRPr="0063332A" w:rsidRDefault="009B6F8E">
            <w:pPr>
              <w:shd w:val="clear" w:color="000000" w:fill="auto"/>
              <w:spacing w:before="60" w:line="200" w:lineRule="exact"/>
              <w:jc w:val="right"/>
              <w:rPr>
                <w:b/>
                <w:sz w:val="16"/>
                <w:szCs w:val="16"/>
              </w:rPr>
            </w:pPr>
            <w:r w:rsidRPr="0063332A">
              <w:rPr>
                <w:b/>
                <w:sz w:val="16"/>
                <w:szCs w:val="16"/>
              </w:rPr>
              <w:t>TB 2008</w:t>
            </w:r>
          </w:p>
        </w:tc>
      </w:tr>
      <w:tr w:rsidR="00000000" w:rsidRPr="0063332A">
        <w:tc>
          <w:tcPr>
            <w:tcW w:w="5148" w:type="dxa"/>
            <w:tcBorders>
              <w:top w:val="single" w:sz="4" w:space="0" w:color="auto"/>
            </w:tcBorders>
            <w:vAlign w:val="bottom"/>
          </w:tcPr>
          <w:p w:rsidR="009B6F8E" w:rsidRPr="0063332A" w:rsidRDefault="009B6F8E">
            <w:pPr>
              <w:shd w:val="clear" w:color="000000" w:fill="auto"/>
              <w:spacing w:before="60" w:line="200" w:lineRule="exact"/>
              <w:rPr>
                <w:sz w:val="16"/>
                <w:szCs w:val="16"/>
              </w:rPr>
            </w:pPr>
            <w:r w:rsidRPr="0063332A">
              <w:rPr>
                <w:sz w:val="16"/>
                <w:szCs w:val="16"/>
              </w:rPr>
              <w:t>Kompetenskommission – 7 000 utbildningsplatser</w:t>
            </w:r>
          </w:p>
        </w:tc>
        <w:tc>
          <w:tcPr>
            <w:tcW w:w="1082" w:type="dxa"/>
            <w:tcBorders>
              <w:top w:val="single" w:sz="4" w:space="0" w:color="auto"/>
            </w:tcBorders>
            <w:vAlign w:val="bottom"/>
          </w:tcPr>
          <w:p w:rsidR="009B6F8E" w:rsidRPr="0063332A" w:rsidRDefault="009B6F8E">
            <w:pPr>
              <w:shd w:val="clear" w:color="000000" w:fill="auto"/>
              <w:spacing w:before="60" w:line="200" w:lineRule="exact"/>
              <w:jc w:val="right"/>
              <w:rPr>
                <w:sz w:val="16"/>
                <w:szCs w:val="16"/>
              </w:rPr>
            </w:pPr>
            <w:r w:rsidRPr="0063332A">
              <w:rPr>
                <w:sz w:val="16"/>
                <w:szCs w:val="16"/>
              </w:rPr>
              <w:t>380</w:t>
            </w:r>
          </w:p>
        </w:tc>
      </w:tr>
      <w:tr w:rsidR="00000000" w:rsidRPr="0063332A">
        <w:tc>
          <w:tcPr>
            <w:tcW w:w="5148" w:type="dxa"/>
            <w:vAlign w:val="bottom"/>
          </w:tcPr>
          <w:p w:rsidR="009B6F8E" w:rsidRPr="0063332A" w:rsidRDefault="009B6F8E">
            <w:pPr>
              <w:shd w:val="clear" w:color="000000" w:fill="auto"/>
              <w:spacing w:before="60" w:line="200" w:lineRule="exact"/>
              <w:rPr>
                <w:sz w:val="16"/>
                <w:szCs w:val="16"/>
              </w:rPr>
            </w:pPr>
            <w:r w:rsidRPr="0063332A">
              <w:rPr>
                <w:sz w:val="16"/>
                <w:szCs w:val="16"/>
              </w:rPr>
              <w:t>Fler och växande företag</w:t>
            </w:r>
          </w:p>
        </w:tc>
        <w:tc>
          <w:tcPr>
            <w:tcW w:w="1082" w:type="dxa"/>
            <w:vAlign w:val="bottom"/>
          </w:tcPr>
          <w:p w:rsidR="009B6F8E" w:rsidRPr="0063332A" w:rsidRDefault="009B6F8E">
            <w:pPr>
              <w:shd w:val="clear" w:color="000000" w:fill="auto"/>
              <w:spacing w:before="60" w:line="200" w:lineRule="exact"/>
              <w:jc w:val="right"/>
              <w:rPr>
                <w:sz w:val="16"/>
                <w:szCs w:val="16"/>
              </w:rPr>
            </w:pPr>
            <w:r w:rsidRPr="0063332A">
              <w:rPr>
                <w:sz w:val="16"/>
                <w:szCs w:val="16"/>
              </w:rPr>
              <w:t>210</w:t>
            </w:r>
          </w:p>
        </w:tc>
      </w:tr>
      <w:tr w:rsidR="00000000" w:rsidRPr="0063332A">
        <w:tc>
          <w:tcPr>
            <w:tcW w:w="5148" w:type="dxa"/>
            <w:vAlign w:val="bottom"/>
          </w:tcPr>
          <w:p w:rsidR="009B6F8E" w:rsidRPr="0063332A" w:rsidRDefault="009B6F8E">
            <w:pPr>
              <w:shd w:val="clear" w:color="000000" w:fill="auto"/>
              <w:spacing w:before="60" w:line="200" w:lineRule="exact"/>
              <w:rPr>
                <w:sz w:val="16"/>
                <w:szCs w:val="16"/>
              </w:rPr>
            </w:pPr>
            <w:r w:rsidRPr="0063332A">
              <w:rPr>
                <w:sz w:val="16"/>
                <w:szCs w:val="16"/>
              </w:rPr>
              <w:t>Jobb åt unga</w:t>
            </w:r>
          </w:p>
        </w:tc>
        <w:tc>
          <w:tcPr>
            <w:tcW w:w="1082" w:type="dxa"/>
            <w:vAlign w:val="bottom"/>
          </w:tcPr>
          <w:p w:rsidR="009B6F8E" w:rsidRPr="0063332A" w:rsidRDefault="009B6F8E">
            <w:pPr>
              <w:shd w:val="clear" w:color="000000" w:fill="auto"/>
              <w:spacing w:before="60" w:line="200" w:lineRule="exact"/>
              <w:jc w:val="right"/>
              <w:rPr>
                <w:sz w:val="16"/>
                <w:szCs w:val="16"/>
              </w:rPr>
            </w:pPr>
            <w:r w:rsidRPr="0063332A">
              <w:rPr>
                <w:sz w:val="16"/>
                <w:szCs w:val="16"/>
              </w:rPr>
              <w:t>300</w:t>
            </w:r>
          </w:p>
        </w:tc>
      </w:tr>
      <w:tr w:rsidR="00000000" w:rsidRPr="0063332A">
        <w:tc>
          <w:tcPr>
            <w:tcW w:w="5148" w:type="dxa"/>
            <w:vAlign w:val="bottom"/>
          </w:tcPr>
          <w:p w:rsidR="009B6F8E" w:rsidRPr="0063332A" w:rsidRDefault="009B6F8E">
            <w:pPr>
              <w:shd w:val="clear" w:color="000000" w:fill="auto"/>
              <w:spacing w:before="60" w:line="200" w:lineRule="exact"/>
              <w:rPr>
                <w:sz w:val="16"/>
                <w:szCs w:val="16"/>
              </w:rPr>
            </w:pPr>
            <w:r w:rsidRPr="0063332A">
              <w:rPr>
                <w:sz w:val="16"/>
                <w:szCs w:val="16"/>
              </w:rPr>
              <w:t>Bristutbildning – 3 000 utbildningsplatser</w:t>
            </w:r>
          </w:p>
        </w:tc>
        <w:tc>
          <w:tcPr>
            <w:tcW w:w="1082" w:type="dxa"/>
            <w:vAlign w:val="bottom"/>
          </w:tcPr>
          <w:p w:rsidR="009B6F8E" w:rsidRPr="0063332A" w:rsidRDefault="009B6F8E">
            <w:pPr>
              <w:shd w:val="clear" w:color="000000" w:fill="auto"/>
              <w:spacing w:before="60" w:line="200" w:lineRule="exact"/>
              <w:jc w:val="right"/>
              <w:rPr>
                <w:sz w:val="16"/>
                <w:szCs w:val="16"/>
              </w:rPr>
            </w:pPr>
            <w:r w:rsidRPr="0063332A">
              <w:rPr>
                <w:sz w:val="16"/>
                <w:szCs w:val="16"/>
              </w:rPr>
              <w:t>250</w:t>
            </w:r>
          </w:p>
        </w:tc>
      </w:tr>
      <w:tr w:rsidR="00000000" w:rsidRPr="0063332A">
        <w:tc>
          <w:tcPr>
            <w:tcW w:w="5148" w:type="dxa"/>
            <w:vAlign w:val="bottom"/>
          </w:tcPr>
          <w:p w:rsidR="009B6F8E" w:rsidRPr="0063332A" w:rsidRDefault="009B6F8E">
            <w:pPr>
              <w:shd w:val="clear" w:color="000000" w:fill="auto"/>
              <w:spacing w:before="60" w:line="200" w:lineRule="exact"/>
              <w:rPr>
                <w:sz w:val="16"/>
                <w:szCs w:val="16"/>
              </w:rPr>
            </w:pPr>
            <w:r w:rsidRPr="0063332A">
              <w:rPr>
                <w:sz w:val="16"/>
                <w:szCs w:val="16"/>
              </w:rPr>
              <w:t>Fler jobb åt nyanlända flyktingar</w:t>
            </w:r>
          </w:p>
        </w:tc>
        <w:tc>
          <w:tcPr>
            <w:tcW w:w="1082" w:type="dxa"/>
            <w:vAlign w:val="bottom"/>
          </w:tcPr>
          <w:p w:rsidR="009B6F8E" w:rsidRPr="0063332A" w:rsidRDefault="009B6F8E">
            <w:pPr>
              <w:shd w:val="clear" w:color="000000" w:fill="auto"/>
              <w:spacing w:before="60" w:line="200" w:lineRule="exact"/>
              <w:jc w:val="right"/>
              <w:rPr>
                <w:sz w:val="16"/>
                <w:szCs w:val="16"/>
              </w:rPr>
            </w:pPr>
            <w:r w:rsidRPr="0063332A">
              <w:rPr>
                <w:sz w:val="16"/>
                <w:szCs w:val="16"/>
              </w:rPr>
              <w:t>60</w:t>
            </w:r>
          </w:p>
        </w:tc>
      </w:tr>
      <w:tr w:rsidR="00000000" w:rsidRPr="0063332A">
        <w:tc>
          <w:tcPr>
            <w:tcW w:w="5148" w:type="dxa"/>
            <w:vAlign w:val="bottom"/>
          </w:tcPr>
          <w:p w:rsidR="009B6F8E" w:rsidRPr="0063332A" w:rsidRDefault="009B6F8E">
            <w:pPr>
              <w:shd w:val="clear" w:color="000000" w:fill="auto"/>
              <w:spacing w:before="60" w:line="200" w:lineRule="exact"/>
              <w:rPr>
                <w:sz w:val="16"/>
                <w:szCs w:val="16"/>
              </w:rPr>
            </w:pPr>
            <w:r w:rsidRPr="0063332A">
              <w:rPr>
                <w:sz w:val="16"/>
                <w:szCs w:val="16"/>
              </w:rPr>
              <w:t>Bekämpa inflationen</w:t>
            </w:r>
          </w:p>
        </w:tc>
        <w:tc>
          <w:tcPr>
            <w:tcW w:w="1082" w:type="dxa"/>
            <w:vAlign w:val="bottom"/>
          </w:tcPr>
          <w:p w:rsidR="009B6F8E" w:rsidRPr="0063332A" w:rsidRDefault="009B6F8E">
            <w:pPr>
              <w:shd w:val="clear" w:color="000000" w:fill="auto"/>
              <w:spacing w:before="60" w:line="200" w:lineRule="exact"/>
              <w:jc w:val="right"/>
              <w:rPr>
                <w:sz w:val="16"/>
                <w:szCs w:val="16"/>
              </w:rPr>
            </w:pPr>
            <w:r w:rsidRPr="0063332A">
              <w:rPr>
                <w:sz w:val="16"/>
                <w:szCs w:val="16"/>
              </w:rPr>
              <w:t>10</w:t>
            </w:r>
          </w:p>
        </w:tc>
      </w:tr>
      <w:tr w:rsidR="00000000" w:rsidRPr="0063332A">
        <w:tc>
          <w:tcPr>
            <w:tcW w:w="5148" w:type="dxa"/>
            <w:tcBorders>
              <w:bottom w:val="single" w:sz="4" w:space="0" w:color="auto"/>
            </w:tcBorders>
            <w:vAlign w:val="bottom"/>
          </w:tcPr>
          <w:p w:rsidR="009B6F8E" w:rsidRPr="0063332A" w:rsidRDefault="009B6F8E">
            <w:pPr>
              <w:shd w:val="clear" w:color="000000" w:fill="auto"/>
              <w:spacing w:before="60" w:line="200" w:lineRule="exact"/>
              <w:rPr>
                <w:b/>
                <w:sz w:val="16"/>
                <w:szCs w:val="16"/>
              </w:rPr>
            </w:pPr>
            <w:r w:rsidRPr="0063332A">
              <w:rPr>
                <w:b/>
                <w:sz w:val="16"/>
                <w:szCs w:val="16"/>
              </w:rPr>
              <w:t>Total satsning 2008</w:t>
            </w:r>
          </w:p>
        </w:tc>
        <w:tc>
          <w:tcPr>
            <w:tcW w:w="1082" w:type="dxa"/>
            <w:tcBorders>
              <w:bottom w:val="single" w:sz="4" w:space="0" w:color="auto"/>
            </w:tcBorders>
            <w:vAlign w:val="bottom"/>
          </w:tcPr>
          <w:p w:rsidR="009B6F8E" w:rsidRPr="0063332A" w:rsidRDefault="009B6F8E">
            <w:pPr>
              <w:shd w:val="clear" w:color="000000" w:fill="auto"/>
              <w:spacing w:before="60" w:line="200" w:lineRule="exact"/>
              <w:jc w:val="right"/>
              <w:rPr>
                <w:b/>
                <w:sz w:val="16"/>
                <w:szCs w:val="16"/>
              </w:rPr>
            </w:pPr>
            <w:r w:rsidRPr="0063332A">
              <w:rPr>
                <w:b/>
                <w:sz w:val="16"/>
                <w:szCs w:val="16"/>
              </w:rPr>
              <w:t>1 210</w:t>
            </w:r>
          </w:p>
        </w:tc>
      </w:tr>
    </w:tbl>
    <w:p w:rsidR="009B6F8E" w:rsidRPr="0063332A" w:rsidRDefault="009B6F8E">
      <w:pPr>
        <w:shd w:val="clear" w:color="000000" w:fill="auto"/>
      </w:pPr>
      <w:r w:rsidRPr="0063332A">
        <w:t>Regeringen justerar i vårpropositionen upp arbetslösheten med 14 000 pers</w:t>
      </w:r>
      <w:r w:rsidRPr="0063332A">
        <w:t>o</w:t>
      </w:r>
      <w:r w:rsidRPr="0063332A">
        <w:t>ner i år – men föreslår inga åtgärder för fler jobb. Vi föreslår i den här moti</w:t>
      </w:r>
      <w:r w:rsidRPr="0063332A">
        <w:t>o</w:t>
      </w:r>
      <w:r w:rsidRPr="0063332A">
        <w:t>nen en satsning på en kompetenskommission, som direkt kan starta motsv</w:t>
      </w:r>
      <w:r w:rsidRPr="0063332A">
        <w:t>a</w:t>
      </w:r>
      <w:r w:rsidRPr="0063332A">
        <w:t>rande 7 000 nya utbildningar – vilket gör att vi erbjuder varannan ny arbet</w:t>
      </w:r>
      <w:r w:rsidRPr="0063332A">
        <w:t>s</w:t>
      </w:r>
      <w:r w:rsidRPr="0063332A">
        <w:t>sökande en ny utbildningsmöjlighet – samtidigt som regeringen inte gör n</w:t>
      </w:r>
      <w:r w:rsidRPr="0063332A">
        <w:t>å</w:t>
      </w:r>
      <w:r w:rsidRPr="0063332A">
        <w:t>gonting.</w:t>
      </w:r>
    </w:p>
    <w:p w:rsidR="009B6F8E" w:rsidRPr="0063332A" w:rsidRDefault="009B6F8E">
      <w:pPr>
        <w:pStyle w:val="Normaltindrag"/>
        <w:shd w:val="clear" w:color="000000" w:fill="auto"/>
      </w:pPr>
      <w:r w:rsidRPr="0063332A">
        <w:t>Dessa satsningar på tilläggsbudgeten för 2008 finansieras med en lägre budgeteringsmarginal än regeringens. För 2008 är budgeteringsmarginalen i vårt alternativ 36,4 miljarder kronor – jämfört med reger</w:t>
      </w:r>
      <w:r w:rsidRPr="0063332A">
        <w:t>ingens på 37,6 mi</w:t>
      </w:r>
      <w:r w:rsidRPr="0063332A">
        <w:t>l</w:t>
      </w:r>
      <w:r w:rsidRPr="0063332A">
        <w:t xml:space="preserve">jarder kronor i höstas. </w:t>
      </w:r>
    </w:p>
    <w:p w:rsidR="009B6F8E" w:rsidRPr="0063332A" w:rsidRDefault="009B6F8E">
      <w:pPr>
        <w:pStyle w:val="Normaltindrag"/>
        <w:shd w:val="clear" w:color="000000" w:fill="auto"/>
      </w:pPr>
      <w:r w:rsidRPr="0063332A">
        <w:t>I vår vårbudgetmotion (2007/08:Fi11) föreslår vi också ett ökat anslag på 30 miljoner kronor till Skatteverket på tilläggsbudgeten för 2008, för att i</w:t>
      </w:r>
      <w:r w:rsidRPr="0063332A">
        <w:t>n</w:t>
      </w:r>
      <w:r w:rsidRPr="0063332A">
        <w:t>tensifiera kampen mot skattefusket.</w:t>
      </w:r>
    </w:p>
    <w:p w:rsidR="009B6F8E" w:rsidRPr="0063332A" w:rsidRDefault="009B6F8E">
      <w:pPr>
        <w:shd w:val="clear" w:color="000000" w:fill="auto"/>
        <w:spacing w:before="0"/>
        <w:rPr>
          <w:b/>
        </w:rPr>
      </w:pPr>
      <w:r w:rsidRPr="0063332A">
        <w:rPr>
          <w:b/>
        </w:rPr>
        <w:br w:type="page"/>
        <w:t>Övriga kommentarer</w:t>
      </w:r>
    </w:p>
    <w:tbl>
      <w:tblPr>
        <w:tblW w:w="3911" w:type="dxa"/>
        <w:tblCellMar>
          <w:left w:w="70" w:type="dxa"/>
          <w:right w:w="70" w:type="dxa"/>
        </w:tblCellMar>
        <w:tblLook w:val="0000" w:firstRow="0" w:lastRow="0" w:firstColumn="0" w:lastColumn="0" w:noHBand="0" w:noVBand="0"/>
      </w:tblPr>
      <w:tblGrid>
        <w:gridCol w:w="1476"/>
        <w:gridCol w:w="838"/>
        <w:gridCol w:w="1597"/>
      </w:tblGrid>
      <w:tr w:rsidR="00000000" w:rsidRPr="0063332A">
        <w:trPr>
          <w:trHeight w:val="315"/>
        </w:trPr>
        <w:tc>
          <w:tcPr>
            <w:tcW w:w="1476" w:type="dxa"/>
            <w:tcBorders>
              <w:top w:val="nil"/>
              <w:left w:val="nil"/>
              <w:bottom w:val="nil"/>
              <w:right w:val="nil"/>
            </w:tcBorders>
            <w:noWrap/>
            <w:vAlign w:val="bottom"/>
          </w:tcPr>
          <w:p w:rsidR="009B6F8E" w:rsidRPr="0063332A" w:rsidRDefault="009B6F8E">
            <w:pPr>
              <w:shd w:val="clear" w:color="000000" w:fill="auto"/>
            </w:pPr>
            <w:r w:rsidRPr="0063332A">
              <w:t>Utgiftsområde 1</w:t>
            </w:r>
          </w:p>
        </w:tc>
        <w:tc>
          <w:tcPr>
            <w:tcW w:w="838" w:type="dxa"/>
            <w:tcBorders>
              <w:top w:val="nil"/>
              <w:left w:val="nil"/>
              <w:bottom w:val="nil"/>
              <w:right w:val="nil"/>
            </w:tcBorders>
            <w:noWrap/>
            <w:vAlign w:val="bottom"/>
          </w:tcPr>
          <w:p w:rsidR="009B6F8E" w:rsidRPr="0063332A" w:rsidRDefault="009B6F8E">
            <w:pPr>
              <w:shd w:val="clear" w:color="000000" w:fill="auto"/>
            </w:pPr>
            <w:r w:rsidRPr="0063332A">
              <w:t>90:5</w:t>
            </w:r>
          </w:p>
        </w:tc>
        <w:tc>
          <w:tcPr>
            <w:tcW w:w="1597" w:type="dxa"/>
            <w:tcBorders>
              <w:top w:val="nil"/>
              <w:left w:val="nil"/>
              <w:bottom w:val="nil"/>
              <w:right w:val="nil"/>
            </w:tcBorders>
            <w:noWrap/>
            <w:vAlign w:val="bottom"/>
          </w:tcPr>
          <w:p w:rsidR="009B6F8E" w:rsidRPr="0063332A" w:rsidRDefault="009B6F8E">
            <w:pPr>
              <w:shd w:val="clear" w:color="000000" w:fill="auto"/>
            </w:pPr>
            <w:r w:rsidRPr="0063332A">
              <w:t>Regeringskansliet</w:t>
            </w:r>
          </w:p>
        </w:tc>
      </w:tr>
    </w:tbl>
    <w:p w:rsidR="009B6F8E" w:rsidRPr="0063332A" w:rsidRDefault="009B6F8E">
      <w:pPr>
        <w:shd w:val="clear" w:color="000000" w:fill="auto"/>
        <w:autoSpaceDE w:val="0"/>
        <w:autoSpaceDN w:val="0"/>
        <w:adjustRightInd w:val="0"/>
        <w:spacing w:before="120" w:line="240" w:lineRule="auto"/>
      </w:pPr>
      <w:r w:rsidRPr="0063332A">
        <w:t>Regeringskansliet visade i samband med budgetpropositionen för 2008 ett anslagssparande på nästan 800 miljoner kronor. Det är mot den bakgrunden orimligt att utöka anslaget. Anslagssparandet kan täcka de av regeringen föreslagna utökningarna på Regeringskansliet och bidra till finansieringen av andra förslag i tilläggsbudgeten. Vi anser därutöver att det finns utrymme för en ytterligare besparing på 50 miljoner kronor på detta anslag på tilläggsbu</w:t>
      </w:r>
      <w:r w:rsidRPr="0063332A">
        <w:t>d</w:t>
      </w:r>
      <w:r w:rsidRPr="0063332A">
        <w:t>get 2 för 2008, vilket riksdagen som sin mening bör ge regeringen till känna.</w:t>
      </w:r>
    </w:p>
    <w:tbl>
      <w:tblPr>
        <w:tblW w:w="3341" w:type="dxa"/>
        <w:tblCellMar>
          <w:left w:w="70" w:type="dxa"/>
          <w:right w:w="70" w:type="dxa"/>
        </w:tblCellMar>
        <w:tblLook w:val="0000" w:firstRow="0" w:lastRow="0" w:firstColumn="0" w:lastColumn="0" w:noHBand="0" w:noVBand="0"/>
      </w:tblPr>
      <w:tblGrid>
        <w:gridCol w:w="1476"/>
        <w:gridCol w:w="838"/>
        <w:gridCol w:w="1027"/>
      </w:tblGrid>
      <w:tr w:rsidR="00000000" w:rsidRPr="0063332A">
        <w:trPr>
          <w:trHeight w:val="315"/>
        </w:trPr>
        <w:tc>
          <w:tcPr>
            <w:tcW w:w="1476" w:type="dxa"/>
            <w:tcBorders>
              <w:top w:val="nil"/>
              <w:left w:val="nil"/>
              <w:bottom w:val="nil"/>
              <w:right w:val="nil"/>
            </w:tcBorders>
            <w:noWrap/>
            <w:vAlign w:val="bottom"/>
          </w:tcPr>
          <w:p w:rsidR="009B6F8E" w:rsidRPr="0063332A" w:rsidRDefault="009B6F8E">
            <w:pPr>
              <w:shd w:val="clear" w:color="000000" w:fill="auto"/>
              <w:spacing w:before="240"/>
            </w:pPr>
            <w:r w:rsidRPr="0063332A">
              <w:t>Utgiftsområde 3</w:t>
            </w:r>
          </w:p>
        </w:tc>
        <w:tc>
          <w:tcPr>
            <w:tcW w:w="838" w:type="dxa"/>
            <w:tcBorders>
              <w:top w:val="nil"/>
              <w:left w:val="nil"/>
              <w:bottom w:val="nil"/>
              <w:right w:val="nil"/>
            </w:tcBorders>
            <w:noWrap/>
            <w:vAlign w:val="bottom"/>
          </w:tcPr>
          <w:p w:rsidR="009B6F8E" w:rsidRPr="0063332A" w:rsidRDefault="009B6F8E">
            <w:pPr>
              <w:shd w:val="clear" w:color="000000" w:fill="auto"/>
            </w:pPr>
          </w:p>
        </w:tc>
        <w:tc>
          <w:tcPr>
            <w:tcW w:w="1027" w:type="dxa"/>
            <w:tcBorders>
              <w:top w:val="nil"/>
              <w:left w:val="nil"/>
              <w:bottom w:val="nil"/>
              <w:right w:val="nil"/>
            </w:tcBorders>
            <w:noWrap/>
            <w:vAlign w:val="bottom"/>
          </w:tcPr>
          <w:p w:rsidR="009B6F8E" w:rsidRPr="0063332A" w:rsidRDefault="009B6F8E">
            <w:pPr>
              <w:shd w:val="clear" w:color="000000" w:fill="auto"/>
            </w:pPr>
            <w:r w:rsidRPr="0063332A">
              <w:t>Tullverket</w:t>
            </w:r>
          </w:p>
        </w:tc>
      </w:tr>
    </w:tbl>
    <w:p w:rsidR="009B6F8E" w:rsidRPr="0063332A" w:rsidRDefault="009B6F8E">
      <w:pPr>
        <w:shd w:val="clear" w:color="000000" w:fill="auto"/>
        <w:autoSpaceDE w:val="0"/>
        <w:autoSpaceDN w:val="0"/>
        <w:adjustRightInd w:val="0"/>
        <w:rPr>
          <w:i/>
          <w:iCs/>
          <w:color w:val="000000"/>
        </w:rPr>
      </w:pPr>
      <w:r w:rsidRPr="0063332A">
        <w:rPr>
          <w:color w:val="000000"/>
        </w:rPr>
        <w:t xml:space="preserve">När det gäller Tullverket är det bra att regeringen på tilläggsbudgeten har skjutit till 50 miljoner kronor. Nu kan verkets internrapport läggas åt sidan, en grundlig översyn göras och Tullverket fortsätta att ha tullenheter spridda över hela Sverige. </w:t>
      </w:r>
      <w:r w:rsidRPr="0063332A">
        <w:rPr>
          <w:iCs/>
          <w:color w:val="000000"/>
        </w:rPr>
        <w:t>Vi kommer noga att följa frågan och är beredda att agera till hösten i budgetmotionen om så krävs</w:t>
      </w:r>
      <w:r w:rsidRPr="0063332A">
        <w:rPr>
          <w:i/>
          <w:iCs/>
          <w:color w:val="000000"/>
        </w:rPr>
        <w:t>.</w:t>
      </w:r>
    </w:p>
    <w:tbl>
      <w:tblPr>
        <w:tblW w:w="4048" w:type="dxa"/>
        <w:tblCellMar>
          <w:left w:w="70" w:type="dxa"/>
          <w:right w:w="70" w:type="dxa"/>
        </w:tblCellMar>
        <w:tblLook w:val="0000" w:firstRow="0" w:lastRow="0" w:firstColumn="0" w:lastColumn="0" w:noHBand="0" w:noVBand="0"/>
      </w:tblPr>
      <w:tblGrid>
        <w:gridCol w:w="1476"/>
        <w:gridCol w:w="838"/>
        <w:gridCol w:w="1734"/>
      </w:tblGrid>
      <w:tr w:rsidR="00000000" w:rsidRPr="0063332A">
        <w:trPr>
          <w:trHeight w:val="315"/>
        </w:trPr>
        <w:tc>
          <w:tcPr>
            <w:tcW w:w="1476" w:type="dxa"/>
            <w:tcBorders>
              <w:top w:val="nil"/>
              <w:left w:val="nil"/>
              <w:bottom w:val="nil"/>
              <w:right w:val="nil"/>
            </w:tcBorders>
            <w:noWrap/>
            <w:vAlign w:val="bottom"/>
          </w:tcPr>
          <w:p w:rsidR="009B6F8E" w:rsidRPr="0063332A" w:rsidRDefault="009B6F8E">
            <w:pPr>
              <w:shd w:val="clear" w:color="000000" w:fill="auto"/>
              <w:spacing w:before="240"/>
            </w:pPr>
            <w:r w:rsidRPr="0063332A">
              <w:t>Utgiftsområde 4</w:t>
            </w:r>
          </w:p>
        </w:tc>
        <w:tc>
          <w:tcPr>
            <w:tcW w:w="838" w:type="dxa"/>
            <w:tcBorders>
              <w:top w:val="nil"/>
              <w:left w:val="nil"/>
              <w:bottom w:val="nil"/>
              <w:right w:val="nil"/>
            </w:tcBorders>
            <w:noWrap/>
            <w:vAlign w:val="bottom"/>
          </w:tcPr>
          <w:p w:rsidR="009B6F8E" w:rsidRPr="0063332A" w:rsidRDefault="009B6F8E">
            <w:pPr>
              <w:shd w:val="clear" w:color="000000" w:fill="auto"/>
            </w:pPr>
            <w:r w:rsidRPr="0063332A">
              <w:t>4:1</w:t>
            </w:r>
          </w:p>
        </w:tc>
        <w:tc>
          <w:tcPr>
            <w:tcW w:w="1734" w:type="dxa"/>
            <w:tcBorders>
              <w:top w:val="nil"/>
              <w:left w:val="nil"/>
              <w:bottom w:val="nil"/>
              <w:right w:val="nil"/>
            </w:tcBorders>
            <w:noWrap/>
            <w:vAlign w:val="bottom"/>
          </w:tcPr>
          <w:p w:rsidR="009B6F8E" w:rsidRPr="0063332A" w:rsidRDefault="009B6F8E">
            <w:pPr>
              <w:shd w:val="clear" w:color="000000" w:fill="auto"/>
            </w:pPr>
            <w:r w:rsidRPr="0063332A">
              <w:t>Polisorganisationen</w:t>
            </w:r>
          </w:p>
        </w:tc>
      </w:tr>
    </w:tbl>
    <w:p w:rsidR="009B6F8E" w:rsidRPr="0063332A" w:rsidRDefault="009B6F8E">
      <w:pPr>
        <w:shd w:val="clear" w:color="000000" w:fill="auto"/>
      </w:pPr>
      <w:r w:rsidRPr="0063332A">
        <w:t>Vi socialdemokrater ökade antalet poliser sex år i rad. Det är bra att regerin</w:t>
      </w:r>
      <w:r w:rsidRPr="0063332A">
        <w:t>g</w:t>
      </w:r>
      <w:r w:rsidRPr="0063332A">
        <w:t xml:space="preserve">en nu fullföljer vår satsning med att utbilda fler poliser. Vi vill understryka att regeringen under de två senaste budgetarna minskat polisens resurser med 300 miljoner kronor. Det rimmar illa med kravet att anställa fler poliser. </w:t>
      </w:r>
    </w:p>
    <w:p w:rsidR="009B6F8E" w:rsidRPr="0063332A" w:rsidRDefault="009B6F8E">
      <w:pPr>
        <w:pStyle w:val="Normaltindrag"/>
        <w:shd w:val="clear" w:color="000000" w:fill="auto"/>
      </w:pPr>
      <w:r w:rsidRPr="0063332A">
        <w:t>Det är djupt oroande att ekonomin i rättsväsendet nu är så ansträngd att a</w:t>
      </w:r>
      <w:r w:rsidRPr="0063332A">
        <w:t>n</w:t>
      </w:r>
      <w:r w:rsidRPr="0063332A">
        <w:t xml:space="preserve">talet civilanställda inom polisen minskar. Det innebär att fler poliser kommer att få ägna sig åt skrivbordsarbete i stället för att bekämpa brott och vara ute på gator och torg. Lika illa är det att åklagare nu får sägas upp. </w:t>
      </w:r>
    </w:p>
    <w:p w:rsidR="009B6F8E" w:rsidRPr="0063332A" w:rsidRDefault="009B6F8E">
      <w:pPr>
        <w:pStyle w:val="Normaltindrag"/>
        <w:shd w:val="clear" w:color="000000" w:fill="auto"/>
      </w:pPr>
      <w:r w:rsidRPr="0063332A">
        <w:t>Vi socialdemokrater föreslog därför i höstas att anslaget till polisen skulle höjas med 110 miljoner kronor 2008. Hade vi socialdemokrater varit i rege</w:t>
      </w:r>
      <w:r w:rsidRPr="0063332A">
        <w:t>r</w:t>
      </w:r>
      <w:r w:rsidRPr="0063332A">
        <w:t xml:space="preserve">ingsställning hade således polisorganisationen redan haft 110 miljoner kronor mer än i dag. </w:t>
      </w:r>
    </w:p>
    <w:p w:rsidR="009B6F8E" w:rsidRPr="0063332A" w:rsidRDefault="009B6F8E">
      <w:pPr>
        <w:pStyle w:val="Normaltindrag"/>
        <w:shd w:val="clear" w:color="000000" w:fill="auto"/>
      </w:pPr>
      <w:r w:rsidRPr="0063332A">
        <w:t>Nu går regeringen vidare med nya besparingar. Därför vill vi på tillägg</w:t>
      </w:r>
      <w:r w:rsidRPr="0063332A">
        <w:t>s</w:t>
      </w:r>
      <w:r w:rsidRPr="0063332A">
        <w:t>budgeten för 2008 skjuta till 25 miljoner kronor.</w:t>
      </w:r>
    </w:p>
    <w:tbl>
      <w:tblPr>
        <w:tblW w:w="4861" w:type="dxa"/>
        <w:tblCellMar>
          <w:left w:w="70" w:type="dxa"/>
          <w:right w:w="70" w:type="dxa"/>
        </w:tblCellMar>
        <w:tblLook w:val="0000" w:firstRow="0" w:lastRow="0" w:firstColumn="0" w:lastColumn="0" w:noHBand="0" w:noVBand="0"/>
      </w:tblPr>
      <w:tblGrid>
        <w:gridCol w:w="1476"/>
        <w:gridCol w:w="838"/>
        <w:gridCol w:w="2547"/>
      </w:tblGrid>
      <w:tr w:rsidR="00000000" w:rsidRPr="0063332A">
        <w:trPr>
          <w:trHeight w:val="315"/>
        </w:trPr>
        <w:tc>
          <w:tcPr>
            <w:tcW w:w="1476" w:type="dxa"/>
            <w:tcBorders>
              <w:top w:val="nil"/>
              <w:left w:val="nil"/>
              <w:bottom w:val="nil"/>
              <w:right w:val="nil"/>
            </w:tcBorders>
            <w:noWrap/>
            <w:vAlign w:val="bottom"/>
          </w:tcPr>
          <w:p w:rsidR="009B6F8E" w:rsidRPr="0063332A" w:rsidRDefault="009B6F8E">
            <w:pPr>
              <w:shd w:val="clear" w:color="000000" w:fill="auto"/>
              <w:spacing w:before="240"/>
            </w:pPr>
            <w:r w:rsidRPr="0063332A">
              <w:t>Utgiftsområde 9</w:t>
            </w:r>
          </w:p>
        </w:tc>
        <w:tc>
          <w:tcPr>
            <w:tcW w:w="838" w:type="dxa"/>
            <w:tcBorders>
              <w:top w:val="nil"/>
              <w:left w:val="nil"/>
              <w:bottom w:val="nil"/>
              <w:right w:val="nil"/>
            </w:tcBorders>
            <w:noWrap/>
            <w:vAlign w:val="bottom"/>
          </w:tcPr>
          <w:p w:rsidR="009B6F8E" w:rsidRPr="0063332A" w:rsidRDefault="009B6F8E">
            <w:pPr>
              <w:shd w:val="clear" w:color="000000" w:fill="auto"/>
            </w:pPr>
            <w:r w:rsidRPr="0063332A">
              <w:t>13:3</w:t>
            </w:r>
          </w:p>
        </w:tc>
        <w:tc>
          <w:tcPr>
            <w:tcW w:w="2547" w:type="dxa"/>
            <w:tcBorders>
              <w:top w:val="nil"/>
              <w:left w:val="nil"/>
              <w:bottom w:val="nil"/>
              <w:right w:val="nil"/>
            </w:tcBorders>
            <w:noWrap/>
            <w:vAlign w:val="bottom"/>
          </w:tcPr>
          <w:p w:rsidR="009B6F8E" w:rsidRPr="0063332A" w:rsidRDefault="009B6F8E">
            <w:pPr>
              <w:shd w:val="clear" w:color="000000" w:fill="auto"/>
            </w:pPr>
            <w:r w:rsidRPr="0063332A">
              <w:t>Bidrag till hälso- och sjukvård</w:t>
            </w:r>
          </w:p>
        </w:tc>
      </w:tr>
    </w:tbl>
    <w:p w:rsidR="009B6F8E" w:rsidRPr="0063332A" w:rsidRDefault="009B6F8E">
      <w:pPr>
        <w:shd w:val="clear" w:color="000000" w:fill="auto"/>
        <w:rPr>
          <w:lang w:bidi="ta-IN"/>
        </w:rPr>
      </w:pPr>
      <w:r w:rsidRPr="0063332A">
        <w:rPr>
          <w:lang w:bidi="ta-IN"/>
        </w:rPr>
        <w:t>En del utgifter i samband med att en ny tandvårdsreform genomförs hamnar på andra konton inom utgiftsområdet än 13:1 Tandvårdsförmåner, därför tillförs detta konto 400 000 kr. Det förfarandet stöder vi. Samtidigt föreslår regeringen en minskning av anslaget för bidrag till hälso- och sjukvård med 1 000 000 kr för att finansiera ökningen av anslaget 90:5 Regeringskansliet m.m. Det förfarandet stöder vi inte. Det är oacceptabelt att flytta medel från hälso- och sjukvård till administration på Regeringskanslie</w:t>
      </w:r>
      <w:r w:rsidRPr="0063332A">
        <w:rPr>
          <w:lang w:bidi="ta-IN"/>
        </w:rPr>
        <w:t>t.</w:t>
      </w:r>
    </w:p>
    <w:tbl>
      <w:tblPr>
        <w:tblW w:w="4038" w:type="dxa"/>
        <w:tblCellMar>
          <w:left w:w="70" w:type="dxa"/>
          <w:right w:w="70" w:type="dxa"/>
        </w:tblCellMar>
        <w:tblLook w:val="0000" w:firstRow="0" w:lastRow="0" w:firstColumn="0" w:lastColumn="0" w:noHBand="0" w:noVBand="0"/>
      </w:tblPr>
      <w:tblGrid>
        <w:gridCol w:w="1476"/>
        <w:gridCol w:w="838"/>
        <w:gridCol w:w="1724"/>
      </w:tblGrid>
      <w:tr w:rsidR="00000000" w:rsidRPr="0063332A">
        <w:trPr>
          <w:trHeight w:val="315"/>
        </w:trPr>
        <w:tc>
          <w:tcPr>
            <w:tcW w:w="1476" w:type="dxa"/>
            <w:tcBorders>
              <w:top w:val="nil"/>
              <w:left w:val="nil"/>
              <w:bottom w:val="nil"/>
              <w:right w:val="nil"/>
            </w:tcBorders>
            <w:noWrap/>
            <w:vAlign w:val="bottom"/>
          </w:tcPr>
          <w:p w:rsidR="009B6F8E" w:rsidRPr="0063332A" w:rsidRDefault="009B6F8E">
            <w:pPr>
              <w:shd w:val="clear" w:color="000000" w:fill="auto"/>
              <w:spacing w:before="240"/>
            </w:pPr>
            <w:r w:rsidRPr="0063332A">
              <w:t>Utgiftsområde 9</w:t>
            </w:r>
          </w:p>
        </w:tc>
        <w:tc>
          <w:tcPr>
            <w:tcW w:w="838" w:type="dxa"/>
            <w:tcBorders>
              <w:top w:val="nil"/>
              <w:left w:val="nil"/>
              <w:bottom w:val="nil"/>
              <w:right w:val="nil"/>
            </w:tcBorders>
            <w:noWrap/>
            <w:vAlign w:val="bottom"/>
          </w:tcPr>
          <w:p w:rsidR="009B6F8E" w:rsidRPr="0063332A" w:rsidRDefault="009B6F8E">
            <w:pPr>
              <w:shd w:val="clear" w:color="000000" w:fill="auto"/>
            </w:pPr>
            <w:r w:rsidRPr="0063332A">
              <w:t>13:9</w:t>
            </w:r>
          </w:p>
        </w:tc>
        <w:tc>
          <w:tcPr>
            <w:tcW w:w="1724" w:type="dxa"/>
            <w:tcBorders>
              <w:top w:val="nil"/>
              <w:left w:val="nil"/>
              <w:bottom w:val="nil"/>
              <w:right w:val="nil"/>
            </w:tcBorders>
            <w:noWrap/>
            <w:vAlign w:val="bottom"/>
          </w:tcPr>
          <w:p w:rsidR="009B6F8E" w:rsidRPr="0063332A" w:rsidRDefault="009B6F8E">
            <w:pPr>
              <w:shd w:val="clear" w:color="000000" w:fill="auto"/>
            </w:pPr>
            <w:r w:rsidRPr="0063332A">
              <w:t>Bidrag till psykiatri</w:t>
            </w:r>
          </w:p>
        </w:tc>
      </w:tr>
    </w:tbl>
    <w:p w:rsidR="009B6F8E" w:rsidRPr="0063332A" w:rsidRDefault="009B6F8E">
      <w:pPr>
        <w:shd w:val="clear" w:color="000000" w:fill="auto"/>
        <w:autoSpaceDE w:val="0"/>
        <w:autoSpaceDN w:val="0"/>
        <w:adjustRightInd w:val="0"/>
        <w:rPr>
          <w:color w:val="000000"/>
          <w:lang w:bidi="ta-IN"/>
        </w:rPr>
      </w:pPr>
      <w:r w:rsidRPr="0063332A">
        <w:rPr>
          <w:color w:val="000000"/>
          <w:lang w:bidi="ta-IN"/>
        </w:rPr>
        <w:t>För att finansiera ökningen av det under utgiftsområde 15 Studiestöd uppfö</w:t>
      </w:r>
      <w:r w:rsidRPr="0063332A">
        <w:rPr>
          <w:color w:val="000000"/>
          <w:lang w:bidi="ta-IN"/>
        </w:rPr>
        <w:t>r</w:t>
      </w:r>
      <w:r w:rsidRPr="0063332A">
        <w:rPr>
          <w:color w:val="000000"/>
          <w:lang w:bidi="ta-IN"/>
        </w:rPr>
        <w:t>da anslaget 25:2 Studiemedel m.m. och anslaget 25:3 Studiemedelsräntor m.m. minskas anslaget 13:9 Bidrag till psykiatri med 1 530 000 kr. Att min</w:t>
      </w:r>
      <w:r w:rsidRPr="0063332A">
        <w:rPr>
          <w:color w:val="000000"/>
          <w:lang w:bidi="ta-IN"/>
        </w:rPr>
        <w:t>s</w:t>
      </w:r>
      <w:r w:rsidRPr="0063332A">
        <w:rPr>
          <w:color w:val="000000"/>
          <w:lang w:bidi="ta-IN"/>
        </w:rPr>
        <w:t>ka anslaget till psykiatri är oacceptabelt och principiellt en felaktig priorit</w:t>
      </w:r>
      <w:r w:rsidRPr="0063332A">
        <w:rPr>
          <w:color w:val="000000"/>
          <w:lang w:bidi="ta-IN"/>
        </w:rPr>
        <w:t>e</w:t>
      </w:r>
      <w:r w:rsidRPr="0063332A">
        <w:rPr>
          <w:color w:val="000000"/>
          <w:lang w:bidi="ta-IN"/>
        </w:rPr>
        <w:t xml:space="preserve">ring från regeringens sida. </w:t>
      </w:r>
    </w:p>
    <w:tbl>
      <w:tblPr>
        <w:tblW w:w="4743" w:type="dxa"/>
        <w:tblCellMar>
          <w:left w:w="70" w:type="dxa"/>
          <w:right w:w="70" w:type="dxa"/>
        </w:tblCellMar>
        <w:tblLook w:val="0000" w:firstRow="0" w:lastRow="0" w:firstColumn="0" w:lastColumn="0" w:noHBand="0" w:noVBand="0"/>
      </w:tblPr>
      <w:tblGrid>
        <w:gridCol w:w="1571"/>
        <w:gridCol w:w="573"/>
        <w:gridCol w:w="1639"/>
        <w:gridCol w:w="960"/>
      </w:tblGrid>
      <w:tr w:rsidR="00000000" w:rsidRPr="0063332A">
        <w:trPr>
          <w:trHeight w:val="315"/>
        </w:trPr>
        <w:tc>
          <w:tcPr>
            <w:tcW w:w="1571" w:type="dxa"/>
            <w:tcBorders>
              <w:top w:val="nil"/>
              <w:left w:val="nil"/>
              <w:bottom w:val="nil"/>
              <w:right w:val="nil"/>
            </w:tcBorders>
            <w:noWrap/>
            <w:vAlign w:val="bottom"/>
          </w:tcPr>
          <w:p w:rsidR="009B6F8E" w:rsidRPr="0063332A" w:rsidRDefault="009B6F8E">
            <w:pPr>
              <w:shd w:val="clear" w:color="000000" w:fill="auto"/>
              <w:spacing w:before="240"/>
            </w:pPr>
            <w:r w:rsidRPr="0063332A">
              <w:t>Utgiftsområde 10</w:t>
            </w:r>
          </w:p>
        </w:tc>
        <w:tc>
          <w:tcPr>
            <w:tcW w:w="573" w:type="dxa"/>
            <w:tcBorders>
              <w:top w:val="nil"/>
              <w:left w:val="nil"/>
              <w:bottom w:val="nil"/>
              <w:right w:val="nil"/>
            </w:tcBorders>
            <w:noWrap/>
            <w:vAlign w:val="bottom"/>
          </w:tcPr>
          <w:p w:rsidR="009B6F8E" w:rsidRPr="0063332A" w:rsidRDefault="009B6F8E">
            <w:pPr>
              <w:shd w:val="clear" w:color="000000" w:fill="auto"/>
            </w:pPr>
            <w:r w:rsidRPr="0063332A">
              <w:t>19:6</w:t>
            </w:r>
          </w:p>
        </w:tc>
        <w:tc>
          <w:tcPr>
            <w:tcW w:w="1639" w:type="dxa"/>
            <w:tcBorders>
              <w:top w:val="nil"/>
              <w:left w:val="nil"/>
              <w:bottom w:val="nil"/>
              <w:right w:val="nil"/>
            </w:tcBorders>
            <w:noWrap/>
            <w:vAlign w:val="bottom"/>
          </w:tcPr>
          <w:p w:rsidR="009B6F8E" w:rsidRPr="0063332A" w:rsidRDefault="009B6F8E">
            <w:pPr>
              <w:shd w:val="clear" w:color="000000" w:fill="auto"/>
            </w:pPr>
            <w:r w:rsidRPr="0063332A">
              <w:t>Försäkringskassan</w:t>
            </w:r>
          </w:p>
        </w:tc>
        <w:tc>
          <w:tcPr>
            <w:tcW w:w="960" w:type="dxa"/>
            <w:tcBorders>
              <w:top w:val="nil"/>
              <w:left w:val="nil"/>
              <w:bottom w:val="nil"/>
              <w:right w:val="nil"/>
            </w:tcBorders>
            <w:noWrap/>
            <w:vAlign w:val="bottom"/>
          </w:tcPr>
          <w:p w:rsidR="009B6F8E" w:rsidRPr="0063332A" w:rsidRDefault="009B6F8E">
            <w:pPr>
              <w:shd w:val="clear" w:color="000000" w:fill="auto"/>
              <w:jc w:val="right"/>
            </w:pPr>
          </w:p>
        </w:tc>
      </w:tr>
    </w:tbl>
    <w:p w:rsidR="009B6F8E" w:rsidRPr="0063332A" w:rsidRDefault="009B6F8E">
      <w:pPr>
        <w:shd w:val="clear" w:color="000000" w:fill="auto"/>
      </w:pPr>
      <w:r w:rsidRPr="0063332A">
        <w:rPr>
          <w:iCs/>
        </w:rPr>
        <w:t>Regeringens förslag om extra resurser till Försäkringskassan för administr</w:t>
      </w:r>
      <w:r w:rsidRPr="0063332A">
        <w:rPr>
          <w:iCs/>
        </w:rPr>
        <w:t>a</w:t>
      </w:r>
      <w:r w:rsidRPr="0063332A">
        <w:rPr>
          <w:iCs/>
        </w:rPr>
        <w:t xml:space="preserve">tion av vab-dagar avslås. </w:t>
      </w:r>
      <w:r w:rsidRPr="0063332A">
        <w:t>Fusk och överutnyttjande av bidrag och förmåner i trygghetssystemen kan och får aldrig accepteras. Fusk och missbruk ska stä</w:t>
      </w:r>
      <w:r w:rsidRPr="0063332A">
        <w:t>v</w:t>
      </w:r>
      <w:r w:rsidRPr="0063332A">
        <w:t>jas och beivras. Vi socialdemokrater värnar välfärds- och trygghetssystem som har hög legitimitet och omfattar alla. Åtgärder mot missbruk måste till när det behövs, men vara träffsäkert. Vi ser inte fördelen med att förskolor och skolor med flera ska få den generella uppgiften att administrera intyg för rätt till ersättning från Försäkringskassan. Att lägga</w:t>
      </w:r>
      <w:r w:rsidRPr="0063332A">
        <w:t xml:space="preserve"> ekonomiska resurser och kraft på intygsutfärdande när fokus bör ligga på barnen, pedagogiken och lärandet är inte optimalt. </w:t>
      </w:r>
    </w:p>
    <w:p w:rsidR="009B6F8E" w:rsidRPr="0063332A" w:rsidRDefault="009B6F8E">
      <w:pPr>
        <w:pStyle w:val="Normaltindrag"/>
        <w:shd w:val="clear" w:color="000000" w:fill="auto"/>
      </w:pPr>
      <w:r w:rsidRPr="0063332A">
        <w:t>Eftersom vi är mycket angelägna om att fusk och missbruk inte tillåts är fortsatta stickprovskontroller och en kontinuerlig upplysningsverksamhet av yttersta vikt. Vi är också beredda att pröva ytterligare åtgärder för att stävja fusket.</w:t>
      </w:r>
    </w:p>
    <w:tbl>
      <w:tblPr>
        <w:tblW w:w="6024" w:type="dxa"/>
        <w:tblCellMar>
          <w:left w:w="70" w:type="dxa"/>
          <w:right w:w="70" w:type="dxa"/>
        </w:tblCellMar>
        <w:tblLook w:val="0000" w:firstRow="0" w:lastRow="0" w:firstColumn="0" w:lastColumn="0" w:noHBand="0" w:noVBand="0"/>
      </w:tblPr>
      <w:tblGrid>
        <w:gridCol w:w="1571"/>
        <w:gridCol w:w="573"/>
        <w:gridCol w:w="3880"/>
      </w:tblGrid>
      <w:tr w:rsidR="00000000" w:rsidRPr="0063332A">
        <w:trPr>
          <w:trHeight w:val="315"/>
        </w:trPr>
        <w:tc>
          <w:tcPr>
            <w:tcW w:w="1571" w:type="dxa"/>
            <w:tcBorders>
              <w:top w:val="nil"/>
              <w:left w:val="nil"/>
              <w:bottom w:val="nil"/>
              <w:right w:val="nil"/>
            </w:tcBorders>
            <w:noWrap/>
            <w:vAlign w:val="bottom"/>
          </w:tcPr>
          <w:p w:rsidR="009B6F8E" w:rsidRPr="0063332A" w:rsidRDefault="009B6F8E">
            <w:pPr>
              <w:shd w:val="clear" w:color="000000" w:fill="auto"/>
              <w:spacing w:before="240"/>
            </w:pPr>
            <w:r w:rsidRPr="0063332A">
              <w:t>Utgiftsområde 13</w:t>
            </w:r>
          </w:p>
        </w:tc>
        <w:tc>
          <w:tcPr>
            <w:tcW w:w="573" w:type="dxa"/>
            <w:tcBorders>
              <w:top w:val="nil"/>
              <w:left w:val="nil"/>
              <w:bottom w:val="nil"/>
              <w:right w:val="nil"/>
            </w:tcBorders>
            <w:noWrap/>
            <w:vAlign w:val="bottom"/>
          </w:tcPr>
          <w:p w:rsidR="009B6F8E" w:rsidRPr="0063332A" w:rsidRDefault="009B6F8E">
            <w:pPr>
              <w:shd w:val="clear" w:color="000000" w:fill="auto"/>
            </w:pPr>
            <w:r w:rsidRPr="0063332A">
              <w:t>10:3</w:t>
            </w:r>
          </w:p>
        </w:tc>
        <w:tc>
          <w:tcPr>
            <w:tcW w:w="3880" w:type="dxa"/>
            <w:tcBorders>
              <w:top w:val="nil"/>
              <w:left w:val="nil"/>
              <w:bottom w:val="nil"/>
              <w:right w:val="nil"/>
            </w:tcBorders>
            <w:noWrap/>
            <w:vAlign w:val="bottom"/>
          </w:tcPr>
          <w:p w:rsidR="009B6F8E" w:rsidRPr="0063332A" w:rsidRDefault="009B6F8E">
            <w:pPr>
              <w:shd w:val="clear" w:color="000000" w:fill="auto"/>
            </w:pPr>
            <w:r w:rsidRPr="0063332A">
              <w:t>Kommunersättningar vid flyktingmottagande</w:t>
            </w:r>
          </w:p>
        </w:tc>
      </w:tr>
    </w:tbl>
    <w:p w:rsidR="009B6F8E" w:rsidRPr="0063332A" w:rsidRDefault="009B6F8E">
      <w:pPr>
        <w:shd w:val="clear" w:color="000000" w:fill="auto"/>
      </w:pPr>
      <w:r w:rsidRPr="0063332A">
        <w:t>Vi avslår regeringens sänkning av kommunersättningarna vid flyktingmott</w:t>
      </w:r>
      <w:r w:rsidRPr="0063332A">
        <w:t>a</w:t>
      </w:r>
      <w:r w:rsidRPr="0063332A">
        <w:t>gande.</w:t>
      </w:r>
    </w:p>
    <w:tbl>
      <w:tblPr>
        <w:tblW w:w="6024" w:type="dxa"/>
        <w:tblCellMar>
          <w:left w:w="70" w:type="dxa"/>
          <w:right w:w="70" w:type="dxa"/>
        </w:tblCellMar>
        <w:tblLook w:val="0000" w:firstRow="0" w:lastRow="0" w:firstColumn="0" w:lastColumn="0" w:noHBand="0" w:noVBand="0"/>
      </w:tblPr>
      <w:tblGrid>
        <w:gridCol w:w="1571"/>
        <w:gridCol w:w="573"/>
        <w:gridCol w:w="3880"/>
      </w:tblGrid>
      <w:tr w:rsidR="00000000" w:rsidRPr="0063332A">
        <w:trPr>
          <w:trHeight w:val="315"/>
        </w:trPr>
        <w:tc>
          <w:tcPr>
            <w:tcW w:w="1571" w:type="dxa"/>
            <w:tcBorders>
              <w:top w:val="nil"/>
              <w:left w:val="nil"/>
              <w:bottom w:val="nil"/>
              <w:right w:val="nil"/>
            </w:tcBorders>
            <w:noWrap/>
            <w:vAlign w:val="bottom"/>
          </w:tcPr>
          <w:p w:rsidR="009B6F8E" w:rsidRPr="0063332A" w:rsidRDefault="009B6F8E">
            <w:pPr>
              <w:shd w:val="clear" w:color="000000" w:fill="auto"/>
              <w:spacing w:before="240"/>
            </w:pPr>
            <w:r w:rsidRPr="0063332A">
              <w:t>Utgiftsområde 20</w:t>
            </w:r>
          </w:p>
        </w:tc>
        <w:tc>
          <w:tcPr>
            <w:tcW w:w="573" w:type="dxa"/>
            <w:tcBorders>
              <w:top w:val="nil"/>
              <w:left w:val="nil"/>
              <w:bottom w:val="nil"/>
              <w:right w:val="nil"/>
            </w:tcBorders>
            <w:noWrap/>
            <w:vAlign w:val="bottom"/>
          </w:tcPr>
          <w:p w:rsidR="009B6F8E" w:rsidRPr="0063332A" w:rsidRDefault="009B6F8E">
            <w:pPr>
              <w:shd w:val="clear" w:color="000000" w:fill="auto"/>
            </w:pPr>
            <w:r w:rsidRPr="0063332A">
              <w:t>34:4</w:t>
            </w:r>
          </w:p>
        </w:tc>
        <w:tc>
          <w:tcPr>
            <w:tcW w:w="3880" w:type="dxa"/>
            <w:tcBorders>
              <w:top w:val="nil"/>
              <w:left w:val="nil"/>
              <w:bottom w:val="nil"/>
              <w:right w:val="nil"/>
            </w:tcBorders>
            <w:noWrap/>
            <w:vAlign w:val="bottom"/>
          </w:tcPr>
          <w:p w:rsidR="009B6F8E" w:rsidRPr="0063332A" w:rsidRDefault="009B6F8E">
            <w:pPr>
              <w:shd w:val="clear" w:color="000000" w:fill="auto"/>
              <w:rPr>
                <w:spacing w:val="-2"/>
              </w:rPr>
            </w:pPr>
            <w:r w:rsidRPr="0063332A">
              <w:rPr>
                <w:spacing w:val="-2"/>
              </w:rPr>
              <w:t>Sanering och återställning av förorenade områden</w:t>
            </w:r>
          </w:p>
        </w:tc>
      </w:tr>
    </w:tbl>
    <w:p w:rsidR="009B6F8E" w:rsidRPr="0063332A" w:rsidRDefault="009B6F8E">
      <w:pPr>
        <w:shd w:val="clear" w:color="000000" w:fill="auto"/>
      </w:pPr>
      <w:r w:rsidRPr="0063332A">
        <w:t>Vi välkomnar att regeringen nu återför 50 miljoner kronor till den biologiska mångfalden men anser att finansieringen bör ske på annat sätt. Anslaget San</w:t>
      </w:r>
      <w:r w:rsidRPr="0063332A">
        <w:t>e</w:t>
      </w:r>
      <w:r w:rsidRPr="0063332A">
        <w:t xml:space="preserve">ring och återställning av förorenade områden är i stort behov av de resurser som finns kvar. Den kommunala tillväxten begränsas av bristen på ren mark och bristen på pengar för sanering av förorenad mark.  </w:t>
      </w:r>
    </w:p>
    <w:tbl>
      <w:tblPr>
        <w:tblW w:w="6024" w:type="dxa"/>
        <w:tblCellMar>
          <w:left w:w="70" w:type="dxa"/>
          <w:right w:w="70" w:type="dxa"/>
        </w:tblCellMar>
        <w:tblLook w:val="0000" w:firstRow="0" w:lastRow="0" w:firstColumn="0" w:lastColumn="0" w:noHBand="0" w:noVBand="0"/>
      </w:tblPr>
      <w:tblGrid>
        <w:gridCol w:w="1571"/>
        <w:gridCol w:w="573"/>
        <w:gridCol w:w="3880"/>
      </w:tblGrid>
      <w:tr w:rsidR="00000000" w:rsidRPr="0063332A">
        <w:tc>
          <w:tcPr>
            <w:tcW w:w="1571" w:type="dxa"/>
            <w:tcBorders>
              <w:top w:val="nil"/>
              <w:left w:val="nil"/>
              <w:bottom w:val="nil"/>
              <w:right w:val="nil"/>
            </w:tcBorders>
            <w:noWrap/>
          </w:tcPr>
          <w:p w:rsidR="009B6F8E" w:rsidRPr="0063332A" w:rsidRDefault="009B6F8E">
            <w:pPr>
              <w:shd w:val="clear" w:color="000000" w:fill="auto"/>
              <w:spacing w:before="240"/>
            </w:pPr>
            <w:r w:rsidRPr="0063332A">
              <w:t>Utgiftsområde 22</w:t>
            </w:r>
          </w:p>
        </w:tc>
        <w:tc>
          <w:tcPr>
            <w:tcW w:w="573" w:type="dxa"/>
            <w:tcBorders>
              <w:top w:val="nil"/>
              <w:left w:val="nil"/>
              <w:bottom w:val="nil"/>
              <w:right w:val="nil"/>
            </w:tcBorders>
            <w:noWrap/>
          </w:tcPr>
          <w:p w:rsidR="009B6F8E" w:rsidRPr="0063332A" w:rsidRDefault="009B6F8E">
            <w:pPr>
              <w:shd w:val="clear" w:color="000000" w:fill="auto"/>
              <w:spacing w:before="240"/>
            </w:pPr>
            <w:r w:rsidRPr="0063332A">
              <w:t>36:2</w:t>
            </w:r>
          </w:p>
        </w:tc>
        <w:tc>
          <w:tcPr>
            <w:tcW w:w="3880" w:type="dxa"/>
            <w:tcBorders>
              <w:top w:val="nil"/>
              <w:left w:val="nil"/>
              <w:bottom w:val="nil"/>
              <w:right w:val="nil"/>
            </w:tcBorders>
            <w:noWrap/>
          </w:tcPr>
          <w:p w:rsidR="009B6F8E" w:rsidRPr="0063332A" w:rsidRDefault="009B6F8E">
            <w:pPr>
              <w:shd w:val="clear" w:color="000000" w:fill="auto"/>
              <w:spacing w:before="240"/>
            </w:pPr>
            <w:r w:rsidRPr="0063332A">
              <w:t>Väghållning och statsbidrag</w:t>
            </w:r>
          </w:p>
        </w:tc>
      </w:tr>
      <w:tr w:rsidR="00000000" w:rsidRPr="0063332A">
        <w:trPr>
          <w:trHeight w:val="315"/>
        </w:trPr>
        <w:tc>
          <w:tcPr>
            <w:tcW w:w="1571" w:type="dxa"/>
            <w:tcBorders>
              <w:top w:val="nil"/>
              <w:left w:val="nil"/>
              <w:bottom w:val="nil"/>
              <w:right w:val="nil"/>
            </w:tcBorders>
            <w:noWrap/>
          </w:tcPr>
          <w:p w:rsidR="009B6F8E" w:rsidRPr="0063332A" w:rsidRDefault="009B6F8E">
            <w:pPr>
              <w:shd w:val="clear" w:color="000000" w:fill="auto"/>
              <w:spacing w:before="60" w:line="200" w:lineRule="exact"/>
            </w:pPr>
          </w:p>
        </w:tc>
        <w:tc>
          <w:tcPr>
            <w:tcW w:w="573" w:type="dxa"/>
            <w:tcBorders>
              <w:top w:val="nil"/>
              <w:left w:val="nil"/>
              <w:bottom w:val="nil"/>
              <w:right w:val="nil"/>
            </w:tcBorders>
            <w:noWrap/>
          </w:tcPr>
          <w:p w:rsidR="009B6F8E" w:rsidRPr="0063332A" w:rsidRDefault="009B6F8E">
            <w:pPr>
              <w:shd w:val="clear" w:color="000000" w:fill="auto"/>
              <w:spacing w:before="60" w:line="200" w:lineRule="exact"/>
            </w:pPr>
            <w:r w:rsidRPr="0063332A">
              <w:t>36:4</w:t>
            </w:r>
          </w:p>
        </w:tc>
        <w:tc>
          <w:tcPr>
            <w:tcW w:w="3880" w:type="dxa"/>
            <w:tcBorders>
              <w:top w:val="nil"/>
              <w:left w:val="nil"/>
              <w:bottom w:val="nil"/>
              <w:right w:val="nil"/>
            </w:tcBorders>
            <w:noWrap/>
          </w:tcPr>
          <w:p w:rsidR="009B6F8E" w:rsidRPr="0063332A" w:rsidRDefault="009B6F8E">
            <w:pPr>
              <w:shd w:val="clear" w:color="000000" w:fill="auto"/>
              <w:spacing w:before="60" w:line="200" w:lineRule="exact"/>
            </w:pPr>
            <w:r w:rsidRPr="0063332A">
              <w:t>Banverket: Banhållning och sektorsuppgifter</w:t>
            </w:r>
          </w:p>
        </w:tc>
      </w:tr>
    </w:tbl>
    <w:p w:rsidR="009B6F8E" w:rsidRPr="0063332A" w:rsidRDefault="009B6F8E">
      <w:pPr>
        <w:shd w:val="clear" w:color="000000" w:fill="auto"/>
      </w:pPr>
      <w:r w:rsidRPr="0063332A">
        <w:t>Regeringen föreslår ett antal förändringar av trängselskatten från den 1 juli i år som kommer att öka intäkterna från trängselskatten. Till följd av dessa ökade intäkter föreslår de att 20 miljoner kronor per år ska gå till väginveste</w:t>
      </w:r>
      <w:r w:rsidRPr="0063332A">
        <w:t>r</w:t>
      </w:r>
      <w:r w:rsidRPr="0063332A">
        <w:t>ingar i Stockholmsområdet. Vi anser liksom tidigare att intäkterna från trän</w:t>
      </w:r>
      <w:r w:rsidRPr="0063332A">
        <w:t>g</w:t>
      </w:r>
      <w:r w:rsidRPr="0063332A">
        <w:t>selskatten ska gå till investeringar i kollektivtrafik och vägar i Stockholms stad och län.</w:t>
      </w:r>
    </w:p>
    <w:p w:rsidR="009B6F8E" w:rsidRPr="0063332A" w:rsidRDefault="009B6F8E">
      <w:pPr>
        <w:pStyle w:val="Normaltindrag"/>
        <w:shd w:val="clear" w:color="000000" w:fill="auto"/>
        <w:rPr>
          <w:lang w:bidi="ta-IN"/>
        </w:rPr>
      </w:pPr>
      <w:r w:rsidRPr="0063332A">
        <w:rPr>
          <w:lang w:bidi="ta-IN"/>
        </w:rPr>
        <w:t>I regeringens förslag sker Vägverkets övriga utökning av anslaget till vä</w:t>
      </w:r>
      <w:r w:rsidRPr="0063332A">
        <w:rPr>
          <w:lang w:bidi="ta-IN"/>
        </w:rPr>
        <w:t>g</w:t>
      </w:r>
      <w:r w:rsidRPr="0063332A">
        <w:rPr>
          <w:lang w:bidi="ta-IN"/>
        </w:rPr>
        <w:t>hållning på Banverkets bekostnad. Det kan vi inte acceptera. Vi står inför en omfattande klimatutmaning som bl.a. kräver en omflyttning av transporter från väg till järnväg. Vi anser att Banverket behöver alla resurser för att fö</w:t>
      </w:r>
      <w:r w:rsidRPr="0063332A">
        <w:rPr>
          <w:lang w:bidi="ta-IN"/>
        </w:rPr>
        <w:t>r</w:t>
      </w:r>
      <w:r w:rsidRPr="0063332A">
        <w:rPr>
          <w:lang w:bidi="ta-IN"/>
        </w:rPr>
        <w:t>bättra möjligheterna till fler transporter av gods och människor med tåg.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332A">
        <w:trPr>
          <w:cantSplit/>
        </w:trPr>
        <w:tc>
          <w:tcPr>
            <w:tcW w:w="3046" w:type="dxa"/>
          </w:tcPr>
          <w:p w:rsidR="009B6F8E" w:rsidRPr="0063332A" w:rsidRDefault="009B6F8E">
            <w:pPr>
              <w:pStyle w:val="UnderskriftDatum"/>
              <w:shd w:val="clear" w:color="000000" w:fill="auto"/>
              <w:spacing w:before="240"/>
            </w:pPr>
            <w:r w:rsidRPr="0063332A">
              <w:t>Stockholm den 7 maj 2008</w:t>
            </w:r>
          </w:p>
        </w:tc>
        <w:tc>
          <w:tcPr>
            <w:tcW w:w="3047" w:type="dxa"/>
          </w:tcPr>
          <w:p w:rsidR="009B6F8E" w:rsidRPr="0063332A" w:rsidRDefault="009B6F8E">
            <w:pPr>
              <w:pStyle w:val="Underskrifter"/>
              <w:shd w:val="clear" w:color="000000" w:fill="auto"/>
              <w:spacing w:before="240"/>
            </w:pPr>
          </w:p>
        </w:tc>
      </w:tr>
      <w:tr w:rsidR="00000000" w:rsidRPr="0063332A">
        <w:trPr>
          <w:cantSplit/>
        </w:trPr>
        <w:tc>
          <w:tcPr>
            <w:tcW w:w="3046" w:type="dxa"/>
          </w:tcPr>
          <w:p w:rsidR="009B6F8E" w:rsidRPr="0063332A" w:rsidRDefault="009B6F8E">
            <w:pPr>
              <w:pStyle w:val="Underskrifter"/>
              <w:shd w:val="clear" w:color="000000" w:fill="auto"/>
            </w:pPr>
            <w:r w:rsidRPr="0063332A">
              <w:t>Mona Sahlin (s)</w:t>
            </w:r>
          </w:p>
        </w:tc>
        <w:tc>
          <w:tcPr>
            <w:tcW w:w="3046" w:type="dxa"/>
          </w:tcPr>
          <w:p w:rsidR="009B6F8E" w:rsidRPr="0063332A" w:rsidRDefault="009B6F8E">
            <w:pPr>
              <w:pStyle w:val="Underskrifter"/>
              <w:shd w:val="clear" w:color="000000" w:fill="auto"/>
            </w:pPr>
          </w:p>
        </w:tc>
      </w:tr>
      <w:tr w:rsidR="00000000" w:rsidRPr="0063332A">
        <w:trPr>
          <w:cantSplit/>
        </w:trPr>
        <w:tc>
          <w:tcPr>
            <w:tcW w:w="3046" w:type="dxa"/>
          </w:tcPr>
          <w:p w:rsidR="009B6F8E" w:rsidRPr="0063332A" w:rsidRDefault="009B6F8E">
            <w:pPr>
              <w:pStyle w:val="Underskrifter"/>
              <w:shd w:val="clear" w:color="000000" w:fill="auto"/>
            </w:pPr>
            <w:r w:rsidRPr="0063332A">
              <w:t>Britt Bohlin Olsson (s)</w:t>
            </w:r>
          </w:p>
        </w:tc>
        <w:tc>
          <w:tcPr>
            <w:tcW w:w="3046" w:type="dxa"/>
          </w:tcPr>
          <w:p w:rsidR="009B6F8E" w:rsidRPr="0063332A" w:rsidRDefault="009B6F8E">
            <w:pPr>
              <w:pStyle w:val="Underskrifter"/>
              <w:shd w:val="clear" w:color="000000" w:fill="auto"/>
            </w:pPr>
            <w:r w:rsidRPr="0063332A">
              <w:t>Leif Jakobsson (s)</w:t>
            </w:r>
          </w:p>
        </w:tc>
      </w:tr>
      <w:tr w:rsidR="00000000" w:rsidRPr="0063332A">
        <w:trPr>
          <w:cantSplit/>
        </w:trPr>
        <w:tc>
          <w:tcPr>
            <w:tcW w:w="3046" w:type="dxa"/>
          </w:tcPr>
          <w:p w:rsidR="009B6F8E" w:rsidRPr="0063332A" w:rsidRDefault="009B6F8E">
            <w:pPr>
              <w:pStyle w:val="Underskrifter"/>
              <w:shd w:val="clear" w:color="000000" w:fill="auto"/>
            </w:pPr>
            <w:r w:rsidRPr="0063332A">
              <w:t>Kristina Zakrisson (s)</w:t>
            </w:r>
          </w:p>
        </w:tc>
        <w:tc>
          <w:tcPr>
            <w:tcW w:w="3046" w:type="dxa"/>
          </w:tcPr>
          <w:p w:rsidR="009B6F8E" w:rsidRPr="0063332A" w:rsidRDefault="009B6F8E">
            <w:pPr>
              <w:pStyle w:val="Underskrifter"/>
              <w:shd w:val="clear" w:color="000000" w:fill="auto"/>
            </w:pPr>
            <w:r w:rsidRPr="0063332A">
              <w:t>Tone Tingsgård (s)</w:t>
            </w:r>
          </w:p>
        </w:tc>
      </w:tr>
      <w:tr w:rsidR="00000000" w:rsidRPr="0063332A">
        <w:trPr>
          <w:cantSplit/>
        </w:trPr>
        <w:tc>
          <w:tcPr>
            <w:tcW w:w="3046" w:type="dxa"/>
          </w:tcPr>
          <w:p w:rsidR="009B6F8E" w:rsidRPr="0063332A" w:rsidRDefault="009B6F8E">
            <w:pPr>
              <w:pStyle w:val="Underskrifter"/>
              <w:shd w:val="clear" w:color="000000" w:fill="auto"/>
            </w:pPr>
            <w:r w:rsidRPr="0063332A">
              <w:t>Sven-Erik Österberg (s)</w:t>
            </w:r>
          </w:p>
        </w:tc>
        <w:tc>
          <w:tcPr>
            <w:tcW w:w="3046" w:type="dxa"/>
          </w:tcPr>
          <w:p w:rsidR="009B6F8E" w:rsidRPr="0063332A" w:rsidRDefault="009B6F8E">
            <w:pPr>
              <w:pStyle w:val="Underskrifter"/>
              <w:shd w:val="clear" w:color="000000" w:fill="auto"/>
            </w:pPr>
            <w:r w:rsidRPr="0063332A">
              <w:t>Berit Andnor (s)</w:t>
            </w:r>
          </w:p>
        </w:tc>
      </w:tr>
      <w:tr w:rsidR="00000000" w:rsidRPr="0063332A">
        <w:trPr>
          <w:cantSplit/>
        </w:trPr>
        <w:tc>
          <w:tcPr>
            <w:tcW w:w="3046" w:type="dxa"/>
          </w:tcPr>
          <w:p w:rsidR="009B6F8E" w:rsidRPr="0063332A" w:rsidRDefault="009B6F8E">
            <w:pPr>
              <w:pStyle w:val="Underskrifter"/>
              <w:shd w:val="clear" w:color="000000" w:fill="auto"/>
            </w:pPr>
            <w:r w:rsidRPr="0063332A">
              <w:t>Thomas Östros (s)</w:t>
            </w:r>
          </w:p>
        </w:tc>
        <w:tc>
          <w:tcPr>
            <w:tcW w:w="3046" w:type="dxa"/>
          </w:tcPr>
          <w:p w:rsidR="009B6F8E" w:rsidRPr="0063332A" w:rsidRDefault="009B6F8E">
            <w:pPr>
              <w:pStyle w:val="Underskrifter"/>
              <w:shd w:val="clear" w:color="000000" w:fill="auto"/>
            </w:pPr>
            <w:r w:rsidRPr="0063332A">
              <w:t>Lars Johansson (s)</w:t>
            </w:r>
          </w:p>
        </w:tc>
      </w:tr>
      <w:tr w:rsidR="00000000" w:rsidRPr="0063332A">
        <w:trPr>
          <w:cantSplit/>
        </w:trPr>
        <w:tc>
          <w:tcPr>
            <w:tcW w:w="3046" w:type="dxa"/>
          </w:tcPr>
          <w:p w:rsidR="009B6F8E" w:rsidRPr="0063332A" w:rsidRDefault="009B6F8E">
            <w:pPr>
              <w:pStyle w:val="Underskrifter"/>
              <w:shd w:val="clear" w:color="000000" w:fill="auto"/>
            </w:pPr>
            <w:r w:rsidRPr="0063332A">
              <w:t>Thomas Bodström (s)</w:t>
            </w:r>
          </w:p>
        </w:tc>
        <w:tc>
          <w:tcPr>
            <w:tcW w:w="3046" w:type="dxa"/>
          </w:tcPr>
          <w:p w:rsidR="009B6F8E" w:rsidRPr="0063332A" w:rsidRDefault="009B6F8E">
            <w:pPr>
              <w:pStyle w:val="Underskrifter"/>
              <w:shd w:val="clear" w:color="000000" w:fill="auto"/>
            </w:pPr>
            <w:r w:rsidRPr="0063332A">
              <w:t>Carina Moberg (s)</w:t>
            </w:r>
          </w:p>
        </w:tc>
      </w:tr>
      <w:tr w:rsidR="00000000" w:rsidRPr="0063332A">
        <w:trPr>
          <w:cantSplit/>
        </w:trPr>
        <w:tc>
          <w:tcPr>
            <w:tcW w:w="3046" w:type="dxa"/>
          </w:tcPr>
          <w:p w:rsidR="009B6F8E" w:rsidRPr="0063332A" w:rsidRDefault="009B6F8E">
            <w:pPr>
              <w:pStyle w:val="Underskrifter"/>
              <w:shd w:val="clear" w:color="000000" w:fill="auto"/>
            </w:pPr>
            <w:r w:rsidRPr="0063332A">
              <w:t>Urban Ahlin (s)</w:t>
            </w:r>
          </w:p>
        </w:tc>
        <w:tc>
          <w:tcPr>
            <w:tcW w:w="3046" w:type="dxa"/>
          </w:tcPr>
          <w:p w:rsidR="009B6F8E" w:rsidRPr="0063332A" w:rsidRDefault="009B6F8E">
            <w:pPr>
              <w:pStyle w:val="Underskrifter"/>
              <w:shd w:val="clear" w:color="000000" w:fill="auto"/>
            </w:pPr>
            <w:r w:rsidRPr="0063332A">
              <w:t>Anders Karlsson (s)</w:t>
            </w:r>
          </w:p>
        </w:tc>
      </w:tr>
      <w:tr w:rsidR="00000000" w:rsidRPr="0063332A">
        <w:trPr>
          <w:cantSplit/>
        </w:trPr>
        <w:tc>
          <w:tcPr>
            <w:tcW w:w="3046" w:type="dxa"/>
          </w:tcPr>
          <w:p w:rsidR="009B6F8E" w:rsidRPr="0063332A" w:rsidRDefault="009B6F8E">
            <w:pPr>
              <w:pStyle w:val="Underskrifter"/>
              <w:shd w:val="clear" w:color="000000" w:fill="auto"/>
            </w:pPr>
            <w:r w:rsidRPr="0063332A">
              <w:t>Veronica Palm (s)</w:t>
            </w:r>
          </w:p>
        </w:tc>
        <w:tc>
          <w:tcPr>
            <w:tcW w:w="3046" w:type="dxa"/>
          </w:tcPr>
          <w:p w:rsidR="009B6F8E" w:rsidRPr="0063332A" w:rsidRDefault="009B6F8E">
            <w:pPr>
              <w:pStyle w:val="Underskrifter"/>
              <w:shd w:val="clear" w:color="000000" w:fill="auto"/>
            </w:pPr>
            <w:r w:rsidRPr="0063332A">
              <w:t>Ylva Johansson (s)</w:t>
            </w:r>
          </w:p>
        </w:tc>
      </w:tr>
      <w:tr w:rsidR="00000000" w:rsidRPr="0063332A">
        <w:trPr>
          <w:cantSplit/>
        </w:trPr>
        <w:tc>
          <w:tcPr>
            <w:tcW w:w="3046" w:type="dxa"/>
          </w:tcPr>
          <w:p w:rsidR="009B6F8E" w:rsidRPr="0063332A" w:rsidRDefault="009B6F8E">
            <w:pPr>
              <w:pStyle w:val="Underskrifter"/>
              <w:shd w:val="clear" w:color="000000" w:fill="auto"/>
            </w:pPr>
            <w:r w:rsidRPr="0063332A">
              <w:t>Margareta Israelsson (s)</w:t>
            </w:r>
          </w:p>
        </w:tc>
        <w:tc>
          <w:tcPr>
            <w:tcW w:w="3046" w:type="dxa"/>
          </w:tcPr>
          <w:p w:rsidR="009B6F8E" w:rsidRPr="0063332A" w:rsidRDefault="009B6F8E">
            <w:pPr>
              <w:pStyle w:val="Underskrifter"/>
              <w:shd w:val="clear" w:color="000000" w:fill="auto"/>
            </w:pPr>
            <w:r w:rsidRPr="0063332A">
              <w:t>Marie Granlund (s)</w:t>
            </w:r>
          </w:p>
        </w:tc>
      </w:tr>
      <w:tr w:rsidR="00000000" w:rsidRPr="0063332A">
        <w:trPr>
          <w:cantSplit/>
        </w:trPr>
        <w:tc>
          <w:tcPr>
            <w:tcW w:w="3046" w:type="dxa"/>
          </w:tcPr>
          <w:p w:rsidR="009B6F8E" w:rsidRPr="0063332A" w:rsidRDefault="009B6F8E">
            <w:pPr>
              <w:pStyle w:val="Underskrifter"/>
              <w:shd w:val="clear" w:color="000000" w:fill="auto"/>
            </w:pPr>
            <w:r w:rsidRPr="0063332A">
              <w:t>Ibrahim Baylan (s)</w:t>
            </w:r>
          </w:p>
        </w:tc>
        <w:tc>
          <w:tcPr>
            <w:tcW w:w="3046" w:type="dxa"/>
          </w:tcPr>
          <w:p w:rsidR="009B6F8E" w:rsidRPr="0063332A" w:rsidRDefault="009B6F8E">
            <w:pPr>
              <w:pStyle w:val="Underskrifter"/>
              <w:shd w:val="clear" w:color="000000" w:fill="auto"/>
            </w:pPr>
            <w:r w:rsidRPr="0063332A">
              <w:t>Anders Ygeman (s)</w:t>
            </w:r>
          </w:p>
        </w:tc>
      </w:tr>
      <w:tr w:rsidR="00000000" w:rsidRPr="0063332A">
        <w:trPr>
          <w:cantSplit/>
        </w:trPr>
        <w:tc>
          <w:tcPr>
            <w:tcW w:w="3046" w:type="dxa"/>
          </w:tcPr>
          <w:p w:rsidR="009B6F8E" w:rsidRPr="0063332A" w:rsidRDefault="009B6F8E">
            <w:pPr>
              <w:pStyle w:val="Underskrifter"/>
              <w:shd w:val="clear" w:color="000000" w:fill="auto"/>
            </w:pPr>
            <w:r w:rsidRPr="0063332A">
              <w:t>Tomas Eneroth (s)</w:t>
            </w:r>
          </w:p>
        </w:tc>
        <w:tc>
          <w:tcPr>
            <w:tcW w:w="3046" w:type="dxa"/>
          </w:tcPr>
          <w:p w:rsidR="009B6F8E" w:rsidRPr="0063332A" w:rsidRDefault="009B6F8E">
            <w:pPr>
              <w:pStyle w:val="Underskrifter"/>
              <w:shd w:val="clear" w:color="000000" w:fill="auto"/>
            </w:pPr>
            <w:r w:rsidRPr="0063332A">
              <w:t>Susanne Eberstein (s)</w:t>
            </w:r>
          </w:p>
        </w:tc>
      </w:tr>
    </w:tbl>
    <w:p w:rsidR="009B6F8E" w:rsidRPr="0063332A" w:rsidRDefault="009B6F8E">
      <w:pPr>
        <w:pStyle w:val="Normaltindrag"/>
        <w:shd w:val="clear" w:color="000000" w:fill="auto"/>
      </w:pPr>
    </w:p>
    <w:sectPr w:rsidR="009B6F8E" w:rsidRPr="006333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6F8E" w:rsidRPr="0063332A" w:rsidRDefault="009B6F8E">
      <w:r w:rsidRPr="0063332A">
        <w:separator/>
      </w:r>
    </w:p>
  </w:endnote>
  <w:endnote w:type="continuationSeparator" w:id="0">
    <w:p w:rsidR="009B6F8E" w:rsidRPr="0063332A" w:rsidRDefault="009B6F8E">
      <w:r w:rsidRPr="006333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F8E" w:rsidRPr="0063332A" w:rsidRDefault="0063332A">
    <w:pPr>
      <w:pStyle w:val="Sidfot"/>
    </w:pPr>
    <w:r w:rsidRPr="006333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33109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F8E" w:rsidRDefault="009B6F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6F8E" w:rsidRDefault="009B6F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F8E" w:rsidRPr="0063332A" w:rsidRDefault="0063332A">
    <w:pPr>
      <w:pStyle w:val="Sidfot"/>
    </w:pPr>
    <w:r w:rsidRPr="006333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72329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F8E" w:rsidRDefault="009B6F8E">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6F8E" w:rsidRDefault="009B6F8E">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F8E" w:rsidRPr="0063332A" w:rsidRDefault="0063332A">
    <w:pPr>
      <w:pStyle w:val="Sidfot"/>
    </w:pPr>
    <w:r w:rsidRPr="006333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50016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F8E" w:rsidRDefault="009B6F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6F8E" w:rsidRDefault="009B6F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6F8E" w:rsidRPr="0063332A" w:rsidRDefault="009B6F8E">
      <w:r w:rsidRPr="0063332A">
        <w:separator/>
      </w:r>
    </w:p>
  </w:footnote>
  <w:footnote w:type="continuationSeparator" w:id="0">
    <w:p w:rsidR="009B6F8E" w:rsidRPr="0063332A" w:rsidRDefault="009B6F8E">
      <w:r w:rsidRPr="006333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F8E" w:rsidRPr="0063332A" w:rsidRDefault="0063332A">
    <w:pPr>
      <w:pStyle w:val="Sidhuvud"/>
    </w:pPr>
    <w:r w:rsidRPr="006333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20435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F8E" w:rsidRDefault="009B6F8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6F8E" w:rsidRDefault="009B6F8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F8E" w:rsidRPr="0063332A" w:rsidRDefault="0063332A">
    <w:pPr>
      <w:pStyle w:val="Sidhuvud"/>
    </w:pPr>
    <w:r w:rsidRPr="006333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13610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F8E" w:rsidRDefault="009B6F8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6F8E" w:rsidRDefault="009B6F8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F8E" w:rsidRPr="0063332A" w:rsidRDefault="009B6F8E">
    <w:pPr>
      <w:pStyle w:val="FSHNormal"/>
      <w:tabs>
        <w:tab w:val="right" w:pos="5840"/>
      </w:tabs>
    </w:pPr>
    <w:r w:rsidRPr="0063332A">
      <w:br/>
    </w:r>
    <w:r w:rsidRPr="0063332A">
      <w:fldChar w:fldCharType="begin" w:fldLock="1"/>
    </w:r>
    <w:r w:rsidRPr="0063332A">
      <w:instrText xml:space="preserve"> DOCPROPERTY</w:instrText>
    </w:r>
    <w:r w:rsidRPr="0063332A">
      <w:rPr>
        <w:sz w:val="18"/>
      </w:rPr>
      <w:instrText xml:space="preserve"> "YearUser" *\charformat </w:instrText>
    </w:r>
    <w:r w:rsidRPr="0063332A">
      <w:fldChar w:fldCharType="separate"/>
    </w:r>
    <w:r w:rsidRPr="0063332A">
      <w:t>2007/08</w:t>
    </w:r>
    <w:r w:rsidRPr="0063332A">
      <w:fldChar w:fldCharType="end"/>
    </w:r>
    <w:r w:rsidRPr="0063332A">
      <w:t xml:space="preserve"> </w:t>
    </w:r>
    <w:r w:rsidRPr="0063332A">
      <w:tab/>
      <w:t xml:space="preserve">mnr: </w:t>
    </w:r>
    <w:r w:rsidRPr="0063332A">
      <w:fldChar w:fldCharType="begin" w:fldLock="1"/>
    </w:r>
    <w:r w:rsidRPr="0063332A">
      <w:instrText xml:space="preserve"> DOCPROPERTY</w:instrText>
    </w:r>
    <w:r w:rsidRPr="0063332A">
      <w:rPr>
        <w:sz w:val="18"/>
      </w:rPr>
      <w:instrText xml:space="preserve"> "Motionsnummer" *\charformat </w:instrText>
    </w:r>
    <w:r w:rsidRPr="0063332A">
      <w:fldChar w:fldCharType="separate"/>
    </w:r>
    <w:r w:rsidRPr="0063332A">
      <w:t>Fi14</w:t>
    </w:r>
    <w:r w:rsidRPr="0063332A">
      <w:fldChar w:fldCharType="end"/>
    </w:r>
    <w:r w:rsidRPr="0063332A">
      <w:br/>
    </w:r>
    <w:r w:rsidRPr="0063332A">
      <w:fldChar w:fldCharType="begin" w:fldLock="1"/>
    </w:r>
    <w:r w:rsidRPr="0063332A">
      <w:instrText xml:space="preserve"> DOCPROPERTY</w:instrText>
    </w:r>
    <w:r w:rsidRPr="0063332A">
      <w:rPr>
        <w:sz w:val="18"/>
      </w:rPr>
      <w:instrText xml:space="preserve"> "Samling" *\charformat </w:instrText>
    </w:r>
    <w:r w:rsidRPr="0063332A">
      <w:fldChar w:fldCharType="end"/>
    </w:r>
    <w:r w:rsidRPr="0063332A">
      <w:tab/>
      <w:t xml:space="preserve">pnr: </w:t>
    </w:r>
    <w:r w:rsidRPr="0063332A">
      <w:fldChar w:fldCharType="begin" w:fldLock="1"/>
    </w:r>
    <w:r w:rsidRPr="0063332A">
      <w:instrText xml:space="preserve"> DOCPROPERTY</w:instrText>
    </w:r>
    <w:r w:rsidRPr="0063332A">
      <w:rPr>
        <w:sz w:val="18"/>
      </w:rPr>
      <w:instrText xml:space="preserve"> "Partinummer" *\charformat </w:instrText>
    </w:r>
    <w:r w:rsidRPr="0063332A">
      <w:fldChar w:fldCharType="separate"/>
    </w:r>
    <w:r w:rsidRPr="0063332A">
      <w:t>s33301</w:t>
    </w:r>
    <w:r w:rsidRPr="0063332A">
      <w:fldChar w:fldCharType="end"/>
    </w:r>
  </w:p>
  <w:p w:rsidR="009B6F8E" w:rsidRPr="0063332A" w:rsidRDefault="009B6F8E">
    <w:pPr>
      <w:pStyle w:val="FSHRub1"/>
    </w:pPr>
    <w:r w:rsidRPr="0063332A">
      <w:t>Motion till riksdagen</w:t>
    </w:r>
    <w:r w:rsidRPr="0063332A">
      <w:br/>
    </w:r>
    <w:r w:rsidRPr="0063332A">
      <w:fldChar w:fldCharType="begin" w:fldLock="1"/>
    </w:r>
    <w:r w:rsidRPr="0063332A">
      <w:instrText xml:space="preserve"> DOCPROPERTY "YearUser" *\charformat </w:instrText>
    </w:r>
    <w:r w:rsidRPr="0063332A">
      <w:fldChar w:fldCharType="separate"/>
    </w:r>
    <w:r w:rsidRPr="0063332A">
      <w:t>2007/08</w:t>
    </w:r>
    <w:r w:rsidRPr="0063332A">
      <w:fldChar w:fldCharType="end"/>
    </w:r>
    <w:r w:rsidRPr="0063332A">
      <w:t>:</w:t>
    </w:r>
    <w:r w:rsidRPr="0063332A">
      <w:fldChar w:fldCharType="begin" w:fldLock="1"/>
    </w:r>
    <w:r w:rsidRPr="0063332A">
      <w:instrText xml:space="preserve"> DOCPROPERTY "Motionsnummer" *\charformat </w:instrText>
    </w:r>
    <w:r w:rsidRPr="0063332A">
      <w:fldChar w:fldCharType="separate"/>
    </w:r>
    <w:r w:rsidRPr="0063332A">
      <w:t>Fi14</w:t>
    </w:r>
    <w:r w:rsidRPr="0063332A">
      <w:fldChar w:fldCharType="end"/>
    </w:r>
  </w:p>
  <w:p w:rsidR="009B6F8E" w:rsidRPr="0063332A" w:rsidRDefault="009B6F8E">
    <w:pPr>
      <w:pStyle w:val="FSHNormalS5"/>
    </w:pPr>
    <w:r w:rsidRPr="0063332A">
      <w:fldChar w:fldCharType="begin" w:fldLock="1"/>
    </w:r>
    <w:r w:rsidRPr="0063332A">
      <w:instrText xml:space="preserve"> DOCPROPERTY "MotionarText" *\charformat </w:instrText>
    </w:r>
    <w:r w:rsidRPr="0063332A">
      <w:fldChar w:fldCharType="separate"/>
    </w:r>
    <w:r w:rsidRPr="0063332A">
      <w:t>av Mona Sahlin m.fl. (s)</w:t>
    </w:r>
    <w:r w:rsidRPr="0063332A">
      <w:fldChar w:fldCharType="end"/>
    </w:r>
    <w:r w:rsidRPr="0063332A">
      <w:br/>
    </w:r>
    <w:r w:rsidRPr="0063332A">
      <w:fldChar w:fldCharType="begin" w:fldLock="1"/>
    </w:r>
    <w:r w:rsidRPr="0063332A">
      <w:instrText xml:space="preserve"> DOCPROPERTY "SvarFrasKort" *\charformat </w:instrText>
    </w:r>
    <w:r w:rsidRPr="0063332A">
      <w:fldChar w:fldCharType="separate"/>
    </w:r>
    <w:r w:rsidRPr="0063332A">
      <w:t>med anledning av prop. 2007/08:99</w:t>
    </w:r>
    <w:r w:rsidRPr="0063332A">
      <w:fldChar w:fldCharType="end"/>
    </w:r>
  </w:p>
  <w:p w:rsidR="009B6F8E" w:rsidRPr="0063332A" w:rsidRDefault="009B6F8E">
    <w:pPr>
      <w:pStyle w:val="FSHTitel"/>
    </w:pPr>
    <w:r w:rsidRPr="0063332A">
      <w:fldChar w:fldCharType="begin" w:fldLock="1"/>
    </w:r>
    <w:r w:rsidRPr="0063332A">
      <w:instrText xml:space="preserve"> DOCPROPERTY</w:instrText>
    </w:r>
    <w:r w:rsidRPr="0063332A">
      <w:rPr>
        <w:sz w:val="18"/>
      </w:rPr>
      <w:instrText xml:space="preserve"> "RubrikSvar" *\charformat </w:instrText>
    </w:r>
    <w:r w:rsidRPr="0063332A">
      <w:fldChar w:fldCharType="separate"/>
    </w:r>
    <w:r w:rsidRPr="0063332A">
      <w:t>Tilläggsbudget till statsbudgeten 2008</w:t>
    </w:r>
    <w:r w:rsidRPr="0063332A">
      <w:fldChar w:fldCharType="end"/>
    </w:r>
  </w:p>
  <w:p w:rsidR="009B6F8E" w:rsidRPr="0063332A" w:rsidRDefault="009B6F8E">
    <w:pPr>
      <w:pStyle w:val="Normal00"/>
    </w:pPr>
  </w:p>
  <w:p w:rsidR="009B6F8E" w:rsidRPr="0063332A" w:rsidRDefault="009B6F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AA66868"/>
    <w:multiLevelType w:val="hybridMultilevel"/>
    <w:tmpl w:val="542814E8"/>
    <w:lvl w:ilvl="0" w:tplc="8FA2BAB2">
      <w:start w:val="1"/>
      <w:numFmt w:val="decimal"/>
      <w:lvlText w:val="%1."/>
      <w:lvlJc w:val="left"/>
      <w:pPr>
        <w:tabs>
          <w:tab w:val="num" w:pos="1080"/>
        </w:tabs>
        <w:ind w:left="1080" w:hanging="360"/>
      </w:pPr>
      <w:rPr>
        <w:rFonts w:hint="default"/>
      </w:rPr>
    </w:lvl>
    <w:lvl w:ilvl="1" w:tplc="041D0019" w:tentative="1">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tentative="1">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B6F1FDC"/>
    <w:multiLevelType w:val="hybridMultilevel"/>
    <w:tmpl w:val="2DFC72E0"/>
    <w:lvl w:ilvl="0" w:tplc="571EA42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7585245">
    <w:abstractNumId w:val="8"/>
  </w:num>
  <w:num w:numId="2" w16cid:durableId="579019833">
    <w:abstractNumId w:val="9"/>
  </w:num>
  <w:num w:numId="3" w16cid:durableId="1365013406">
    <w:abstractNumId w:val="8"/>
  </w:num>
  <w:num w:numId="4" w16cid:durableId="1136291042">
    <w:abstractNumId w:val="9"/>
  </w:num>
  <w:num w:numId="5" w16cid:durableId="1465273654">
    <w:abstractNumId w:val="15"/>
  </w:num>
  <w:num w:numId="6" w16cid:durableId="1194416020">
    <w:abstractNumId w:val="10"/>
  </w:num>
  <w:num w:numId="7" w16cid:durableId="310596691">
    <w:abstractNumId w:val="11"/>
  </w:num>
  <w:num w:numId="8" w16cid:durableId="1107195149">
    <w:abstractNumId w:val="13"/>
  </w:num>
  <w:num w:numId="9" w16cid:durableId="1428312036">
    <w:abstractNumId w:val="8"/>
  </w:num>
  <w:num w:numId="10" w16cid:durableId="320547490">
    <w:abstractNumId w:val="3"/>
  </w:num>
  <w:num w:numId="11" w16cid:durableId="1317107307">
    <w:abstractNumId w:val="2"/>
  </w:num>
  <w:num w:numId="12" w16cid:durableId="1062293051">
    <w:abstractNumId w:val="1"/>
  </w:num>
  <w:num w:numId="13" w16cid:durableId="1702896624">
    <w:abstractNumId w:val="0"/>
  </w:num>
  <w:num w:numId="14" w16cid:durableId="1989675320">
    <w:abstractNumId w:val="9"/>
  </w:num>
  <w:num w:numId="15" w16cid:durableId="1581257050">
    <w:abstractNumId w:val="7"/>
  </w:num>
  <w:num w:numId="16" w16cid:durableId="1271163289">
    <w:abstractNumId w:val="6"/>
  </w:num>
  <w:num w:numId="17" w16cid:durableId="1456866882">
    <w:abstractNumId w:val="5"/>
  </w:num>
  <w:num w:numId="18" w16cid:durableId="1127773129">
    <w:abstractNumId w:val="4"/>
  </w:num>
  <w:num w:numId="19" w16cid:durableId="1086920234">
    <w:abstractNumId w:val="14"/>
  </w:num>
  <w:num w:numId="20" w16cid:durableId="2687769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21"/>
    <w:docVar w:name="PersonGUIDs" w:val="{87D82EC0-2606-4748-B2F8-C15B9C400F61},{E9BF316F-7794-4C1D-8339-9FCF291F32FF},{6B3FDFA4-2A8F-43C6-9666-D2940B5F9B8E},{1B0EC7B2-9F16-4391-A824-2F6E746B104D},{8F3168D7-0428-4E9F-B316-03268863E52C},{3AE19472-61BC-4D27-950A-CDDC8BE74CDB},{36FA034E-DC39-47F3-9CBF-A58816E9D614},{8174F5EC-2C19-47A7-8116-E29AECD635DD},{C2D4C815-8494-46B9-83F9-6CC88ABB57BF},{349DFFC3-1610-4F4F-810F-7A45AFC8CD38},{15B8594E-BEA9-43CC-A165-F86182734E4A},{A8194111-5C9A-450F-94FF-C41A79E3A58A},{9A5E592E-5AED-4597-A102-9913986F01D0},{A9FDCBAD-C520-44DD-BD41-38A8429276DE},{0ECF5971-F319-46F5-8A4E-B593D2E1651F},{53DF2A6D-B285-44EC-AF7B-4787DC9C4E6E},{568AD98A-85D3-490B-AD8D-C0EF77912EFA},{B39F2EAC-28B6-4301-90E8-43C0E100F208},{A507F21D-0507-473C-BE5A-C36D18D583BF},{042520C7-60F5-4483-8053-858F5CC61EA2},{21D981AD-E09E-4AE1-8E77-E42F68C9CCDC}"/>
  </w:docVars>
  <w:rsids>
    <w:rsidRoot w:val="006D153E"/>
    <w:rsid w:val="0063332A"/>
    <w:rsid w:val="006D153E"/>
    <w:rsid w:val="009B6F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584495-04C3-41CC-BBB9-611CDA70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1299</Words>
  <Characters>7796</Characters>
  <Application>Microsoft Office Word</Application>
  <DocSecurity>4</DocSecurity>
  <Lines>236</Lines>
  <Paragraphs>154</Paragraphs>
  <ScaleCrop>false</ScaleCrop>
  <HeadingPairs>
    <vt:vector size="2" baseType="variant">
      <vt:variant>
        <vt:lpstr>Rubrik</vt:lpstr>
      </vt:variant>
      <vt:variant>
        <vt:i4>1</vt:i4>
      </vt:variant>
    </vt:vector>
  </HeadingPairs>
  <TitlesOfParts>
    <vt:vector size="1" baseType="lpstr">
      <vt:lpstr>s33301</vt:lpstr>
    </vt:vector>
  </TitlesOfParts>
  <Company>Riksdagen</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s33301</dc:title>
  <dc:subject>s33301</dc:subject>
  <dc:creator>Riksdagen</dc:creator>
  <cp:keywords>Riksdagen</cp:keywords>
  <dc:description>TKG-ktrl, MSMQ4mb, PersReg-Distribution mm</dc:description>
  <cp:lastModifiedBy>Lars Brink</cp:lastModifiedBy>
  <cp:revision>2</cp:revision>
  <cp:lastPrinted>2008-05-13T06:17:00Z</cp:lastPrinted>
  <dcterms:created xsi:type="dcterms:W3CDTF">2025-12-17T05:08:00Z</dcterms:created>
  <dcterms:modified xsi:type="dcterms:W3CDTF">2025-12-17T05:08:00Z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mot2000_492_2008-04-21</vt:lpwstr>
  </property>
  <property fmtid="{D5CDD505-2E9C-101B-9397-08002B2CF9AE}" pid="3" name="version">
    <vt:lpwstr>mot2000_492_2008-04-21</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2007/08:99 Tilläggsbudget till statsbudgeten 2008</vt:lpwstr>
  </property>
  <property fmtid="{D5CDD505-2E9C-101B-9397-08002B2CF9AE}" pid="11" name="SvarFrasKort">
    <vt:lpwstr>med anledning av prop. 2007/08:99</vt:lpwstr>
  </property>
  <property fmtid="{D5CDD505-2E9C-101B-9397-08002B2CF9AE}" pid="12" name="Svar">
    <vt:lpwstr>Proposition</vt:lpwstr>
  </property>
  <property fmtid="{D5CDD505-2E9C-101B-9397-08002B2CF9AE}" pid="13" name="SvarNr">
    <vt:lpwstr>2007/08:99</vt:lpwstr>
  </property>
  <property fmtid="{D5CDD505-2E9C-101B-9397-08002B2CF9AE}" pid="14" name="RubrikSvar">
    <vt:lpwstr>Tilläggsbudget till statsbudgeten 2008</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s33301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21</vt:lpwstr>
  </property>
  <property fmtid="{D5CDD505-2E9C-101B-9397-08002B2CF9AE}" pid="25" name="MotionarText">
    <vt:lpwstr>av Mona Sahlin m.fl. (s)</vt:lpwstr>
  </property>
  <property fmtid="{D5CDD505-2E9C-101B-9397-08002B2CF9AE}" pid="26" name="MotionarLista">
    <vt:lpwstr>Sahlin, Mona (s)\Bohlin Olsson, Britt (s)\Jakobsson, Leif (s)\Zakrisson, Kristina (s)\Tingsgård, Tone (s)\Österberg, Sven-Erik (s)\Andnor, Berit (s)\Östros, Thomas (s)\Johansson, Lars (s)\Bodström, Thomas (s)\Moberg, Carina (s)\Ahlin, Urban (s)\</vt:lpwstr>
  </property>
  <property fmtid="{D5CDD505-2E9C-101B-9397-08002B2CF9AE}" pid="27" name="MotionarLista1">
    <vt:lpwstr>Karlsson, Anders (s)\Palm, Veronica (s)\Johansson, Ylva (s)\Israelsson, Margareta (s)\Granlund, Marie (s)\Baylan, Ibrahim (s)\Ygeman, Anders (s)\Eneroth, Tomas (s)\Eberstein, Susanne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Sahlin (s), Britt Bohlin Olsson (s), Leif Jakobsson (s), Kristina Zakrisson (s), Tone Tingsgård (s), Sven-Erik Österberg (s), Berit Andnor (s), Thomas Östros (s), Lars Johansson (s), Thomas Bodström (s), Carina Moberg (s), Urban Ahlin (s), Anders Kar</vt:lpwstr>
  </property>
  <property fmtid="{D5CDD505-2E9C-101B-9397-08002B2CF9AE}" pid="31" name="MotionarLotus1">
    <vt:lpwstr>lsson (s), Veronica Palm (s), Ylva Johansson (s), Margareta Israelsson (s), Marie Granlund (s), Ibrahim Baylan (s), Anders Ygeman (s), Tomas Eneroth (s), Susanne Eberstein (s)</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Fi14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maj 2008</vt:lpwstr>
  </property>
  <property fmtid="{D5CDD505-2E9C-101B-9397-08002B2CF9AE}" pid="44" name="NotesUID">
    <vt:lpwstr>kata.hansson@riksdagen.se</vt:lpwstr>
  </property>
  <property fmtid="{D5CDD505-2E9C-101B-9397-08002B2CF9AE}" pid="45" name="ReservUID">
    <vt:lpwstr>ka0323aa</vt:lpwstr>
  </property>
  <property fmtid="{D5CDD505-2E9C-101B-9397-08002B2CF9AE}" pid="46" name="MotionID">
    <vt:lpwstr>20072008000000000115000333010080</vt:lpwstr>
  </property>
  <property fmtid="{D5CDD505-2E9C-101B-9397-08002B2CF9AE}" pid="47" name="datum">
    <vt:lpwstr>080507</vt:lpwstr>
  </property>
  <property fmtid="{D5CDD505-2E9C-101B-9397-08002B2CF9AE}" pid="48" name="avsändar-e-post">
    <vt:lpwstr>kata.hansson@riksdagen.se</vt:lpwstr>
  </property>
  <property fmtid="{D5CDD505-2E9C-101B-9397-08002B2CF9AE}" pid="49" name="id">
    <vt:lpwstr>20072008000000000115000333010080</vt:lpwstr>
  </property>
  <property fmtid="{D5CDD505-2E9C-101B-9397-08002B2CF9AE}" pid="50" name="nummer">
    <vt:lpwstr>14</vt:lpwstr>
  </property>
  <property fmtid="{D5CDD505-2E9C-101B-9397-08002B2CF9AE}" pid="51" name="utskottsbeteckning">
    <vt:lpwstr>Fi</vt:lpwstr>
  </property>
  <property fmtid="{D5CDD505-2E9C-101B-9397-08002B2CF9AE}" pid="52" name="GlobalUID">
    <vt:lpwstr>{8790DE6D-26EF-44BB-9645-FECD46558DB6}</vt:lpwstr>
  </property>
  <property fmtid="{D5CDD505-2E9C-101B-9397-08002B2CF9AE}" pid="53" name="Överföringar">
    <vt:i4>0</vt:i4>
  </property>
  <property fmtid="{D5CDD505-2E9C-101B-9397-08002B2CF9AE}" pid="54" name="Checksum">
    <vt:lpwstr>*0019108041730*</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080514 08:49:17.668</vt:lpwstr>
  </property>
  <property fmtid="{D5CDD505-2E9C-101B-9397-08002B2CF9AE}" pid="58" name="urixGuid">
    <vt:lpwstr>{787BC6DE-6580-4431-884B-1100FD1B9879}</vt:lpwstr>
  </property>
</Properties>
</file>