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9C0" w:rsidRPr="00593303" w:rsidRDefault="006569C0">
      <w:pPr>
        <w:pStyle w:val="Frslagsrubrik"/>
      </w:pPr>
      <w:r w:rsidRPr="00593303">
        <w:t>Förslag till riksdagsbeslut</w:t>
      </w:r>
    </w:p>
    <w:p w:rsidR="006569C0" w:rsidRPr="00593303" w:rsidRDefault="006569C0">
      <w:pPr>
        <w:pStyle w:val="Hemstlatt"/>
        <w:numPr>
          <w:ilvl w:val="0"/>
          <w:numId w:val="1"/>
        </w:numPr>
      </w:pPr>
      <w:r w:rsidRPr="00593303">
        <w:t>Riksdagen tillkännager för regeringen som sin mening vad som anförs i motionen om att sända tydliga direktiv till Högskoleverket att följa upp hur lärosätena klarar av att utforma u</w:t>
      </w:r>
      <w:r w:rsidRPr="00593303">
        <w:t>t</w:t>
      </w:r>
      <w:r w:rsidRPr="00593303">
        <w:t>bildningarna i syfte att säkerställa högskolestudenters anställning</w:t>
      </w:r>
      <w:r w:rsidRPr="00593303">
        <w:t>s</w:t>
      </w:r>
      <w:r w:rsidRPr="00593303">
        <w:t>barhet efter avslutad utbildning.</w:t>
      </w:r>
    </w:p>
    <w:p w:rsidR="006569C0" w:rsidRPr="00593303" w:rsidRDefault="006569C0">
      <w:pPr>
        <w:pStyle w:val="Hemstlatt"/>
        <w:numPr>
          <w:ilvl w:val="0"/>
          <w:numId w:val="1"/>
        </w:numPr>
      </w:pPr>
      <w:r w:rsidRPr="00593303">
        <w:t>Riksdagen tillkännager för regeringen som sin mening vad som anförs i motionen om att sända tydliga direktiv till Högskoleve</w:t>
      </w:r>
      <w:r w:rsidRPr="00593303">
        <w:t>r</w:t>
      </w:r>
      <w:r w:rsidRPr="00593303">
        <w:t>ket att följa upp hur lärosätena klarar av att samarbeta och föra dialog med det omgivande samhället och presumtiva arbetsgivare i syfte att öka anställningsbarheten hos studenterna efter avslutad utbil</w:t>
      </w:r>
      <w:r w:rsidRPr="00593303">
        <w:t>d</w:t>
      </w:r>
      <w:r w:rsidRPr="00593303">
        <w:t>ning.</w:t>
      </w:r>
    </w:p>
    <w:p w:rsidR="006569C0" w:rsidRPr="00593303" w:rsidRDefault="006569C0">
      <w:pPr>
        <w:pStyle w:val="Hemstlatt"/>
        <w:numPr>
          <w:ilvl w:val="0"/>
          <w:numId w:val="1"/>
        </w:numPr>
      </w:pPr>
      <w:r w:rsidRPr="00593303">
        <w:t>Riksdagen tillkännager för regeringen som sin mening vad som anförs i motionen om att förtydliga i högskolelagen (1 kap. 2 §) att lärosätena har skyldighet att fortlöpande följa upp examinerade studenter avseende hur de upplevt sin utbildning och dess lämplighet för arbetsmarknaden samt vilken framgång de rönt på arbetsmarkn</w:t>
      </w:r>
      <w:r w:rsidRPr="00593303">
        <w:t>a</w:t>
      </w:r>
      <w:r w:rsidRPr="00593303">
        <w:t>den efter avslutad utbildning.</w:t>
      </w:r>
    </w:p>
    <w:p w:rsidR="006569C0" w:rsidRPr="00593303" w:rsidRDefault="006569C0">
      <w:pPr>
        <w:pStyle w:val="Rubrik1"/>
      </w:pPr>
      <w:r w:rsidRPr="00593303">
        <w:t>Motivering</w:t>
      </w:r>
    </w:p>
    <w:p w:rsidR="006569C0" w:rsidRPr="00593303" w:rsidRDefault="006569C0">
      <w:pPr>
        <w:pStyle w:val="Normaltindrag"/>
        <w:ind w:firstLine="0"/>
      </w:pPr>
      <w:r w:rsidRPr="00593303">
        <w:t>Frågan om anställningsbarhet för studenter som genomgår en utbildning på högskola eller universitet är mycket viktig, dels då samhället satsar närmare 40 miljarder kronor på denna verksamhet årligen (till detta kommer fors</w:t>
      </w:r>
      <w:r w:rsidRPr="00593303">
        <w:t>k</w:t>
      </w:r>
      <w:r w:rsidRPr="00593303">
        <w:t>ningsanslag på närmare 7 miljarder kronor), dels då högskoleutbildningens kvalitet och effektivitet är oerhört viktig för Sveriges fortsatta välstånd och konkurrenskraft internationellt sett.</w:t>
      </w:r>
    </w:p>
    <w:p w:rsidR="006569C0" w:rsidRPr="00593303" w:rsidRDefault="006569C0">
      <w:pPr>
        <w:pStyle w:val="Normaltindrag"/>
      </w:pPr>
      <w:r w:rsidRPr="00593303">
        <w:t>För att kunna bedöma de examinerade studenternas framgång på arbet</w:t>
      </w:r>
      <w:r w:rsidRPr="00593303">
        <w:t>s</w:t>
      </w:r>
      <w:r w:rsidRPr="00593303">
        <w:t>marknaden efter avslutade studier krävs en ordentlig uppföljning av lärosä</w:t>
      </w:r>
      <w:r w:rsidRPr="00593303">
        <w:lastRenderedPageBreak/>
        <w:t>t</w:t>
      </w:r>
      <w:r w:rsidRPr="00593303">
        <w:t>e</w:t>
      </w:r>
      <w:r w:rsidRPr="00593303">
        <w:t xml:space="preserve">na och dess studenter. Enligt Riksrevisionens rapport </w:t>
      </w:r>
      <w:r w:rsidRPr="00593303">
        <w:rPr>
          <w:i/>
        </w:rPr>
        <w:t>Studenternas anstäl</w:t>
      </w:r>
      <w:r w:rsidRPr="00593303">
        <w:rPr>
          <w:i/>
        </w:rPr>
        <w:t>l</w:t>
      </w:r>
      <w:r w:rsidRPr="00593303">
        <w:rPr>
          <w:i/>
        </w:rPr>
        <w:t xml:space="preserve">ningsbarhet – regeringens och högskolans insatser </w:t>
      </w:r>
      <w:r w:rsidRPr="00593303">
        <w:t>(RiR 2009:28), finns det betydande brister i vissa lärosätens anpassning till aktuell arbetsmarknad och dess behov, men också på den uppföljning man bedriver. Riksrevisionen skriver följande på sidan elva i den ovan nämnda rapporten:</w:t>
      </w:r>
    </w:p>
    <w:p w:rsidR="006569C0" w:rsidRPr="00593303" w:rsidRDefault="006569C0">
      <w:pPr>
        <w:pStyle w:val="Citat"/>
      </w:pPr>
      <w:r w:rsidRPr="00593303">
        <w:t>Universitet och högskolor bör utveckla uppföljningen av sina insatser för att</w:t>
      </w:r>
      <w:r w:rsidRPr="00593303">
        <w:t xml:space="preserve"> främja studenternas anställningsbarhet. Uppföljningen bör avse såväl vad lärosätet gör för att främja studenternas anställningsbarhet som vad tidigare studenter anser om sin utbildning och den förberedelse de har fått inför arbetslivet.</w:t>
      </w:r>
    </w:p>
    <w:p w:rsidR="006569C0" w:rsidRPr="00593303" w:rsidRDefault="006569C0">
      <w:r w:rsidRPr="00593303">
        <w:t>Man skriver vidare:</w:t>
      </w:r>
    </w:p>
    <w:p w:rsidR="006569C0" w:rsidRPr="00593303" w:rsidRDefault="006569C0">
      <w:pPr>
        <w:pStyle w:val="Citat"/>
      </w:pPr>
      <w:r w:rsidRPr="00593303">
        <w:t>Universitet och högskolor bör säkerställa att det för samtliga utbildning</w:t>
      </w:r>
      <w:r w:rsidRPr="00593303">
        <w:t>s</w:t>
      </w:r>
      <w:r w:rsidRPr="00593303">
        <w:t>program övervägs hur arbetsmarknadsrelevans och arbetslivsanknytning ska beaktas i utbildningen.</w:t>
      </w:r>
    </w:p>
    <w:p w:rsidR="006569C0" w:rsidRPr="00593303" w:rsidRDefault="006569C0">
      <w:r w:rsidRPr="00593303">
        <w:t>I 1 kap. 2 §, högskolelagen, står följande att läsa:</w:t>
      </w:r>
    </w:p>
    <w:p w:rsidR="006569C0" w:rsidRPr="00593303" w:rsidRDefault="006569C0">
      <w:pPr>
        <w:pStyle w:val="Citat"/>
        <w:rPr>
          <w:rStyle w:val="andringsnot"/>
          <w:i/>
        </w:rPr>
      </w:pPr>
      <w:r w:rsidRPr="00593303">
        <w:t>I högskolornas uppgift ska ingå att samverka med det omgivande samhä</w:t>
      </w:r>
      <w:r w:rsidRPr="00593303">
        <w:t>l</w:t>
      </w:r>
      <w:r w:rsidRPr="00593303">
        <w:t xml:space="preserve">let och informera om sin verksamhet samt verka för att forskningsresultat tillkomna vid högskolan kommer till nytta. </w:t>
      </w:r>
      <w:r w:rsidRPr="00593303">
        <w:rPr>
          <w:rStyle w:val="andringsnot"/>
        </w:rPr>
        <w:t>Lag (2009:45).</w:t>
      </w:r>
    </w:p>
    <w:p w:rsidR="006569C0" w:rsidRPr="00593303" w:rsidRDefault="006569C0">
      <w:r w:rsidRPr="00593303">
        <w:t>Enligt Riksrevisionens rapport</w:t>
      </w:r>
      <w:r w:rsidRPr="00593303">
        <w:rPr>
          <w:i/>
        </w:rPr>
        <w:t xml:space="preserve"> </w:t>
      </w:r>
      <w:r w:rsidRPr="00593303">
        <w:t>RiR 2009:28 följs dock inte denna paragraf på ett tillfredsställande sätt, samtidigt som man menar att utrymmet för enskilda tolkningar är för stort.</w:t>
      </w:r>
    </w:p>
    <w:p w:rsidR="006569C0" w:rsidRPr="00593303" w:rsidRDefault="006569C0">
      <w:pPr>
        <w:pStyle w:val="Normaltindrag"/>
      </w:pPr>
      <w:r w:rsidRPr="00593303">
        <w:t>Det är dock inte bara Riksrevisionen som pekar på brister vad gäller högre utbildningars och kursers relevans för arbetsmarknaden. Undersökningar genomförda av Svenskt Näringsliv och Sveriges Ingenjörer bekräftar de bri</w:t>
      </w:r>
      <w:r w:rsidRPr="00593303">
        <w:t>s</w:t>
      </w:r>
      <w:r w:rsidRPr="00593303">
        <w:t>ter Riksrevisionen belyser i sin rapport. I Riksrevisionens rapport RiR 2009:28 står bland annat följande att läsa på sidan 21:</w:t>
      </w:r>
    </w:p>
    <w:p w:rsidR="006569C0" w:rsidRPr="00593303" w:rsidRDefault="006569C0">
      <w:pPr>
        <w:pStyle w:val="Citat"/>
      </w:pPr>
      <w:r w:rsidRPr="00593303">
        <w:t>Sveriges Ingenjörer har genomfört en undersökning som visar att många yrkesverksamma är missnöjda med den arbetslivsanknytning som de hade i sin utbildning och efterfrågar ökade möjligheter till praktik, karr</w:t>
      </w:r>
      <w:r w:rsidRPr="00593303">
        <w:t>i</w:t>
      </w:r>
      <w:r w:rsidRPr="00593303">
        <w:t>ärvägledning och kontakter med företag och näringsliv. Endast tre av tio har efter examen blivit kontaktade av sitt tidigare lärosäte i uppföljning</w:t>
      </w:r>
      <w:r w:rsidRPr="00593303">
        <w:t>s</w:t>
      </w:r>
      <w:r w:rsidRPr="00593303">
        <w:t>syfte. […] Svenskt Näringsliv efterlyser bättre samverkan mellan den högre utbildningen och arbetslivet för att komma till rätta med matc</w:t>
      </w:r>
      <w:r w:rsidRPr="00593303">
        <w:t>h</w:t>
      </w:r>
      <w:r w:rsidRPr="00593303">
        <w:t xml:space="preserve">ningsproblemen på arbetsmarknaden mellan utbud och efterfrågan. Den granskning som Svenskt Näringsliv har gjort av tolv huvudämnen inom högre utbildning visar att det finns stora skillnader i samverkan både på lärosätes- och </w:t>
      </w:r>
      <w:r w:rsidRPr="00593303">
        <w:t>utbildningsnivå och ett starkt samband mellan vilken pl</w:t>
      </w:r>
      <w:r w:rsidRPr="00593303">
        <w:t>a</w:t>
      </w:r>
      <w:r w:rsidRPr="00593303">
        <w:t>cering utbildningsmiljön får i den rankning som Svenskt Näringsliv har gjort och vilken uppfattning studenterna har om kontakten med arbetsl</w:t>
      </w:r>
      <w:r w:rsidRPr="00593303">
        <w:t>i</w:t>
      </w:r>
      <w:r w:rsidRPr="00593303">
        <w:t>vet under utbildningen.</w:t>
      </w:r>
    </w:p>
    <w:p w:rsidR="006569C0" w:rsidRPr="00593303" w:rsidRDefault="006569C0">
      <w:pPr>
        <w:pStyle w:val="Rubrik2"/>
      </w:pPr>
      <w:r w:rsidRPr="00593303">
        <w:t>Förtydliga högskolelagen och ge Högskoleverket direktiv om utbildningars arbetsmarknadsrelevans</w:t>
      </w:r>
    </w:p>
    <w:p w:rsidR="006569C0" w:rsidRPr="00593303" w:rsidRDefault="006569C0">
      <w:pPr>
        <w:pStyle w:val="Normaltindrag"/>
        <w:ind w:firstLine="0"/>
      </w:pPr>
      <w:r w:rsidRPr="00593303">
        <w:t>För att säkerställa att relevanta utvärderingar görs fortlöpande, vill vi att en passus förs in i högskolelagen där det framgår att lärosätena har en skyldighet att fortlöpande följa upp examinerade studenter avseende hur de upplevt sin utbildning och dess lämplighet för arbetsmarknaden, samt vilken framgång som de rönt på arbetsmarknaden efter avslutad utbildning.</w:t>
      </w:r>
    </w:p>
    <w:p w:rsidR="006569C0" w:rsidRPr="00593303" w:rsidRDefault="006569C0">
      <w:pPr>
        <w:pStyle w:val="Normaltindrag"/>
        <w:pageBreakBefore/>
        <w:spacing w:after="120"/>
      </w:pPr>
      <w:r w:rsidRPr="00593303">
        <w:t xml:space="preserve">Vi föreslår följande ändring i 1 kap. 2 § högskolelagen: </w:t>
      </w: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593303">
        <w:trPr>
          <w:cantSplit/>
        </w:trPr>
        <w:tc>
          <w:tcPr>
            <w:tcW w:w="4322" w:type="dxa"/>
          </w:tcPr>
          <w:p w:rsidR="006569C0" w:rsidRPr="00593303" w:rsidRDefault="006569C0">
            <w:pPr>
              <w:pStyle w:val="Lagtext"/>
            </w:pPr>
            <w:r w:rsidRPr="00593303">
              <w:t>Nuvarande lydelse</w:t>
            </w:r>
          </w:p>
          <w:p w:rsidR="006569C0" w:rsidRPr="00593303" w:rsidRDefault="006569C0">
            <w:pPr>
              <w:pStyle w:val="Lagtextindrag"/>
            </w:pPr>
          </w:p>
        </w:tc>
        <w:tc>
          <w:tcPr>
            <w:tcW w:w="4322" w:type="dxa"/>
          </w:tcPr>
          <w:p w:rsidR="006569C0" w:rsidRPr="00593303" w:rsidRDefault="006569C0">
            <w:pPr>
              <w:pStyle w:val="Lagtext"/>
            </w:pPr>
            <w:r w:rsidRPr="00593303">
              <w:t>Föreslagen lydelse</w:t>
            </w:r>
          </w:p>
        </w:tc>
      </w:tr>
      <w:tr w:rsidR="00000000" w:rsidRPr="00593303">
        <w:trPr>
          <w:cantSplit/>
        </w:trPr>
        <w:tc>
          <w:tcPr>
            <w:tcW w:w="4322" w:type="dxa"/>
          </w:tcPr>
          <w:p w:rsidR="006569C0" w:rsidRPr="00593303" w:rsidRDefault="006569C0">
            <w:pPr>
              <w:pStyle w:val="Lagtext"/>
              <w:rPr>
                <w:rFonts w:ascii="Courier New" w:hAnsi="Courier New" w:cs="Courier New"/>
                <w:i w:val="0"/>
                <w:sz w:val="21"/>
                <w:szCs w:val="21"/>
              </w:rPr>
            </w:pPr>
            <w:r w:rsidRPr="00593303">
              <w:t>I högskolornas uppgift ska ingå att samverka med det omgivande samhället och informera om sin verksamhet samt verka för att forskningsresultat tillkomna vid högskolan kommer till nytta. Lag (2009:45.</w:t>
            </w:r>
          </w:p>
        </w:tc>
        <w:tc>
          <w:tcPr>
            <w:tcW w:w="4322" w:type="dxa"/>
          </w:tcPr>
          <w:p w:rsidR="006569C0" w:rsidRPr="00593303" w:rsidRDefault="006569C0">
            <w:pPr>
              <w:pStyle w:val="Lagtext"/>
              <w:rPr>
                <w:rFonts w:ascii="Courier New" w:hAnsi="Courier New" w:cs="Courier New"/>
                <w:i w:val="0"/>
                <w:sz w:val="21"/>
                <w:szCs w:val="21"/>
              </w:rPr>
            </w:pPr>
            <w:r w:rsidRPr="00593303">
              <w:t>I högskolornas uppgift ska ingå att samverka med det omgivande samhället, följa upp examinerade studenters upplevelse av utbildningen och deras framgång på arbetsmarknaden, samt informera om sin verksamhet och verka för att forskningsresultat tillkomna vid högskolan kommer till nytta.</w:t>
            </w:r>
          </w:p>
        </w:tc>
      </w:tr>
    </w:tbl>
    <w:p w:rsidR="006569C0" w:rsidRPr="00593303" w:rsidRDefault="006569C0">
      <w:r w:rsidRPr="00593303">
        <w:t>Vidare vill vi att regeringen ska sända tydliga direktiv till Högskoleverket att följa upp hur lärosätena klarar av att utforma utbildningarna i syfte att säke</w:t>
      </w:r>
      <w:r w:rsidRPr="00593303">
        <w:t>r</w:t>
      </w:r>
      <w:r w:rsidRPr="00593303">
        <w:t>ställa studenternas anställningsbarhet efter avslutad utbildning, samt hur lär</w:t>
      </w:r>
      <w:r w:rsidRPr="00593303">
        <w:t>o</w:t>
      </w:r>
      <w:r w:rsidRPr="00593303">
        <w:t>sätena klarar av att samarbeta och föra dialog med det omgivande samhället och presumtiva arbetsgivare i syfte att öka anställningsbarheten hos stude</w:t>
      </w:r>
      <w:r w:rsidRPr="00593303">
        <w:t>n</w:t>
      </w:r>
      <w:r w:rsidRPr="00593303">
        <w:t>terna efter avslutad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3303">
        <w:trPr>
          <w:cantSplit/>
        </w:trPr>
        <w:tc>
          <w:tcPr>
            <w:tcW w:w="3046" w:type="dxa"/>
          </w:tcPr>
          <w:p w:rsidR="006569C0" w:rsidRPr="00593303" w:rsidRDefault="006569C0">
            <w:pPr>
              <w:pStyle w:val="UnderskriftDatum"/>
              <w:spacing w:before="240"/>
            </w:pPr>
            <w:r w:rsidRPr="00593303">
              <w:t>Stockholm den 3 oktober 2011</w:t>
            </w:r>
          </w:p>
        </w:tc>
        <w:tc>
          <w:tcPr>
            <w:tcW w:w="3047" w:type="dxa"/>
          </w:tcPr>
          <w:p w:rsidR="006569C0" w:rsidRPr="00593303" w:rsidRDefault="006569C0">
            <w:pPr>
              <w:pStyle w:val="Underskrifter"/>
              <w:spacing w:before="240"/>
            </w:pPr>
          </w:p>
        </w:tc>
      </w:tr>
      <w:tr w:rsidR="00000000" w:rsidRPr="00593303">
        <w:trPr>
          <w:cantSplit/>
        </w:trPr>
        <w:tc>
          <w:tcPr>
            <w:tcW w:w="3046" w:type="dxa"/>
          </w:tcPr>
          <w:p w:rsidR="006569C0" w:rsidRPr="00593303" w:rsidRDefault="006569C0">
            <w:pPr>
              <w:pStyle w:val="Underskrifter"/>
            </w:pPr>
            <w:r w:rsidRPr="00593303">
              <w:t>Richard Jomshof (SD)</w:t>
            </w:r>
          </w:p>
        </w:tc>
        <w:tc>
          <w:tcPr>
            <w:tcW w:w="3046" w:type="dxa"/>
          </w:tcPr>
          <w:p w:rsidR="006569C0" w:rsidRPr="00593303" w:rsidRDefault="006569C0">
            <w:pPr>
              <w:pStyle w:val="Underskrifter"/>
            </w:pPr>
            <w:r w:rsidRPr="00593303">
              <w:t>Sven-Olof Sällström (SD)</w:t>
            </w:r>
          </w:p>
        </w:tc>
      </w:tr>
    </w:tbl>
    <w:p w:rsidR="006569C0" w:rsidRPr="00593303" w:rsidRDefault="006569C0">
      <w:pPr>
        <w:pStyle w:val="Normaltindrag"/>
      </w:pPr>
    </w:p>
    <w:sectPr w:rsidR="006569C0" w:rsidRPr="00593303">
      <w:headerReference w:type="even" r:id="rId7"/>
      <w:headerReference w:type="default" r:id="rId8"/>
      <w:footerReference w:type="even" r:id="rId9"/>
      <w:footerReference w:type="default" r:id="rId10"/>
      <w:headerReference w:type="first" r:id="rId11"/>
      <w:footerReference w:type="first" r:id="rId12"/>
      <w:footnotePr>
        <w:numStart w:val="14"/>
      </w:footnotePr>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9C0" w:rsidRPr="00593303" w:rsidRDefault="006569C0">
      <w:r w:rsidRPr="00593303">
        <w:separator/>
      </w:r>
    </w:p>
  </w:endnote>
  <w:endnote w:type="continuationSeparator" w:id="0">
    <w:p w:rsidR="006569C0" w:rsidRPr="00593303" w:rsidRDefault="006569C0">
      <w:r w:rsidRPr="005933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C0" w:rsidRPr="00593303" w:rsidRDefault="00593303">
    <w:pPr>
      <w:pStyle w:val="Sidfot"/>
    </w:pPr>
    <w:r w:rsidRPr="005933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576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C0" w:rsidRDefault="006569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9C0" w:rsidRDefault="006569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C0" w:rsidRPr="00593303" w:rsidRDefault="00593303">
    <w:pPr>
      <w:pStyle w:val="Sidfot"/>
    </w:pPr>
    <w:r w:rsidRPr="005933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295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C0" w:rsidRDefault="006569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9C0" w:rsidRDefault="006569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C0" w:rsidRPr="00593303" w:rsidRDefault="00593303">
    <w:pPr>
      <w:pStyle w:val="Sidfot"/>
    </w:pPr>
    <w:r w:rsidRPr="005933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653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C0" w:rsidRDefault="006569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9C0" w:rsidRDefault="006569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9C0" w:rsidRPr="00593303" w:rsidRDefault="006569C0">
      <w:r w:rsidRPr="00593303">
        <w:separator/>
      </w:r>
    </w:p>
  </w:footnote>
  <w:footnote w:type="continuationSeparator" w:id="0">
    <w:p w:rsidR="006569C0" w:rsidRPr="00593303" w:rsidRDefault="006569C0">
      <w:r w:rsidRPr="005933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C0" w:rsidRPr="00593303" w:rsidRDefault="00593303">
    <w:pPr>
      <w:pStyle w:val="Sidhuvud"/>
    </w:pPr>
    <w:r w:rsidRPr="005933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009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C0" w:rsidRDefault="006569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9C0" w:rsidRDefault="006569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C0" w:rsidRPr="00593303" w:rsidRDefault="00593303">
    <w:pPr>
      <w:pStyle w:val="Sidhuvud"/>
    </w:pPr>
    <w:r w:rsidRPr="005933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823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9C0" w:rsidRDefault="006569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9C0" w:rsidRDefault="006569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9C0" w:rsidRPr="00593303" w:rsidRDefault="006569C0">
    <w:pPr>
      <w:pStyle w:val="FSHNormal"/>
      <w:tabs>
        <w:tab w:val="right" w:pos="5840"/>
      </w:tabs>
    </w:pPr>
    <w:r w:rsidRPr="00593303">
      <w:br/>
    </w:r>
    <w:r w:rsidRPr="00593303">
      <w:fldChar w:fldCharType="begin" w:fldLock="1"/>
    </w:r>
    <w:r w:rsidRPr="00593303">
      <w:instrText xml:space="preserve"> DOCPROPERTY</w:instrText>
    </w:r>
    <w:r w:rsidRPr="00593303">
      <w:rPr>
        <w:sz w:val="18"/>
      </w:rPr>
      <w:instrText xml:space="preserve"> "YearUser" *\charformat </w:instrText>
    </w:r>
    <w:r w:rsidRPr="00593303">
      <w:fldChar w:fldCharType="separate"/>
    </w:r>
    <w:r w:rsidRPr="00593303">
      <w:t>2011/12</w:t>
    </w:r>
    <w:r w:rsidRPr="00593303">
      <w:fldChar w:fldCharType="end"/>
    </w:r>
    <w:r w:rsidRPr="00593303">
      <w:t xml:space="preserve"> </w:t>
    </w:r>
    <w:r w:rsidRPr="00593303">
      <w:tab/>
      <w:t xml:space="preserve">mnr: </w:t>
    </w:r>
    <w:r w:rsidRPr="00593303">
      <w:fldChar w:fldCharType="begin" w:fldLock="1"/>
    </w:r>
    <w:r w:rsidRPr="00593303">
      <w:instrText xml:space="preserve"> DOCPROPERTY</w:instrText>
    </w:r>
    <w:r w:rsidRPr="00593303">
      <w:rPr>
        <w:sz w:val="18"/>
      </w:rPr>
      <w:instrText xml:space="preserve"> "Motionsnummer" *\charformat </w:instrText>
    </w:r>
    <w:r w:rsidRPr="00593303">
      <w:fldChar w:fldCharType="separate"/>
    </w:r>
    <w:r w:rsidRPr="00593303">
      <w:t>Ub508</w:t>
    </w:r>
    <w:r w:rsidRPr="00593303">
      <w:fldChar w:fldCharType="end"/>
    </w:r>
    <w:r w:rsidRPr="00593303">
      <w:br/>
    </w:r>
    <w:r w:rsidRPr="00593303">
      <w:fldChar w:fldCharType="begin" w:fldLock="1"/>
    </w:r>
    <w:r w:rsidRPr="00593303">
      <w:instrText xml:space="preserve"> DOCPROPERTY</w:instrText>
    </w:r>
    <w:r w:rsidRPr="00593303">
      <w:rPr>
        <w:sz w:val="18"/>
      </w:rPr>
      <w:instrText xml:space="preserve"> "Samling" *\charformat </w:instrText>
    </w:r>
    <w:r w:rsidRPr="00593303">
      <w:fldChar w:fldCharType="end"/>
    </w:r>
    <w:r w:rsidRPr="00593303">
      <w:tab/>
      <w:t xml:space="preserve">pnr: </w:t>
    </w:r>
    <w:r w:rsidRPr="00593303">
      <w:fldChar w:fldCharType="begin" w:fldLock="1"/>
    </w:r>
    <w:r w:rsidRPr="00593303">
      <w:instrText xml:space="preserve"> DOCPROPERTY</w:instrText>
    </w:r>
    <w:r w:rsidRPr="00593303">
      <w:rPr>
        <w:sz w:val="18"/>
      </w:rPr>
      <w:instrText xml:space="preserve"> "Partinummer" *\charformat </w:instrText>
    </w:r>
    <w:r w:rsidRPr="00593303">
      <w:fldChar w:fldCharType="separate"/>
    </w:r>
    <w:r w:rsidRPr="00593303">
      <w:t>SD16</w:t>
    </w:r>
    <w:r w:rsidRPr="00593303">
      <w:fldChar w:fldCharType="end"/>
    </w:r>
  </w:p>
  <w:p w:rsidR="006569C0" w:rsidRPr="00593303" w:rsidRDefault="006569C0">
    <w:pPr>
      <w:pStyle w:val="FSHRub1"/>
    </w:pPr>
    <w:r w:rsidRPr="00593303">
      <w:t>Motion till riksdagen</w:t>
    </w:r>
    <w:r w:rsidRPr="00593303">
      <w:br/>
    </w:r>
    <w:r w:rsidRPr="00593303">
      <w:fldChar w:fldCharType="begin" w:fldLock="1"/>
    </w:r>
    <w:r w:rsidRPr="00593303">
      <w:instrText xml:space="preserve"> DOCPROPERTY "YearUser" *\charformat </w:instrText>
    </w:r>
    <w:r w:rsidRPr="00593303">
      <w:fldChar w:fldCharType="separate"/>
    </w:r>
    <w:r w:rsidRPr="00593303">
      <w:t>2011/12</w:t>
    </w:r>
    <w:r w:rsidRPr="00593303">
      <w:fldChar w:fldCharType="end"/>
    </w:r>
    <w:r w:rsidRPr="00593303">
      <w:t>:</w:t>
    </w:r>
    <w:r w:rsidRPr="00593303">
      <w:fldChar w:fldCharType="begin" w:fldLock="1"/>
    </w:r>
    <w:r w:rsidRPr="00593303">
      <w:instrText xml:space="preserve"> DOCPROPERTY "Motionsnummer" *\charformat </w:instrText>
    </w:r>
    <w:r w:rsidRPr="00593303">
      <w:fldChar w:fldCharType="separate"/>
    </w:r>
    <w:r w:rsidRPr="00593303">
      <w:t>Ub508</w:t>
    </w:r>
    <w:r w:rsidRPr="00593303">
      <w:fldChar w:fldCharType="end"/>
    </w:r>
  </w:p>
  <w:p w:rsidR="006569C0" w:rsidRPr="00593303" w:rsidRDefault="006569C0">
    <w:pPr>
      <w:pStyle w:val="FSHNormalS5"/>
    </w:pPr>
    <w:r w:rsidRPr="00593303">
      <w:fldChar w:fldCharType="begin" w:fldLock="1"/>
    </w:r>
    <w:r w:rsidRPr="00593303">
      <w:instrText xml:space="preserve"> DOCPROPERTY "MotionarText" *\charformat </w:instrText>
    </w:r>
    <w:r w:rsidRPr="00593303">
      <w:fldChar w:fldCharType="separate"/>
    </w:r>
    <w:r w:rsidRPr="00593303">
      <w:t>av Richard Jomshof och Sven-Olof Sällström (SD)</w:t>
    </w:r>
    <w:r w:rsidRPr="00593303">
      <w:fldChar w:fldCharType="end"/>
    </w:r>
    <w:r w:rsidRPr="00593303">
      <w:br/>
    </w:r>
    <w:r w:rsidRPr="00593303">
      <w:fldChar w:fldCharType="begin" w:fldLock="1"/>
    </w:r>
    <w:r w:rsidRPr="00593303">
      <w:instrText xml:space="preserve"> DOCPROPERTY "SvarFrasKort" *\charformat </w:instrText>
    </w:r>
    <w:r w:rsidRPr="00593303">
      <w:fldChar w:fldCharType="end"/>
    </w:r>
  </w:p>
  <w:p w:rsidR="006569C0" w:rsidRPr="00593303" w:rsidRDefault="006569C0">
    <w:pPr>
      <w:pStyle w:val="FSHTitel"/>
    </w:pPr>
    <w:r w:rsidRPr="00593303">
      <w:fldChar w:fldCharType="begin" w:fldLock="1"/>
    </w:r>
    <w:r w:rsidRPr="00593303">
      <w:instrText xml:space="preserve"> DOCPROPERTY</w:instrText>
    </w:r>
    <w:r w:rsidRPr="00593303">
      <w:rPr>
        <w:sz w:val="18"/>
      </w:rPr>
      <w:instrText xml:space="preserve"> "RubrikSvar" *\charformat </w:instrText>
    </w:r>
    <w:r w:rsidRPr="00593303">
      <w:fldChar w:fldCharType="separate"/>
    </w:r>
    <w:r w:rsidRPr="00593303">
      <w:t>Uppföljning och anställningsbarhet efter högre utbildning</w:t>
    </w:r>
    <w:r w:rsidRPr="00593303">
      <w:fldChar w:fldCharType="end"/>
    </w:r>
  </w:p>
  <w:p w:rsidR="006569C0" w:rsidRPr="00593303" w:rsidRDefault="006569C0">
    <w:pPr>
      <w:pStyle w:val="Normal00"/>
    </w:pPr>
  </w:p>
  <w:p w:rsidR="006569C0" w:rsidRPr="00593303" w:rsidRDefault="006569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80001C"/>
    <w:multiLevelType w:val="hybridMultilevel"/>
    <w:tmpl w:val="FA82D2F2"/>
    <w:lvl w:ilvl="0" w:tplc="17E4E8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6667209">
    <w:abstractNumId w:val="3"/>
  </w:num>
  <w:num w:numId="2" w16cid:durableId="1083380937">
    <w:abstractNumId w:val="2"/>
  </w:num>
  <w:num w:numId="3" w16cid:durableId="665015930">
    <w:abstractNumId w:val="1"/>
  </w:num>
  <w:num w:numId="4" w16cid:durableId="1501001924">
    <w:abstractNumId w:val="0"/>
  </w:num>
  <w:num w:numId="5" w16cid:durableId="1273904894">
    <w:abstractNumId w:val="7"/>
  </w:num>
  <w:num w:numId="6" w16cid:durableId="1413889935">
    <w:abstractNumId w:val="6"/>
  </w:num>
  <w:num w:numId="7" w16cid:durableId="262618571">
    <w:abstractNumId w:val="5"/>
  </w:num>
  <w:num w:numId="8" w16cid:durableId="1272082314">
    <w:abstractNumId w:val="4"/>
  </w:num>
  <w:num w:numId="9" w16cid:durableId="1041518883">
    <w:abstractNumId w:val="8"/>
  </w:num>
  <w:num w:numId="10" w16cid:durableId="56905917">
    <w:abstractNumId w:val="9"/>
  </w:num>
  <w:num w:numId="11" w16cid:durableId="440804918">
    <w:abstractNumId w:val="10"/>
  </w:num>
  <w:num w:numId="12" w16cid:durableId="501892751">
    <w:abstractNumId w:val="14"/>
  </w:num>
  <w:num w:numId="13" w16cid:durableId="443379337">
    <w:abstractNumId w:val="16"/>
  </w:num>
  <w:num w:numId="14" w16cid:durableId="1318269345">
    <w:abstractNumId w:val="17"/>
  </w:num>
  <w:num w:numId="15" w16cid:durableId="622348447">
    <w:abstractNumId w:val="11"/>
  </w:num>
  <w:num w:numId="16" w16cid:durableId="768238928">
    <w:abstractNumId w:val="19"/>
  </w:num>
  <w:num w:numId="17" w16cid:durableId="179055645">
    <w:abstractNumId w:val="18"/>
  </w:num>
  <w:num w:numId="18" w16cid:durableId="67502308">
    <w:abstractNumId w:val="15"/>
  </w:num>
  <w:num w:numId="19" w16cid:durableId="1529953692">
    <w:abstractNumId w:val="13"/>
  </w:num>
  <w:num w:numId="20" w16cid:durableId="949974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numStart w:val="14"/>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F18D46FE-CB1E-4F47-A773-E1B0F6C993DB},{EB0CD010-084E-4D62-B888-5E56AA763C92}"/>
  </w:docVars>
  <w:rsids>
    <w:rsidRoot w:val="004F5489"/>
    <w:rsid w:val="004F5489"/>
    <w:rsid w:val="00593303"/>
    <w:rsid w:val="006569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B990F8-8FD2-4C66-B8DB-022F63AF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ndringsnot">
    <w:name w:val="andringsnot"/>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70045">
      <w:bodyDiv w:val="1"/>
      <w:marLeft w:val="0"/>
      <w:marRight w:val="0"/>
      <w:marTop w:val="0"/>
      <w:marBottom w:val="0"/>
      <w:divBdr>
        <w:top w:val="none" w:sz="0" w:space="0" w:color="auto"/>
        <w:left w:val="none" w:sz="0" w:space="0" w:color="auto"/>
        <w:bottom w:val="none" w:sz="0" w:space="0" w:color="auto"/>
        <w:right w:val="none" w:sz="0" w:space="0" w:color="auto"/>
      </w:divBdr>
      <w:divsChild>
        <w:div w:id="44062476">
          <w:marLeft w:val="-15"/>
          <w:marRight w:val="-15"/>
          <w:marTop w:val="0"/>
          <w:marBottom w:val="0"/>
          <w:divBdr>
            <w:top w:val="none" w:sz="0" w:space="0" w:color="auto"/>
            <w:left w:val="single" w:sz="6" w:space="0" w:color="DADADA"/>
            <w:bottom w:val="none" w:sz="0" w:space="0" w:color="auto"/>
            <w:right w:val="single" w:sz="6" w:space="0" w:color="DADADA"/>
          </w:divBdr>
          <w:divsChild>
            <w:div w:id="1275484366">
              <w:marLeft w:val="0"/>
              <w:marRight w:val="0"/>
              <w:marTop w:val="0"/>
              <w:marBottom w:val="0"/>
              <w:divBdr>
                <w:top w:val="none" w:sz="0" w:space="0" w:color="auto"/>
                <w:left w:val="single" w:sz="48" w:space="0" w:color="FFFFFF"/>
                <w:bottom w:val="none" w:sz="0" w:space="0" w:color="auto"/>
                <w:right w:val="none" w:sz="0" w:space="0" w:color="auto"/>
              </w:divBdr>
              <w:divsChild>
                <w:div w:id="1891266083">
                  <w:marLeft w:val="-15"/>
                  <w:marRight w:val="-15"/>
                  <w:marTop w:val="0"/>
                  <w:marBottom w:val="0"/>
                  <w:divBdr>
                    <w:top w:val="none" w:sz="0" w:space="0" w:color="auto"/>
                    <w:left w:val="single" w:sz="6" w:space="0" w:color="F9C661"/>
                    <w:bottom w:val="none" w:sz="0" w:space="0" w:color="auto"/>
                    <w:right w:val="single" w:sz="6" w:space="0" w:color="DADADA"/>
                  </w:divBdr>
                  <w:divsChild>
                    <w:div w:id="112211621">
                      <w:marLeft w:val="-30"/>
                      <w:marRight w:val="-45"/>
                      <w:marTop w:val="0"/>
                      <w:marBottom w:val="0"/>
                      <w:divBdr>
                        <w:top w:val="none" w:sz="0" w:space="0" w:color="auto"/>
                        <w:left w:val="none" w:sz="0" w:space="0" w:color="auto"/>
                        <w:bottom w:val="none" w:sz="0" w:space="0" w:color="auto"/>
                        <w:right w:val="none" w:sz="0" w:space="0" w:color="auto"/>
                      </w:divBdr>
                      <w:divsChild>
                        <w:div w:id="3124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4927</Characters>
  <Application>Microsoft Office Word</Application>
  <DocSecurity>4</DocSecurity>
  <Lines>104</Lines>
  <Paragraphs>30</Paragraphs>
  <ScaleCrop>false</ScaleCrop>
  <HeadingPairs>
    <vt:vector size="2" baseType="variant">
      <vt:variant>
        <vt:lpstr>Rubrik</vt:lpstr>
      </vt:variant>
      <vt:variant>
        <vt:i4>1</vt:i4>
      </vt:variant>
    </vt:vector>
  </HeadingPairs>
  <TitlesOfParts>
    <vt:vector size="1" baseType="lpstr">
      <vt:lpstr>SD16</vt:lpstr>
    </vt:vector>
  </TitlesOfParts>
  <Company>Riksdagen</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dc:title>
  <dc:subject>SD16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2012-01-09T14:25:00Z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Uppföljning och anställningsbarhet efter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och anställningsbarhet efter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Sven-Olof Sällström (SD)</vt:lpwstr>
  </property>
  <property fmtid="{D5CDD505-2E9C-101B-9397-08002B2CF9AE}" pid="26" name="MotionarLista">
    <vt:lpwstr>Jomshof, Richard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20112012000000830068000000160069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20112012000000830068000000160069</vt:lpwstr>
  </property>
  <property fmtid="{D5CDD505-2E9C-101B-9397-08002B2CF9AE}" pid="50" name="nummer">
    <vt:lpwstr>508</vt:lpwstr>
  </property>
  <property fmtid="{D5CDD505-2E9C-101B-9397-08002B2CF9AE}" pid="51" name="utskottsbeteckning">
    <vt:lpwstr>Ub</vt:lpwstr>
  </property>
  <property fmtid="{D5CDD505-2E9C-101B-9397-08002B2CF9AE}" pid="52" name="GlobalUID">
    <vt:lpwstr>{70A07ED9-5BDD-49F2-B1DF-9CA7F4F48A4C}</vt:lpwstr>
  </property>
  <property fmtid="{D5CDD505-2E9C-101B-9397-08002B2CF9AE}" pid="53" name="Överföringar">
    <vt:i4>0</vt:i4>
  </property>
  <property fmtid="{D5CDD505-2E9C-101B-9397-08002B2CF9AE}" pid="54" name="Checksum">
    <vt:lpwstr>*1013368000086*</vt:lpwstr>
  </property>
  <property fmtid="{D5CDD505-2E9C-101B-9397-08002B2CF9AE}" pid="55" name="skuggnummer">
    <vt:lpwstr>3080</vt:lpwstr>
  </property>
  <property fmtid="{D5CDD505-2E9C-101B-9397-08002B2CF9AE}" pid="56" name="urixVersion">
    <vt:lpwstr>4.5.0.25</vt:lpwstr>
  </property>
  <property fmtid="{D5CDD505-2E9C-101B-9397-08002B2CF9AE}" pid="57" name="urixOrigin">
    <vt:lpwstr>120110 12:14:38.603</vt:lpwstr>
  </property>
  <property fmtid="{D5CDD505-2E9C-101B-9397-08002B2CF9AE}" pid="58" name="urixGuid">
    <vt:lpwstr>{E23B9888-B64A-4A5E-B043-06E02BA673D9}</vt:lpwstr>
  </property>
</Properties>
</file>