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DF717A">
        <w:tblPrEx>
          <w:tblCellMar>
            <w:top w:w="0" w:type="dxa"/>
            <w:bottom w:w="0" w:type="dxa"/>
          </w:tblCellMar>
        </w:tblPrEx>
        <w:tc>
          <w:tcPr>
            <w:tcW w:w="2268" w:type="dxa"/>
          </w:tcPr>
          <w:p w:rsidR="006E4E11" w:rsidRPr="00DF717A"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DF717A" w:rsidRDefault="006E4E11" w:rsidP="007242A3">
            <w:pPr>
              <w:framePr w:w="5035" w:h="1644" w:wrap="notBeside" w:vAnchor="page" w:hAnchor="page" w:x="6573" w:y="721"/>
              <w:rPr>
                <w:rFonts w:ascii="TradeGothic" w:hAnsi="TradeGothic"/>
                <w:i/>
                <w:sz w:val="18"/>
              </w:rPr>
            </w:pPr>
          </w:p>
        </w:tc>
      </w:tr>
      <w:tr w:rsidR="006E4E11" w:rsidRPr="00DF717A">
        <w:tblPrEx>
          <w:tblCellMar>
            <w:top w:w="0" w:type="dxa"/>
            <w:bottom w:w="0" w:type="dxa"/>
          </w:tblCellMar>
        </w:tblPrEx>
        <w:tc>
          <w:tcPr>
            <w:tcW w:w="2268" w:type="dxa"/>
          </w:tcPr>
          <w:p w:rsidR="006E4E11" w:rsidRPr="00DF717A" w:rsidRDefault="00050EF9" w:rsidP="007242A3">
            <w:pPr>
              <w:framePr w:w="5035" w:h="1644" w:wrap="notBeside" w:vAnchor="page" w:hAnchor="page" w:x="6573" w:y="721"/>
              <w:rPr>
                <w:rFonts w:ascii="TradeGothic" w:hAnsi="TradeGothic"/>
                <w:b/>
                <w:sz w:val="22"/>
              </w:rPr>
            </w:pPr>
            <w:r w:rsidRPr="00DF717A">
              <w:rPr>
                <w:rFonts w:ascii="TradeGothic" w:hAnsi="TradeGothic"/>
                <w:b/>
                <w:sz w:val="22"/>
              </w:rPr>
              <w:t xml:space="preserve">Promemoria </w:t>
            </w:r>
          </w:p>
        </w:tc>
        <w:tc>
          <w:tcPr>
            <w:tcW w:w="2999" w:type="dxa"/>
            <w:gridSpan w:val="2"/>
          </w:tcPr>
          <w:p w:rsidR="006E4E11" w:rsidRPr="00DF717A" w:rsidRDefault="006E4E11" w:rsidP="007242A3">
            <w:pPr>
              <w:framePr w:w="5035" w:h="1644" w:wrap="notBeside" w:vAnchor="page" w:hAnchor="page" w:x="6573" w:y="721"/>
              <w:rPr>
                <w:rFonts w:ascii="TradeGothic" w:hAnsi="TradeGothic"/>
                <w:b/>
                <w:sz w:val="22"/>
              </w:rPr>
            </w:pPr>
          </w:p>
        </w:tc>
      </w:tr>
      <w:tr w:rsidR="006E4E11" w:rsidRPr="00DF717A">
        <w:tblPrEx>
          <w:tblCellMar>
            <w:top w:w="0" w:type="dxa"/>
            <w:bottom w:w="0" w:type="dxa"/>
          </w:tblCellMar>
        </w:tblPrEx>
        <w:tc>
          <w:tcPr>
            <w:tcW w:w="3402" w:type="dxa"/>
            <w:gridSpan w:val="2"/>
          </w:tcPr>
          <w:p w:rsidR="006E4E11" w:rsidRPr="00DF717A" w:rsidRDefault="006E4E11" w:rsidP="007242A3">
            <w:pPr>
              <w:framePr w:w="5035" w:h="1644" w:wrap="notBeside" w:vAnchor="page" w:hAnchor="page" w:x="6573" w:y="721"/>
            </w:pPr>
          </w:p>
        </w:tc>
        <w:tc>
          <w:tcPr>
            <w:tcW w:w="1865" w:type="dxa"/>
          </w:tcPr>
          <w:p w:rsidR="006E4E11" w:rsidRPr="00DF717A" w:rsidRDefault="006E4E11" w:rsidP="007242A3">
            <w:pPr>
              <w:framePr w:w="5035" w:h="1644" w:wrap="notBeside" w:vAnchor="page" w:hAnchor="page" w:x="6573" w:y="721"/>
            </w:pPr>
          </w:p>
        </w:tc>
      </w:tr>
      <w:tr w:rsidR="006E4E11" w:rsidRPr="00DF717A">
        <w:tblPrEx>
          <w:tblCellMar>
            <w:top w:w="0" w:type="dxa"/>
            <w:bottom w:w="0" w:type="dxa"/>
          </w:tblCellMar>
        </w:tblPrEx>
        <w:tc>
          <w:tcPr>
            <w:tcW w:w="2268" w:type="dxa"/>
          </w:tcPr>
          <w:p w:rsidR="006E4E11" w:rsidRPr="00DF717A" w:rsidRDefault="00050EF9" w:rsidP="007242A3">
            <w:pPr>
              <w:framePr w:w="5035" w:h="1644" w:wrap="notBeside" w:vAnchor="page" w:hAnchor="page" w:x="6573" w:y="721"/>
            </w:pPr>
            <w:r w:rsidRPr="00DF717A">
              <w:t>2008-0</w:t>
            </w:r>
            <w:r w:rsidR="00B427D8" w:rsidRPr="00DF717A">
              <w:t>4</w:t>
            </w:r>
            <w:r w:rsidRPr="00DF717A">
              <w:t>-</w:t>
            </w:r>
            <w:r w:rsidR="00B427D8" w:rsidRPr="00DF717A">
              <w:t>0</w:t>
            </w:r>
            <w:r w:rsidR="00794C34" w:rsidRPr="00DF717A">
              <w:t>7</w:t>
            </w:r>
          </w:p>
        </w:tc>
        <w:tc>
          <w:tcPr>
            <w:tcW w:w="2999" w:type="dxa"/>
            <w:gridSpan w:val="2"/>
          </w:tcPr>
          <w:p w:rsidR="006E4E11" w:rsidRPr="00DF717A" w:rsidRDefault="006E4E11" w:rsidP="007242A3">
            <w:pPr>
              <w:framePr w:w="5035" w:h="1644" w:wrap="notBeside" w:vAnchor="page" w:hAnchor="page" w:x="6573" w:y="721"/>
            </w:pPr>
          </w:p>
        </w:tc>
      </w:tr>
      <w:tr w:rsidR="006E4E11" w:rsidRPr="00DF717A">
        <w:tblPrEx>
          <w:tblCellMar>
            <w:top w:w="0" w:type="dxa"/>
            <w:bottom w:w="0" w:type="dxa"/>
          </w:tblCellMar>
        </w:tblPrEx>
        <w:tc>
          <w:tcPr>
            <w:tcW w:w="2268" w:type="dxa"/>
          </w:tcPr>
          <w:p w:rsidR="006E4E11" w:rsidRPr="00DF717A" w:rsidRDefault="006E4E11" w:rsidP="007242A3">
            <w:pPr>
              <w:framePr w:w="5035" w:h="1644" w:wrap="notBeside" w:vAnchor="page" w:hAnchor="page" w:x="6573" w:y="721"/>
            </w:pPr>
          </w:p>
        </w:tc>
        <w:tc>
          <w:tcPr>
            <w:tcW w:w="2999" w:type="dxa"/>
            <w:gridSpan w:val="2"/>
          </w:tcPr>
          <w:p w:rsidR="006E4E11" w:rsidRPr="00DF717A"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DF717A">
        <w:tblPrEx>
          <w:tblCellMar>
            <w:top w:w="0" w:type="dxa"/>
            <w:bottom w:w="0" w:type="dxa"/>
          </w:tblCellMar>
        </w:tblPrEx>
        <w:trPr>
          <w:trHeight w:val="284"/>
        </w:trPr>
        <w:tc>
          <w:tcPr>
            <w:tcW w:w="4911" w:type="dxa"/>
          </w:tcPr>
          <w:p w:rsidR="006E4E11" w:rsidRPr="00DF717A" w:rsidRDefault="00050EF9">
            <w:pPr>
              <w:pStyle w:val="Avsndare"/>
              <w:framePr w:h="2483" w:wrap="notBeside" w:x="1504"/>
              <w:rPr>
                <w:b/>
                <w:i w:val="0"/>
                <w:sz w:val="22"/>
              </w:rPr>
            </w:pPr>
            <w:r w:rsidRPr="00DF717A">
              <w:rPr>
                <w:b/>
                <w:i w:val="0"/>
                <w:sz w:val="22"/>
              </w:rPr>
              <w:t>Justitiedepartementet</w:t>
            </w:r>
          </w:p>
        </w:tc>
      </w:tr>
      <w:tr w:rsidR="006E4E11" w:rsidRPr="00DF717A">
        <w:tblPrEx>
          <w:tblCellMar>
            <w:top w:w="0" w:type="dxa"/>
            <w:bottom w:w="0" w:type="dxa"/>
          </w:tblCellMar>
        </w:tblPrEx>
        <w:trPr>
          <w:trHeight w:val="284"/>
        </w:trPr>
        <w:tc>
          <w:tcPr>
            <w:tcW w:w="4911" w:type="dxa"/>
          </w:tcPr>
          <w:p w:rsidR="006E4E11" w:rsidRPr="00DF717A" w:rsidRDefault="006E4E11">
            <w:pPr>
              <w:pStyle w:val="Avsndare"/>
              <w:framePr w:h="2483" w:wrap="notBeside" w:x="1504"/>
              <w:rPr>
                <w:bCs/>
                <w:iCs/>
              </w:rPr>
            </w:pPr>
          </w:p>
        </w:tc>
      </w:tr>
      <w:tr w:rsidR="006E4E11" w:rsidRPr="00DF717A">
        <w:tblPrEx>
          <w:tblCellMar>
            <w:top w:w="0" w:type="dxa"/>
            <w:bottom w:w="0" w:type="dxa"/>
          </w:tblCellMar>
        </w:tblPrEx>
        <w:trPr>
          <w:trHeight w:val="284"/>
        </w:trPr>
        <w:tc>
          <w:tcPr>
            <w:tcW w:w="4911" w:type="dxa"/>
          </w:tcPr>
          <w:p w:rsidR="00050EF9" w:rsidRPr="00DF717A" w:rsidRDefault="00050EF9">
            <w:pPr>
              <w:pStyle w:val="Avsndare"/>
              <w:framePr w:h="2483" w:wrap="notBeside" w:x="1504"/>
              <w:rPr>
                <w:bCs/>
                <w:iCs/>
              </w:rPr>
            </w:pPr>
            <w:r w:rsidRPr="00DF717A">
              <w:rPr>
                <w:bCs/>
                <w:iCs/>
              </w:rPr>
              <w:t>Enheten för brottmålsärenden och</w:t>
            </w:r>
          </w:p>
          <w:p w:rsidR="006E4E11" w:rsidRPr="00DF717A" w:rsidRDefault="00050EF9">
            <w:pPr>
              <w:pStyle w:val="Avsndare"/>
              <w:framePr w:h="2483" w:wrap="notBeside" w:x="1504"/>
              <w:rPr>
                <w:bCs/>
                <w:iCs/>
              </w:rPr>
            </w:pPr>
            <w:r w:rsidRPr="00DF717A">
              <w:rPr>
                <w:bCs/>
                <w:iCs/>
              </w:rPr>
              <w:t>internationellt rättsligt samarbete (BIRS)</w:t>
            </w:r>
          </w:p>
        </w:tc>
      </w:tr>
    </w:tbl>
    <w:p w:rsidR="003F55C6" w:rsidRPr="00DF717A" w:rsidRDefault="003F55C6" w:rsidP="003F55C6">
      <w:pPr>
        <w:pStyle w:val="RKrubrik"/>
        <w:pBdr>
          <w:bottom w:val="single" w:sz="6" w:space="1" w:color="auto"/>
        </w:pBdr>
      </w:pPr>
      <w:r w:rsidRPr="00DF717A">
        <w:t>Rådets möte (rättsliga och inrikes frågor) den 18</w:t>
      </w:r>
      <w:r w:rsidR="00FD2EDE" w:rsidRPr="00DF717A">
        <w:t xml:space="preserve"> </w:t>
      </w:r>
      <w:r w:rsidR="004C1FAE" w:rsidRPr="00DF717A">
        <w:t>april 2008</w:t>
      </w:r>
    </w:p>
    <w:p w:rsidR="007A2F0E" w:rsidRPr="00DF717A" w:rsidRDefault="007A2F0E" w:rsidP="007A2F0E">
      <w:pPr>
        <w:pStyle w:val="RKnormal"/>
        <w:rPr>
          <w:b/>
          <w:i/>
        </w:rPr>
      </w:pPr>
    </w:p>
    <w:p w:rsidR="00DB4397" w:rsidRPr="00DF717A" w:rsidRDefault="00DB4397" w:rsidP="00DB4397">
      <w:pPr>
        <w:pStyle w:val="RKnormal"/>
        <w:rPr>
          <w:b/>
        </w:rPr>
      </w:pPr>
      <w:r w:rsidRPr="00DF717A">
        <w:rPr>
          <w:b/>
        </w:rPr>
        <w:t xml:space="preserve">Dagordningspunkt </w:t>
      </w:r>
      <w:r w:rsidR="003F55C6" w:rsidRPr="00DF717A">
        <w:rPr>
          <w:b/>
        </w:rPr>
        <w:t>1</w:t>
      </w:r>
      <w:r w:rsidR="004C1FAE" w:rsidRPr="00DF717A">
        <w:rPr>
          <w:b/>
        </w:rPr>
        <w:t>3</w:t>
      </w:r>
    </w:p>
    <w:p w:rsidR="00DB4397" w:rsidRPr="00DF717A" w:rsidRDefault="00DB4397" w:rsidP="00DB4397">
      <w:pPr>
        <w:pStyle w:val="RKnormal"/>
      </w:pPr>
    </w:p>
    <w:p w:rsidR="00DB4397" w:rsidRPr="00DF717A" w:rsidRDefault="003F55C6" w:rsidP="00DB4397">
      <w:pPr>
        <w:pStyle w:val="RKnormal"/>
        <w:rPr>
          <w:b/>
        </w:rPr>
      </w:pPr>
      <w:r w:rsidRPr="00DF717A">
        <w:rPr>
          <w:b/>
        </w:rPr>
        <w:t>F</w:t>
      </w:r>
      <w:r w:rsidR="00DB4397" w:rsidRPr="00DF717A">
        <w:rPr>
          <w:b/>
        </w:rPr>
        <w:t xml:space="preserve">örslag till rambeslut om erkännande och </w:t>
      </w:r>
      <w:r w:rsidR="00874148" w:rsidRPr="00DF717A">
        <w:rPr>
          <w:b/>
        </w:rPr>
        <w:t>verkställighet av utevarodomar</w:t>
      </w:r>
    </w:p>
    <w:p w:rsidR="00DB4397" w:rsidRPr="00DF717A" w:rsidRDefault="00DB4397" w:rsidP="00DB4397">
      <w:pPr>
        <w:pStyle w:val="RKnormal"/>
      </w:pPr>
    </w:p>
    <w:p w:rsidR="00FA261A" w:rsidRPr="00DF717A" w:rsidRDefault="00DB4397" w:rsidP="00DB4397">
      <w:pPr>
        <w:pStyle w:val="RKnormal"/>
      </w:pPr>
      <w:r w:rsidRPr="00DF717A">
        <w:rPr>
          <w:b/>
        </w:rPr>
        <w:t xml:space="preserve">Dokument: </w:t>
      </w:r>
      <w:r w:rsidR="00FA261A" w:rsidRPr="00DF717A">
        <w:t>Har</w:t>
      </w:r>
      <w:r w:rsidR="00FA261A" w:rsidRPr="00DF717A">
        <w:rPr>
          <w:b/>
        </w:rPr>
        <w:t xml:space="preserve"> </w:t>
      </w:r>
      <w:r w:rsidR="00FA261A" w:rsidRPr="00DF717A">
        <w:t>ännu inte presenterats något.</w:t>
      </w:r>
    </w:p>
    <w:p w:rsidR="00DB4397" w:rsidRPr="00DF717A" w:rsidRDefault="00DB4397" w:rsidP="00DB4397">
      <w:pPr>
        <w:pStyle w:val="RKnormal"/>
      </w:pPr>
    </w:p>
    <w:p w:rsidR="00DB4397" w:rsidRPr="00DF717A" w:rsidRDefault="00DB4397" w:rsidP="00DB4397">
      <w:pPr>
        <w:pStyle w:val="RKnormal"/>
        <w:rPr>
          <w:b/>
        </w:rPr>
      </w:pPr>
      <w:r w:rsidRPr="00DF717A">
        <w:rPr>
          <w:b/>
        </w:rPr>
        <w:t xml:space="preserve">Tidigare dokument: </w:t>
      </w:r>
    </w:p>
    <w:p w:rsidR="00FA261A" w:rsidRPr="00DF717A" w:rsidRDefault="00FA261A" w:rsidP="00FA261A">
      <w:pPr>
        <w:pStyle w:val="RKnormal"/>
        <w:rPr>
          <w:b/>
        </w:rPr>
      </w:pPr>
      <w:r w:rsidRPr="00DF717A">
        <w:t xml:space="preserve">7765/08 COPEN 53 (senaste versionen av rambeslutet) </w:t>
      </w:r>
    </w:p>
    <w:p w:rsidR="00DB4397" w:rsidRPr="00DF717A" w:rsidRDefault="006F1B03" w:rsidP="00DB4397">
      <w:pPr>
        <w:pStyle w:val="RKnormal"/>
      </w:pPr>
      <w:r w:rsidRPr="00DF717A">
        <w:t>5598/08 C</w:t>
      </w:r>
      <w:r w:rsidR="00DB4397" w:rsidRPr="00DF717A">
        <w:t xml:space="preserve">OPEN </w:t>
      </w:r>
      <w:r w:rsidRPr="00DF717A">
        <w:t>11</w:t>
      </w:r>
      <w:r w:rsidR="00DB4397" w:rsidRPr="00DF717A">
        <w:t xml:space="preserve"> (ursprungliga förslaget till rambeslut efter juristlingvistgranskning) </w:t>
      </w:r>
    </w:p>
    <w:p w:rsidR="00DB4397" w:rsidRPr="00DF717A" w:rsidRDefault="00DB4397" w:rsidP="00DB4397">
      <w:pPr>
        <w:pStyle w:val="RKnormal"/>
      </w:pPr>
      <w:r w:rsidRPr="00DF717A">
        <w:t>Fakta-PM Ju-dep 200</w:t>
      </w:r>
      <w:r w:rsidR="006F1B03" w:rsidRPr="00DF717A">
        <w:t>7</w:t>
      </w:r>
      <w:r w:rsidRPr="00DF717A">
        <w:t>/0</w:t>
      </w:r>
      <w:r w:rsidR="006F1B03" w:rsidRPr="00DF717A">
        <w:t>8:FPM72</w:t>
      </w:r>
      <w:r w:rsidRPr="00DF717A">
        <w:t xml:space="preserve"> </w:t>
      </w:r>
    </w:p>
    <w:p w:rsidR="0041520D" w:rsidRPr="00DF717A" w:rsidRDefault="0041520D" w:rsidP="00DB4397">
      <w:pPr>
        <w:pStyle w:val="RKnormal"/>
      </w:pPr>
    </w:p>
    <w:p w:rsidR="00DB4397" w:rsidRPr="00DF717A" w:rsidRDefault="00DB4397" w:rsidP="00DB4397">
      <w:pPr>
        <w:pStyle w:val="RKnormal"/>
      </w:pPr>
      <w:r w:rsidRPr="00DF717A">
        <w:rPr>
          <w:b/>
        </w:rPr>
        <w:t>Tidigare behandlad vid samråd med EU-nämnden:</w:t>
      </w:r>
      <w:r w:rsidR="00874148" w:rsidRPr="00DF717A">
        <w:t xml:space="preserve"> -</w:t>
      </w:r>
    </w:p>
    <w:p w:rsidR="00DB4397" w:rsidRPr="00DF717A" w:rsidRDefault="00DB4397" w:rsidP="00DB4397">
      <w:pPr>
        <w:pStyle w:val="RKnormal"/>
      </w:pPr>
    </w:p>
    <w:p w:rsidR="00DB4397" w:rsidRPr="00DF717A" w:rsidRDefault="00DB4397" w:rsidP="00DB4397">
      <w:pPr>
        <w:pStyle w:val="RKnormal"/>
      </w:pPr>
      <w:r w:rsidRPr="00DF717A">
        <w:rPr>
          <w:b/>
        </w:rPr>
        <w:t>Tidigare behandlad vid möte med Justitieutskottet:</w:t>
      </w:r>
      <w:r w:rsidRPr="00DF717A">
        <w:t xml:space="preserve"> den 1</w:t>
      </w:r>
      <w:r w:rsidR="00874148" w:rsidRPr="00DF717A">
        <w:t>4 februari 2008</w:t>
      </w:r>
      <w:r w:rsidR="003F55C6" w:rsidRPr="00DF717A">
        <w:t xml:space="preserve"> (information till utskottets EU-grupp)</w:t>
      </w:r>
    </w:p>
    <w:p w:rsidR="00DB4397" w:rsidRPr="00DF717A" w:rsidRDefault="00DB4397" w:rsidP="00DB4397">
      <w:pPr>
        <w:pStyle w:val="RKrubrik"/>
      </w:pPr>
      <w:r w:rsidRPr="00DF717A">
        <w:t>Bakgrund</w:t>
      </w:r>
    </w:p>
    <w:p w:rsidR="00874148" w:rsidRPr="00DF717A" w:rsidRDefault="00874148" w:rsidP="00874148">
      <w:pPr>
        <w:pStyle w:val="RKnormal"/>
      </w:pPr>
      <w:r w:rsidRPr="00DF717A">
        <w:t>S</w:t>
      </w:r>
      <w:r w:rsidR="00FA261A" w:rsidRPr="00DF717A">
        <w:t xml:space="preserve">verige har tillsammans med Slovenien, </w:t>
      </w:r>
      <w:r w:rsidRPr="00DF717A">
        <w:t xml:space="preserve">Frankrike, </w:t>
      </w:r>
      <w:r w:rsidR="003F55C6" w:rsidRPr="00DF717A">
        <w:t xml:space="preserve">Slovakien, </w:t>
      </w:r>
      <w:r w:rsidRPr="00DF717A">
        <w:t>Storbritan</w:t>
      </w:r>
      <w:r w:rsidR="003F55C6" w:rsidRPr="00DF717A">
        <w:softHyphen/>
      </w:r>
      <w:r w:rsidRPr="00DF717A">
        <w:t>nien, Tyskland och Tjeckien lagt fram ett förslag till rambeslut om verk</w:t>
      </w:r>
      <w:r w:rsidR="00F85C4D" w:rsidRPr="00DF717A">
        <w:softHyphen/>
      </w:r>
      <w:r w:rsidRPr="00DF717A">
        <w:t>ställighet av utevarodomar. Rambeslutet innebär att bestämmelser om utevarodomar som återfinns i redan antagna eller överenskomna ram</w:t>
      </w:r>
      <w:r w:rsidR="00F85C4D" w:rsidRPr="00DF717A">
        <w:softHyphen/>
      </w:r>
      <w:r w:rsidRPr="00DF717A">
        <w:t xml:space="preserve">beslut (t.ex. </w:t>
      </w:r>
      <w:r w:rsidR="003F55C6" w:rsidRPr="00DF717A">
        <w:t xml:space="preserve">rambesluten om </w:t>
      </w:r>
      <w:r w:rsidRPr="00DF717A">
        <w:t>den europeiska arresteringsordern</w:t>
      </w:r>
      <w:r w:rsidR="003F55C6" w:rsidRPr="00DF717A">
        <w:t xml:space="preserve"> och erkännande och verkställighet av fängelsestraff</w:t>
      </w:r>
      <w:r w:rsidRPr="00DF717A">
        <w:t xml:space="preserve">) </w:t>
      </w:r>
      <w:r w:rsidR="003F55C6" w:rsidRPr="00DF717A">
        <w:t xml:space="preserve">ändras och får, </w:t>
      </w:r>
      <w:r w:rsidRPr="00DF717A">
        <w:t>i huvud</w:t>
      </w:r>
      <w:r w:rsidR="00F85C4D" w:rsidRPr="00DF717A">
        <w:softHyphen/>
      </w:r>
      <w:r w:rsidRPr="00DF717A">
        <w:t>sak</w:t>
      </w:r>
      <w:r w:rsidR="003F55C6" w:rsidRPr="00DF717A">
        <w:t>,</w:t>
      </w:r>
      <w:r w:rsidRPr="00DF717A">
        <w:t xml:space="preserve"> en likartad reglering</w:t>
      </w:r>
      <w:r w:rsidR="003F55C6" w:rsidRPr="00DF717A">
        <w:t>. Idag regleras frågan om utevarodomar olika i rambeslut som reglerar det straffrättsliga samarbetet</w:t>
      </w:r>
      <w:r w:rsidRPr="00DF717A">
        <w:t xml:space="preserve">. </w:t>
      </w:r>
    </w:p>
    <w:p w:rsidR="00874148" w:rsidRPr="00DF717A" w:rsidRDefault="00874148" w:rsidP="00874148">
      <w:pPr>
        <w:pStyle w:val="RKnormal"/>
      </w:pPr>
    </w:p>
    <w:p w:rsidR="00B427D8" w:rsidRPr="00DF717A" w:rsidRDefault="00874148" w:rsidP="00874148">
      <w:pPr>
        <w:pStyle w:val="RKnormal"/>
      </w:pPr>
      <w:r w:rsidRPr="00DF717A">
        <w:t>Förhandlingarna inleddes i februari i år i den straffrättsliga rådsarbets</w:t>
      </w:r>
      <w:r w:rsidRPr="00DF717A">
        <w:softHyphen/>
        <w:t xml:space="preserve">gruppen. Ordförandeskapets målsättning är </w:t>
      </w:r>
      <w:r w:rsidR="00120C5C" w:rsidRPr="00DF717A">
        <w:t xml:space="preserve">att </w:t>
      </w:r>
      <w:r w:rsidRPr="00DF717A">
        <w:t>nå en politisk överenskommelse vid RIF</w:t>
      </w:r>
      <w:r w:rsidR="00FA261A" w:rsidRPr="00DF717A">
        <w:t>-rådet</w:t>
      </w:r>
      <w:r w:rsidR="00B427D8" w:rsidRPr="00DF717A">
        <w:t xml:space="preserve"> den 18 a</w:t>
      </w:r>
      <w:r w:rsidR="003F55C6" w:rsidRPr="00DF717A">
        <w:t xml:space="preserve">pril. </w:t>
      </w:r>
    </w:p>
    <w:p w:rsidR="00DB4397" w:rsidRPr="00DF717A" w:rsidRDefault="00DB4397" w:rsidP="00DB4397">
      <w:pPr>
        <w:pStyle w:val="RKrubrik"/>
      </w:pPr>
      <w:r w:rsidRPr="00DF717A">
        <w:lastRenderedPageBreak/>
        <w:t>Rättslig grund och beslutsförfarande</w:t>
      </w:r>
    </w:p>
    <w:p w:rsidR="00874148" w:rsidRPr="00DF717A" w:rsidRDefault="00874148" w:rsidP="00874148">
      <w:pPr>
        <w:pStyle w:val="RKnormal"/>
      </w:pPr>
      <w:bookmarkStart w:id="0" w:name="Text8"/>
      <w:r w:rsidRPr="00DF717A">
        <w:t>Som rättslig grund har angetts artikel 31.1 a och 34.2 b i fördraget. Rambeslutet antas med enhällighet.</w:t>
      </w:r>
    </w:p>
    <w:bookmarkEnd w:id="0"/>
    <w:p w:rsidR="00DB4397" w:rsidRPr="00DF717A" w:rsidRDefault="00DB4397" w:rsidP="00DB4397">
      <w:pPr>
        <w:pStyle w:val="RKrubrik"/>
        <w:rPr>
          <w:i/>
          <w:iCs/>
        </w:rPr>
      </w:pPr>
      <w:r w:rsidRPr="00DF717A">
        <w:rPr>
          <w:i/>
          <w:iCs/>
        </w:rPr>
        <w:t>Förslaget</w:t>
      </w:r>
    </w:p>
    <w:p w:rsidR="00B50D99" w:rsidRPr="00DF717A" w:rsidRDefault="005159CC" w:rsidP="00B059C7">
      <w:pPr>
        <w:pStyle w:val="RKnormal"/>
      </w:pPr>
      <w:r w:rsidRPr="00DF717A">
        <w:t>Syftet med rambeslutet är att un</w:t>
      </w:r>
      <w:r w:rsidR="004152AD" w:rsidRPr="00DF717A">
        <w:softHyphen/>
      </w:r>
      <w:r w:rsidRPr="00DF717A">
        <w:t xml:space="preserve">derlätta det rättsliga samarbetet mellan medlemsstaterna </w:t>
      </w:r>
      <w:r w:rsidR="00FA261A" w:rsidRPr="00DF717A">
        <w:t xml:space="preserve">när det gäller utevarodomar </w:t>
      </w:r>
      <w:r w:rsidRPr="00DF717A">
        <w:t xml:space="preserve">och samtidigt stärka den enskildes rättigheter. </w:t>
      </w:r>
      <w:r w:rsidR="00B50D99" w:rsidRPr="00DF717A">
        <w:t xml:space="preserve">Genom att skapa en enhetlig reglering av när en verkställande stat ska erkänna och verkställa en annan stats utevarodom men samtidigt ställa något högre krav när utevarodomar kan accepteras kan denna målsättning uppnås. </w:t>
      </w:r>
    </w:p>
    <w:p w:rsidR="00B50D99" w:rsidRPr="00DF717A" w:rsidRDefault="00B50D99" w:rsidP="00B059C7">
      <w:pPr>
        <w:pStyle w:val="RKnormal"/>
      </w:pPr>
    </w:p>
    <w:p w:rsidR="008E1CDE" w:rsidRPr="00DF717A" w:rsidRDefault="005159CC" w:rsidP="00B059C7">
      <w:pPr>
        <w:pStyle w:val="RKnormal"/>
      </w:pPr>
      <w:r w:rsidRPr="00DF717A">
        <w:t xml:space="preserve">Förslaget </w:t>
      </w:r>
      <w:r w:rsidR="008E1CDE" w:rsidRPr="00DF717A">
        <w:t xml:space="preserve">ändrar bestämmelserna om när en utevarodom kan vägras i </w:t>
      </w:r>
      <w:r w:rsidRPr="00DF717A">
        <w:t xml:space="preserve">fem redan antagna </w:t>
      </w:r>
      <w:r w:rsidR="008E1CDE" w:rsidRPr="00DF717A">
        <w:t xml:space="preserve">eller överenskomna </w:t>
      </w:r>
      <w:r w:rsidRPr="00DF717A">
        <w:t>rambeslut</w:t>
      </w:r>
      <w:r w:rsidR="008E1CDE" w:rsidRPr="00DF717A">
        <w:t>:</w:t>
      </w:r>
    </w:p>
    <w:p w:rsidR="008E1CDE" w:rsidRPr="00DF717A" w:rsidRDefault="005159CC" w:rsidP="008E1CDE">
      <w:pPr>
        <w:pStyle w:val="RKnormal"/>
        <w:numPr>
          <w:ilvl w:val="0"/>
          <w:numId w:val="5"/>
        </w:numPr>
        <w:tabs>
          <w:tab w:val="clear" w:pos="720"/>
          <w:tab w:val="clear" w:pos="2835"/>
        </w:tabs>
        <w:ind w:left="284" w:hanging="284"/>
      </w:pPr>
      <w:r w:rsidRPr="00DF717A">
        <w:t xml:space="preserve">rambeslutet om en europeisk arresteringsorder, </w:t>
      </w:r>
    </w:p>
    <w:p w:rsidR="008E1CDE" w:rsidRPr="00DF717A" w:rsidRDefault="005159CC" w:rsidP="008E1CDE">
      <w:pPr>
        <w:pStyle w:val="RKnormal"/>
        <w:numPr>
          <w:ilvl w:val="0"/>
          <w:numId w:val="5"/>
        </w:numPr>
        <w:tabs>
          <w:tab w:val="clear" w:pos="720"/>
          <w:tab w:val="clear" w:pos="2835"/>
        </w:tabs>
        <w:ind w:left="284" w:hanging="284"/>
      </w:pPr>
      <w:r w:rsidRPr="00DF717A">
        <w:t xml:space="preserve">rambeslutet om </w:t>
      </w:r>
      <w:r w:rsidR="008E1CDE" w:rsidRPr="00DF717A">
        <w:t xml:space="preserve">erkännande och </w:t>
      </w:r>
      <w:r w:rsidRPr="00DF717A">
        <w:t xml:space="preserve">verkställighet av bötesstraff, </w:t>
      </w:r>
    </w:p>
    <w:p w:rsidR="008E1CDE" w:rsidRPr="00DF717A" w:rsidRDefault="008E1CDE" w:rsidP="008E1CDE">
      <w:pPr>
        <w:pStyle w:val="RKnormal"/>
        <w:numPr>
          <w:ilvl w:val="0"/>
          <w:numId w:val="5"/>
        </w:numPr>
        <w:tabs>
          <w:tab w:val="clear" w:pos="720"/>
          <w:tab w:val="clear" w:pos="2835"/>
        </w:tabs>
        <w:ind w:left="284" w:hanging="284"/>
      </w:pPr>
      <w:r w:rsidRPr="00DF717A">
        <w:t>r</w:t>
      </w:r>
      <w:r w:rsidR="005159CC" w:rsidRPr="00DF717A">
        <w:t xml:space="preserve">ambeslutet om </w:t>
      </w:r>
      <w:r w:rsidRPr="00DF717A">
        <w:t xml:space="preserve">erkännande och </w:t>
      </w:r>
      <w:r w:rsidR="005159CC" w:rsidRPr="00DF717A">
        <w:t xml:space="preserve">verkställighet av </w:t>
      </w:r>
      <w:r w:rsidRPr="00DF717A">
        <w:t xml:space="preserve">beslut om </w:t>
      </w:r>
      <w:r w:rsidR="005159CC" w:rsidRPr="00DF717A">
        <w:t xml:space="preserve">förverkande, </w:t>
      </w:r>
    </w:p>
    <w:p w:rsidR="008E1CDE" w:rsidRPr="00DF717A" w:rsidRDefault="005159CC" w:rsidP="008E1CDE">
      <w:pPr>
        <w:pStyle w:val="RKnormal"/>
        <w:numPr>
          <w:ilvl w:val="0"/>
          <w:numId w:val="5"/>
        </w:numPr>
        <w:tabs>
          <w:tab w:val="clear" w:pos="720"/>
          <w:tab w:val="clear" w:pos="2835"/>
        </w:tabs>
        <w:ind w:left="284" w:hanging="284"/>
      </w:pPr>
      <w:r w:rsidRPr="00DF717A">
        <w:t xml:space="preserve">rambeslutet om </w:t>
      </w:r>
      <w:r w:rsidR="008E1CDE" w:rsidRPr="00DF717A">
        <w:t xml:space="preserve">erkännande och verkställighet av fängelsestraff eller andra </w:t>
      </w:r>
      <w:r w:rsidRPr="00DF717A">
        <w:t>frihetsberövande påföljder</w:t>
      </w:r>
      <w:r w:rsidR="008E1CDE" w:rsidRPr="00DF717A">
        <w:t xml:space="preserve">, </w:t>
      </w:r>
      <w:r w:rsidRPr="00DF717A">
        <w:t xml:space="preserve">och </w:t>
      </w:r>
    </w:p>
    <w:p w:rsidR="008E1CDE" w:rsidRPr="00DF717A" w:rsidRDefault="005159CC" w:rsidP="008E1CDE">
      <w:pPr>
        <w:pStyle w:val="RKnormal"/>
        <w:numPr>
          <w:ilvl w:val="0"/>
          <w:numId w:val="5"/>
        </w:numPr>
        <w:tabs>
          <w:tab w:val="clear" w:pos="720"/>
          <w:tab w:val="clear" w:pos="2835"/>
        </w:tabs>
        <w:ind w:left="284" w:hanging="284"/>
      </w:pPr>
      <w:r w:rsidRPr="00DF717A">
        <w:t xml:space="preserve">rambeslutet om </w:t>
      </w:r>
      <w:r w:rsidR="008E1CDE" w:rsidRPr="00DF717A">
        <w:t xml:space="preserve">erkännande och övervakning av uppskjutna, </w:t>
      </w:r>
      <w:r w:rsidRPr="00DF717A">
        <w:t xml:space="preserve">villkorliga </w:t>
      </w:r>
      <w:r w:rsidR="008E1CDE" w:rsidRPr="00DF717A">
        <w:t xml:space="preserve">eller alternativa </w:t>
      </w:r>
      <w:r w:rsidRPr="00DF717A">
        <w:t xml:space="preserve">påföljder. </w:t>
      </w:r>
    </w:p>
    <w:p w:rsidR="008E1CDE" w:rsidRPr="00DF717A" w:rsidRDefault="008E1CDE" w:rsidP="00B059C7">
      <w:pPr>
        <w:pStyle w:val="RKnormal"/>
      </w:pPr>
    </w:p>
    <w:p w:rsidR="0031415B" w:rsidRPr="00DF717A" w:rsidRDefault="0031415B" w:rsidP="00B059C7">
      <w:pPr>
        <w:pStyle w:val="RKnormal"/>
      </w:pPr>
      <w:r w:rsidRPr="00DF717A">
        <w:t xml:space="preserve">Förslaget innebär inte att bestämmelserna om utevarodomar i nationell rätt harmoniseras utan endast under vilka förutsättningar en stat ska behöva erkänna och verkställa en annan stats utevarodom. </w:t>
      </w:r>
    </w:p>
    <w:p w:rsidR="0031415B" w:rsidRPr="00DF717A" w:rsidRDefault="0031415B" w:rsidP="00B059C7">
      <w:pPr>
        <w:pStyle w:val="RKnormal"/>
      </w:pPr>
    </w:p>
    <w:p w:rsidR="0031415B" w:rsidRPr="00DF717A" w:rsidRDefault="0031415B" w:rsidP="00B059C7">
      <w:pPr>
        <w:pStyle w:val="RKnormal"/>
      </w:pPr>
      <w:r w:rsidRPr="00DF717A">
        <w:t xml:space="preserve">Utgångspunkten är att en stat kan vägra </w:t>
      </w:r>
      <w:r w:rsidR="00FD2EDE" w:rsidRPr="00DF717A">
        <w:t xml:space="preserve">att </w:t>
      </w:r>
      <w:r w:rsidRPr="00DF717A">
        <w:t>verkställa t.ex. en europeisk arresteringsorder eller ett bötesstraf</w:t>
      </w:r>
      <w:r w:rsidR="00FD2EDE" w:rsidRPr="00DF717A">
        <w:t>f om domen eller beslutet riktas</w:t>
      </w:r>
      <w:r w:rsidRPr="00DF717A">
        <w:t xml:space="preserve"> mot en person som inte varit personligen närvarande vid rättegången, om inte den utfärdande staten </w:t>
      </w:r>
      <w:r w:rsidR="00DE0069" w:rsidRPr="00DF717A">
        <w:t xml:space="preserve">sammanfattningsvis </w:t>
      </w:r>
      <w:r w:rsidR="00FD2EDE" w:rsidRPr="00DF717A">
        <w:t xml:space="preserve">kan </w:t>
      </w:r>
      <w:r w:rsidRPr="00DF717A">
        <w:t>intyga att</w:t>
      </w:r>
      <w:r w:rsidR="00FD2EDE" w:rsidRPr="00DF717A">
        <w:t>;</w:t>
      </w:r>
    </w:p>
    <w:p w:rsidR="0031415B" w:rsidRPr="00DF717A" w:rsidRDefault="0031415B" w:rsidP="0031415B">
      <w:pPr>
        <w:pStyle w:val="RKnormal"/>
        <w:numPr>
          <w:ilvl w:val="0"/>
          <w:numId w:val="6"/>
        </w:numPr>
        <w:tabs>
          <w:tab w:val="clear" w:pos="720"/>
          <w:tab w:val="clear" w:pos="2835"/>
        </w:tabs>
        <w:ind w:left="284" w:hanging="284"/>
      </w:pPr>
      <w:r w:rsidRPr="00DF717A">
        <w:t xml:space="preserve">personen delgetts eller på annat sätt erhållit information om tid och plats för rättegången samt en erinran om att målet kan avgöras i personens utevaro för det fall han eller hon inte närvarar, </w:t>
      </w:r>
    </w:p>
    <w:p w:rsidR="0031415B" w:rsidRPr="00DF717A" w:rsidRDefault="0031415B" w:rsidP="0031415B">
      <w:pPr>
        <w:pStyle w:val="RKnormal"/>
        <w:numPr>
          <w:ilvl w:val="0"/>
          <w:numId w:val="6"/>
        </w:numPr>
        <w:tabs>
          <w:tab w:val="clear" w:pos="720"/>
          <w:tab w:val="clear" w:pos="2835"/>
        </w:tabs>
        <w:ind w:left="284" w:hanging="284"/>
      </w:pPr>
      <w:r w:rsidRPr="00DF717A">
        <w:t xml:space="preserve">personen varit medveten om rättegången, men </w:t>
      </w:r>
      <w:r w:rsidR="00DE0069" w:rsidRPr="00DF717A">
        <w:t>låtit sig företrädas av ett rättsligt ombud, som utsetts av den åtalade eller av staten, vid rättegången, eller</w:t>
      </w:r>
    </w:p>
    <w:p w:rsidR="00DE0069" w:rsidRPr="00DF717A" w:rsidRDefault="00DE0069" w:rsidP="0031415B">
      <w:pPr>
        <w:pStyle w:val="RKnormal"/>
        <w:numPr>
          <w:ilvl w:val="0"/>
          <w:numId w:val="6"/>
        </w:numPr>
        <w:tabs>
          <w:tab w:val="clear" w:pos="720"/>
          <w:tab w:val="clear" w:pos="2835"/>
        </w:tabs>
        <w:ind w:left="284" w:hanging="284"/>
      </w:pPr>
      <w:r w:rsidRPr="00DF717A">
        <w:t xml:space="preserve">personen delgetts domen eller beslutet och informerats om rätten till en om- eller överprövning, men antingen uttryckligen angett att han eller hon inte bestrider domen eller beslutet eller </w:t>
      </w:r>
      <w:r w:rsidR="004152AD" w:rsidRPr="00DF717A">
        <w:t xml:space="preserve">inte begärt omprövning eller överklagat inom tillämpliga tidsfrister. </w:t>
      </w:r>
    </w:p>
    <w:p w:rsidR="004152AD" w:rsidRPr="00DF717A" w:rsidRDefault="004152AD" w:rsidP="004152AD">
      <w:pPr>
        <w:pStyle w:val="RKnormal"/>
        <w:tabs>
          <w:tab w:val="clear" w:pos="2835"/>
        </w:tabs>
      </w:pPr>
    </w:p>
    <w:p w:rsidR="004152AD" w:rsidRPr="00DF717A" w:rsidRDefault="004152AD" w:rsidP="004152AD">
      <w:pPr>
        <w:pStyle w:val="RKnormal"/>
        <w:tabs>
          <w:tab w:val="clear" w:pos="2835"/>
        </w:tabs>
      </w:pPr>
      <w:r w:rsidRPr="00DF717A">
        <w:t xml:space="preserve">Om den utfärdande staten intygar att en av dessa situationer är för handen får en verkställighet inte vägras. När det gäller rambeslutet om den europeiska arresteringsordern finns ytterligare en möjlighet för den utfärdande staten av avvärja ett avslag om den, i de fall den dömde inte delgetts domen eller beslutet före begäran om överlämnande, kan intyga att den dömde efter överlämnandet kommer </w:t>
      </w:r>
      <w:r w:rsidR="00FD2EDE" w:rsidRPr="00DF717A">
        <w:t>att delges domen och infor</w:t>
      </w:r>
      <w:r w:rsidR="00FD2EDE" w:rsidRPr="00DF717A">
        <w:softHyphen/>
        <w:t>meras</w:t>
      </w:r>
      <w:r w:rsidRPr="00DF717A">
        <w:t xml:space="preserve"> om rätten till en om- eller överprövning och om de tidsfrister som gäller för att begära en om- eller överprövning. </w:t>
      </w:r>
    </w:p>
    <w:p w:rsidR="00DB4397" w:rsidRPr="00DF717A" w:rsidRDefault="00DB4397" w:rsidP="00DB4397">
      <w:pPr>
        <w:pStyle w:val="RKrubrik"/>
        <w:rPr>
          <w:i/>
          <w:iCs/>
        </w:rPr>
      </w:pPr>
      <w:r w:rsidRPr="00DF717A">
        <w:rPr>
          <w:i/>
          <w:iCs/>
        </w:rPr>
        <w:t>Svensk ståndpunkt</w:t>
      </w:r>
    </w:p>
    <w:p w:rsidR="00017793" w:rsidRPr="00DF717A" w:rsidRDefault="00017793" w:rsidP="00B059C7">
      <w:pPr>
        <w:pStyle w:val="RKnormal"/>
      </w:pPr>
      <w:r w:rsidRPr="00DF717A">
        <w:t xml:space="preserve">Sverige stödjer, som initiativtagare, </w:t>
      </w:r>
      <w:r w:rsidR="00B059C7" w:rsidRPr="00DF717A">
        <w:t xml:space="preserve">den utgångspunkt som </w:t>
      </w:r>
      <w:r w:rsidRPr="00DF717A">
        <w:t>rambeslutet har</w:t>
      </w:r>
      <w:r w:rsidR="00B059C7" w:rsidRPr="00DF717A">
        <w:t xml:space="preserve">, dvs. </w:t>
      </w:r>
      <w:r w:rsidR="00FD2EDE" w:rsidRPr="00DF717A">
        <w:t>a</w:t>
      </w:r>
      <w:r w:rsidR="00B059C7" w:rsidRPr="00DF717A">
        <w:t xml:space="preserve">tt </w:t>
      </w:r>
      <w:r w:rsidR="00FD2EDE" w:rsidRPr="00DF717A">
        <w:t xml:space="preserve">det </w:t>
      </w:r>
      <w:r w:rsidRPr="00DF717A">
        <w:t xml:space="preserve">i tillämpningen av </w:t>
      </w:r>
      <w:r w:rsidR="00B059C7" w:rsidRPr="00DF717A">
        <w:t xml:space="preserve">principen om ömsesidigt </w:t>
      </w:r>
      <w:r w:rsidR="00FD2EDE" w:rsidRPr="00DF717A">
        <w:t xml:space="preserve">erkännande </w:t>
      </w:r>
      <w:r w:rsidR="00B059C7" w:rsidRPr="00DF717A">
        <w:t>är av vikt att hitta en balans mellan att skydda den enskildes rättigheter och ett effek</w:t>
      </w:r>
      <w:r w:rsidR="00B059C7" w:rsidRPr="00DF717A">
        <w:softHyphen/>
        <w:t xml:space="preserve">tivt samarbete. </w:t>
      </w:r>
      <w:r w:rsidRPr="00DF717A">
        <w:t>Genom att finna en enhetlig reglering beträffande n</w:t>
      </w:r>
      <w:r w:rsidR="00FD2EDE" w:rsidRPr="00DF717A">
        <w:t>är en utevarodom ska verkställas</w:t>
      </w:r>
      <w:r w:rsidRPr="00DF717A">
        <w:t xml:space="preserve"> eller inte samtidigt som en viss miniminivå regleras för att utevarodomar ska accepteras</w:t>
      </w:r>
      <w:r w:rsidR="007A5C4E" w:rsidRPr="00DF717A">
        <w:t>,</w:t>
      </w:r>
      <w:r w:rsidRPr="00DF717A">
        <w:t xml:space="preserve"> </w:t>
      </w:r>
      <w:r w:rsidR="007A5C4E" w:rsidRPr="00DF717A">
        <w:t xml:space="preserve">skapas goda förutsättningar för att hitta denna balans. </w:t>
      </w:r>
    </w:p>
    <w:p w:rsidR="007A5C4E" w:rsidRPr="00DF717A" w:rsidRDefault="007A5C4E" w:rsidP="00B059C7">
      <w:pPr>
        <w:pStyle w:val="RKnormal"/>
      </w:pPr>
    </w:p>
    <w:p w:rsidR="00B059C7" w:rsidRPr="00DF717A" w:rsidRDefault="007A5C4E" w:rsidP="00B059C7">
      <w:pPr>
        <w:pStyle w:val="RKnormal"/>
      </w:pPr>
      <w:r w:rsidRPr="00DF717A">
        <w:t>D</w:t>
      </w:r>
      <w:r w:rsidR="00B427D8" w:rsidRPr="00DF717A">
        <w:t xml:space="preserve">et </w:t>
      </w:r>
      <w:r w:rsidRPr="00DF717A">
        <w:t xml:space="preserve">förslag som nu finns innebär enligt Sveriges mening goda förutsättningar för att såväl skydda den enskildes rättigheter som att effektivisera samarbetet. Sveriges stödjer således ordförandeskapets ambitioner att nå en politisk överenskommelse vid </w:t>
      </w:r>
      <w:r w:rsidR="00B427D8" w:rsidRPr="00DF717A">
        <w:t xml:space="preserve">rådets möte den 18 april. </w:t>
      </w:r>
    </w:p>
    <w:p w:rsidR="00E35479" w:rsidRPr="00DF717A" w:rsidRDefault="00E35479" w:rsidP="00E35479">
      <w:pPr>
        <w:pStyle w:val="RKrubrik"/>
      </w:pPr>
      <w:r w:rsidRPr="00DF717A">
        <w:t>Medlemsstaternas ståndpunkter</w:t>
      </w:r>
    </w:p>
    <w:p w:rsidR="00E35479" w:rsidRPr="00DF717A" w:rsidRDefault="00E35479" w:rsidP="00E35479">
      <w:pPr>
        <w:pStyle w:val="RKnormal"/>
      </w:pPr>
      <w:r w:rsidRPr="00DF717A">
        <w:t>Majoriteten av medlemsstaterna är positiva till förslaget. Dock har viss kritik mot förslaget framförts av ett fåtal stater som bl.a. ifrågasatt be</w:t>
      </w:r>
      <w:r w:rsidRPr="00DF717A">
        <w:softHyphen/>
        <w:t>hovet av rambeslutet mot bakgrund av att den kunskap man har om praktiska problem relaterade till denna fråga, är mycket begränsad. Från de stater där det finns ganska långtgående möjligheter att meddela ute</w:t>
      </w:r>
      <w:r w:rsidRPr="00DF717A">
        <w:softHyphen/>
        <w:t xml:space="preserve">varodomar </w:t>
      </w:r>
      <w:r w:rsidR="00033974" w:rsidRPr="00DF717A">
        <w:t xml:space="preserve">har framförts synpunkter att deras system inte tillräckligt beaktats. </w:t>
      </w:r>
    </w:p>
    <w:p w:rsidR="00DB4397" w:rsidRPr="00DF717A" w:rsidRDefault="00DB4397" w:rsidP="00DB4397">
      <w:pPr>
        <w:pStyle w:val="RKrubrik"/>
      </w:pPr>
      <w:r w:rsidRPr="00DF717A">
        <w:t>Europaparlamentets inställning</w:t>
      </w:r>
    </w:p>
    <w:p w:rsidR="00DB4397" w:rsidRPr="00DF717A" w:rsidRDefault="00DB4397" w:rsidP="00DB4397">
      <w:pPr>
        <w:pStyle w:val="RKnormal"/>
      </w:pPr>
      <w:r w:rsidRPr="00DF717A">
        <w:t>Förslaget till rambeslut har öve</w:t>
      </w:r>
      <w:r w:rsidR="00B427D8" w:rsidRPr="00DF717A">
        <w:t xml:space="preserve">rlämnats till Europaparlamentet </w:t>
      </w:r>
      <w:r w:rsidRPr="00DF717A">
        <w:t xml:space="preserve">som </w:t>
      </w:r>
      <w:r w:rsidR="00B427D8" w:rsidRPr="00DF717A">
        <w:t>förväntas yttra sig under maj månad</w:t>
      </w:r>
      <w:r w:rsidRPr="00DF717A">
        <w:t>.</w:t>
      </w:r>
    </w:p>
    <w:p w:rsidR="00DB4397" w:rsidRPr="00DF717A" w:rsidRDefault="00DB4397" w:rsidP="00DB4397">
      <w:pPr>
        <w:pStyle w:val="RKrubrik"/>
        <w:rPr>
          <w:i/>
          <w:iCs/>
        </w:rPr>
      </w:pPr>
      <w:r w:rsidRPr="00DF717A">
        <w:rPr>
          <w:i/>
          <w:iCs/>
        </w:rPr>
        <w:t>Gällande svenska regler och förslagets effekter på dessa</w:t>
      </w:r>
    </w:p>
    <w:p w:rsidR="00154570" w:rsidRPr="00DF717A" w:rsidRDefault="00154570" w:rsidP="00154570">
      <w:pPr>
        <w:rPr>
          <w:i/>
          <w:szCs w:val="24"/>
        </w:rPr>
      </w:pPr>
      <w:r w:rsidRPr="00DF717A">
        <w:rPr>
          <w:i/>
          <w:szCs w:val="24"/>
        </w:rPr>
        <w:t>Utevarodom</w:t>
      </w:r>
    </w:p>
    <w:p w:rsidR="00154570" w:rsidRPr="00DF717A" w:rsidRDefault="00154570" w:rsidP="00154570">
      <w:r w:rsidRPr="00DF717A">
        <w:t>En person kan dömas till ansvar för brott i sin utevaro i vissa fall och då under vissa förutsättningar. Ett generellt krav för samtliga fall är att saken (dvs. åtalet) går att utreda tillfredsställande. I normalfallet då en utevarodom aktualiseras har den tilltalade delgetts kallelse till förhand</w:t>
      </w:r>
      <w:r w:rsidR="00033974" w:rsidRPr="00DF717A">
        <w:softHyphen/>
      </w:r>
      <w:r w:rsidRPr="00DF717A">
        <w:t>lingen som anger att målet kan avgöras slutligt utan att den tilltalade närvarar personligen samt att påföljden inte blir strängare än fängelse tre månader (däremot kan böter, och andra icke frihetsberövande påföljder dömas ut). I ytterligare två fall – avsevärt mindre vanliga i praktiken – kan en utevarodom bli aktuell. Det första är då den tilltalade har delgetts stämning och sedan avvikit eller håller sig undan och inte kan hämtas till förhandlingen. Det andra fallet är när den tilltalade lider av en allvarlig psykiskt störning och hans eller hennes närvaro därför inte är nödvändig. Om en utevarodom meddelats har den dömde inte någon rätt till om</w:t>
      </w:r>
      <w:r w:rsidR="00033974" w:rsidRPr="00DF717A">
        <w:softHyphen/>
      </w:r>
      <w:r w:rsidRPr="00DF717A">
        <w:t xml:space="preserve">prövning av domen i tingsrätten. Istället </w:t>
      </w:r>
      <w:r w:rsidR="00033974" w:rsidRPr="00DF717A">
        <w:t>får</w:t>
      </w:r>
      <w:r w:rsidRPr="00DF717A">
        <w:t xml:space="preserve"> </w:t>
      </w:r>
      <w:r w:rsidR="00033974" w:rsidRPr="00DF717A">
        <w:t xml:space="preserve">domen </w:t>
      </w:r>
      <w:r w:rsidRPr="00DF717A">
        <w:t>överklaga</w:t>
      </w:r>
      <w:r w:rsidR="00033974" w:rsidRPr="00DF717A">
        <w:t>s</w:t>
      </w:r>
      <w:r w:rsidRPr="00DF717A">
        <w:t>.</w:t>
      </w:r>
    </w:p>
    <w:p w:rsidR="00154570" w:rsidRPr="00DF717A" w:rsidRDefault="00154570" w:rsidP="00154570">
      <w:pPr>
        <w:rPr>
          <w:i/>
          <w:szCs w:val="24"/>
        </w:rPr>
      </w:pPr>
    </w:p>
    <w:p w:rsidR="00154570" w:rsidRPr="00DF717A" w:rsidRDefault="00154570" w:rsidP="00154570">
      <w:pPr>
        <w:rPr>
          <w:i/>
          <w:szCs w:val="24"/>
        </w:rPr>
      </w:pPr>
      <w:r w:rsidRPr="00DF717A">
        <w:rPr>
          <w:i/>
          <w:szCs w:val="24"/>
        </w:rPr>
        <w:t>Förslagets påverkan på svensk rätt</w:t>
      </w:r>
    </w:p>
    <w:p w:rsidR="00033974" w:rsidRPr="00DF717A" w:rsidRDefault="00154570" w:rsidP="00154570">
      <w:r w:rsidRPr="00DF717A">
        <w:t xml:space="preserve">Gemensamt för </w:t>
      </w:r>
      <w:r w:rsidR="00033974" w:rsidRPr="00DF717A">
        <w:t xml:space="preserve">ändringar som föreslås i </w:t>
      </w:r>
      <w:r w:rsidRPr="00DF717A">
        <w:t xml:space="preserve">de olika rambesluten är att det </w:t>
      </w:r>
      <w:r w:rsidR="00033974" w:rsidRPr="00DF717A">
        <w:t xml:space="preserve">bl.a. </w:t>
      </w:r>
      <w:r w:rsidRPr="00DF717A">
        <w:t xml:space="preserve">inte går att vägra verkställighet av en utevarodom om personen har delgetts kallelse till huvudförhandlingen och i den erinrats om att han eller hon kan komma att dömas i sin utevaro. De svenska reglerna om utevarodomar </w:t>
      </w:r>
      <w:r w:rsidR="00033974" w:rsidRPr="00DF717A">
        <w:t xml:space="preserve">lever upp till detta krav, vilket innebär att </w:t>
      </w:r>
      <w:r w:rsidR="004946B9" w:rsidRPr="00DF717A">
        <w:t xml:space="preserve">i princip alla våra </w:t>
      </w:r>
      <w:r w:rsidR="00033974" w:rsidRPr="00DF717A">
        <w:t xml:space="preserve">utevarodomar kan verkställas i andra medlemsstater. </w:t>
      </w:r>
    </w:p>
    <w:p w:rsidR="00033974" w:rsidRPr="00DF717A" w:rsidRDefault="00033974" w:rsidP="00154570"/>
    <w:p w:rsidR="00154570" w:rsidRPr="00DF717A" w:rsidRDefault="00154570" w:rsidP="00154570">
      <w:r w:rsidRPr="00DF717A">
        <w:t>Av de fyra rambesluten som förslaget omfattar har Sverige genomfört rambeslutet om en europeiskt arresteringsorder; se lagen (2003:1156) om överlämnande från Sverige enligt en europeisk arresteringsorder. Bestämmelsen om utevarodom i den lagen skiljer sig åt från förslagets bestämmelse och kommer därför föranleda vissa ändringar. De övriga rambesluten har ännu inte genomförts i svensk rätt.</w:t>
      </w:r>
    </w:p>
    <w:p w:rsidR="00DB4397" w:rsidRPr="00DF717A" w:rsidRDefault="00DB4397" w:rsidP="00DB4397">
      <w:pPr>
        <w:pStyle w:val="RKrubrik"/>
      </w:pPr>
      <w:r w:rsidRPr="00DF717A">
        <w:t>Ekonomiska konsekvenser</w:t>
      </w:r>
    </w:p>
    <w:p w:rsidR="00DB4397" w:rsidRPr="00DF717A" w:rsidRDefault="00154570" w:rsidP="00DB4397">
      <w:pPr>
        <w:pStyle w:val="RKnormal"/>
      </w:pPr>
      <w:r w:rsidRPr="00DF717A">
        <w:t>Förslaget förutses inte medföra några ökade utgifter</w:t>
      </w:r>
      <w:r w:rsidR="00DB4397" w:rsidRPr="00DF717A">
        <w:t xml:space="preserve">.  </w:t>
      </w:r>
    </w:p>
    <w:p w:rsidR="00DB4397" w:rsidRPr="00DF717A" w:rsidRDefault="00DB4397" w:rsidP="00DB4397">
      <w:pPr>
        <w:pStyle w:val="RKrubrik"/>
      </w:pPr>
      <w:r w:rsidRPr="00DF717A">
        <w:t>Övrigt</w:t>
      </w:r>
    </w:p>
    <w:p w:rsidR="00DB4397" w:rsidRPr="00DF717A" w:rsidRDefault="00DB4397" w:rsidP="00DB4397">
      <w:pPr>
        <w:pStyle w:val="RKnormal"/>
      </w:pPr>
      <w:r w:rsidRPr="00DF717A">
        <w:t>-----</w:t>
      </w:r>
    </w:p>
    <w:p w:rsidR="00DB4397" w:rsidRPr="00DF717A" w:rsidRDefault="00DB4397" w:rsidP="00DB4397">
      <w:pPr>
        <w:pStyle w:val="RKnormal"/>
      </w:pPr>
    </w:p>
    <w:p w:rsidR="00033974" w:rsidRPr="00DF717A" w:rsidRDefault="00033974" w:rsidP="00033974">
      <w:pPr>
        <w:pStyle w:val="RKnormal"/>
        <w:jc w:val="center"/>
      </w:pPr>
      <w:r w:rsidRPr="00DF717A">
        <w:t>____________________</w:t>
      </w:r>
    </w:p>
    <w:p w:rsidR="00033974" w:rsidRPr="00DF717A" w:rsidRDefault="00033974" w:rsidP="00DB4397">
      <w:pPr>
        <w:pStyle w:val="RKnormal"/>
      </w:pPr>
    </w:p>
    <w:sectPr w:rsidR="00033974" w:rsidRPr="00DF717A">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1D6C" w:rsidRPr="00DF717A" w:rsidRDefault="00991D6C">
      <w:r w:rsidRPr="00DF717A">
        <w:separator/>
      </w:r>
    </w:p>
  </w:endnote>
  <w:endnote w:type="continuationSeparator" w:id="0">
    <w:p w:rsidR="00991D6C" w:rsidRPr="00DF717A" w:rsidRDefault="00991D6C">
      <w:r w:rsidRPr="00DF71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1D6C" w:rsidRPr="00DF717A" w:rsidRDefault="00991D6C">
      <w:r w:rsidRPr="00DF717A">
        <w:separator/>
      </w:r>
    </w:p>
  </w:footnote>
  <w:footnote w:type="continuationSeparator" w:id="0">
    <w:p w:rsidR="00991D6C" w:rsidRPr="00DF717A" w:rsidRDefault="00991D6C">
      <w:r w:rsidRPr="00DF71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793" w:rsidRPr="00DF717A" w:rsidRDefault="00017793">
    <w:pPr>
      <w:pStyle w:val="Sidhuvud"/>
      <w:framePr w:wrap="around" w:vAnchor="text" w:hAnchor="margin" w:xAlign="right" w:y="1"/>
      <w:rPr>
        <w:rStyle w:val="Sidnummer"/>
      </w:rPr>
    </w:pPr>
    <w:r w:rsidRPr="00DF717A">
      <w:rPr>
        <w:rStyle w:val="Sidnummer"/>
      </w:rPr>
      <w:fldChar w:fldCharType="begin" w:fldLock="1"/>
    </w:r>
    <w:r w:rsidRPr="00DF717A">
      <w:rPr>
        <w:rStyle w:val="Sidnummer"/>
      </w:rPr>
      <w:instrText xml:space="preserve">PAGE  </w:instrText>
    </w:r>
    <w:r w:rsidRPr="00DF717A">
      <w:rPr>
        <w:rStyle w:val="Sidnummer"/>
      </w:rPr>
      <w:fldChar w:fldCharType="separate"/>
    </w:r>
    <w:r w:rsidR="00794C34" w:rsidRPr="00DF717A">
      <w:rPr>
        <w:rStyle w:val="Sidnummer"/>
      </w:rPr>
      <w:t>4</w:t>
    </w:r>
    <w:r w:rsidRPr="00DF717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17793" w:rsidRPr="00DF717A">
      <w:tblPrEx>
        <w:tblCellMar>
          <w:top w:w="0" w:type="dxa"/>
          <w:bottom w:w="0" w:type="dxa"/>
        </w:tblCellMar>
      </w:tblPrEx>
      <w:trPr>
        <w:cantSplit/>
      </w:trPr>
      <w:tc>
        <w:tcPr>
          <w:tcW w:w="3119" w:type="dxa"/>
        </w:tcPr>
        <w:p w:rsidR="00017793" w:rsidRPr="00DF717A" w:rsidRDefault="00017793">
          <w:pPr>
            <w:pStyle w:val="Sidhuvud"/>
            <w:spacing w:line="200" w:lineRule="atLeast"/>
            <w:ind w:right="357"/>
            <w:rPr>
              <w:rFonts w:ascii="TradeGothic" w:hAnsi="TradeGothic"/>
              <w:b/>
              <w:bCs/>
              <w:sz w:val="16"/>
            </w:rPr>
          </w:pPr>
        </w:p>
      </w:tc>
      <w:tc>
        <w:tcPr>
          <w:tcW w:w="4111" w:type="dxa"/>
          <w:tcMar>
            <w:left w:w="567" w:type="dxa"/>
          </w:tcMar>
        </w:tcPr>
        <w:p w:rsidR="00017793" w:rsidRPr="00DF717A" w:rsidRDefault="00017793">
          <w:pPr>
            <w:pStyle w:val="Sidhuvud"/>
            <w:ind w:right="360"/>
          </w:pPr>
        </w:p>
      </w:tc>
      <w:tc>
        <w:tcPr>
          <w:tcW w:w="1525" w:type="dxa"/>
        </w:tcPr>
        <w:p w:rsidR="00017793" w:rsidRPr="00DF717A" w:rsidRDefault="00017793">
          <w:pPr>
            <w:pStyle w:val="Sidhuvud"/>
            <w:ind w:right="360"/>
          </w:pPr>
        </w:p>
      </w:tc>
    </w:tr>
  </w:tbl>
  <w:p w:rsidR="00017793" w:rsidRPr="00DF717A" w:rsidRDefault="0001779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793" w:rsidRPr="00DF717A" w:rsidRDefault="00017793">
    <w:pPr>
      <w:pStyle w:val="Sidhuvud"/>
      <w:framePr w:wrap="around" w:vAnchor="text" w:hAnchor="margin" w:xAlign="right" w:y="1"/>
      <w:rPr>
        <w:rStyle w:val="Sidnummer"/>
      </w:rPr>
    </w:pPr>
    <w:r w:rsidRPr="00DF717A">
      <w:rPr>
        <w:rStyle w:val="Sidnummer"/>
      </w:rPr>
      <w:fldChar w:fldCharType="begin" w:fldLock="1"/>
    </w:r>
    <w:r w:rsidRPr="00DF717A">
      <w:rPr>
        <w:rStyle w:val="Sidnummer"/>
      </w:rPr>
      <w:instrText xml:space="preserve">PAGE  </w:instrText>
    </w:r>
    <w:r w:rsidRPr="00DF717A">
      <w:rPr>
        <w:rStyle w:val="Sidnummer"/>
      </w:rPr>
      <w:fldChar w:fldCharType="separate"/>
    </w:r>
    <w:r w:rsidR="00794C34" w:rsidRPr="00DF717A">
      <w:rPr>
        <w:rStyle w:val="Sidnummer"/>
      </w:rPr>
      <w:t>3</w:t>
    </w:r>
    <w:r w:rsidRPr="00DF717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17793" w:rsidRPr="00DF717A">
      <w:tblPrEx>
        <w:tblCellMar>
          <w:top w:w="0" w:type="dxa"/>
          <w:bottom w:w="0" w:type="dxa"/>
        </w:tblCellMar>
      </w:tblPrEx>
      <w:trPr>
        <w:cantSplit/>
      </w:trPr>
      <w:tc>
        <w:tcPr>
          <w:tcW w:w="3119" w:type="dxa"/>
        </w:tcPr>
        <w:p w:rsidR="00017793" w:rsidRPr="00DF717A" w:rsidRDefault="00017793">
          <w:pPr>
            <w:pStyle w:val="Sidhuvud"/>
            <w:spacing w:line="200" w:lineRule="atLeast"/>
            <w:ind w:right="357"/>
            <w:rPr>
              <w:rFonts w:ascii="TradeGothic" w:hAnsi="TradeGothic"/>
              <w:b/>
              <w:bCs/>
              <w:sz w:val="16"/>
            </w:rPr>
          </w:pPr>
        </w:p>
      </w:tc>
      <w:tc>
        <w:tcPr>
          <w:tcW w:w="4111" w:type="dxa"/>
          <w:tcMar>
            <w:left w:w="567" w:type="dxa"/>
          </w:tcMar>
        </w:tcPr>
        <w:p w:rsidR="00017793" w:rsidRPr="00DF717A" w:rsidRDefault="00017793">
          <w:pPr>
            <w:pStyle w:val="Sidhuvud"/>
            <w:ind w:right="360"/>
          </w:pPr>
        </w:p>
      </w:tc>
      <w:tc>
        <w:tcPr>
          <w:tcW w:w="1525" w:type="dxa"/>
        </w:tcPr>
        <w:p w:rsidR="00017793" w:rsidRPr="00DF717A" w:rsidRDefault="00017793">
          <w:pPr>
            <w:pStyle w:val="Sidhuvud"/>
            <w:ind w:right="360"/>
          </w:pPr>
        </w:p>
      </w:tc>
    </w:tr>
  </w:tbl>
  <w:p w:rsidR="00017793" w:rsidRPr="00DF717A" w:rsidRDefault="0001779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793" w:rsidRPr="00DF717A" w:rsidRDefault="00DF717A">
    <w:pPr>
      <w:framePr w:w="2948" w:h="1321" w:hRule="exact" w:wrap="notBeside" w:vAnchor="page" w:hAnchor="page" w:x="1362" w:y="653"/>
    </w:pPr>
    <w:r w:rsidRPr="00DF717A">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017793" w:rsidRPr="00DF717A" w:rsidRDefault="00017793">
    <w:pPr>
      <w:pStyle w:val="RKrubrik"/>
      <w:keepNext w:val="0"/>
      <w:tabs>
        <w:tab w:val="clear" w:pos="1134"/>
        <w:tab w:val="clear" w:pos="2835"/>
      </w:tabs>
      <w:spacing w:before="0" w:after="0" w:line="320" w:lineRule="atLeast"/>
      <w:rPr>
        <w:bCs/>
      </w:rPr>
    </w:pPr>
  </w:p>
  <w:p w:rsidR="00017793" w:rsidRPr="00DF717A" w:rsidRDefault="00017793">
    <w:pPr>
      <w:rPr>
        <w:rFonts w:ascii="TradeGothic" w:hAnsi="TradeGothic"/>
        <w:b/>
        <w:bCs/>
        <w:spacing w:val="12"/>
        <w:sz w:val="22"/>
      </w:rPr>
    </w:pPr>
  </w:p>
  <w:p w:rsidR="00017793" w:rsidRPr="00DF717A" w:rsidRDefault="00017793">
    <w:pPr>
      <w:pStyle w:val="RKrubrik"/>
      <w:keepNext w:val="0"/>
      <w:tabs>
        <w:tab w:val="clear" w:pos="1134"/>
        <w:tab w:val="clear" w:pos="2835"/>
      </w:tabs>
      <w:spacing w:before="0" w:after="0" w:line="320" w:lineRule="atLeast"/>
      <w:rPr>
        <w:bCs/>
      </w:rPr>
    </w:pPr>
  </w:p>
  <w:p w:rsidR="00017793" w:rsidRPr="00DF717A" w:rsidRDefault="00017793">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EFC2CC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695A1E"/>
    <w:multiLevelType w:val="hybridMultilevel"/>
    <w:tmpl w:val="D0E45C9C"/>
    <w:lvl w:ilvl="0" w:tplc="5E1E4258">
      <w:start w:val="1"/>
      <w:numFmt w:val="bullet"/>
      <w:lvlText w:val=""/>
      <w:lvlJc w:val="left"/>
      <w:pPr>
        <w:tabs>
          <w:tab w:val="num" w:pos="720"/>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277086"/>
    <w:multiLevelType w:val="hybridMultilevel"/>
    <w:tmpl w:val="47B674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68263D"/>
    <w:multiLevelType w:val="hybridMultilevel"/>
    <w:tmpl w:val="7548AE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CE0FC9"/>
    <w:multiLevelType w:val="hybridMultilevel"/>
    <w:tmpl w:val="AAE8FEEA"/>
    <w:lvl w:ilvl="0" w:tplc="DB888148">
      <w:start w:val="1"/>
      <w:numFmt w:val="bullet"/>
      <w:lvlRestart w:val="0"/>
      <w:pStyle w:val="Punktlista"/>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3A6335D"/>
    <w:multiLevelType w:val="hybridMultilevel"/>
    <w:tmpl w:val="5916FF26"/>
    <w:lvl w:ilvl="0" w:tplc="5E1E4258">
      <w:start w:val="1"/>
      <w:numFmt w:val="bullet"/>
      <w:lvlText w:val=""/>
      <w:lvlJc w:val="left"/>
      <w:pPr>
        <w:tabs>
          <w:tab w:val="num" w:pos="720"/>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50903945">
    <w:abstractNumId w:val="0"/>
  </w:num>
  <w:num w:numId="2" w16cid:durableId="904680241">
    <w:abstractNumId w:val="4"/>
  </w:num>
  <w:num w:numId="3" w16cid:durableId="1037656231">
    <w:abstractNumId w:val="3"/>
  </w:num>
  <w:num w:numId="4" w16cid:durableId="1072317468">
    <w:abstractNumId w:val="2"/>
  </w:num>
  <w:num w:numId="5" w16cid:durableId="537663990">
    <w:abstractNumId w:val="5"/>
  </w:num>
  <w:num w:numId="6" w16cid:durableId="594630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6"/>
    <w:docVar w:name="docDep" w:val="2"/>
    <w:docVar w:name="docSprak" w:val="0"/>
  </w:docVars>
  <w:rsids>
    <w:rsidRoot w:val="00050EF9"/>
    <w:rsid w:val="00017793"/>
    <w:rsid w:val="00033974"/>
    <w:rsid w:val="00050EF9"/>
    <w:rsid w:val="00094218"/>
    <w:rsid w:val="000A19B4"/>
    <w:rsid w:val="000D659A"/>
    <w:rsid w:val="00105600"/>
    <w:rsid w:val="00120C5C"/>
    <w:rsid w:val="00125C49"/>
    <w:rsid w:val="00137306"/>
    <w:rsid w:val="00150384"/>
    <w:rsid w:val="00152A44"/>
    <w:rsid w:val="00154570"/>
    <w:rsid w:val="00177971"/>
    <w:rsid w:val="00235FB0"/>
    <w:rsid w:val="00257E29"/>
    <w:rsid w:val="002863EA"/>
    <w:rsid w:val="00292434"/>
    <w:rsid w:val="002A4D9E"/>
    <w:rsid w:val="0031415B"/>
    <w:rsid w:val="00315E2F"/>
    <w:rsid w:val="00322617"/>
    <w:rsid w:val="00375CED"/>
    <w:rsid w:val="003D2250"/>
    <w:rsid w:val="003F55C6"/>
    <w:rsid w:val="004103D7"/>
    <w:rsid w:val="0041520D"/>
    <w:rsid w:val="004152AD"/>
    <w:rsid w:val="00451A46"/>
    <w:rsid w:val="00472711"/>
    <w:rsid w:val="004946B9"/>
    <w:rsid w:val="004A686F"/>
    <w:rsid w:val="004C1FAE"/>
    <w:rsid w:val="004C6579"/>
    <w:rsid w:val="00500EB9"/>
    <w:rsid w:val="005159CC"/>
    <w:rsid w:val="00544D5F"/>
    <w:rsid w:val="005A1289"/>
    <w:rsid w:val="005A1BD0"/>
    <w:rsid w:val="006B255C"/>
    <w:rsid w:val="006B2796"/>
    <w:rsid w:val="006D3FBA"/>
    <w:rsid w:val="006E4E11"/>
    <w:rsid w:val="006F1B03"/>
    <w:rsid w:val="00704560"/>
    <w:rsid w:val="007242A3"/>
    <w:rsid w:val="00794C34"/>
    <w:rsid w:val="007A2F0E"/>
    <w:rsid w:val="007A5C4E"/>
    <w:rsid w:val="007B1ECD"/>
    <w:rsid w:val="007F1C66"/>
    <w:rsid w:val="007F2F38"/>
    <w:rsid w:val="00817E84"/>
    <w:rsid w:val="00853F98"/>
    <w:rsid w:val="00874148"/>
    <w:rsid w:val="008A19C8"/>
    <w:rsid w:val="008B055C"/>
    <w:rsid w:val="008E1CDE"/>
    <w:rsid w:val="008E4B21"/>
    <w:rsid w:val="008E7F99"/>
    <w:rsid w:val="008F4EC9"/>
    <w:rsid w:val="00905ABC"/>
    <w:rsid w:val="00905D1F"/>
    <w:rsid w:val="00913FF6"/>
    <w:rsid w:val="009213DC"/>
    <w:rsid w:val="009546CC"/>
    <w:rsid w:val="00962CAA"/>
    <w:rsid w:val="00991D6C"/>
    <w:rsid w:val="00994E4D"/>
    <w:rsid w:val="00A0001B"/>
    <w:rsid w:val="00A359D9"/>
    <w:rsid w:val="00A366FE"/>
    <w:rsid w:val="00A55E48"/>
    <w:rsid w:val="00A94425"/>
    <w:rsid w:val="00B059C7"/>
    <w:rsid w:val="00B427D8"/>
    <w:rsid w:val="00B50D99"/>
    <w:rsid w:val="00B82C5C"/>
    <w:rsid w:val="00B856E1"/>
    <w:rsid w:val="00C22FDE"/>
    <w:rsid w:val="00C25F3E"/>
    <w:rsid w:val="00C30B63"/>
    <w:rsid w:val="00C8080D"/>
    <w:rsid w:val="00C829F6"/>
    <w:rsid w:val="00C91868"/>
    <w:rsid w:val="00CE651A"/>
    <w:rsid w:val="00D162F1"/>
    <w:rsid w:val="00DB4397"/>
    <w:rsid w:val="00DE0069"/>
    <w:rsid w:val="00DF717A"/>
    <w:rsid w:val="00E04155"/>
    <w:rsid w:val="00E22BEC"/>
    <w:rsid w:val="00E23B18"/>
    <w:rsid w:val="00E35479"/>
    <w:rsid w:val="00E421A1"/>
    <w:rsid w:val="00E7106D"/>
    <w:rsid w:val="00E96803"/>
    <w:rsid w:val="00ED0D87"/>
    <w:rsid w:val="00EF3DFC"/>
    <w:rsid w:val="00F07068"/>
    <w:rsid w:val="00F85C4D"/>
    <w:rsid w:val="00FA261A"/>
    <w:rsid w:val="00FC78C9"/>
    <w:rsid w:val="00FD2EDE"/>
    <w:rsid w:val="00FF065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BCEB78-6655-4106-A499-A2F16F91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Punktlista">
    <w:name w:val="List Bullet"/>
    <w:basedOn w:val="Normal"/>
    <w:rsid w:val="002863EA"/>
    <w:pPr>
      <w:numPr>
        <w:numId w:val="2"/>
      </w:numPr>
    </w:pPr>
  </w:style>
  <w:style w:type="paragraph" w:styleId="Normaltindrag">
    <w:name w:val="Normal Indent"/>
    <w:basedOn w:val="Normal"/>
    <w:rsid w:val="00154570"/>
    <w:pPr>
      <w:overflowPunct/>
      <w:autoSpaceDE/>
      <w:autoSpaceDN/>
      <w:adjustRightInd/>
      <w:spacing w:line="245" w:lineRule="exact"/>
      <w:ind w:firstLine="170"/>
      <w:jc w:val="both"/>
      <w:textAlignment w:val="auto"/>
    </w:pPr>
    <w:rPr>
      <w:rFonts w:ascii="Times New Roman" w:hAnsi="Times New Roman"/>
      <w:sz w:val="19"/>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1058</Words>
  <Characters>6488</Characters>
  <Application>Microsoft Office Word</Application>
  <DocSecurity>4</DocSecurity>
  <Lines>158</Lines>
  <Paragraphs>60</Paragraphs>
  <ScaleCrop>false</ScaleCrop>
  <HeadingPairs>
    <vt:vector size="2" baseType="variant">
      <vt:variant>
        <vt:lpstr>Rubrik</vt:lpstr>
      </vt:variant>
      <vt:variant>
        <vt:i4>1</vt:i4>
      </vt:variant>
    </vt:vector>
  </HeadingPairs>
  <TitlesOfParts>
    <vt:vector size="1" baseType="lpstr">
      <vt:lpstr>Informella rådsmötet RIF 24-26 januari 2008</vt:lpstr>
    </vt:vector>
  </TitlesOfParts>
  <Company>Regeringskansliet</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Informella rådsmötet RIF 24-26 januari 2008</dc:title>
  <dc:subject>Informella rådsmötet RIF 24-26 januari 2008</dc:subject>
  <dc:creator>Riksdagen</dc:creator>
  <cp:keywords>Riksdagen</cp:keywords>
  <dc:description/>
  <cp:lastModifiedBy>Lars Brink</cp:lastModifiedBy>
  <cp:revision>2</cp:revision>
  <cp:lastPrinted>2008-04-04T13:13:00Z</cp:lastPrinted>
  <dcterms:created xsi:type="dcterms:W3CDTF">2025-12-17T13:13:00Z</dcterms:created>
  <dcterms:modified xsi:type="dcterms:W3CDTF">2025-12-17T13:13:00Z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2;0;0;196</vt:lpwstr>
  </property>
  <property fmtid="{D5CDD505-2E9C-101B-9397-08002B2CF9AE}" pid="3" name="Sprak">
    <vt:lpwstr>Svenska</vt:lpwstr>
  </property>
  <property fmtid="{D5CDD505-2E9C-101B-9397-08002B2CF9AE}" pid="4" name="DokID">
    <vt:i4>7</vt:i4>
  </property>
</Properties>
</file>