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0DFB" w:rsidRPr="006F4374" w:rsidRDefault="00F10DFB">
      <w:pPr>
        <w:pStyle w:val="Hemstlrubrik"/>
        <w:shd w:val="clear" w:color="000000" w:fill="auto"/>
      </w:pPr>
      <w:r w:rsidRPr="006F4374">
        <w:t>Förslag till riksdagsbeslut</w:t>
      </w:r>
    </w:p>
    <w:p w:rsidR="00F10DFB" w:rsidRPr="006F4374" w:rsidRDefault="00F10DFB">
      <w:pPr>
        <w:pStyle w:val="Hemstlatt"/>
        <w:numPr>
          <w:ilvl w:val="0"/>
          <w:numId w:val="1"/>
        </w:numPr>
        <w:shd w:val="clear" w:color="000000" w:fill="auto"/>
      </w:pPr>
      <w:r w:rsidRPr="006F4374">
        <w:t>Riksdagen beslutar om ändrade ramar för utgift</w:t>
      </w:r>
      <w:r w:rsidRPr="006F4374">
        <w:t>s</w:t>
      </w:r>
      <w:r w:rsidRPr="006F4374">
        <w:t>områden i enlighet med vad som anförs i motionen och anvisar med fö</w:t>
      </w:r>
      <w:r w:rsidRPr="006F4374">
        <w:t>l</w:t>
      </w:r>
      <w:r w:rsidRPr="006F4374">
        <w:t>jande ändringar av anslagen i förhållande till regeringens förslag enligt uppställning i tabell 1.</w:t>
      </w:r>
    </w:p>
    <w:p w:rsidR="00F10DFB" w:rsidRPr="006F4374" w:rsidRDefault="00F10DFB">
      <w:pPr>
        <w:pStyle w:val="Hemstlatt"/>
        <w:numPr>
          <w:ilvl w:val="0"/>
          <w:numId w:val="1"/>
        </w:numPr>
        <w:shd w:val="clear" w:color="000000" w:fill="auto"/>
      </w:pPr>
      <w:r w:rsidRPr="006F4374">
        <w:t>Riksdagen bemyndigar regeringen att under 2008 för det u</w:t>
      </w:r>
      <w:r w:rsidRPr="006F4374">
        <w:t>n</w:t>
      </w:r>
      <w:r w:rsidRPr="006F4374">
        <w:t>der utgiftsområde 17 Kultur, medier, trossamfund och fritid uppförda a</w:t>
      </w:r>
      <w:r w:rsidRPr="006F4374">
        <w:t>n</w:t>
      </w:r>
      <w:r w:rsidRPr="006F4374">
        <w:t xml:space="preserve">slaget 28:7 </w:t>
      </w:r>
      <w:r w:rsidRPr="006F4374">
        <w:rPr>
          <w:iCs/>
        </w:rPr>
        <w:t>Bidrag till vissa teater-, dans- och musikändamål</w:t>
      </w:r>
      <w:r w:rsidRPr="006F4374">
        <w:rPr>
          <w:i/>
          <w:iCs/>
        </w:rPr>
        <w:t xml:space="preserve"> </w:t>
      </w:r>
      <w:r w:rsidRPr="006F4374">
        <w:t>ingå ek</w:t>
      </w:r>
      <w:r w:rsidRPr="006F4374">
        <w:t>o</w:t>
      </w:r>
      <w:r w:rsidRPr="006F4374">
        <w:t>nomiska förpliktelser som inklusive tidigare gjorda åtaganden medför behov av framtida anslag på högst 100 000 000 kr under 2009.</w:t>
      </w:r>
    </w:p>
    <w:p w:rsidR="00F10DFB" w:rsidRPr="006F4374" w:rsidRDefault="00F10DFB">
      <w:pPr>
        <w:pStyle w:val="Hemstlatt"/>
        <w:numPr>
          <w:ilvl w:val="0"/>
          <w:numId w:val="1"/>
        </w:numPr>
        <w:shd w:val="clear" w:color="000000" w:fill="auto"/>
      </w:pPr>
      <w:r w:rsidRPr="006F4374">
        <w:t>Riksdagen tillkännager för regeringen vad som anförs i m</w:t>
      </w:r>
      <w:r w:rsidRPr="006F4374">
        <w:t>o</w:t>
      </w:r>
      <w:r w:rsidRPr="006F4374">
        <w:t>tionen om att hos riksdagen begära bemyndigande för regeringen att u</w:t>
      </w:r>
      <w:r w:rsidRPr="006F4374">
        <w:t>n</w:t>
      </w:r>
      <w:r w:rsidRPr="006F4374">
        <w:t xml:space="preserve">der 2008 får det under utgiftsområde 17 Kultur, medier, trossamfund och fritid uppförda anslaget 28:7 </w:t>
      </w:r>
      <w:r w:rsidRPr="006F4374">
        <w:rPr>
          <w:iCs/>
        </w:rPr>
        <w:t>Bidrag till vissa teater-, dans- och musikä</w:t>
      </w:r>
      <w:r w:rsidRPr="006F4374">
        <w:rPr>
          <w:iCs/>
        </w:rPr>
        <w:t>n</w:t>
      </w:r>
      <w:r w:rsidRPr="006F4374">
        <w:rPr>
          <w:iCs/>
        </w:rPr>
        <w:t>damål</w:t>
      </w:r>
      <w:r w:rsidRPr="006F4374">
        <w:t xml:space="preserve"> ingå ekonomiska förpliktelser som inklusive tidigare gjorda åt</w:t>
      </w:r>
      <w:r w:rsidRPr="006F4374">
        <w:t>a</w:t>
      </w:r>
      <w:r w:rsidRPr="006F4374">
        <w:t>ganden medför behov av framtida anslag på högst 100 000 000 kr för år 2010 och högst 100 000 000 kr för år 2011.</w:t>
      </w:r>
    </w:p>
    <w:p w:rsidR="00F10DFB" w:rsidRPr="006F4374" w:rsidRDefault="00F10DFB">
      <w:pPr>
        <w:pStyle w:val="Rubrik1"/>
        <w:shd w:val="clear" w:color="000000" w:fill="auto"/>
      </w:pPr>
      <w:r w:rsidRPr="006F4374">
        <w:br w:type="page"/>
      </w:r>
      <w:r w:rsidRPr="006F4374">
        <w:lastRenderedPageBreak/>
        <w:t>Tilläggsbudget för 2007</w:t>
      </w:r>
    </w:p>
    <w:p w:rsidR="00F10DFB" w:rsidRPr="006F4374" w:rsidRDefault="00F10DFB">
      <w:pPr>
        <w:shd w:val="clear" w:color="000000" w:fill="auto"/>
      </w:pPr>
      <w:r w:rsidRPr="006F4374">
        <w:t>Nedan följer Vänsterpartiets synpunkter på regeringens tilläggsbudget för 2007. Förslag till ändringar i anslagstilldelningen redovisas i tabell 1. Därefter kommenteras synpunkterna ordnade efter anslag.</w:t>
      </w:r>
    </w:p>
    <w:p w:rsidR="00F10DFB" w:rsidRPr="006F4374" w:rsidRDefault="00F10DFB">
      <w:pPr>
        <w:shd w:val="clear" w:color="000000" w:fill="auto"/>
      </w:pPr>
      <w:r w:rsidRPr="006F4374">
        <w:rPr>
          <w:b/>
        </w:rPr>
        <w:t>Tabell 1. Förändringar i anslag, tilläggsbudget för 2008</w:t>
      </w:r>
    </w:p>
    <w:tbl>
      <w:tblPr>
        <w:tblW w:w="5954" w:type="dxa"/>
        <w:tblInd w:w="70" w:type="dxa"/>
        <w:tblLayout w:type="fixed"/>
        <w:tblCellMar>
          <w:left w:w="70" w:type="dxa"/>
          <w:right w:w="70" w:type="dxa"/>
        </w:tblCellMar>
        <w:tblLook w:val="0000" w:firstRow="0" w:lastRow="0" w:firstColumn="0" w:lastColumn="0" w:noHBand="0" w:noVBand="0"/>
      </w:tblPr>
      <w:tblGrid>
        <w:gridCol w:w="511"/>
        <w:gridCol w:w="2956"/>
        <w:gridCol w:w="1311"/>
        <w:gridCol w:w="1176"/>
      </w:tblGrid>
      <w:tr w:rsidR="00000000" w:rsidRPr="006F4374">
        <w:tc>
          <w:tcPr>
            <w:tcW w:w="665" w:type="dxa"/>
            <w:tcBorders>
              <w:top w:val="single" w:sz="8" w:space="0" w:color="auto"/>
              <w:left w:val="nil"/>
              <w:bottom w:val="single" w:sz="8" w:space="0" w:color="auto"/>
              <w:right w:val="nil"/>
            </w:tcBorders>
          </w:tcPr>
          <w:p w:rsidR="00F10DFB" w:rsidRPr="006F4374" w:rsidRDefault="00F10DFB">
            <w:pPr>
              <w:shd w:val="clear" w:color="000000" w:fill="auto"/>
              <w:spacing w:before="60" w:line="200" w:lineRule="exact"/>
              <w:rPr>
                <w:b/>
                <w:bCs/>
                <w:sz w:val="16"/>
                <w:szCs w:val="16"/>
              </w:rPr>
            </w:pPr>
            <w:r w:rsidRPr="006F4374">
              <w:rPr>
                <w:b/>
                <w:bCs/>
                <w:sz w:val="16"/>
                <w:szCs w:val="16"/>
              </w:rPr>
              <w:t>A</w:t>
            </w:r>
            <w:r w:rsidRPr="006F4374">
              <w:rPr>
                <w:b/>
                <w:bCs/>
                <w:sz w:val="16"/>
                <w:szCs w:val="16"/>
              </w:rPr>
              <w:t>n</w:t>
            </w:r>
            <w:r w:rsidRPr="006F4374">
              <w:rPr>
                <w:b/>
                <w:bCs/>
                <w:sz w:val="16"/>
                <w:szCs w:val="16"/>
              </w:rPr>
              <w:t>slag</w:t>
            </w:r>
          </w:p>
        </w:tc>
        <w:tc>
          <w:tcPr>
            <w:tcW w:w="4180" w:type="dxa"/>
            <w:tcBorders>
              <w:top w:val="single" w:sz="8" w:space="0" w:color="auto"/>
              <w:left w:val="nil"/>
              <w:bottom w:val="single" w:sz="8" w:space="0" w:color="auto"/>
              <w:right w:val="nil"/>
            </w:tcBorders>
            <w:noWrap/>
          </w:tcPr>
          <w:p w:rsidR="00F10DFB" w:rsidRPr="006F4374" w:rsidRDefault="00F10DFB">
            <w:pPr>
              <w:shd w:val="clear" w:color="000000" w:fill="auto"/>
              <w:spacing w:before="60" w:line="200" w:lineRule="exact"/>
              <w:rPr>
                <w:sz w:val="16"/>
                <w:szCs w:val="16"/>
              </w:rPr>
            </w:pPr>
            <w:r w:rsidRPr="006F4374">
              <w:rPr>
                <w:sz w:val="16"/>
                <w:szCs w:val="16"/>
              </w:rPr>
              <w:t> </w:t>
            </w:r>
          </w:p>
        </w:tc>
        <w:tc>
          <w:tcPr>
            <w:tcW w:w="1815" w:type="dxa"/>
            <w:tcBorders>
              <w:top w:val="single" w:sz="8" w:space="0" w:color="auto"/>
              <w:left w:val="nil"/>
              <w:bottom w:val="single" w:sz="8" w:space="0" w:color="auto"/>
              <w:right w:val="nil"/>
            </w:tcBorders>
          </w:tcPr>
          <w:p w:rsidR="00F10DFB" w:rsidRPr="006F4374" w:rsidRDefault="00F10DFB">
            <w:pPr>
              <w:shd w:val="clear" w:color="000000" w:fill="auto"/>
              <w:spacing w:before="60" w:line="200" w:lineRule="exact"/>
              <w:jc w:val="right"/>
              <w:rPr>
                <w:b/>
                <w:bCs/>
                <w:sz w:val="16"/>
                <w:szCs w:val="16"/>
              </w:rPr>
            </w:pPr>
            <w:r w:rsidRPr="006F4374">
              <w:rPr>
                <w:b/>
                <w:bCs/>
                <w:sz w:val="16"/>
                <w:szCs w:val="16"/>
              </w:rPr>
              <w:t>Regeringens förslag, kr</w:t>
            </w:r>
          </w:p>
        </w:tc>
        <w:tc>
          <w:tcPr>
            <w:tcW w:w="1620" w:type="dxa"/>
            <w:tcBorders>
              <w:top w:val="single" w:sz="8" w:space="0" w:color="auto"/>
              <w:left w:val="nil"/>
              <w:bottom w:val="single" w:sz="8" w:space="0" w:color="auto"/>
              <w:right w:val="nil"/>
            </w:tcBorders>
          </w:tcPr>
          <w:p w:rsidR="00F10DFB" w:rsidRPr="006F4374" w:rsidRDefault="00F10DFB">
            <w:pPr>
              <w:shd w:val="clear" w:color="000000" w:fill="auto"/>
              <w:spacing w:before="60" w:line="200" w:lineRule="exact"/>
              <w:ind w:left="-57"/>
              <w:jc w:val="right"/>
              <w:rPr>
                <w:b/>
                <w:bCs/>
                <w:sz w:val="16"/>
                <w:szCs w:val="16"/>
              </w:rPr>
            </w:pPr>
            <w:r w:rsidRPr="006F4374">
              <w:rPr>
                <w:b/>
                <w:bCs/>
                <w:sz w:val="16"/>
                <w:szCs w:val="16"/>
              </w:rPr>
              <w:t>Vänsterpartiets förslag, diff., kr</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4:2</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Säkerhetspolisen</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101 240 000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–100 000 000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10:3</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Kommunersättningar vid flyktingmott</w:t>
            </w:r>
            <w:r w:rsidRPr="006F4374">
              <w:rPr>
                <w:sz w:val="16"/>
                <w:szCs w:val="16"/>
              </w:rPr>
              <w:t>a</w:t>
            </w:r>
            <w:r w:rsidRPr="006F4374">
              <w:rPr>
                <w:sz w:val="16"/>
                <w:szCs w:val="16"/>
              </w:rPr>
              <w:t>gande</w:t>
            </w:r>
          </w:p>
        </w:tc>
        <w:tc>
          <w:tcPr>
            <w:tcW w:w="1815" w:type="dxa"/>
            <w:tcBorders>
              <w:top w:val="nil"/>
              <w:left w:val="nil"/>
              <w:bottom w:val="nil"/>
              <w:right w:val="nil"/>
            </w:tcBorders>
            <w:noWrap/>
            <w:vAlign w:val="bottom"/>
          </w:tcPr>
          <w:p w:rsidR="00F10DFB" w:rsidRPr="006F4374" w:rsidRDefault="00F10DFB">
            <w:pPr>
              <w:shd w:val="clear" w:color="000000" w:fill="auto"/>
              <w:spacing w:before="60" w:line="200" w:lineRule="exact"/>
              <w:jc w:val="right"/>
              <w:rPr>
                <w:sz w:val="16"/>
                <w:szCs w:val="16"/>
              </w:rPr>
            </w:pPr>
            <w:r w:rsidRPr="006F4374">
              <w:rPr>
                <w:sz w:val="16"/>
                <w:szCs w:val="16"/>
              </w:rPr>
              <w:t>–4 000 000</w:t>
            </w:r>
          </w:p>
        </w:tc>
        <w:tc>
          <w:tcPr>
            <w:tcW w:w="1620" w:type="dxa"/>
            <w:tcBorders>
              <w:top w:val="nil"/>
              <w:left w:val="nil"/>
              <w:bottom w:val="nil"/>
              <w:right w:val="nil"/>
            </w:tcBorders>
            <w:noWrap/>
            <w:vAlign w:val="bottom"/>
          </w:tcPr>
          <w:p w:rsidR="00F10DFB" w:rsidRPr="006F4374" w:rsidRDefault="00F10DFB">
            <w:pPr>
              <w:shd w:val="clear" w:color="000000" w:fill="auto"/>
              <w:spacing w:before="60" w:line="200" w:lineRule="exact"/>
              <w:jc w:val="right"/>
              <w:rPr>
                <w:sz w:val="16"/>
                <w:szCs w:val="16"/>
              </w:rPr>
            </w:pPr>
            <w:r w:rsidRPr="006F4374">
              <w:rPr>
                <w:sz w:val="16"/>
                <w:szCs w:val="16"/>
              </w:rPr>
              <w:t>4 000 000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12:5</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Kostnader vid domstolsprövning</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–50 000 000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50 000 000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13:3</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 xml:space="preserve">Bidrag till hälso- och sjukvård </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–600 000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13:9</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Bidrag till psykiatri</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–1 530 000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1 530 000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25:1</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Statens skolverk</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–129 811 000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–4 000 000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28:2</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rFonts w:eastAsia="Arial Unicode MS"/>
                <w:color w:val="000000"/>
                <w:sz w:val="16"/>
                <w:szCs w:val="16"/>
              </w:rPr>
            </w:pPr>
            <w:r w:rsidRPr="006F4374">
              <w:rPr>
                <w:rFonts w:eastAsia="Arial Unicode MS"/>
                <w:color w:val="000000"/>
                <w:sz w:val="16"/>
                <w:szCs w:val="16"/>
              </w:rPr>
              <w:t>Bidrag till allmän kulturverksamhet m.m.</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–1 141 000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1 141 000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28:4</w:t>
            </w:r>
          </w:p>
        </w:tc>
        <w:tc>
          <w:tcPr>
            <w:tcW w:w="4180" w:type="dxa"/>
            <w:tcBorders>
              <w:top w:val="nil"/>
              <w:left w:val="nil"/>
              <w:bottom w:val="nil"/>
              <w:right w:val="nil"/>
            </w:tcBorders>
          </w:tcPr>
          <w:p w:rsidR="00F10DFB" w:rsidRPr="006F4374" w:rsidRDefault="00F10DFB">
            <w:pPr>
              <w:shd w:val="clear" w:color="000000" w:fill="auto"/>
              <w:spacing w:before="60" w:line="200" w:lineRule="exact"/>
              <w:jc w:val="left"/>
              <w:rPr>
                <w:sz w:val="16"/>
                <w:szCs w:val="16"/>
              </w:rPr>
            </w:pPr>
            <w:r w:rsidRPr="006F4374">
              <w:rPr>
                <w:sz w:val="16"/>
                <w:szCs w:val="16"/>
              </w:rPr>
              <w:t>Försöksverksamhet med ändrad regional fördelning av kulturpolitiska medel</w:t>
            </w:r>
          </w:p>
        </w:tc>
        <w:tc>
          <w:tcPr>
            <w:tcW w:w="1815" w:type="dxa"/>
            <w:tcBorders>
              <w:top w:val="nil"/>
              <w:left w:val="nil"/>
              <w:bottom w:val="nil"/>
              <w:right w:val="nil"/>
            </w:tcBorders>
            <w:noWrap/>
            <w:vAlign w:val="bottom"/>
          </w:tcPr>
          <w:p w:rsidR="00F10DFB" w:rsidRPr="006F4374" w:rsidRDefault="00F10DFB">
            <w:pPr>
              <w:shd w:val="clear" w:color="000000" w:fill="auto"/>
              <w:spacing w:before="60" w:line="200" w:lineRule="exact"/>
              <w:jc w:val="right"/>
              <w:rPr>
                <w:sz w:val="16"/>
                <w:szCs w:val="16"/>
              </w:rPr>
            </w:pPr>
            <w:r w:rsidRPr="006F4374">
              <w:rPr>
                <w:sz w:val="16"/>
                <w:szCs w:val="16"/>
              </w:rPr>
              <w:t>–9 693 000</w:t>
            </w:r>
          </w:p>
        </w:tc>
        <w:tc>
          <w:tcPr>
            <w:tcW w:w="1620" w:type="dxa"/>
            <w:tcBorders>
              <w:top w:val="nil"/>
              <w:left w:val="nil"/>
              <w:bottom w:val="nil"/>
              <w:right w:val="nil"/>
            </w:tcBorders>
            <w:noWrap/>
            <w:vAlign w:val="bottom"/>
          </w:tcPr>
          <w:p w:rsidR="00F10DFB" w:rsidRPr="006F4374" w:rsidRDefault="00F10DFB">
            <w:pPr>
              <w:shd w:val="clear" w:color="000000" w:fill="auto"/>
              <w:spacing w:before="60" w:line="200" w:lineRule="exact"/>
              <w:jc w:val="right"/>
              <w:rPr>
                <w:sz w:val="16"/>
                <w:szCs w:val="16"/>
              </w:rPr>
            </w:pPr>
            <w:r w:rsidRPr="006F4374">
              <w:rPr>
                <w:sz w:val="16"/>
                <w:szCs w:val="16"/>
              </w:rPr>
              <w:t>9 693 000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34:4</w:t>
            </w:r>
          </w:p>
        </w:tc>
        <w:tc>
          <w:tcPr>
            <w:tcW w:w="4180" w:type="dxa"/>
            <w:tcBorders>
              <w:top w:val="nil"/>
              <w:left w:val="nil"/>
              <w:bottom w:val="nil"/>
              <w:right w:val="nil"/>
            </w:tcBorders>
            <w:noWrap/>
            <w:vAlign w:val="bottom"/>
          </w:tcPr>
          <w:p w:rsidR="00F10DFB" w:rsidRPr="006F4374" w:rsidRDefault="00F10DFB">
            <w:pPr>
              <w:shd w:val="clear" w:color="000000" w:fill="auto"/>
              <w:spacing w:before="60" w:line="200" w:lineRule="exact"/>
              <w:jc w:val="left"/>
              <w:rPr>
                <w:sz w:val="16"/>
                <w:szCs w:val="16"/>
              </w:rPr>
            </w:pPr>
            <w:r w:rsidRPr="006F4374">
              <w:rPr>
                <w:sz w:val="16"/>
                <w:szCs w:val="16"/>
              </w:rPr>
              <w:t>Sanering och återställning av förorenade områden</w:t>
            </w:r>
          </w:p>
        </w:tc>
        <w:tc>
          <w:tcPr>
            <w:tcW w:w="1815" w:type="dxa"/>
            <w:tcBorders>
              <w:top w:val="nil"/>
              <w:left w:val="nil"/>
              <w:bottom w:val="nil"/>
              <w:right w:val="nil"/>
            </w:tcBorders>
            <w:noWrap/>
            <w:vAlign w:val="bottom"/>
          </w:tcPr>
          <w:p w:rsidR="00F10DFB" w:rsidRPr="006F4374" w:rsidRDefault="00F10DFB">
            <w:pPr>
              <w:shd w:val="clear" w:color="000000" w:fill="auto"/>
              <w:spacing w:before="60" w:line="200" w:lineRule="exact"/>
              <w:jc w:val="right"/>
              <w:rPr>
                <w:sz w:val="16"/>
                <w:szCs w:val="16"/>
              </w:rPr>
            </w:pPr>
            <w:r w:rsidRPr="006F4374">
              <w:rPr>
                <w:sz w:val="16"/>
                <w:szCs w:val="16"/>
              </w:rPr>
              <w:t>–50 000 000</w:t>
            </w:r>
          </w:p>
        </w:tc>
        <w:tc>
          <w:tcPr>
            <w:tcW w:w="1620" w:type="dxa"/>
            <w:tcBorders>
              <w:top w:val="nil"/>
              <w:left w:val="nil"/>
              <w:bottom w:val="nil"/>
              <w:right w:val="nil"/>
            </w:tcBorders>
            <w:noWrap/>
            <w:vAlign w:val="bottom"/>
          </w:tcPr>
          <w:p w:rsidR="00F10DFB" w:rsidRPr="006F4374" w:rsidRDefault="00F10DFB">
            <w:pPr>
              <w:shd w:val="clear" w:color="000000" w:fill="auto"/>
              <w:spacing w:before="60" w:line="200" w:lineRule="exact"/>
              <w:jc w:val="right"/>
              <w:rPr>
                <w:sz w:val="16"/>
                <w:szCs w:val="16"/>
              </w:rPr>
            </w:pPr>
            <w:r w:rsidRPr="006F4374">
              <w:rPr>
                <w:sz w:val="16"/>
                <w:szCs w:val="16"/>
              </w:rPr>
              <w:t>50 000 000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34:11</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Miljöbilspremie</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240 000 000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–240 000 000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36:2</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rFonts w:eastAsia="Arial Unicode MS"/>
                <w:color w:val="000000"/>
                <w:sz w:val="16"/>
                <w:szCs w:val="16"/>
              </w:rPr>
            </w:pPr>
            <w:r w:rsidRPr="006F4374">
              <w:rPr>
                <w:rFonts w:eastAsia="Arial Unicode MS"/>
                <w:color w:val="000000"/>
                <w:sz w:val="16"/>
                <w:szCs w:val="16"/>
              </w:rPr>
              <w:t xml:space="preserve">Väghållning och statsbidrag </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275 000 000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–120 000 000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36:4</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Minskat anslag till järnvägar</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–120 000 000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120 000 000</w:t>
            </w:r>
          </w:p>
        </w:tc>
      </w:tr>
      <w:tr w:rsidR="00000000" w:rsidRPr="006F4374">
        <w:tc>
          <w:tcPr>
            <w:tcW w:w="665" w:type="dxa"/>
            <w:tcBorders>
              <w:top w:val="nil"/>
              <w:left w:val="nil"/>
              <w:bottom w:val="nil"/>
              <w:right w:val="nil"/>
            </w:tcBorders>
            <w:noWrap/>
          </w:tcPr>
          <w:p w:rsidR="00F10DFB" w:rsidRPr="006F4374" w:rsidRDefault="00F10DFB">
            <w:pPr>
              <w:shd w:val="clear" w:color="000000" w:fill="auto"/>
              <w:spacing w:before="60" w:line="200" w:lineRule="exact"/>
              <w:rPr>
                <w:sz w:val="16"/>
                <w:szCs w:val="16"/>
              </w:rPr>
            </w:pPr>
            <w:r w:rsidRPr="006F4374">
              <w:rPr>
                <w:sz w:val="16"/>
                <w:szCs w:val="16"/>
              </w:rPr>
              <w:t>37:3</w:t>
            </w:r>
          </w:p>
        </w:tc>
        <w:tc>
          <w:tcPr>
            <w:tcW w:w="4180" w:type="dxa"/>
            <w:tcBorders>
              <w:top w:val="nil"/>
              <w:left w:val="nil"/>
              <w:bottom w:val="nil"/>
              <w:right w:val="nil"/>
            </w:tcBorders>
            <w:noWrap/>
          </w:tcPr>
          <w:p w:rsidR="00F10DFB" w:rsidRPr="006F4374" w:rsidRDefault="00F10DFB">
            <w:pPr>
              <w:shd w:val="clear" w:color="000000" w:fill="auto"/>
              <w:spacing w:before="60" w:line="200" w:lineRule="exact"/>
              <w:jc w:val="left"/>
              <w:rPr>
                <w:sz w:val="16"/>
                <w:szCs w:val="16"/>
              </w:rPr>
            </w:pPr>
            <w:r w:rsidRPr="006F4374">
              <w:rPr>
                <w:sz w:val="16"/>
                <w:szCs w:val="16"/>
              </w:rPr>
              <w:t>Minskat anslag till Kassaservice</w:t>
            </w:r>
          </w:p>
        </w:tc>
        <w:tc>
          <w:tcPr>
            <w:tcW w:w="1815"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–25 000 000</w:t>
            </w:r>
          </w:p>
        </w:tc>
        <w:tc>
          <w:tcPr>
            <w:tcW w:w="1620" w:type="dxa"/>
            <w:tcBorders>
              <w:top w:val="nil"/>
              <w:left w:val="nil"/>
              <w:bottom w:val="nil"/>
              <w:right w:val="nil"/>
            </w:tcBorders>
            <w:noWrap/>
          </w:tcPr>
          <w:p w:rsidR="00F10DFB" w:rsidRPr="006F4374" w:rsidRDefault="00F10DFB">
            <w:pPr>
              <w:shd w:val="clear" w:color="000000" w:fill="auto"/>
              <w:spacing w:before="60" w:line="200" w:lineRule="exact"/>
              <w:jc w:val="right"/>
              <w:rPr>
                <w:sz w:val="16"/>
                <w:szCs w:val="16"/>
              </w:rPr>
            </w:pPr>
            <w:r w:rsidRPr="006F4374">
              <w:rPr>
                <w:sz w:val="16"/>
                <w:szCs w:val="16"/>
              </w:rPr>
              <w:t>25 000 000</w:t>
            </w:r>
          </w:p>
        </w:tc>
      </w:tr>
      <w:tr w:rsidR="00000000" w:rsidRPr="006F4374">
        <w:tc>
          <w:tcPr>
            <w:tcW w:w="665" w:type="dxa"/>
            <w:tcBorders>
              <w:top w:val="nil"/>
              <w:left w:val="nil"/>
              <w:bottom w:val="single" w:sz="8" w:space="0" w:color="auto"/>
              <w:right w:val="nil"/>
            </w:tcBorders>
            <w:noWrap/>
          </w:tcPr>
          <w:p w:rsidR="00F10DFB" w:rsidRPr="006F4374" w:rsidRDefault="00F10DFB">
            <w:pPr>
              <w:shd w:val="clear" w:color="000000" w:fill="auto"/>
              <w:spacing w:before="60" w:line="200" w:lineRule="exact"/>
              <w:rPr>
                <w:sz w:val="16"/>
                <w:szCs w:val="16"/>
              </w:rPr>
            </w:pPr>
            <w:r w:rsidRPr="006F4374">
              <w:rPr>
                <w:sz w:val="16"/>
                <w:szCs w:val="16"/>
              </w:rPr>
              <w:t> </w:t>
            </w:r>
          </w:p>
        </w:tc>
        <w:tc>
          <w:tcPr>
            <w:tcW w:w="4180" w:type="dxa"/>
            <w:tcBorders>
              <w:top w:val="nil"/>
              <w:left w:val="nil"/>
              <w:bottom w:val="single" w:sz="8" w:space="0" w:color="auto"/>
              <w:right w:val="nil"/>
            </w:tcBorders>
            <w:noWrap/>
          </w:tcPr>
          <w:p w:rsidR="00F10DFB" w:rsidRPr="006F4374" w:rsidRDefault="00F10DFB">
            <w:pPr>
              <w:shd w:val="clear" w:color="000000" w:fill="auto"/>
              <w:spacing w:before="60" w:line="200" w:lineRule="exact"/>
              <w:jc w:val="left"/>
              <w:rPr>
                <w:b/>
                <w:bCs/>
                <w:sz w:val="16"/>
                <w:szCs w:val="16"/>
              </w:rPr>
            </w:pPr>
            <w:r w:rsidRPr="006F4374">
              <w:rPr>
                <w:b/>
                <w:bCs/>
                <w:sz w:val="16"/>
                <w:szCs w:val="16"/>
              </w:rPr>
              <w:t>Totalt</w:t>
            </w:r>
          </w:p>
        </w:tc>
        <w:tc>
          <w:tcPr>
            <w:tcW w:w="1815" w:type="dxa"/>
            <w:tcBorders>
              <w:top w:val="nil"/>
              <w:left w:val="nil"/>
              <w:bottom w:val="single" w:sz="8" w:space="0" w:color="auto"/>
              <w:right w:val="nil"/>
            </w:tcBorders>
            <w:noWrap/>
          </w:tcPr>
          <w:p w:rsidR="00F10DFB" w:rsidRPr="006F4374" w:rsidRDefault="00F10DFB">
            <w:pPr>
              <w:shd w:val="clear" w:color="000000" w:fill="auto"/>
              <w:spacing w:before="60" w:line="200" w:lineRule="exact"/>
              <w:jc w:val="right"/>
              <w:rPr>
                <w:sz w:val="16"/>
                <w:szCs w:val="16"/>
              </w:rPr>
            </w:pPr>
          </w:p>
        </w:tc>
        <w:tc>
          <w:tcPr>
            <w:tcW w:w="1620" w:type="dxa"/>
            <w:tcBorders>
              <w:top w:val="nil"/>
              <w:left w:val="nil"/>
              <w:bottom w:val="single" w:sz="8" w:space="0" w:color="auto"/>
              <w:right w:val="nil"/>
            </w:tcBorders>
            <w:noWrap/>
          </w:tcPr>
          <w:p w:rsidR="00F10DFB" w:rsidRPr="006F4374" w:rsidRDefault="00F10DFB">
            <w:pPr>
              <w:shd w:val="clear" w:color="000000" w:fill="auto"/>
              <w:spacing w:before="60" w:line="200" w:lineRule="exact"/>
              <w:jc w:val="right"/>
              <w:rPr>
                <w:b/>
                <w:bCs/>
                <w:sz w:val="16"/>
                <w:szCs w:val="16"/>
              </w:rPr>
            </w:pPr>
            <w:r w:rsidRPr="006F4374">
              <w:rPr>
                <w:b/>
                <w:bCs/>
                <w:sz w:val="16"/>
                <w:szCs w:val="16"/>
              </w:rPr>
              <w:t>–201 636 000</w:t>
            </w:r>
          </w:p>
        </w:tc>
      </w:tr>
    </w:tbl>
    <w:p w:rsidR="00F10DFB" w:rsidRPr="006F4374" w:rsidRDefault="00F10DFB">
      <w:pPr>
        <w:pStyle w:val="Rubrik2"/>
        <w:shd w:val="clear" w:color="000000" w:fill="auto"/>
      </w:pPr>
      <w:r w:rsidRPr="006F4374">
        <w:t xml:space="preserve">Anslag 3:1 </w:t>
      </w:r>
    </w:p>
    <w:p w:rsidR="00F10DFB" w:rsidRPr="006F4374" w:rsidRDefault="00F10DFB">
      <w:pPr>
        <w:shd w:val="clear" w:color="000000" w:fill="auto"/>
      </w:pPr>
      <w:r w:rsidRPr="006F4374">
        <w:t>Regeringen har haft en hög aktivitet inom skatteområdet och genomfört en lång rad förslag. Det är åtgärder som inte bara undergräver en rättvis förde</w:t>
      </w:r>
      <w:r w:rsidRPr="006F4374">
        <w:t>l</w:t>
      </w:r>
      <w:r w:rsidRPr="006F4374">
        <w:t>ningsprofil utan också medför fler undantag och gränsdragningar, i och med att man gör stora avsteg från principen om likformig beskattning. För Skatt</w:t>
      </w:r>
      <w:r w:rsidRPr="006F4374">
        <w:t>e</w:t>
      </w:r>
      <w:r w:rsidRPr="006F4374">
        <w:t>verket har det inneburit många nytillkomna arbetsuppgifter och en ökad a</w:t>
      </w:r>
      <w:r w:rsidRPr="006F4374">
        <w:t>r</w:t>
      </w:r>
      <w:r w:rsidRPr="006F4374">
        <w:t xml:space="preserve">betsbelastning. I tilläggsbudgeten har Skatteverket däremot inte fått något ytterligare anslag, vilket är anmärkningsvärt. </w:t>
      </w:r>
    </w:p>
    <w:p w:rsidR="00F10DFB" w:rsidRPr="006F4374" w:rsidRDefault="00F10DFB">
      <w:pPr>
        <w:pStyle w:val="Normaltindrag"/>
        <w:shd w:val="clear" w:color="000000" w:fill="auto"/>
      </w:pPr>
      <w:r w:rsidRPr="006F4374">
        <w:t>För en tid sedan presenterade Skatteverket den s.k. skattefelskartan som visade att staten går miste om ca 133 miljarder kronor i uteblivna skattei</w:t>
      </w:r>
      <w:r w:rsidRPr="006F4374">
        <w:t>n</w:t>
      </w:r>
      <w:r w:rsidRPr="006F4374">
        <w:t>komster varje år. Det är ett resultat av både medvetet skattefusk och oavsik</w:t>
      </w:r>
      <w:r w:rsidRPr="006F4374">
        <w:t>t</w:t>
      </w:r>
      <w:r w:rsidRPr="006F4374">
        <w:t>liga misstag, men där fusket står för den största delen. Vänsterpartiet menar att det krävs ökade resurser för att kunna möta en ökad ekonomisk brottsli</w:t>
      </w:r>
      <w:r w:rsidRPr="006F4374">
        <w:t>g</w:t>
      </w:r>
      <w:r w:rsidRPr="006F4374">
        <w:t>het. Vi vill uppmärksamma att det ofta är dyrt och tidskrävande att utreda t.ex. skattefusk med internationella förgreningar.</w:t>
      </w:r>
    </w:p>
    <w:p w:rsidR="00F10DFB" w:rsidRPr="006F4374" w:rsidRDefault="00F10DFB">
      <w:pPr>
        <w:pStyle w:val="Rubrik2"/>
        <w:shd w:val="clear" w:color="000000" w:fill="auto"/>
      </w:pPr>
      <w:r w:rsidRPr="006F4374">
        <w:t>Anslag 4:2</w:t>
      </w:r>
    </w:p>
    <w:p w:rsidR="00F10DFB" w:rsidRPr="006F4374" w:rsidRDefault="00F10DFB">
      <w:pPr>
        <w:shd w:val="clear" w:color="000000" w:fill="auto"/>
      </w:pPr>
      <w:r w:rsidRPr="006F4374">
        <w:t>Säkerhetspolisen har fått stora resursökningar de senaste åren. Till stor del har detta finansierat terrorismbekämpning. Eftersom Vänsterpartiet är mycket tveksamt till många av de metoder och den lagstiftning som ligger till grund för detta har vi inte funnit det nödvändigt att anslå mer resurser för detta. Regeringen föreslår nu en ökning med 100 miljoner och räknar upp huvudd</w:t>
      </w:r>
      <w:r w:rsidRPr="006F4374">
        <w:t>e</w:t>
      </w:r>
      <w:r w:rsidRPr="006F4374">
        <w:t>len av Säkerhetspolisens verksamhetsområden som mål för ökningen. Sett mot vad vi tidigare anfört om terrorismbekämpningen, samt att vi är mycket kritiska till bristen på insyn i användningen av resurserna hos Säkerhetspol</w:t>
      </w:r>
      <w:r w:rsidRPr="006F4374">
        <w:t>i</w:t>
      </w:r>
      <w:r w:rsidRPr="006F4374">
        <w:t>sen anser vi att dessa medel i stället måste hittas inom ramen för nuvarande budget.</w:t>
      </w:r>
    </w:p>
    <w:p w:rsidR="00F10DFB" w:rsidRPr="006F4374" w:rsidRDefault="00F10DFB">
      <w:pPr>
        <w:pStyle w:val="Rubrik2"/>
        <w:shd w:val="clear" w:color="000000" w:fill="auto"/>
      </w:pPr>
      <w:r w:rsidRPr="006F4374">
        <w:t>Anslag 10:3</w:t>
      </w:r>
    </w:p>
    <w:p w:rsidR="00F10DFB" w:rsidRPr="006F4374" w:rsidRDefault="00F10DFB">
      <w:pPr>
        <w:shd w:val="clear" w:color="000000" w:fill="auto"/>
      </w:pPr>
      <w:r w:rsidRPr="006F4374">
        <w:t>Regeringen föreslår en neddragning av anslaget för kommunersättning vid flyktingmottagande med fyra miljoner för att finansiera ett uppdrag till Sko</w:t>
      </w:r>
      <w:r w:rsidRPr="006F4374">
        <w:t>l</w:t>
      </w:r>
      <w:r w:rsidRPr="006F4374">
        <w:t>verket att utarbeta nationella slutprov för sfi. Vi avvisar inriktningen på rege</w:t>
      </w:r>
      <w:r w:rsidRPr="006F4374">
        <w:t>r</w:t>
      </w:r>
      <w:r w:rsidRPr="006F4374">
        <w:t xml:space="preserve">ingens satsning såväl som dess finansiering. </w:t>
      </w:r>
    </w:p>
    <w:p w:rsidR="00F10DFB" w:rsidRPr="006F4374" w:rsidRDefault="00F10DFB">
      <w:pPr>
        <w:pStyle w:val="Rubrik2"/>
        <w:shd w:val="clear" w:color="000000" w:fill="auto"/>
      </w:pPr>
      <w:r w:rsidRPr="006F4374">
        <w:t>Anslag 12:5</w:t>
      </w:r>
    </w:p>
    <w:p w:rsidR="00F10DFB" w:rsidRPr="006F4374" w:rsidRDefault="00F10DFB">
      <w:pPr>
        <w:shd w:val="clear" w:color="000000" w:fill="auto"/>
      </w:pPr>
      <w:r w:rsidRPr="006F4374">
        <w:t>Regeringen föreslår en förstärkning till offentligt biträde i utlänningsärenden med 50 miljoner för att kunna möta det ökade behov som följer på ett ökat antal asylsökande. Vi välkomnar att detta behov säkerställs men avvisar att satsningen finansi</w:t>
      </w:r>
      <w:r w:rsidRPr="006F4374">
        <w:t>e</w:t>
      </w:r>
      <w:r w:rsidRPr="006F4374">
        <w:t>ras genom en motsvarande minskning av anslaget för kostnader vid domstol</w:t>
      </w:r>
      <w:r w:rsidRPr="006F4374">
        <w:t>s</w:t>
      </w:r>
      <w:r w:rsidRPr="006F4374">
        <w:t>prövning i utlänningsärenden.</w:t>
      </w:r>
    </w:p>
    <w:p w:rsidR="00F10DFB" w:rsidRPr="006F4374" w:rsidRDefault="00F10DFB">
      <w:pPr>
        <w:pStyle w:val="Rubrik2"/>
        <w:shd w:val="clear" w:color="000000" w:fill="auto"/>
      </w:pPr>
      <w:r w:rsidRPr="006F4374">
        <w:t>Anslag 13:3 och 13:9</w:t>
      </w:r>
    </w:p>
    <w:p w:rsidR="00F10DFB" w:rsidRPr="006F4374" w:rsidRDefault="00F10DFB">
      <w:pPr>
        <w:shd w:val="clear" w:color="000000" w:fill="auto"/>
      </w:pPr>
      <w:r w:rsidRPr="006F4374">
        <w:t>Vi avvisar förslagen till anslagsminskning.</w:t>
      </w:r>
    </w:p>
    <w:p w:rsidR="00F10DFB" w:rsidRPr="006F4374" w:rsidRDefault="00F10DFB">
      <w:pPr>
        <w:pStyle w:val="Rubrik2"/>
        <w:shd w:val="clear" w:color="000000" w:fill="auto"/>
      </w:pPr>
      <w:r w:rsidRPr="006F4374">
        <w:t>Anslag 19:2</w:t>
      </w:r>
    </w:p>
    <w:p w:rsidR="00F10DFB" w:rsidRPr="006F4374" w:rsidRDefault="00F10DFB">
      <w:pPr>
        <w:shd w:val="clear" w:color="000000" w:fill="auto"/>
      </w:pPr>
      <w:r w:rsidRPr="006F4374">
        <w:t>Från och med den 1 januari 2007 sänkte regeringen beräkningsunderlaget av antagande</w:t>
      </w:r>
      <w:r w:rsidRPr="006F4374">
        <w:softHyphen/>
        <w:t xml:space="preserve">inkomsten inom sjuk och aktivitetsersättningen från 93 till 80 %. Det har medfört en besparing om 1 800 miljoner kronor per år på anslaget för aktivitets- och sjukersättning. </w:t>
      </w:r>
    </w:p>
    <w:p w:rsidR="00F10DFB" w:rsidRPr="006F4374" w:rsidRDefault="00F10DFB">
      <w:pPr>
        <w:pStyle w:val="Normaltindrag"/>
        <w:shd w:val="clear" w:color="000000" w:fill="auto"/>
      </w:pPr>
      <w:r w:rsidRPr="006F4374">
        <w:t xml:space="preserve">Sänkningen har medfört att redan fattiga människor kommer att bli ännu fattigare när de går i pension. Den framtida pensionen för en person med sjuk- eller aktivitetsersättning har genom regeringens förslag sänks med ca 12 % </w:t>
      </w:r>
      <w:r w:rsidRPr="006F4374">
        <w:rPr>
          <w:spacing w:val="-4"/>
        </w:rPr>
        <w:t>från en nivå som redan ligger i genomsnitt 20 % lägre än för övriga grupper.</w:t>
      </w:r>
      <w:r w:rsidRPr="006F4374">
        <w:t xml:space="preserve"> </w:t>
      </w:r>
    </w:p>
    <w:p w:rsidR="00F10DFB" w:rsidRPr="006F4374" w:rsidRDefault="00F10DFB">
      <w:pPr>
        <w:pStyle w:val="Normaltindrag"/>
        <w:shd w:val="clear" w:color="000000" w:fill="auto"/>
      </w:pPr>
      <w:r w:rsidRPr="006F4374">
        <w:t xml:space="preserve">Vi välkomnar att regeringen i tilläggsbudgeten för 2008 drar tillbaka denna försämring och höjer beräkningsunderlaget av antagandeinkomsten inom sjuk- och aktivitetsersättningen från 80 % till den tidigare nivån på 93 % från 2009. </w:t>
      </w:r>
    </w:p>
    <w:p w:rsidR="00F10DFB" w:rsidRPr="006F4374" w:rsidRDefault="00F10DFB">
      <w:pPr>
        <w:pStyle w:val="Rubrik2"/>
        <w:shd w:val="clear" w:color="000000" w:fill="auto"/>
      </w:pPr>
      <w:r w:rsidRPr="006F4374">
        <w:t>Anslag 19:6</w:t>
      </w:r>
    </w:p>
    <w:p w:rsidR="00F10DFB" w:rsidRPr="006F4374" w:rsidRDefault="00F10DFB">
      <w:pPr>
        <w:shd w:val="clear" w:color="000000" w:fill="auto"/>
      </w:pPr>
      <w:r w:rsidRPr="006F4374">
        <w:t>Regeringen tillför 24 miljoner kronor till Försäkringskassans förvaltningsa</w:t>
      </w:r>
      <w:r w:rsidRPr="006F4374">
        <w:t>n</w:t>
      </w:r>
      <w:r w:rsidRPr="006F4374">
        <w:t>slag för 2008 för att täcka kostnader för administration av krav på intyg vid ansökan om tillfällig föräldrapenning, jämställdhetsbonus och tandvårdsr</w:t>
      </w:r>
      <w:r w:rsidRPr="006F4374">
        <w:t>e</w:t>
      </w:r>
      <w:r w:rsidRPr="006F4374">
        <w:t xml:space="preserve">form. </w:t>
      </w:r>
    </w:p>
    <w:p w:rsidR="00F10DFB" w:rsidRPr="006F4374" w:rsidRDefault="00F10DFB">
      <w:pPr>
        <w:pStyle w:val="Normaltindrag"/>
        <w:shd w:val="clear" w:color="000000" w:fill="auto"/>
      </w:pPr>
      <w:r w:rsidRPr="006F4374">
        <w:t>Försäkringskassan själv bedömer att behovet av extra resurser för att a</w:t>
      </w:r>
      <w:r w:rsidRPr="006F4374">
        <w:t>d</w:t>
      </w:r>
      <w:r w:rsidRPr="006F4374">
        <w:t>ministrera krav på intyg vid ansökan om tillfällig föräldrapenning, tandvård</w:t>
      </w:r>
      <w:r w:rsidRPr="006F4374">
        <w:t>s</w:t>
      </w:r>
      <w:r w:rsidRPr="006F4374">
        <w:t>reform, jämställdhetsbonus, vårdnadsbidrag och förändringar av sjukförsä</w:t>
      </w:r>
      <w:r w:rsidRPr="006F4374">
        <w:t>k</w:t>
      </w:r>
      <w:r w:rsidRPr="006F4374">
        <w:t xml:space="preserve">ringen uppgår till 259 miljoner kronor 2008, 374 miljoner kronor 2009 och 262 miljoner kronor 2010. </w:t>
      </w:r>
    </w:p>
    <w:p w:rsidR="00F10DFB" w:rsidRPr="006F4374" w:rsidRDefault="00F10DFB">
      <w:pPr>
        <w:pStyle w:val="Normaltindrag"/>
        <w:shd w:val="clear" w:color="000000" w:fill="auto"/>
      </w:pPr>
      <w:r w:rsidRPr="006F4374">
        <w:t>Enbart kostnaden för administration av reformer inom sjukförsäkringen beräknas enligt Försäkringskassan uppgå till 200 miljoner kronor per år 2008–2010, och kostnaden för administration av jämställdhetsbonusen berä</w:t>
      </w:r>
      <w:r w:rsidRPr="006F4374">
        <w:t>k</w:t>
      </w:r>
      <w:r w:rsidRPr="006F4374">
        <w:t>nas uppgå till 21 miljoner kronor per år. Regeringen har således inte för avsikt att ersätta Försäkringskassan för den ökade administration som följer av r</w:t>
      </w:r>
      <w:r w:rsidRPr="006F4374">
        <w:t>e</w:t>
      </w:r>
      <w:r w:rsidRPr="006F4374">
        <w:t>geringens reformer. Det kommer att gå ut över myndighetens ordinarie ver</w:t>
      </w:r>
      <w:r w:rsidRPr="006F4374">
        <w:t>k</w:t>
      </w:r>
      <w:r w:rsidRPr="006F4374">
        <w:t>samhet och innebär ytterligare pålagor för den redan hårt prövade personalen på Försäkringskassan. Resultatet kan bli sämre arbetsmiljö, urholkad rättss</w:t>
      </w:r>
      <w:r w:rsidRPr="006F4374">
        <w:t>ä</w:t>
      </w:r>
      <w:r w:rsidRPr="006F4374">
        <w:t>kerhet, sämre service och urholkad tillit till socialförsäkringarna. Vänsterpa</w:t>
      </w:r>
      <w:r w:rsidRPr="006F4374">
        <w:t>r</w:t>
      </w:r>
      <w:r w:rsidRPr="006F4374">
        <w:t>tiet ser med stor oro på dessa nedskärningar och f</w:t>
      </w:r>
      <w:r w:rsidRPr="006F4374">
        <w:t>örordar i vårt budgetaltern</w:t>
      </w:r>
      <w:r w:rsidRPr="006F4374">
        <w:t>a</w:t>
      </w:r>
      <w:r w:rsidRPr="006F4374">
        <w:t>tiv en förstärkning av Försäkringskassans förvaltningsanslag med 390 milj</w:t>
      </w:r>
      <w:r w:rsidRPr="006F4374">
        <w:t>o</w:t>
      </w:r>
      <w:r w:rsidRPr="006F4374">
        <w:t xml:space="preserve">ner kronor per år 2009–2011. </w:t>
      </w:r>
    </w:p>
    <w:p w:rsidR="00F10DFB" w:rsidRPr="006F4374" w:rsidRDefault="00F10DFB">
      <w:pPr>
        <w:pStyle w:val="Normaltindrag"/>
        <w:shd w:val="clear" w:color="000000" w:fill="auto"/>
      </w:pPr>
      <w:r w:rsidRPr="006F4374">
        <w:t>Vänsterpartiet tillstyrker satsningen om 24 miljoner kronor till Försä</w:t>
      </w:r>
      <w:r w:rsidRPr="006F4374">
        <w:t>k</w:t>
      </w:r>
      <w:r w:rsidRPr="006F4374">
        <w:t xml:space="preserve">ringskassan i tilläggsbudgeten för 2008 men avvisar användningen av medlen, eftersom vi har avvisat </w:t>
      </w:r>
      <w:r w:rsidRPr="006F4374">
        <w:rPr>
          <w:spacing w:val="-2"/>
        </w:rPr>
        <w:t>förslaget om jämställdhetsbonus och åtgärder mot missbruk av tillfällig föräldrapenning.</w:t>
      </w:r>
      <w:r w:rsidRPr="006F4374">
        <w:t xml:space="preserve"> Pengarna bör i stället gå till Försä</w:t>
      </w:r>
      <w:r w:rsidRPr="006F4374">
        <w:t>k</w:t>
      </w:r>
      <w:r w:rsidRPr="006F4374">
        <w:t xml:space="preserve">ringskassans ordinarie verksamhet. </w:t>
      </w:r>
    </w:p>
    <w:p w:rsidR="00F10DFB" w:rsidRPr="006F4374" w:rsidRDefault="00F10DFB">
      <w:pPr>
        <w:pStyle w:val="Rubrik2"/>
        <w:shd w:val="clear" w:color="000000" w:fill="auto"/>
      </w:pPr>
      <w:r w:rsidRPr="006F4374">
        <w:t>Anslag 25:1</w:t>
      </w:r>
    </w:p>
    <w:p w:rsidR="00F10DFB" w:rsidRPr="006F4374" w:rsidRDefault="00F10DFB">
      <w:pPr>
        <w:shd w:val="clear" w:color="000000" w:fill="auto"/>
      </w:pPr>
      <w:r w:rsidRPr="006F4374">
        <w:t>Vi avslår förslaget om nationella prov för sfi bl.a. på grund av att det finansi</w:t>
      </w:r>
      <w:r w:rsidRPr="006F4374">
        <w:t>e</w:t>
      </w:r>
      <w:r w:rsidRPr="006F4374">
        <w:t>ras genom en neddragning av utgiftsområde 13 anslag 10:3 Kommunersät</w:t>
      </w:r>
      <w:r w:rsidRPr="006F4374">
        <w:t>t</w:t>
      </w:r>
      <w:r w:rsidRPr="006F4374">
        <w:t>ningar vid flyktingmottagande.</w:t>
      </w:r>
    </w:p>
    <w:p w:rsidR="00F10DFB" w:rsidRPr="006F4374" w:rsidRDefault="00F10DFB">
      <w:pPr>
        <w:pStyle w:val="Rubrik2"/>
        <w:shd w:val="clear" w:color="000000" w:fill="auto"/>
      </w:pPr>
      <w:r w:rsidRPr="006F4374">
        <w:t>Anslag 28:2</w:t>
      </w:r>
    </w:p>
    <w:p w:rsidR="00F10DFB" w:rsidRPr="006F4374" w:rsidRDefault="00F10DFB">
      <w:pPr>
        <w:shd w:val="clear" w:color="000000" w:fill="auto"/>
      </w:pPr>
      <w:r w:rsidRPr="006F4374">
        <w:t>Vänsterpartiet menar att kulturbudgeten är för smal för att rymma ompriorit</w:t>
      </w:r>
      <w:r w:rsidRPr="006F4374">
        <w:t>e</w:t>
      </w:r>
      <w:r w:rsidRPr="006F4374">
        <w:t>ringar inom ram.</w:t>
      </w:r>
    </w:p>
    <w:p w:rsidR="00F10DFB" w:rsidRPr="006F4374" w:rsidRDefault="00F10DFB">
      <w:pPr>
        <w:pStyle w:val="Rubrik2"/>
        <w:shd w:val="clear" w:color="000000" w:fill="auto"/>
      </w:pPr>
      <w:r w:rsidRPr="006F4374">
        <w:t>Anslag 28:4</w:t>
      </w:r>
    </w:p>
    <w:p w:rsidR="00F10DFB" w:rsidRPr="006F4374" w:rsidRDefault="00F10DFB">
      <w:pPr>
        <w:shd w:val="clear" w:color="000000" w:fill="auto"/>
      </w:pPr>
      <w:r w:rsidRPr="006F4374">
        <w:t>Vänsterpartiet menar att kulturbudgeten är för smal för att rymma ompriorit</w:t>
      </w:r>
      <w:r w:rsidRPr="006F4374">
        <w:t>e</w:t>
      </w:r>
      <w:r w:rsidRPr="006F4374">
        <w:t>ringar inom ram.</w:t>
      </w:r>
    </w:p>
    <w:p w:rsidR="00F10DFB" w:rsidRPr="006F4374" w:rsidRDefault="00F10DFB">
      <w:pPr>
        <w:pStyle w:val="Rubrik2"/>
        <w:shd w:val="clear" w:color="000000" w:fill="auto"/>
      </w:pPr>
      <w:r w:rsidRPr="006F4374">
        <w:t>Anslag 28:7</w:t>
      </w:r>
    </w:p>
    <w:p w:rsidR="00F10DFB" w:rsidRPr="006F4374" w:rsidRDefault="00F10DFB">
      <w:pPr>
        <w:shd w:val="clear" w:color="000000" w:fill="auto"/>
      </w:pPr>
      <w:r w:rsidRPr="006F4374">
        <w:t>Vänsterpartiet anser att minst treåriga avtal bör slutas med den fria scenkon</w:t>
      </w:r>
      <w:r w:rsidRPr="006F4374">
        <w:t>s</w:t>
      </w:r>
      <w:r w:rsidRPr="006F4374">
        <w:t>tens utövare. Konstnärerna bör få ägna sig åt den skapande processen, inte åt tidsödande arbete med att varje år skriva ansökningar för att erhålla anslag till grundläggande verksamhet. Kulturutskottet har tidigare, i betänkande 2006/07:KrU7, uttalat att bidragen till de fria grupperna bör fördelas i form av treåriga och ettåriga verksamhetsbidrag som bör sökas i särskild ordning och separeras från de enstaka produktionsbidragen. Därvid bör ”de treåriga ver</w:t>
      </w:r>
      <w:r w:rsidRPr="006F4374">
        <w:t>k</w:t>
      </w:r>
      <w:r w:rsidRPr="006F4374">
        <w:t xml:space="preserve">samhetsbidragen dominera i antal och belopp”. </w:t>
      </w:r>
    </w:p>
    <w:p w:rsidR="00F10DFB" w:rsidRPr="006F4374" w:rsidRDefault="00F10DFB">
      <w:pPr>
        <w:pStyle w:val="Normaltindrag"/>
        <w:shd w:val="clear" w:color="000000" w:fill="auto"/>
      </w:pPr>
      <w:r w:rsidRPr="006F4374">
        <w:t>En</w:t>
      </w:r>
      <w:r w:rsidRPr="006F4374">
        <w:t>ligt regeringens förslag till tilläggsbudget för 2008 bör regeringen b</w:t>
      </w:r>
      <w:r w:rsidRPr="006F4374">
        <w:t>e</w:t>
      </w:r>
      <w:r w:rsidRPr="006F4374">
        <w:t>myndigas att under 2008 för anslaget 28:7 fatta beslut om ekonomiska fö</w:t>
      </w:r>
      <w:r w:rsidRPr="006F4374">
        <w:t>r</w:t>
      </w:r>
      <w:r w:rsidRPr="006F4374">
        <w:t xml:space="preserve">pliktelser inklusive tidigare gjorda åtaganden som medför behov av framtida anslag på högst 80 000 000 kr </w:t>
      </w:r>
      <w:r w:rsidRPr="006F4374">
        <w:rPr>
          <w:spacing w:val="-2"/>
        </w:rPr>
        <w:t>under 2009. Vi föreslår att regeringen i stället bemyndigas att fatta beslut om ekonomiska</w:t>
      </w:r>
      <w:r w:rsidRPr="006F4374">
        <w:t xml:space="preserve"> förpliktelser som inklusive tidigare gjorda åtaganden medför behov av högst 100 000 000 kr per år 2009–2011.</w:t>
      </w:r>
    </w:p>
    <w:p w:rsidR="00F10DFB" w:rsidRPr="006F4374" w:rsidRDefault="00F10DFB">
      <w:pPr>
        <w:pStyle w:val="Rubrik2"/>
        <w:shd w:val="clear" w:color="000000" w:fill="auto"/>
      </w:pPr>
      <w:r w:rsidRPr="006F4374">
        <w:t>Anslag 34:4</w:t>
      </w:r>
    </w:p>
    <w:p w:rsidR="00F10DFB" w:rsidRPr="006F4374" w:rsidRDefault="00F10DFB">
      <w:pPr>
        <w:shd w:val="clear" w:color="000000" w:fill="auto"/>
      </w:pPr>
      <w:r w:rsidRPr="006F4374">
        <w:t>Vi avvisar minskningen, som hotar miljömålet giftfri miljö.</w:t>
      </w:r>
    </w:p>
    <w:p w:rsidR="00F10DFB" w:rsidRPr="006F4374" w:rsidRDefault="00F10DFB">
      <w:pPr>
        <w:pStyle w:val="Rubrik2"/>
        <w:shd w:val="clear" w:color="000000" w:fill="auto"/>
      </w:pPr>
      <w:r w:rsidRPr="006F4374">
        <w:t>Anslag 34:11</w:t>
      </w:r>
    </w:p>
    <w:p w:rsidR="00F10DFB" w:rsidRPr="006F4374" w:rsidRDefault="00F10DFB">
      <w:pPr>
        <w:shd w:val="clear" w:color="000000" w:fill="auto"/>
      </w:pPr>
      <w:r w:rsidRPr="006F4374">
        <w:t>Vi avvisar satsningen, då klimatnyttan inte är klarlagd.</w:t>
      </w:r>
    </w:p>
    <w:p w:rsidR="00F10DFB" w:rsidRPr="006F4374" w:rsidRDefault="00F10DFB">
      <w:pPr>
        <w:pStyle w:val="Rubrik2"/>
        <w:shd w:val="clear" w:color="000000" w:fill="auto"/>
      </w:pPr>
      <w:r w:rsidRPr="006F4374">
        <w:t>Anslag 36:2 och 36:4</w:t>
      </w:r>
    </w:p>
    <w:p w:rsidR="00F10DFB" w:rsidRPr="006F4374" w:rsidRDefault="00F10DFB">
      <w:pPr>
        <w:shd w:val="clear" w:color="000000" w:fill="auto"/>
      </w:pPr>
      <w:r w:rsidRPr="006F4374">
        <w:t>För att finansiera ett ökat anslag till vägar, drar regeringen ned anslaget till järnvägar. Vi avvisar detta.</w:t>
      </w:r>
    </w:p>
    <w:p w:rsidR="00F10DFB" w:rsidRPr="006F4374" w:rsidRDefault="00F10DFB">
      <w:pPr>
        <w:pStyle w:val="Rubrik2"/>
        <w:shd w:val="clear" w:color="000000" w:fill="auto"/>
      </w:pPr>
      <w:r w:rsidRPr="006F4374">
        <w:t>Anslag 37:3</w:t>
      </w:r>
    </w:p>
    <w:p w:rsidR="00F10DFB" w:rsidRPr="006F4374" w:rsidRDefault="00F10DFB">
      <w:pPr>
        <w:shd w:val="clear" w:color="000000" w:fill="auto"/>
      </w:pPr>
      <w:r w:rsidRPr="006F4374">
        <w:t>Regeringen drog redan i höstas ned anslaget till kassaservice med 120 milj</w:t>
      </w:r>
      <w:r w:rsidRPr="006F4374">
        <w:t>o</w:t>
      </w:r>
      <w:r w:rsidRPr="006F4374">
        <w:t>ner kronor, från totalt 400 miljoner kronor. Nu vill regeringen dra ned ytterl</w:t>
      </w:r>
      <w:r w:rsidRPr="006F4374">
        <w:t>i</w:t>
      </w:r>
      <w:r w:rsidRPr="006F4374">
        <w:t>gare 25 miljoner kronor, vilket vi avvisar.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4374">
        <w:trPr>
          <w:cantSplit/>
        </w:trPr>
        <w:tc>
          <w:tcPr>
            <w:tcW w:w="3046" w:type="dxa"/>
          </w:tcPr>
          <w:p w:rsidR="00F10DFB" w:rsidRPr="006F4374" w:rsidRDefault="00F10DFB">
            <w:pPr>
              <w:pStyle w:val="UnderskriftDatum"/>
              <w:shd w:val="clear" w:color="000000" w:fill="auto"/>
              <w:spacing w:before="240"/>
            </w:pPr>
            <w:r w:rsidRPr="006F4374">
              <w:t>Stockholm den 7 maj 2008</w:t>
            </w:r>
          </w:p>
        </w:tc>
        <w:tc>
          <w:tcPr>
            <w:tcW w:w="3047" w:type="dxa"/>
          </w:tcPr>
          <w:p w:rsidR="00F10DFB" w:rsidRPr="006F4374" w:rsidRDefault="00F10DFB">
            <w:pPr>
              <w:pStyle w:val="Underskrifter"/>
              <w:shd w:val="clear" w:color="000000" w:fill="auto"/>
              <w:spacing w:before="240"/>
            </w:pPr>
          </w:p>
        </w:tc>
      </w:tr>
      <w:tr w:rsidR="00000000" w:rsidRPr="006F4374">
        <w:trPr>
          <w:cantSplit/>
        </w:trPr>
        <w:tc>
          <w:tcPr>
            <w:tcW w:w="3046" w:type="dxa"/>
          </w:tcPr>
          <w:p w:rsidR="00F10DFB" w:rsidRPr="006F4374" w:rsidRDefault="00F10DFB">
            <w:pPr>
              <w:pStyle w:val="Underskrifter"/>
              <w:shd w:val="clear" w:color="000000" w:fill="auto"/>
            </w:pPr>
            <w:r w:rsidRPr="006F4374">
              <w:t>Lars Ohly (v)</w:t>
            </w:r>
          </w:p>
        </w:tc>
        <w:tc>
          <w:tcPr>
            <w:tcW w:w="3046" w:type="dxa"/>
          </w:tcPr>
          <w:p w:rsidR="00F10DFB" w:rsidRPr="006F4374" w:rsidRDefault="00F10DFB">
            <w:pPr>
              <w:pStyle w:val="Underskrifter"/>
              <w:shd w:val="clear" w:color="000000" w:fill="auto"/>
            </w:pPr>
          </w:p>
        </w:tc>
      </w:tr>
      <w:tr w:rsidR="00000000" w:rsidRPr="006F4374">
        <w:trPr>
          <w:cantSplit/>
        </w:trPr>
        <w:tc>
          <w:tcPr>
            <w:tcW w:w="3046" w:type="dxa"/>
          </w:tcPr>
          <w:p w:rsidR="00F10DFB" w:rsidRPr="006F4374" w:rsidRDefault="00F10DFB">
            <w:pPr>
              <w:pStyle w:val="Underskrifter"/>
              <w:shd w:val="clear" w:color="000000" w:fill="auto"/>
            </w:pPr>
            <w:r w:rsidRPr="006F4374">
              <w:t>Marianne Berg (v)</w:t>
            </w:r>
          </w:p>
        </w:tc>
        <w:tc>
          <w:tcPr>
            <w:tcW w:w="3046" w:type="dxa"/>
          </w:tcPr>
          <w:p w:rsidR="00F10DFB" w:rsidRPr="006F4374" w:rsidRDefault="00F10DFB">
            <w:pPr>
              <w:pStyle w:val="Underskrifter"/>
              <w:shd w:val="clear" w:color="000000" w:fill="auto"/>
            </w:pPr>
            <w:r w:rsidRPr="006F4374">
              <w:t>Jacob Johnson (v)</w:t>
            </w:r>
          </w:p>
        </w:tc>
      </w:tr>
      <w:tr w:rsidR="00000000" w:rsidRPr="006F4374">
        <w:trPr>
          <w:cantSplit/>
        </w:trPr>
        <w:tc>
          <w:tcPr>
            <w:tcW w:w="3046" w:type="dxa"/>
          </w:tcPr>
          <w:p w:rsidR="00F10DFB" w:rsidRPr="006F4374" w:rsidRDefault="00F10DFB">
            <w:pPr>
              <w:pStyle w:val="Underskrifter"/>
              <w:shd w:val="clear" w:color="000000" w:fill="auto"/>
            </w:pPr>
            <w:r w:rsidRPr="006F4374">
              <w:t>Hans Linde (v)</w:t>
            </w:r>
          </w:p>
        </w:tc>
        <w:tc>
          <w:tcPr>
            <w:tcW w:w="3046" w:type="dxa"/>
          </w:tcPr>
          <w:p w:rsidR="00F10DFB" w:rsidRPr="006F4374" w:rsidRDefault="00F10DFB">
            <w:pPr>
              <w:pStyle w:val="Underskrifter"/>
              <w:shd w:val="clear" w:color="000000" w:fill="auto"/>
            </w:pPr>
            <w:r w:rsidRPr="006F4374">
              <w:t>Elina Linna (v)</w:t>
            </w:r>
          </w:p>
        </w:tc>
      </w:tr>
      <w:tr w:rsidR="00000000" w:rsidRPr="006F4374">
        <w:trPr>
          <w:cantSplit/>
        </w:trPr>
        <w:tc>
          <w:tcPr>
            <w:tcW w:w="3046" w:type="dxa"/>
          </w:tcPr>
          <w:p w:rsidR="00F10DFB" w:rsidRPr="006F4374" w:rsidRDefault="00F10DFB">
            <w:pPr>
              <w:pStyle w:val="Underskrifter"/>
              <w:shd w:val="clear" w:color="000000" w:fill="auto"/>
            </w:pPr>
            <w:r w:rsidRPr="006F4374">
              <w:t>Gunilla Wahlén (v)</w:t>
            </w:r>
          </w:p>
        </w:tc>
        <w:tc>
          <w:tcPr>
            <w:tcW w:w="3046" w:type="dxa"/>
          </w:tcPr>
          <w:p w:rsidR="00F10DFB" w:rsidRPr="006F4374" w:rsidRDefault="00F10DFB">
            <w:pPr>
              <w:pStyle w:val="Underskrifter"/>
              <w:shd w:val="clear" w:color="000000" w:fill="auto"/>
            </w:pPr>
            <w:r w:rsidRPr="006F4374">
              <w:t>Alice Åström (v)</w:t>
            </w:r>
          </w:p>
        </w:tc>
      </w:tr>
      <w:tr w:rsidR="00000000" w:rsidRPr="006F4374">
        <w:trPr>
          <w:cantSplit/>
        </w:trPr>
        <w:tc>
          <w:tcPr>
            <w:tcW w:w="3046" w:type="dxa"/>
          </w:tcPr>
          <w:p w:rsidR="00F10DFB" w:rsidRPr="006F4374" w:rsidRDefault="00F10DFB">
            <w:pPr>
              <w:pStyle w:val="Underskrifter"/>
              <w:shd w:val="clear" w:color="000000" w:fill="auto"/>
            </w:pPr>
            <w:r w:rsidRPr="006F4374">
              <w:t>Ulla Andersson (v)</w:t>
            </w:r>
          </w:p>
        </w:tc>
        <w:tc>
          <w:tcPr>
            <w:tcW w:w="3046" w:type="dxa"/>
          </w:tcPr>
          <w:p w:rsidR="00F10DFB" w:rsidRPr="006F4374" w:rsidRDefault="00F10DFB">
            <w:pPr>
              <w:pStyle w:val="Underskrifter"/>
              <w:shd w:val="clear" w:color="000000" w:fill="auto"/>
            </w:pPr>
          </w:p>
        </w:tc>
      </w:tr>
    </w:tbl>
    <w:p w:rsidR="00F10DFB" w:rsidRPr="006F4374" w:rsidRDefault="00F10DFB">
      <w:pPr>
        <w:pStyle w:val="Normaltindrag"/>
        <w:shd w:val="clear" w:color="000000" w:fill="auto"/>
      </w:pPr>
    </w:p>
    <w:sectPr w:rsidR="00F10DFB" w:rsidRPr="006F4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DFB" w:rsidRPr="006F4374" w:rsidRDefault="00F10DFB">
      <w:r w:rsidRPr="006F4374">
        <w:separator/>
      </w:r>
    </w:p>
  </w:endnote>
  <w:endnote w:type="continuationSeparator" w:id="0">
    <w:p w:rsidR="00F10DFB" w:rsidRPr="006F4374" w:rsidRDefault="00F10DFB">
      <w:r w:rsidRPr="006F43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FB" w:rsidRPr="006F4374" w:rsidRDefault="006F4374">
    <w:pPr>
      <w:pStyle w:val="Sidfot"/>
    </w:pPr>
    <w:r w:rsidRPr="006F43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2036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FB" w:rsidRDefault="00F10DFB">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0DFB" w:rsidRDefault="00F10DFB">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FB" w:rsidRPr="006F4374" w:rsidRDefault="006F4374">
    <w:pPr>
      <w:pStyle w:val="Sidfot"/>
    </w:pPr>
    <w:r w:rsidRPr="006F43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08475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FB" w:rsidRDefault="00F10DFB">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0DFB" w:rsidRDefault="00F10DFB">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FB" w:rsidRPr="006F4374" w:rsidRDefault="006F4374">
    <w:pPr>
      <w:pStyle w:val="Sidfot"/>
    </w:pPr>
    <w:r w:rsidRPr="006F43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7123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FB" w:rsidRDefault="00F10D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0DFB" w:rsidRDefault="00F10D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DFB" w:rsidRPr="006F4374" w:rsidRDefault="00F10DFB">
      <w:r w:rsidRPr="006F4374">
        <w:separator/>
      </w:r>
    </w:p>
  </w:footnote>
  <w:footnote w:type="continuationSeparator" w:id="0">
    <w:p w:rsidR="00F10DFB" w:rsidRPr="006F4374" w:rsidRDefault="00F10DFB">
      <w:r w:rsidRPr="006F43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FB" w:rsidRPr="006F4374" w:rsidRDefault="006F4374">
    <w:pPr>
      <w:pStyle w:val="Sidhuvud"/>
    </w:pPr>
    <w:r w:rsidRPr="006F43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88396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FB" w:rsidRDefault="00F10D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0DFB" w:rsidRDefault="00F10DF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FB" w:rsidRPr="006F4374" w:rsidRDefault="006F4374">
    <w:pPr>
      <w:pStyle w:val="Sidhuvud"/>
    </w:pPr>
    <w:r w:rsidRPr="006F43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31623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DFB" w:rsidRDefault="00F10D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0DFB" w:rsidRDefault="00F10DF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0DFB" w:rsidRPr="006F4374" w:rsidRDefault="00F10DFB">
    <w:pPr>
      <w:pStyle w:val="FSHNormal"/>
      <w:tabs>
        <w:tab w:val="right" w:pos="5840"/>
      </w:tabs>
    </w:pPr>
    <w:r w:rsidRPr="006F4374">
      <w:br/>
    </w:r>
    <w:r w:rsidRPr="006F4374">
      <w:fldChar w:fldCharType="begin" w:fldLock="1"/>
    </w:r>
    <w:r w:rsidRPr="006F4374">
      <w:instrText xml:space="preserve"> DOCPROPERTY</w:instrText>
    </w:r>
    <w:r w:rsidRPr="006F4374">
      <w:rPr>
        <w:sz w:val="18"/>
      </w:rPr>
      <w:instrText xml:space="preserve"> "YearUser" *\charformat </w:instrText>
    </w:r>
    <w:r w:rsidRPr="006F4374">
      <w:fldChar w:fldCharType="separate"/>
    </w:r>
    <w:r w:rsidRPr="006F4374">
      <w:t>2007/08</w:t>
    </w:r>
    <w:r w:rsidRPr="006F4374">
      <w:fldChar w:fldCharType="end"/>
    </w:r>
    <w:r w:rsidRPr="006F4374">
      <w:t xml:space="preserve"> </w:t>
    </w:r>
    <w:r w:rsidRPr="006F4374">
      <w:tab/>
      <w:t xml:space="preserve">mnr: </w:t>
    </w:r>
    <w:r w:rsidRPr="006F4374">
      <w:fldChar w:fldCharType="begin" w:fldLock="1"/>
    </w:r>
    <w:r w:rsidRPr="006F4374">
      <w:instrText xml:space="preserve"> DOCPROPERTY</w:instrText>
    </w:r>
    <w:r w:rsidRPr="006F4374">
      <w:rPr>
        <w:sz w:val="18"/>
      </w:rPr>
      <w:instrText xml:space="preserve"> "Motionsnummer" *\charformat </w:instrText>
    </w:r>
    <w:r w:rsidRPr="006F4374">
      <w:fldChar w:fldCharType="separate"/>
    </w:r>
    <w:r w:rsidRPr="006F4374">
      <w:t>Fi13</w:t>
    </w:r>
    <w:r w:rsidRPr="006F4374">
      <w:fldChar w:fldCharType="end"/>
    </w:r>
    <w:r w:rsidRPr="006F4374">
      <w:br/>
    </w:r>
    <w:r w:rsidRPr="006F4374">
      <w:fldChar w:fldCharType="begin" w:fldLock="1"/>
    </w:r>
    <w:r w:rsidRPr="006F4374">
      <w:instrText xml:space="preserve"> DOCPROPERTY</w:instrText>
    </w:r>
    <w:r w:rsidRPr="006F4374">
      <w:rPr>
        <w:sz w:val="18"/>
      </w:rPr>
      <w:instrText xml:space="preserve"> "Samling" *\charformat </w:instrText>
    </w:r>
    <w:r w:rsidRPr="006F4374">
      <w:fldChar w:fldCharType="end"/>
    </w:r>
    <w:r w:rsidRPr="006F4374">
      <w:tab/>
      <w:t xml:space="preserve">pnr: </w:t>
    </w:r>
    <w:r w:rsidRPr="006F4374">
      <w:fldChar w:fldCharType="begin" w:fldLock="1"/>
    </w:r>
    <w:r w:rsidRPr="006F4374">
      <w:instrText xml:space="preserve"> DOCPROPERTY</w:instrText>
    </w:r>
    <w:r w:rsidRPr="006F4374">
      <w:rPr>
        <w:sz w:val="18"/>
      </w:rPr>
      <w:instrText xml:space="preserve"> "Partinummer" *\charformat </w:instrText>
    </w:r>
    <w:r w:rsidRPr="006F4374">
      <w:fldChar w:fldCharType="separate"/>
    </w:r>
    <w:r w:rsidRPr="006F4374">
      <w:t>v72</w:t>
    </w:r>
    <w:r w:rsidRPr="006F4374">
      <w:fldChar w:fldCharType="end"/>
    </w:r>
  </w:p>
  <w:p w:rsidR="00F10DFB" w:rsidRPr="006F4374" w:rsidRDefault="00F10DFB">
    <w:pPr>
      <w:pStyle w:val="FSHRub1"/>
    </w:pPr>
    <w:r w:rsidRPr="006F4374">
      <w:t>Motion till riksdagen</w:t>
    </w:r>
    <w:r w:rsidRPr="006F4374">
      <w:br/>
    </w:r>
    <w:r w:rsidRPr="006F4374">
      <w:fldChar w:fldCharType="begin" w:fldLock="1"/>
    </w:r>
    <w:r w:rsidRPr="006F4374">
      <w:instrText xml:space="preserve"> DOCPROPERTY "YearUser" *\charformat </w:instrText>
    </w:r>
    <w:r w:rsidRPr="006F4374">
      <w:fldChar w:fldCharType="separate"/>
    </w:r>
    <w:r w:rsidRPr="006F4374">
      <w:t>2007/08</w:t>
    </w:r>
    <w:r w:rsidRPr="006F4374">
      <w:fldChar w:fldCharType="end"/>
    </w:r>
    <w:r w:rsidRPr="006F4374">
      <w:t>:</w:t>
    </w:r>
    <w:r w:rsidRPr="006F4374">
      <w:fldChar w:fldCharType="begin" w:fldLock="1"/>
    </w:r>
    <w:r w:rsidRPr="006F4374">
      <w:instrText xml:space="preserve"> DOCPROPERTY "Motionsnummer" *\charformat </w:instrText>
    </w:r>
    <w:r w:rsidRPr="006F4374">
      <w:fldChar w:fldCharType="separate"/>
    </w:r>
    <w:r w:rsidRPr="006F4374">
      <w:t>Fi13</w:t>
    </w:r>
    <w:r w:rsidRPr="006F4374">
      <w:fldChar w:fldCharType="end"/>
    </w:r>
  </w:p>
  <w:p w:rsidR="00F10DFB" w:rsidRPr="006F4374" w:rsidRDefault="00F10DFB">
    <w:pPr>
      <w:pStyle w:val="FSHNormalS5"/>
    </w:pPr>
    <w:r w:rsidRPr="006F4374">
      <w:fldChar w:fldCharType="begin" w:fldLock="1"/>
    </w:r>
    <w:r w:rsidRPr="006F4374">
      <w:instrText xml:space="preserve"> DOCPROPERTY "MotionarText" *\charformat </w:instrText>
    </w:r>
    <w:r w:rsidRPr="006F4374">
      <w:fldChar w:fldCharType="separate"/>
    </w:r>
    <w:r w:rsidRPr="006F4374">
      <w:t>av Lars Ohly m.fl. (v)</w:t>
    </w:r>
    <w:r w:rsidRPr="006F4374">
      <w:fldChar w:fldCharType="end"/>
    </w:r>
    <w:r w:rsidRPr="006F4374">
      <w:br/>
    </w:r>
    <w:r w:rsidRPr="006F4374">
      <w:fldChar w:fldCharType="begin" w:fldLock="1"/>
    </w:r>
    <w:r w:rsidRPr="006F4374">
      <w:instrText xml:space="preserve"> DOCPROPERTY "SvarFrasKort" *\charformat </w:instrText>
    </w:r>
    <w:r w:rsidRPr="006F4374">
      <w:fldChar w:fldCharType="separate"/>
    </w:r>
    <w:r w:rsidRPr="006F4374">
      <w:t>med anledning av prop. 2007/08:99</w:t>
    </w:r>
    <w:r w:rsidRPr="006F4374">
      <w:fldChar w:fldCharType="end"/>
    </w:r>
  </w:p>
  <w:p w:rsidR="00F10DFB" w:rsidRPr="006F4374" w:rsidRDefault="00F10DFB">
    <w:pPr>
      <w:pStyle w:val="FSHTitel"/>
    </w:pPr>
    <w:r w:rsidRPr="006F4374">
      <w:fldChar w:fldCharType="begin" w:fldLock="1"/>
    </w:r>
    <w:r w:rsidRPr="006F4374">
      <w:instrText xml:space="preserve"> DOCPROPERTY</w:instrText>
    </w:r>
    <w:r w:rsidRPr="006F4374">
      <w:rPr>
        <w:sz w:val="18"/>
      </w:rPr>
      <w:instrText xml:space="preserve"> "RubrikSvar" *\charformat </w:instrText>
    </w:r>
    <w:r w:rsidRPr="006F4374">
      <w:fldChar w:fldCharType="separate"/>
    </w:r>
    <w:r w:rsidRPr="006F4374">
      <w:t>Tilläggsbudget till statsbudgeten 2008</w:t>
    </w:r>
    <w:r w:rsidRPr="006F4374">
      <w:fldChar w:fldCharType="end"/>
    </w:r>
  </w:p>
  <w:p w:rsidR="00F10DFB" w:rsidRPr="006F4374" w:rsidRDefault="00F10DFB">
    <w:pPr>
      <w:pStyle w:val="Normal00"/>
    </w:pPr>
  </w:p>
  <w:p w:rsidR="00F10DFB" w:rsidRPr="006F4374" w:rsidRDefault="00F10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3C4ACF"/>
    <w:multiLevelType w:val="hybridMultilevel"/>
    <w:tmpl w:val="90ACAFF8"/>
    <w:lvl w:ilvl="0" w:tplc="426ED8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90261A"/>
    <w:multiLevelType w:val="hybridMultilevel"/>
    <w:tmpl w:val="1544329C"/>
    <w:lvl w:ilvl="0" w:tplc="DF30E75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6A337ED"/>
    <w:multiLevelType w:val="hybridMultilevel"/>
    <w:tmpl w:val="37369978"/>
    <w:lvl w:ilvl="0" w:tplc="0C2C695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4991168">
    <w:abstractNumId w:val="8"/>
  </w:num>
  <w:num w:numId="2" w16cid:durableId="1590693411">
    <w:abstractNumId w:val="9"/>
  </w:num>
  <w:num w:numId="3" w16cid:durableId="132527854">
    <w:abstractNumId w:val="8"/>
  </w:num>
  <w:num w:numId="4" w16cid:durableId="181285531">
    <w:abstractNumId w:val="9"/>
  </w:num>
  <w:num w:numId="5" w16cid:durableId="828254300">
    <w:abstractNumId w:val="16"/>
  </w:num>
  <w:num w:numId="6" w16cid:durableId="170488969">
    <w:abstractNumId w:val="10"/>
  </w:num>
  <w:num w:numId="7" w16cid:durableId="1968119365">
    <w:abstractNumId w:val="11"/>
  </w:num>
  <w:num w:numId="8" w16cid:durableId="1693872557">
    <w:abstractNumId w:val="15"/>
  </w:num>
  <w:num w:numId="9" w16cid:durableId="1389255980">
    <w:abstractNumId w:val="8"/>
  </w:num>
  <w:num w:numId="10" w16cid:durableId="835534902">
    <w:abstractNumId w:val="3"/>
  </w:num>
  <w:num w:numId="11" w16cid:durableId="556671737">
    <w:abstractNumId w:val="2"/>
  </w:num>
  <w:num w:numId="12" w16cid:durableId="1708288423">
    <w:abstractNumId w:val="1"/>
  </w:num>
  <w:num w:numId="13" w16cid:durableId="85270297">
    <w:abstractNumId w:val="0"/>
  </w:num>
  <w:num w:numId="14" w16cid:durableId="726151567">
    <w:abstractNumId w:val="9"/>
  </w:num>
  <w:num w:numId="15" w16cid:durableId="1856189910">
    <w:abstractNumId w:val="7"/>
  </w:num>
  <w:num w:numId="16" w16cid:durableId="103312954">
    <w:abstractNumId w:val="6"/>
  </w:num>
  <w:num w:numId="17" w16cid:durableId="146827019">
    <w:abstractNumId w:val="5"/>
  </w:num>
  <w:num w:numId="18" w16cid:durableId="1563442099">
    <w:abstractNumId w:val="4"/>
  </w:num>
  <w:num w:numId="19" w16cid:durableId="2042631316">
    <w:abstractNumId w:val="14"/>
  </w:num>
  <w:num w:numId="20" w16cid:durableId="606159205">
    <w:abstractNumId w:val="12"/>
  </w:num>
  <w:num w:numId="21" w16cid:durableId="1951692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2"/>
    <w:docVar w:name="PersonGUIDs" w:val="{F1A2565D-4D2F-4887-9B1D-3D7BE825DA8C},{25384487-954A-4B3D-A759-FB67661DCC6F},{70ED92E7-062B-44F5-98C0-1732E6D079B7},{88576935-7337-4AFA-923F-6E59D33EEBED},{8B923F15-4996-4696-A089-6A5BE8BF8E1B},{233588E7-F7BD-4F60-BEE5-22A19EE80FB2},{7E0BF71E-CD03-4DBF-9F51-3B5B798F2741},{23C4D0E2-C6F4-49DA-B9C4-BE7D1928143F}"/>
  </w:docVars>
  <w:rsids>
    <w:rsidRoot w:val="00AF25A9"/>
    <w:rsid w:val="006F4374"/>
    <w:rsid w:val="00AF25A9"/>
    <w:rsid w:val="00F10DF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F21F6A-6EAF-4961-BAF8-3DB7D7EB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29831">
      <w:bodyDiv w:val="1"/>
      <w:marLeft w:val="0"/>
      <w:marRight w:val="0"/>
      <w:marTop w:val="0"/>
      <w:marBottom w:val="0"/>
      <w:divBdr>
        <w:top w:val="none" w:sz="0" w:space="0" w:color="auto"/>
        <w:left w:val="none" w:sz="0" w:space="0" w:color="auto"/>
        <w:bottom w:val="none" w:sz="0" w:space="0" w:color="auto"/>
        <w:right w:val="none" w:sz="0" w:space="0" w:color="auto"/>
      </w:divBdr>
    </w:div>
    <w:div w:id="173881160">
      <w:bodyDiv w:val="1"/>
      <w:marLeft w:val="0"/>
      <w:marRight w:val="0"/>
      <w:marTop w:val="0"/>
      <w:marBottom w:val="0"/>
      <w:divBdr>
        <w:top w:val="none" w:sz="0" w:space="0" w:color="auto"/>
        <w:left w:val="none" w:sz="0" w:space="0" w:color="auto"/>
        <w:bottom w:val="none" w:sz="0" w:space="0" w:color="auto"/>
        <w:right w:val="none" w:sz="0" w:space="0" w:color="auto"/>
      </w:divBdr>
    </w:div>
    <w:div w:id="403915984">
      <w:bodyDiv w:val="1"/>
      <w:marLeft w:val="0"/>
      <w:marRight w:val="0"/>
      <w:marTop w:val="0"/>
      <w:marBottom w:val="0"/>
      <w:divBdr>
        <w:top w:val="none" w:sz="0" w:space="0" w:color="auto"/>
        <w:left w:val="none" w:sz="0" w:space="0" w:color="auto"/>
        <w:bottom w:val="none" w:sz="0" w:space="0" w:color="auto"/>
        <w:right w:val="none" w:sz="0" w:space="0" w:color="auto"/>
      </w:divBdr>
    </w:div>
    <w:div w:id="674500314">
      <w:bodyDiv w:val="1"/>
      <w:marLeft w:val="0"/>
      <w:marRight w:val="0"/>
      <w:marTop w:val="0"/>
      <w:marBottom w:val="0"/>
      <w:divBdr>
        <w:top w:val="none" w:sz="0" w:space="0" w:color="auto"/>
        <w:left w:val="none" w:sz="0" w:space="0" w:color="auto"/>
        <w:bottom w:val="none" w:sz="0" w:space="0" w:color="auto"/>
        <w:right w:val="none" w:sz="0" w:space="0" w:color="auto"/>
      </w:divBdr>
    </w:div>
    <w:div w:id="1099787921">
      <w:bodyDiv w:val="1"/>
      <w:marLeft w:val="0"/>
      <w:marRight w:val="0"/>
      <w:marTop w:val="0"/>
      <w:marBottom w:val="0"/>
      <w:divBdr>
        <w:top w:val="none" w:sz="0" w:space="0" w:color="auto"/>
        <w:left w:val="none" w:sz="0" w:space="0" w:color="auto"/>
        <w:bottom w:val="none" w:sz="0" w:space="0" w:color="auto"/>
        <w:right w:val="none" w:sz="0" w:space="0" w:color="auto"/>
      </w:divBdr>
    </w:div>
    <w:div w:id="1621456310">
      <w:bodyDiv w:val="1"/>
      <w:marLeft w:val="0"/>
      <w:marRight w:val="0"/>
      <w:marTop w:val="0"/>
      <w:marBottom w:val="0"/>
      <w:divBdr>
        <w:top w:val="none" w:sz="0" w:space="0" w:color="auto"/>
        <w:left w:val="none" w:sz="0" w:space="0" w:color="auto"/>
        <w:bottom w:val="none" w:sz="0" w:space="0" w:color="auto"/>
        <w:right w:val="none" w:sz="0" w:space="0" w:color="auto"/>
      </w:divBdr>
    </w:div>
    <w:div w:id="1989087496">
      <w:bodyDiv w:val="1"/>
      <w:marLeft w:val="0"/>
      <w:marRight w:val="0"/>
      <w:marTop w:val="0"/>
      <w:marBottom w:val="0"/>
      <w:divBdr>
        <w:top w:val="none" w:sz="0" w:space="0" w:color="auto"/>
        <w:left w:val="none" w:sz="0" w:space="0" w:color="auto"/>
        <w:bottom w:val="none" w:sz="0" w:space="0" w:color="auto"/>
        <w:right w:val="none" w:sz="0" w:space="0" w:color="auto"/>
      </w:divBdr>
    </w:div>
    <w:div w:id="213073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7957</Characters>
  <Application>Microsoft Office Word</Application>
  <DocSecurity>4</DocSecurity>
  <Lines>221</Lines>
  <Paragraphs>127</Paragraphs>
  <ScaleCrop>false</ScaleCrop>
  <HeadingPairs>
    <vt:vector size="2" baseType="variant">
      <vt:variant>
        <vt:lpstr>Rubrik</vt:lpstr>
      </vt:variant>
      <vt:variant>
        <vt:i4>1</vt:i4>
      </vt:variant>
    </vt:vector>
  </HeadingPairs>
  <TitlesOfParts>
    <vt:vector size="1" baseType="lpstr">
      <vt:lpstr>v072</vt:lpstr>
    </vt:vector>
  </TitlesOfParts>
  <Company>Riksdagen</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v072</dc:title>
  <dc:subject>v072</dc:subject>
  <dc:creator>Riksdagen</dc:creator>
  <cp:keywords>Riksdagen</cp:keywords>
  <dc:description>TKG-ktrl, MSMQ4mb, PersReg-Distribution mm</dc:description>
  <cp:lastModifiedBy>Lars Brink</cp:lastModifiedBy>
  <cp:revision>2</cp:revision>
  <cp:lastPrinted>2008-05-12T11:00:00Z</cp:lastPrinted>
  <dcterms:created xsi:type="dcterms:W3CDTF">2025-12-17T05:08:00Z</dcterms:created>
  <dcterms:modified xsi:type="dcterms:W3CDTF">2025-12-17T05:08:00Z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mot2000_492_2008-05-02</vt:lpwstr>
  </property>
  <property fmtid="{D5CDD505-2E9C-101B-9397-08002B2CF9AE}" pid="3" name="version">
    <vt:lpwstr>mot2000_492_2008-05-02</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2007/08:99 Tilläggsbudget till statsbudgeten 2008</vt:lpwstr>
  </property>
  <property fmtid="{D5CDD505-2E9C-101B-9397-08002B2CF9AE}" pid="11" name="SvarFrasKort">
    <vt:lpwstr>med anledning av prop. 2007/08:99</vt:lpwstr>
  </property>
  <property fmtid="{D5CDD505-2E9C-101B-9397-08002B2CF9AE}" pid="12" name="Svar">
    <vt:lpwstr>Proposition</vt:lpwstr>
  </property>
  <property fmtid="{D5CDD505-2E9C-101B-9397-08002B2CF9AE}" pid="13" name="SvarNr">
    <vt:lpwstr>2007/08:99</vt:lpwstr>
  </property>
  <property fmtid="{D5CDD505-2E9C-101B-9397-08002B2CF9AE}" pid="14" name="RubrikSvar">
    <vt:lpwstr>Tilläggsbudget till statsbudgeten 2008</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(v)\Wahlén, Gunilla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Gunilla Wahlén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Fi13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20072008000000000118000000720080</vt:lpwstr>
  </property>
  <property fmtid="{D5CDD505-2E9C-101B-9397-08002B2CF9AE}" pid="47" name="datum">
    <vt:lpwstr>080507</vt:lpwstr>
  </property>
  <property fmtid="{D5CDD505-2E9C-101B-9397-08002B2CF9AE}" pid="48" name="avsändar-e-post">
    <vt:lpwstr/>
  </property>
  <property fmtid="{D5CDD505-2E9C-101B-9397-08002B2CF9AE}" pid="49" name="id">
    <vt:lpwstr>20072008000000000118000000720080</vt:lpwstr>
  </property>
  <property fmtid="{D5CDD505-2E9C-101B-9397-08002B2CF9AE}" pid="50" name="nummer">
    <vt:lpwstr>13</vt:lpwstr>
  </property>
  <property fmtid="{D5CDD505-2E9C-101B-9397-08002B2CF9AE}" pid="51" name="utskottsbeteckning">
    <vt:lpwstr>Fi</vt:lpwstr>
  </property>
  <property fmtid="{D5CDD505-2E9C-101B-9397-08002B2CF9AE}" pid="52" name="GlobalUID">
    <vt:lpwstr>{DAB64AA8-E783-4242-BEC3-C1C1BD23C9FF}</vt:lpwstr>
  </property>
  <property fmtid="{D5CDD505-2E9C-101B-9397-08002B2CF9AE}" pid="53" name="Överföringar">
    <vt:i4>0</vt:i4>
  </property>
  <property fmtid="{D5CDD505-2E9C-101B-9397-08002B2CF9AE}" pid="54" name="Checksum">
    <vt:lpwstr>*0020754403223*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080512 13:05:44.988</vt:lpwstr>
  </property>
  <property fmtid="{D5CDD505-2E9C-101B-9397-08002B2CF9AE}" pid="58" name="urixGuid">
    <vt:lpwstr>{D15923AA-8800-4170-A24E-51BC9DCD1488}</vt:lpwstr>
  </property>
</Properties>
</file>