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A0C9E">
        <w:tblPrEx>
          <w:tblCellMar>
            <w:top w:w="0" w:type="dxa"/>
            <w:left w:w="0" w:type="dxa"/>
            <w:bottom w:w="0" w:type="dxa"/>
            <w:right w:w="0" w:type="dxa"/>
          </w:tblCellMar>
        </w:tblPrEx>
        <w:trPr>
          <w:gridAfter w:val="2"/>
          <w:wAfter w:w="1758" w:type="dxa"/>
          <w:cantSplit/>
          <w:trHeight w:val="1320"/>
        </w:trPr>
        <w:tc>
          <w:tcPr>
            <w:tcW w:w="5897" w:type="dxa"/>
          </w:tcPr>
          <w:p w:rsidR="000B3037" w:rsidRPr="00AA0C9E" w:rsidRDefault="000B3037">
            <w:pPr>
              <w:pStyle w:val="HuvudRubrik"/>
            </w:pPr>
            <w:r w:rsidRPr="00AA0C9E">
              <w:t>Regeringskansliet</w:t>
            </w:r>
          </w:p>
          <w:p w:rsidR="000B3037" w:rsidRPr="00AA0C9E" w:rsidRDefault="000B3037">
            <w:pPr>
              <w:pStyle w:val="HuvudRubrik"/>
            </w:pPr>
            <w:r w:rsidRPr="00AA0C9E">
              <w:t>Faktapromemoria 2003/04:FPM37</w:t>
            </w:r>
          </w:p>
        </w:tc>
      </w:tr>
      <w:tr w:rsidR="00000000" w:rsidRPr="00AA0C9E">
        <w:tblPrEx>
          <w:tblCellMar>
            <w:top w:w="0" w:type="dxa"/>
            <w:left w:w="0" w:type="dxa"/>
            <w:bottom w:w="0" w:type="dxa"/>
            <w:right w:w="0" w:type="dxa"/>
          </w:tblCellMar>
        </w:tblPrEx>
        <w:trPr>
          <w:gridAfter w:val="2"/>
          <w:wAfter w:w="1758" w:type="dxa"/>
          <w:cantSplit/>
          <w:trHeight w:val="240"/>
        </w:trPr>
        <w:tc>
          <w:tcPr>
            <w:tcW w:w="5897" w:type="dxa"/>
          </w:tcPr>
          <w:p w:rsidR="000B3037" w:rsidRPr="00AA0C9E" w:rsidRDefault="000B3037">
            <w:pPr>
              <w:pStyle w:val="HuvudRubrik"/>
              <w:rPr>
                <w:sz w:val="28"/>
              </w:rPr>
            </w:pPr>
            <w:r w:rsidRPr="00AA0C9E">
              <w:t>Upprättande av Europeiska gemenskapernas personaldomstol</w:t>
            </w:r>
          </w:p>
        </w:tc>
      </w:tr>
      <w:tr w:rsidR="00000000" w:rsidRPr="00AA0C9E">
        <w:tblPrEx>
          <w:tblCellMar>
            <w:top w:w="0" w:type="dxa"/>
            <w:left w:w="0" w:type="dxa"/>
            <w:bottom w:w="0" w:type="dxa"/>
            <w:right w:w="0" w:type="dxa"/>
          </w:tblCellMar>
        </w:tblPrEx>
        <w:trPr>
          <w:cantSplit/>
          <w:trHeight w:val="285"/>
        </w:trPr>
        <w:tc>
          <w:tcPr>
            <w:tcW w:w="7655" w:type="dxa"/>
            <w:gridSpan w:val="3"/>
          </w:tcPr>
          <w:p w:rsidR="000B3037" w:rsidRPr="00AA0C9E" w:rsidRDefault="000B3037">
            <w:pPr>
              <w:pStyle w:val="Departement"/>
              <w:rPr>
                <w:sz w:val="28"/>
              </w:rPr>
            </w:pPr>
            <w:r w:rsidRPr="00AA0C9E">
              <w:t>Utrikesdepartementet</w:t>
            </w:r>
          </w:p>
        </w:tc>
      </w:tr>
      <w:tr w:rsidR="00000000" w:rsidRPr="00AA0C9E">
        <w:tblPrEx>
          <w:tblCellMar>
            <w:top w:w="0" w:type="dxa"/>
            <w:left w:w="0" w:type="dxa"/>
            <w:bottom w:w="0" w:type="dxa"/>
            <w:right w:w="0" w:type="dxa"/>
          </w:tblCellMar>
        </w:tblPrEx>
        <w:trPr>
          <w:cantSplit/>
          <w:trHeight w:val="240"/>
        </w:trPr>
        <w:tc>
          <w:tcPr>
            <w:tcW w:w="7655" w:type="dxa"/>
            <w:gridSpan w:val="3"/>
          </w:tcPr>
          <w:p w:rsidR="000B3037" w:rsidRPr="00AA0C9E" w:rsidRDefault="000B3037">
            <w:pPr>
              <w:pStyle w:val="Dokumentdatum"/>
            </w:pPr>
            <w:r w:rsidRPr="00AA0C9E">
              <w:t>2003-12-11</w:t>
            </w:r>
          </w:p>
        </w:tc>
      </w:tr>
      <w:tr w:rsidR="00000000" w:rsidRPr="00AA0C9E">
        <w:tblPrEx>
          <w:tblCellMar>
            <w:top w:w="0" w:type="dxa"/>
            <w:left w:w="0" w:type="dxa"/>
            <w:bottom w:w="0" w:type="dxa"/>
            <w:right w:w="0" w:type="dxa"/>
          </w:tblCellMar>
        </w:tblPrEx>
        <w:trPr>
          <w:cantSplit/>
          <w:trHeight w:val="726"/>
        </w:trPr>
        <w:tc>
          <w:tcPr>
            <w:tcW w:w="7655" w:type="dxa"/>
            <w:gridSpan w:val="3"/>
            <w:vAlign w:val="bottom"/>
          </w:tcPr>
          <w:p w:rsidR="000B3037" w:rsidRPr="00AA0C9E" w:rsidRDefault="000B3037">
            <w:pPr>
              <w:pStyle w:val="Dokumentbeteckning"/>
            </w:pPr>
            <w:r w:rsidRPr="00AA0C9E">
              <w:t>Dokumentbeteckning</w:t>
            </w:r>
          </w:p>
        </w:tc>
      </w:tr>
      <w:tr w:rsidR="00000000" w:rsidRPr="00AA0C9E">
        <w:tblPrEx>
          <w:tblCellMar>
            <w:top w:w="0" w:type="dxa"/>
            <w:left w:w="0" w:type="dxa"/>
            <w:bottom w:w="0" w:type="dxa"/>
            <w:right w:w="0" w:type="dxa"/>
          </w:tblCellMar>
        </w:tblPrEx>
        <w:trPr>
          <w:gridAfter w:val="1"/>
          <w:wAfter w:w="1560" w:type="dxa"/>
          <w:trHeight w:val="120"/>
        </w:trPr>
        <w:tc>
          <w:tcPr>
            <w:tcW w:w="6095" w:type="dxa"/>
            <w:gridSpan w:val="2"/>
          </w:tcPr>
          <w:p w:rsidR="000B3037" w:rsidRPr="00AA0C9E" w:rsidRDefault="000B3037">
            <w:bookmarkStart w:id="0" w:name="KomNr"/>
            <w:bookmarkEnd w:id="0"/>
            <w:r w:rsidRPr="00AA0C9E">
              <w:t>15105/03 JUR 448 COUR 29</w:t>
            </w:r>
          </w:p>
        </w:tc>
      </w:tr>
      <w:tr w:rsidR="00000000" w:rsidRPr="00AA0C9E">
        <w:tblPrEx>
          <w:tblCellMar>
            <w:top w:w="0" w:type="dxa"/>
            <w:left w:w="0" w:type="dxa"/>
            <w:bottom w:w="0" w:type="dxa"/>
            <w:right w:w="0" w:type="dxa"/>
          </w:tblCellMar>
        </w:tblPrEx>
        <w:trPr>
          <w:gridAfter w:val="1"/>
          <w:wAfter w:w="1560" w:type="dxa"/>
          <w:trHeight w:val="120"/>
        </w:trPr>
        <w:tc>
          <w:tcPr>
            <w:tcW w:w="6095" w:type="dxa"/>
            <w:gridSpan w:val="2"/>
          </w:tcPr>
          <w:p w:rsidR="000B3037" w:rsidRPr="00AA0C9E" w:rsidRDefault="000B3037">
            <w:pPr>
              <w:pStyle w:val="Dokumentbeteckning-titel"/>
            </w:pPr>
            <w:r w:rsidRPr="00AA0C9E">
              <w:t>Förslag till rådets beslut om upprättande av Europeiska gemenskapernas personaldomstol</w:t>
            </w:r>
          </w:p>
        </w:tc>
      </w:tr>
    </w:tbl>
    <w:p w:rsidR="000B3037" w:rsidRPr="00AA0C9E" w:rsidRDefault="000B3037">
      <w:pPr>
        <w:pStyle w:val="Rubrik1"/>
        <w:numPr>
          <w:ilvl w:val="0"/>
          <w:numId w:val="0"/>
        </w:numPr>
      </w:pPr>
      <w:r w:rsidRPr="00AA0C9E">
        <w:t xml:space="preserve">Sammanfattning </w:t>
      </w:r>
    </w:p>
    <w:p w:rsidR="000B3037" w:rsidRPr="00AA0C9E" w:rsidRDefault="000B3037">
      <w:r w:rsidRPr="00AA0C9E">
        <w:t>Genom Nicefördraget infördes en ny artikel i EG- respektive Euratom</w:t>
      </w:r>
      <w:r w:rsidRPr="00AA0C9E">
        <w:softHyphen/>
        <w:t>fördraget som ger möjlighet att upp</w:t>
      </w:r>
      <w:r w:rsidRPr="00AA0C9E">
        <w:softHyphen/>
        <w:t>rätta särskilda rättsinstanser med uppgift att i första instans pröva och av</w:t>
      </w:r>
      <w:r w:rsidRPr="00AA0C9E">
        <w:softHyphen/>
        <w:t>göra vissa grupper av ärenden på särskilda om</w:t>
      </w:r>
      <w:r w:rsidRPr="00AA0C9E">
        <w:softHyphen/>
        <w:t>råden (artikel 225a EG respek</w:t>
      </w:r>
      <w:r w:rsidRPr="00AA0C9E">
        <w:softHyphen/>
        <w:t>tive 140b EA). I för</w:t>
      </w:r>
      <w:r w:rsidRPr="00AA0C9E">
        <w:softHyphen/>
        <w:t>klaring nr 16 till Nice</w:t>
      </w:r>
      <w:r w:rsidRPr="00AA0C9E">
        <w:softHyphen/>
        <w:t>för</w:t>
      </w:r>
      <w:r w:rsidRPr="00AA0C9E">
        <w:softHyphen/>
        <w:t>drag</w:t>
      </w:r>
      <w:r w:rsidRPr="00AA0C9E">
        <w:softHyphen/>
        <w:t>et uppmanades dom</w:t>
      </w:r>
      <w:r w:rsidRPr="00AA0C9E">
        <w:softHyphen/>
        <w:t>stol</w:t>
      </w:r>
      <w:r w:rsidRPr="00AA0C9E">
        <w:softHyphen/>
        <w:t>en och kommissionen att snarast utarbeta ett utkast till beslut om upp</w:t>
      </w:r>
      <w:r w:rsidRPr="00AA0C9E">
        <w:softHyphen/>
        <w:t>rättande av en rättsinstans som är behörig att i första instans av</w:t>
      </w:r>
      <w:r w:rsidRPr="00AA0C9E">
        <w:softHyphen/>
        <w:t>göra tvist</w:t>
      </w:r>
      <w:r w:rsidRPr="00AA0C9E">
        <w:softHyphen/>
        <w:t>er mellan gemenskaperna och deras anställda. Kommis</w:t>
      </w:r>
      <w:r w:rsidRPr="00AA0C9E">
        <w:softHyphen/>
        <w:t>sionen har mot denna bak</w:t>
      </w:r>
      <w:r w:rsidRPr="00AA0C9E">
        <w:softHyphen/>
        <w:t xml:space="preserve">grund nu lagt fram </w:t>
      </w:r>
      <w:r w:rsidRPr="00AA0C9E">
        <w:t>ett förslag till upp</w:t>
      </w:r>
      <w:r w:rsidRPr="00AA0C9E">
        <w:softHyphen/>
        <w:t>rätt</w:t>
      </w:r>
      <w:r w:rsidRPr="00AA0C9E">
        <w:softHyphen/>
        <w:t>ande av Euro</w:t>
      </w:r>
      <w:r w:rsidRPr="00AA0C9E">
        <w:softHyphen/>
        <w:t>peiska gemen</w:t>
      </w:r>
      <w:r w:rsidRPr="00AA0C9E">
        <w:softHyphen/>
        <w:t>skapernas personal</w:t>
      </w:r>
      <w:r w:rsidRPr="00AA0C9E">
        <w:softHyphen/>
        <w:t>domstol. Enligt förslaget skall personal</w:t>
      </w:r>
      <w:r w:rsidRPr="00AA0C9E">
        <w:softHyphen/>
        <w:t>dom</w:t>
      </w:r>
      <w:r w:rsidRPr="00AA0C9E">
        <w:softHyphen/>
        <w:t>stolen bestå av sex dom</w:t>
      </w:r>
      <w:r w:rsidRPr="00AA0C9E">
        <w:softHyphen/>
        <w:t>are och vara behörig att i första instans av</w:t>
      </w:r>
      <w:r w:rsidRPr="00AA0C9E">
        <w:softHyphen/>
        <w:t>göra alla tvister mell</w:t>
      </w:r>
      <w:r w:rsidRPr="00AA0C9E">
        <w:softHyphen/>
        <w:t>an gemen</w:t>
      </w:r>
      <w:r w:rsidRPr="00AA0C9E">
        <w:softHyphen/>
        <w:t>skaperna och deras anställda, dvs de mål som idag avgörs av Euro</w:t>
      </w:r>
      <w:r w:rsidRPr="00AA0C9E">
        <w:softHyphen/>
        <w:t>peiska gemenskapernas förstainstansrätt (första</w:t>
      </w:r>
      <w:r w:rsidRPr="00AA0C9E">
        <w:softHyphen/>
        <w:t>instans</w:t>
      </w:r>
      <w:r w:rsidRPr="00AA0C9E">
        <w:softHyphen/>
      </w:r>
      <w:r w:rsidRPr="00AA0C9E">
        <w:softHyphen/>
        <w:t>rätten) enligt ar</w:t>
      </w:r>
      <w:r w:rsidRPr="00AA0C9E">
        <w:softHyphen/>
        <w:t>tik</w:t>
      </w:r>
      <w:r w:rsidRPr="00AA0C9E">
        <w:softHyphen/>
      </w:r>
      <w:r w:rsidRPr="00AA0C9E">
        <w:softHyphen/>
        <w:t>el 236 EG jämförd med artikel 225.1 EG (respektive artikel 152 EA jäm</w:t>
      </w:r>
      <w:r w:rsidRPr="00AA0C9E">
        <w:softHyphen/>
        <w:t>förd med artikel 140a.1 EA). Förslaget medför inga väs</w:t>
      </w:r>
      <w:r w:rsidRPr="00AA0C9E">
        <w:softHyphen/>
        <w:t>ent</w:t>
      </w:r>
      <w:r w:rsidRPr="00AA0C9E">
        <w:softHyphen/>
      </w:r>
      <w:r w:rsidRPr="00AA0C9E">
        <w:softHyphen/>
      </w:r>
      <w:r w:rsidRPr="00AA0C9E">
        <w:softHyphen/>
      </w:r>
      <w:r w:rsidRPr="00AA0C9E">
        <w:softHyphen/>
        <w:t xml:space="preserve">liga förändringar </w:t>
      </w:r>
      <w:r w:rsidRPr="00AA0C9E">
        <w:t>av hand</w:t>
      </w:r>
      <w:r w:rsidRPr="00AA0C9E">
        <w:softHyphen/>
        <w:t>lägg</w:t>
      </w:r>
      <w:r w:rsidRPr="00AA0C9E">
        <w:softHyphen/>
        <w:t>ningen av dessa ärenden i förhållande till vad som idag gäller i första</w:t>
      </w:r>
      <w:r w:rsidRPr="00AA0C9E">
        <w:softHyphen/>
        <w:t>instansrätten. Personaldomstolens avgöranden skall kunna överklagas till första</w:t>
      </w:r>
      <w:r w:rsidRPr="00AA0C9E">
        <w:softHyphen/>
        <w:t>instansrätten i rättsfrågor. Första</w:t>
      </w:r>
      <w:r w:rsidRPr="00AA0C9E">
        <w:softHyphen/>
        <w:t>instans</w:t>
      </w:r>
      <w:r w:rsidRPr="00AA0C9E">
        <w:softHyphen/>
        <w:t>rätt</w:t>
      </w:r>
      <w:r w:rsidRPr="00AA0C9E">
        <w:softHyphen/>
        <w:t>ens av</w:t>
      </w:r>
      <w:r w:rsidRPr="00AA0C9E">
        <w:softHyphen/>
        <w:t>gör</w:t>
      </w:r>
      <w:r w:rsidRPr="00AA0C9E">
        <w:softHyphen/>
        <w:t>an</w:t>
      </w:r>
      <w:r w:rsidRPr="00AA0C9E">
        <w:softHyphen/>
        <w:t>de i över</w:t>
      </w:r>
      <w:r w:rsidRPr="00AA0C9E">
        <w:softHyphen/>
        <w:t>klag</w:t>
      </w:r>
      <w:r w:rsidRPr="00AA0C9E">
        <w:softHyphen/>
      </w:r>
      <w:r w:rsidRPr="00AA0C9E">
        <w:softHyphen/>
        <w:t>ade per</w:t>
      </w:r>
      <w:r w:rsidRPr="00AA0C9E">
        <w:softHyphen/>
        <w:t>sonal</w:t>
      </w:r>
      <w:r w:rsidRPr="00AA0C9E">
        <w:softHyphen/>
        <w:t>mål kan endast i und</w:t>
      </w:r>
      <w:r w:rsidRPr="00AA0C9E">
        <w:softHyphen/>
        <w:t>antags</w:t>
      </w:r>
      <w:r w:rsidRPr="00AA0C9E">
        <w:softHyphen/>
      </w:r>
      <w:r w:rsidRPr="00AA0C9E">
        <w:softHyphen/>
        <w:t>fall ompröv</w:t>
      </w:r>
      <w:r w:rsidRPr="00AA0C9E">
        <w:softHyphen/>
        <w:t>as av Euro</w:t>
      </w:r>
      <w:r w:rsidRPr="00AA0C9E">
        <w:softHyphen/>
      </w:r>
      <w:r w:rsidRPr="00AA0C9E">
        <w:softHyphen/>
      </w:r>
      <w:r w:rsidRPr="00AA0C9E">
        <w:softHyphen/>
        <w:t>peiska gemen</w:t>
      </w:r>
      <w:r w:rsidRPr="00AA0C9E">
        <w:softHyphen/>
        <w:t>skapernas domstol (EG-domstolen) enligt artikel 225.2 EG res</w:t>
      </w:r>
      <w:r w:rsidRPr="00AA0C9E">
        <w:softHyphen/>
        <w:t>pek</w:t>
      </w:r>
      <w:r w:rsidRPr="00AA0C9E">
        <w:softHyphen/>
        <w:t xml:space="preserve">tive 140a.2 EA.  </w:t>
      </w:r>
    </w:p>
    <w:p w:rsidR="000B3037" w:rsidRPr="00AA0C9E" w:rsidRDefault="000B3037">
      <w:pPr>
        <w:pStyle w:val="Rubrik1"/>
      </w:pPr>
      <w:r w:rsidRPr="00AA0C9E">
        <w:lastRenderedPageBreak/>
        <w:t>Förslaget</w:t>
      </w:r>
    </w:p>
    <w:p w:rsidR="000B3037" w:rsidRPr="00AA0C9E" w:rsidRDefault="000B3037">
      <w:pPr>
        <w:pStyle w:val="Rubrik2"/>
      </w:pPr>
      <w:r w:rsidRPr="00AA0C9E">
        <w:t>Innehåll</w:t>
      </w:r>
    </w:p>
    <w:p w:rsidR="000B3037" w:rsidRPr="00AA0C9E" w:rsidRDefault="000B3037"/>
    <w:p w:rsidR="000B3037" w:rsidRPr="00AA0C9E" w:rsidRDefault="000B3037">
      <w:pPr>
        <w:rPr>
          <w:i/>
        </w:rPr>
      </w:pPr>
      <w:r w:rsidRPr="00AA0C9E">
        <w:rPr>
          <w:i/>
        </w:rPr>
        <w:t>Bakgrund</w:t>
      </w:r>
    </w:p>
    <w:p w:rsidR="000B3037" w:rsidRPr="00AA0C9E" w:rsidRDefault="000B3037"/>
    <w:p w:rsidR="000B3037" w:rsidRPr="00AA0C9E" w:rsidRDefault="000B3037">
      <w:r w:rsidRPr="00AA0C9E">
        <w:t>Under regeringskonferensen inför antagandet av Nicefördraget var med</w:t>
      </w:r>
      <w:r w:rsidRPr="00AA0C9E">
        <w:softHyphen/>
        <w:t>lems</w:t>
      </w:r>
      <w:r w:rsidRPr="00AA0C9E">
        <w:softHyphen/>
        <w:t>staterna eniga om att det kunde finnas ett behov av att bygga ut unionens domstolsorganisation med ytterligare domstolar för att avlasta EG-domstolen och första</w:t>
      </w:r>
      <w:r w:rsidRPr="00AA0C9E">
        <w:softHyphen/>
        <w:t>instans</w:t>
      </w:r>
      <w:r w:rsidRPr="00AA0C9E">
        <w:softHyphen/>
        <w:t>rätt</w:t>
      </w:r>
      <w:r w:rsidRPr="00AA0C9E">
        <w:softHyphen/>
        <w:t>en. Vad man framför allt tänkte på var en domstol till vilken man kunde föra över pröv</w:t>
      </w:r>
      <w:r w:rsidRPr="00AA0C9E">
        <w:softHyphen/>
        <w:t>ningen i första instans från första</w:t>
      </w:r>
      <w:r w:rsidRPr="00AA0C9E">
        <w:softHyphen/>
        <w:t>in</w:t>
      </w:r>
      <w:r w:rsidRPr="00AA0C9E">
        <w:softHyphen/>
        <w:t>stans</w:t>
      </w:r>
      <w:r w:rsidRPr="00AA0C9E">
        <w:softHyphen/>
        <w:t>rätten av tvisterna mellan gemen</w:t>
      </w:r>
      <w:r w:rsidRPr="00AA0C9E">
        <w:softHyphen/>
        <w:t>skaperna och der</w:t>
      </w:r>
      <w:r w:rsidRPr="00AA0C9E">
        <w:softHyphen/>
        <w:t>as anställda. Detta i syfte att avlasta förstainstans</w:t>
      </w:r>
      <w:r w:rsidRPr="00AA0C9E">
        <w:softHyphen/>
        <w:t>rätt</w:t>
      </w:r>
      <w:r w:rsidRPr="00AA0C9E">
        <w:softHyphen/>
        <w:t>en så att en bättre fördelning av målen skulle kun</w:t>
      </w:r>
      <w:r w:rsidRPr="00AA0C9E">
        <w:softHyphen/>
        <w:t xml:space="preserve">na komma till stånd mellan EG-domstolen </w:t>
      </w:r>
      <w:r w:rsidRPr="00AA0C9E">
        <w:t>och första</w:t>
      </w:r>
      <w:r w:rsidRPr="00AA0C9E">
        <w:softHyphen/>
        <w:t>instansrätten. Genom en om</w:t>
      </w:r>
      <w:r w:rsidRPr="00AA0C9E">
        <w:softHyphen/>
        <w:t>fördel</w:t>
      </w:r>
      <w:r w:rsidRPr="00AA0C9E">
        <w:softHyphen/>
        <w:t>ning av målen mellan EG-dom</w:t>
      </w:r>
      <w:r w:rsidRPr="00AA0C9E">
        <w:softHyphen/>
        <w:t>stol</w:t>
      </w:r>
      <w:r w:rsidRPr="00AA0C9E">
        <w:softHyphen/>
        <w:t>en och förstainstansrätten skulle EG-dom</w:t>
      </w:r>
      <w:r w:rsidRPr="00AA0C9E">
        <w:softHyphen/>
      </w:r>
      <w:r w:rsidRPr="00AA0C9E">
        <w:softHyphen/>
        <w:t>stol</w:t>
      </w:r>
      <w:r w:rsidRPr="00AA0C9E">
        <w:softHyphen/>
        <w:t>ens roll kunna renodlas och hand</w:t>
      </w:r>
      <w:r w:rsidRPr="00AA0C9E">
        <w:softHyphen/>
        <w:t>lägg</w:t>
      </w:r>
      <w:r w:rsidRPr="00AA0C9E">
        <w:softHyphen/>
        <w:t>nings</w:t>
      </w:r>
      <w:r w:rsidRPr="00AA0C9E">
        <w:softHyphen/>
        <w:t>tiderna kortas. Nice</w:t>
      </w:r>
      <w:r w:rsidRPr="00AA0C9E">
        <w:softHyphen/>
        <w:t>för</w:t>
      </w:r>
      <w:r w:rsidRPr="00AA0C9E">
        <w:softHyphen/>
        <w:t>drag</w:t>
      </w:r>
      <w:r w:rsidRPr="00AA0C9E">
        <w:softHyphen/>
        <w:t>et inne</w:t>
      </w:r>
      <w:r w:rsidRPr="00AA0C9E">
        <w:softHyphen/>
        <w:t>bär därför också att behörighet i alla typer av mål numera kan över</w:t>
      </w:r>
      <w:r w:rsidRPr="00AA0C9E">
        <w:softHyphen/>
        <w:t>föras till första</w:t>
      </w:r>
      <w:r w:rsidRPr="00AA0C9E">
        <w:softHyphen/>
      </w:r>
      <w:r w:rsidRPr="00AA0C9E">
        <w:softHyphen/>
        <w:t>instansrätten. Angående förslag till så</w:t>
      </w:r>
      <w:r w:rsidRPr="00AA0C9E">
        <w:softHyphen/>
        <w:t>dan över</w:t>
      </w:r>
      <w:r w:rsidRPr="00AA0C9E">
        <w:softHyphen/>
        <w:t>för</w:t>
      </w:r>
      <w:r w:rsidRPr="00AA0C9E">
        <w:softHyphen/>
      </w:r>
      <w:r w:rsidRPr="00AA0C9E">
        <w:softHyphen/>
        <w:t>ing, se Fakta</w:t>
      </w:r>
      <w:r w:rsidRPr="00AA0C9E">
        <w:softHyphen/>
      </w:r>
      <w:r w:rsidRPr="00AA0C9E">
        <w:softHyphen/>
        <w:t>pro</w:t>
      </w:r>
      <w:r w:rsidRPr="00AA0C9E">
        <w:softHyphen/>
        <w:t>me</w:t>
      </w:r>
      <w:r w:rsidRPr="00AA0C9E">
        <w:softHyphen/>
        <w:t>moria 2003/04:FPM46 Behörighetsfördel</w:t>
      </w:r>
      <w:r w:rsidRPr="00AA0C9E">
        <w:softHyphen/>
        <w:t>ning</w:t>
      </w:r>
      <w:r w:rsidRPr="00AA0C9E">
        <w:softHyphen/>
        <w:t>en mell</w:t>
      </w:r>
      <w:r w:rsidRPr="00AA0C9E">
        <w:softHyphen/>
        <w:t>an Euro</w:t>
      </w:r>
      <w:r w:rsidRPr="00AA0C9E">
        <w:softHyphen/>
        <w:t>peiska ge</w:t>
      </w:r>
      <w:r w:rsidRPr="00AA0C9E">
        <w:softHyphen/>
        <w:t>men</w:t>
      </w:r>
      <w:r w:rsidRPr="00AA0C9E">
        <w:softHyphen/>
        <w:t>skapernas domstol och Europeiska gemen</w:t>
      </w:r>
      <w:r w:rsidRPr="00AA0C9E">
        <w:softHyphen/>
        <w:t>skapernas första</w:t>
      </w:r>
      <w:r w:rsidRPr="00AA0C9E">
        <w:softHyphen/>
        <w:t>instans</w:t>
      </w:r>
      <w:r w:rsidRPr="00AA0C9E">
        <w:softHyphen/>
        <w:t>rätt.</w:t>
      </w:r>
      <w:r w:rsidRPr="00AA0C9E">
        <w:t xml:space="preserve"> </w:t>
      </w:r>
    </w:p>
    <w:p w:rsidR="000B3037" w:rsidRPr="00AA0C9E" w:rsidRDefault="000B3037">
      <w:r w:rsidRPr="00AA0C9E">
        <w:t>Vikten av reformer på båda dessa områden underströks av gemensam för</w:t>
      </w:r>
      <w:r w:rsidRPr="00AA0C9E">
        <w:softHyphen/>
        <w:t>klar</w:t>
      </w:r>
      <w:r w:rsidRPr="00AA0C9E">
        <w:softHyphen/>
        <w:t>ing 12 respektive 16 där kommissionen och domstolen uppmanades att snar</w:t>
      </w:r>
      <w:r w:rsidRPr="00AA0C9E">
        <w:softHyphen/>
      </w:r>
      <w:r w:rsidRPr="00AA0C9E">
        <w:softHyphen/>
        <w:t>ast granska hela behörighets</w:t>
      </w:r>
      <w:r w:rsidRPr="00AA0C9E">
        <w:softHyphen/>
        <w:t>fördelningen och lägga fram lämpliga för</w:t>
      </w:r>
      <w:r w:rsidRPr="00AA0C9E">
        <w:softHyphen/>
        <w:t>slag så att beslut skulle kunna fattas så snart som Nicefördraget trätt i kraft respektive att snarast utarbeta ett utkast till beslut om upp</w:t>
      </w:r>
      <w:r w:rsidRPr="00AA0C9E">
        <w:softHyphen/>
        <w:t>rättande av en rätts</w:t>
      </w:r>
      <w:r w:rsidRPr="00AA0C9E">
        <w:softHyphen/>
        <w:t>instans som är behörig att i första instans avgöra tvist</w:t>
      </w:r>
      <w:r w:rsidRPr="00AA0C9E">
        <w:softHyphen/>
        <w:t>er mellan gemen</w:t>
      </w:r>
      <w:r w:rsidRPr="00AA0C9E">
        <w:softHyphen/>
        <w:t>skap</w:t>
      </w:r>
      <w:r w:rsidRPr="00AA0C9E">
        <w:softHyphen/>
        <w:t>erna och deras anställda. Man enades om att domstolen skulle utarbeta för</w:t>
      </w:r>
      <w:r w:rsidRPr="00AA0C9E">
        <w:softHyphen/>
        <w:t>slag vad gäller den senare frågan och kommission</w:t>
      </w:r>
      <w:r w:rsidRPr="00AA0C9E">
        <w:t>en skulle ansvara för fråg</w:t>
      </w:r>
      <w:r w:rsidRPr="00AA0C9E">
        <w:softHyphen/>
        <w:t>an om upprättande av en personaldomstol. Domstolen presenterade i råds</w:t>
      </w:r>
      <w:r w:rsidRPr="00AA0C9E">
        <w:softHyphen/>
        <w:t>arbetsgruppen för domstolen ett ar</w:t>
      </w:r>
      <w:r w:rsidRPr="00AA0C9E">
        <w:softHyphen/>
        <w:t>bets</w:t>
      </w:r>
      <w:r w:rsidRPr="00AA0C9E">
        <w:softHyphen/>
      </w:r>
      <w:r w:rsidRPr="00AA0C9E">
        <w:softHyphen/>
        <w:t>papper om behörighets</w:t>
      </w:r>
      <w:r w:rsidRPr="00AA0C9E">
        <w:softHyphen/>
        <w:t>fördel</w:t>
      </w:r>
      <w:r w:rsidRPr="00AA0C9E">
        <w:softHyphen/>
        <w:t>ningen under hösten 2001 och ett formellt förslag lades fram i februari 2003. Kom</w:t>
      </w:r>
      <w:r w:rsidRPr="00AA0C9E">
        <w:softHyphen/>
        <w:t>mis</w:t>
      </w:r>
      <w:r w:rsidRPr="00AA0C9E">
        <w:softHyphen/>
        <w:t xml:space="preserve">sionens förslag om upprättande av en personaldomstol har dock låtit vänta på sig och lades fram först i november 2003. </w:t>
      </w:r>
    </w:p>
    <w:p w:rsidR="000B3037" w:rsidRPr="00AA0C9E" w:rsidRDefault="000B3037"/>
    <w:p w:rsidR="000B3037" w:rsidRPr="00AA0C9E" w:rsidRDefault="000B3037">
      <w:r w:rsidRPr="00AA0C9E">
        <w:t>Förslaget</w:t>
      </w:r>
    </w:p>
    <w:p w:rsidR="000B3037" w:rsidRPr="00AA0C9E" w:rsidRDefault="000B3037"/>
    <w:p w:rsidR="000B3037" w:rsidRPr="00AA0C9E" w:rsidRDefault="000B3037">
      <w:r w:rsidRPr="00AA0C9E">
        <w:t>Sammansättning</w:t>
      </w:r>
    </w:p>
    <w:p w:rsidR="000B3037" w:rsidRPr="00AA0C9E" w:rsidRDefault="000B3037">
      <w:r w:rsidRPr="00AA0C9E">
        <w:t>Förslaget innebär att Europeiska gemenskapernas personaldomstol (per</w:t>
      </w:r>
      <w:r w:rsidRPr="00AA0C9E">
        <w:softHyphen/>
        <w:t>son</w:t>
      </w:r>
      <w:r w:rsidRPr="00AA0C9E">
        <w:softHyphen/>
        <w:t>al</w:t>
      </w:r>
      <w:r w:rsidRPr="00AA0C9E">
        <w:softHyphen/>
      </w:r>
      <w:r w:rsidRPr="00AA0C9E">
        <w:softHyphen/>
      </w:r>
      <w:r w:rsidRPr="00AA0C9E">
        <w:softHyphen/>
      </w:r>
      <w:r w:rsidRPr="00AA0C9E">
        <w:softHyphen/>
        <w:t>domstolen) skall upprättas. Personaldomstolen skall bestå av sex dom</w:t>
      </w:r>
      <w:r w:rsidRPr="00AA0C9E">
        <w:softHyphen/>
      </w:r>
      <w:r w:rsidRPr="00AA0C9E">
        <w:softHyphen/>
        <w:t>are vilka utses för en tid av sex år. De skall kunna utnämnas på nytt. Dom</w:t>
      </w:r>
      <w:r w:rsidRPr="00AA0C9E">
        <w:softHyphen/>
        <w:t>arna utses enligt artikel 225a fjärde stycke EG av rådet genom enhälligt be</w:t>
      </w:r>
      <w:r w:rsidRPr="00AA0C9E">
        <w:softHyphen/>
      </w:r>
      <w:r w:rsidRPr="00AA0C9E">
        <w:softHyphen/>
        <w:t>slut. Enligt förslaget skall medlemsstaterna lägga fram förslag till kandi</w:t>
      </w:r>
      <w:r w:rsidRPr="00AA0C9E">
        <w:softHyphen/>
        <w:t>dat</w:t>
      </w:r>
      <w:r w:rsidRPr="00AA0C9E">
        <w:softHyphen/>
      </w:r>
      <w:r w:rsidRPr="00AA0C9E">
        <w:softHyphen/>
        <w:t>er och dessa förslag skall granskas av en särskilt inrättad expert</w:t>
      </w:r>
      <w:r w:rsidRPr="00AA0C9E">
        <w:softHyphen/>
        <w:t>kommitté. Expert</w:t>
      </w:r>
      <w:r w:rsidRPr="00AA0C9E">
        <w:softHyphen/>
      </w:r>
      <w:r w:rsidRPr="00AA0C9E">
        <w:softHyphen/>
        <w:t>kommitt</w:t>
      </w:r>
      <w:r w:rsidRPr="00AA0C9E">
        <w:softHyphen/>
        <w:t>én skall avge yttrande om kandidaternas lämp</w:t>
      </w:r>
      <w:r w:rsidRPr="00AA0C9E">
        <w:softHyphen/>
        <w:t>lighet och upp</w:t>
      </w:r>
      <w:r w:rsidRPr="00AA0C9E">
        <w:softHyphen/>
        <w:t>rätta en för</w:t>
      </w:r>
      <w:r w:rsidRPr="00AA0C9E">
        <w:softHyphen/>
        <w:t>teck</w:t>
      </w:r>
      <w:r w:rsidRPr="00AA0C9E">
        <w:softHyphen/>
        <w:t xml:space="preserve">ning med de tolv kandidater </w:t>
      </w:r>
      <w:r w:rsidRPr="00AA0C9E">
        <w:t>som kommittén för</w:t>
      </w:r>
      <w:r w:rsidRPr="00AA0C9E">
        <w:softHyphen/>
        <w:t>ordar. Det skall inte finnas några generaladvokater i personaldomstolen. Formellt sett skiljer sig detta från ordningen i förstainstansrätten där ledamöterna kan tjänstgöra som sådana. I prak</w:t>
      </w:r>
      <w:r w:rsidRPr="00AA0C9E">
        <w:softHyphen/>
        <w:t>tik</w:t>
      </w:r>
      <w:r w:rsidRPr="00AA0C9E">
        <w:softHyphen/>
        <w:t>en använder sig förstainstansrätten emellertid mycket sällan av denna möj</w:t>
      </w:r>
      <w:r w:rsidRPr="00AA0C9E">
        <w:softHyphen/>
        <w:t>lighet och det har aldrig skett i personalmål. Förslaget innebär att målen skall av</w:t>
      </w:r>
      <w:r w:rsidRPr="00AA0C9E">
        <w:softHyphen/>
        <w:t>göras av tre eller fem domare. Detta motsvarar första</w:t>
      </w:r>
      <w:r w:rsidRPr="00AA0C9E">
        <w:softHyphen/>
        <w:t>instans</w:t>
      </w:r>
      <w:r w:rsidRPr="00AA0C9E">
        <w:softHyphen/>
        <w:t>rättens regler men med den skillnaden att möjlighet inte ges för per</w:t>
      </w:r>
      <w:r w:rsidRPr="00AA0C9E">
        <w:softHyphen/>
        <w:t>son</w:t>
      </w:r>
      <w:r w:rsidRPr="00AA0C9E">
        <w:softHyphen/>
        <w:t>al</w:t>
      </w:r>
      <w:r w:rsidRPr="00AA0C9E">
        <w:softHyphen/>
        <w:t>do</w:t>
      </w:r>
      <w:r w:rsidRPr="00AA0C9E">
        <w:t xml:space="preserve">mstolen att avgöra mål med ensamdomare. Kommissionen har i denna del ansett att den nya domstolen bör ges viss tid att stadga sig och komma in i rutinerna innan en sådan möjlighet ges.    </w:t>
      </w:r>
    </w:p>
    <w:p w:rsidR="000B3037" w:rsidRPr="00AA0C9E" w:rsidRDefault="000B3037"/>
    <w:p w:rsidR="000B3037" w:rsidRPr="00AA0C9E" w:rsidRDefault="000B3037">
      <w:r w:rsidRPr="00AA0C9E">
        <w:t>Behörighet</w:t>
      </w:r>
    </w:p>
    <w:p w:rsidR="000B3037" w:rsidRPr="00AA0C9E" w:rsidRDefault="000B3037">
      <w:r w:rsidRPr="00AA0C9E">
        <w:t>Personaldomstolen skall ha samma behörighet i personalmål som första</w:t>
      </w:r>
      <w:r w:rsidRPr="00AA0C9E">
        <w:softHyphen/>
        <w:t>instans</w:t>
      </w:r>
      <w:r w:rsidRPr="00AA0C9E">
        <w:softHyphen/>
      </w:r>
      <w:r w:rsidRPr="00AA0C9E">
        <w:softHyphen/>
        <w:t>rätten har idag. Det rör sig således om behörighet att avgöra samtliga tvist</w:t>
      </w:r>
      <w:r w:rsidRPr="00AA0C9E">
        <w:softHyphen/>
      </w:r>
      <w:r w:rsidRPr="00AA0C9E">
        <w:softHyphen/>
        <w:t>er mellan Europeiska gemenskapen och dess anställda enligt artikel 236 EG och tvister mellan Europeiska atomenergigemenskapen och dess an</w:t>
      </w:r>
      <w:r w:rsidRPr="00AA0C9E">
        <w:softHyphen/>
        <w:t>ställ</w:t>
      </w:r>
      <w:r w:rsidRPr="00AA0C9E">
        <w:softHyphen/>
        <w:t xml:space="preserve">da enligt artikel 152 EA. </w:t>
      </w:r>
    </w:p>
    <w:p w:rsidR="000B3037" w:rsidRPr="00AA0C9E" w:rsidRDefault="000B3037"/>
    <w:p w:rsidR="000B3037" w:rsidRPr="00AA0C9E" w:rsidRDefault="000B3037">
      <w:r w:rsidRPr="00AA0C9E">
        <w:t>Organisation</w:t>
      </w:r>
    </w:p>
    <w:p w:rsidR="000B3037" w:rsidRPr="00AA0C9E" w:rsidRDefault="000B3037">
      <w:r w:rsidRPr="00AA0C9E">
        <w:t>Personaldomstolen utgör inte en egen institution. På samma sätt som första</w:t>
      </w:r>
      <w:r w:rsidRPr="00AA0C9E">
        <w:softHyphen/>
      </w:r>
      <w:r w:rsidRPr="00AA0C9E">
        <w:softHyphen/>
      </w:r>
      <w:r w:rsidRPr="00AA0C9E">
        <w:softHyphen/>
        <w:t>instansrätten är knuten till EG-domstolen skall personaldomstolen knyt</w:t>
      </w:r>
      <w:r w:rsidRPr="00AA0C9E">
        <w:softHyphen/>
      </w:r>
      <w:r w:rsidRPr="00AA0C9E">
        <w:softHyphen/>
        <w:t>as till förstainstansrätten. Enligt förslaget skall personaldomstolen stödja sig på EG-domstolens och förstainstansrättens administrativa enheter. EG-dom</w:t>
      </w:r>
      <w:r w:rsidRPr="00AA0C9E">
        <w:softHyphen/>
        <w:t>stol</w:t>
      </w:r>
      <w:r w:rsidRPr="00AA0C9E">
        <w:softHyphen/>
        <w:t>ens ordförande eller, i förekommande fall, första</w:t>
      </w:r>
      <w:r w:rsidRPr="00AA0C9E">
        <w:softHyphen/>
        <w:t>instansrättens ord</w:t>
      </w:r>
      <w:r w:rsidRPr="00AA0C9E">
        <w:softHyphen/>
        <w:t>för</w:t>
      </w:r>
      <w:r w:rsidRPr="00AA0C9E">
        <w:softHyphen/>
        <w:t>ande skall gemensamt med personaldomstolens ordförande bestämma under vilka vill</w:t>
      </w:r>
      <w:r w:rsidRPr="00AA0C9E">
        <w:softHyphen/>
      </w:r>
      <w:r w:rsidRPr="00AA0C9E">
        <w:softHyphen/>
        <w:t>kor tjänstemän och andra anställda vid EG-dom</w:t>
      </w:r>
      <w:r w:rsidRPr="00AA0C9E">
        <w:softHyphen/>
        <w:t>stolen eller första</w:t>
      </w:r>
      <w:r w:rsidRPr="00AA0C9E">
        <w:softHyphen/>
        <w:t>instans</w:t>
      </w:r>
      <w:r w:rsidRPr="00AA0C9E">
        <w:softHyphen/>
        <w:t>rätten skall tjänstgöra vid personal</w:t>
      </w:r>
      <w:r w:rsidRPr="00AA0C9E">
        <w:softHyphen/>
        <w:t>dom</w:t>
      </w:r>
      <w:r w:rsidRPr="00AA0C9E">
        <w:softHyphen/>
        <w:t>stol</w:t>
      </w:r>
      <w:r w:rsidRPr="00AA0C9E">
        <w:softHyphen/>
        <w:t>en.</w:t>
      </w:r>
    </w:p>
    <w:p w:rsidR="000B3037" w:rsidRPr="00AA0C9E" w:rsidRDefault="000B3037"/>
    <w:p w:rsidR="000B3037" w:rsidRPr="00AA0C9E" w:rsidRDefault="000B3037">
      <w:r w:rsidRPr="00AA0C9E">
        <w:t>Förfarande</w:t>
      </w:r>
    </w:p>
    <w:p w:rsidR="000B3037" w:rsidRPr="00AA0C9E" w:rsidRDefault="000B3037">
      <w:r w:rsidRPr="00AA0C9E">
        <w:t>Förslaget innebär att de bestämmelser om förfarandet som första</w:t>
      </w:r>
      <w:r w:rsidRPr="00AA0C9E">
        <w:softHyphen/>
        <w:t>instans</w:t>
      </w:r>
      <w:r w:rsidRPr="00AA0C9E">
        <w:softHyphen/>
        <w:t>rätten tillämpar idag i denna typ av ärenden huvudsakligen skall användas ock</w:t>
      </w:r>
      <w:r w:rsidRPr="00AA0C9E">
        <w:softHyphen/>
      </w:r>
      <w:r w:rsidRPr="00AA0C9E">
        <w:softHyphen/>
        <w:t>så i personaldomstolen. Reglerna kan preciseras och kompletteras i personal</w:t>
      </w:r>
      <w:r w:rsidRPr="00AA0C9E">
        <w:softHyphen/>
      </w:r>
      <w:r w:rsidRPr="00AA0C9E">
        <w:softHyphen/>
        <w:t>dom</w:t>
      </w:r>
      <w:r w:rsidRPr="00AA0C9E">
        <w:softHyphen/>
        <w:t>stolens rättegångsregler. Förslaget innebär dock en förenkling av hand</w:t>
      </w:r>
      <w:r w:rsidRPr="00AA0C9E">
        <w:softHyphen/>
        <w:t>lägg</w:t>
      </w:r>
      <w:r w:rsidRPr="00AA0C9E">
        <w:softHyphen/>
        <w:t>ningen vad gäller det skriftliga förfarandet. Idag ger parterna som huvud</w:t>
      </w:r>
      <w:r w:rsidRPr="00AA0C9E">
        <w:softHyphen/>
        <w:t>regel in två skrifter var. Enligt förslaget skall skriftväxlingen endast om</w:t>
      </w:r>
      <w:r w:rsidRPr="00AA0C9E">
        <w:softHyphen/>
        <w:t>fatta an</w:t>
      </w:r>
      <w:r w:rsidRPr="00AA0C9E">
        <w:softHyphen/>
        <w:t>sökan och svarsskrift om inte personaldomstolen beslutar att en andra skrift</w:t>
      </w:r>
      <w:r w:rsidRPr="00AA0C9E">
        <w:softHyphen/>
        <w:t>växling är nödvändig. Om en and</w:t>
      </w:r>
      <w:r w:rsidRPr="00AA0C9E">
        <w:t>ra skriftväxling har ägt rum kan per</w:t>
      </w:r>
      <w:r w:rsidRPr="00AA0C9E">
        <w:softHyphen/>
        <w:t>sonal</w:t>
      </w:r>
      <w:r w:rsidRPr="00AA0C9E">
        <w:softHyphen/>
      </w:r>
      <w:r w:rsidRPr="00AA0C9E">
        <w:softHyphen/>
      </w:r>
      <w:r w:rsidRPr="00AA0C9E">
        <w:softHyphen/>
        <w:t>domstolen också besluta att avgöra ärendet utan muntlig för</w:t>
      </w:r>
      <w:r w:rsidRPr="00AA0C9E">
        <w:softHyphen/>
      </w:r>
      <w:r w:rsidRPr="00AA0C9E">
        <w:softHyphen/>
        <w:t>hand</w:t>
      </w:r>
      <w:r w:rsidRPr="00AA0C9E">
        <w:softHyphen/>
        <w:t>ling. I för</w:t>
      </w:r>
      <w:r w:rsidRPr="00AA0C9E">
        <w:softHyphen/>
        <w:t>slaget anges uttryckligen att personaldomstolen skall verka för för</w:t>
      </w:r>
      <w:r w:rsidRPr="00AA0C9E">
        <w:softHyphen/>
        <w:t>lik</w:t>
      </w:r>
      <w:r w:rsidRPr="00AA0C9E">
        <w:softHyphen/>
      </w:r>
      <w:r w:rsidRPr="00AA0C9E">
        <w:softHyphen/>
        <w:t>ning i målet. Reglerna om rättegångskostnader överensstämmer med vad som gäller idag, dvs att den part som förlorar målet som huvudregel skall be</w:t>
      </w:r>
      <w:r w:rsidRPr="00AA0C9E">
        <w:softHyphen/>
        <w:t>tala mot</w:t>
      </w:r>
      <w:r w:rsidRPr="00AA0C9E">
        <w:softHyphen/>
        <w:t xml:space="preserve">partens kostnader om detta yrkas. </w:t>
      </w:r>
    </w:p>
    <w:p w:rsidR="000B3037" w:rsidRPr="00AA0C9E" w:rsidRDefault="000B3037">
      <w:r w:rsidRPr="00AA0C9E">
        <w:t>Enligt artikel 225a tredje stycket EG kan avgöranden av en särskild rätts</w:t>
      </w:r>
      <w:r w:rsidRPr="00AA0C9E">
        <w:softHyphen/>
        <w:t>in</w:t>
      </w:r>
      <w:r w:rsidRPr="00AA0C9E">
        <w:softHyphen/>
        <w:t>stans överklagas till förstainstansrätten endast i rättsfrågor, eller, om det i be</w:t>
      </w:r>
      <w:r w:rsidRPr="00AA0C9E">
        <w:softHyphen/>
        <w:t>slut</w:t>
      </w:r>
      <w:r w:rsidRPr="00AA0C9E">
        <w:softHyphen/>
      </w:r>
      <w:r w:rsidRPr="00AA0C9E">
        <w:softHyphen/>
        <w:t>et om upprättande av rättsinstansen så fastställs, även i sakfrågor. För</w:t>
      </w:r>
      <w:r w:rsidRPr="00AA0C9E">
        <w:softHyphen/>
        <w:t>slag</w:t>
      </w:r>
      <w:r w:rsidRPr="00AA0C9E">
        <w:softHyphen/>
      </w:r>
      <w:r w:rsidRPr="00AA0C9E">
        <w:softHyphen/>
      </w:r>
      <w:r w:rsidRPr="00AA0C9E">
        <w:softHyphen/>
        <w:t>et innehåller inte något stadgande om rätt att överklaga i sakfrågor. Förstainstansrättens avgörandena i dessa mål kan idag endast överklagas till EG-domstolen i rättsfrågor. Personalmålen skall alltså också i fram</w:t>
      </w:r>
      <w:r w:rsidRPr="00AA0C9E">
        <w:softHyphen/>
        <w:t>tiden end</w:t>
      </w:r>
      <w:r w:rsidRPr="00AA0C9E">
        <w:softHyphen/>
        <w:t>ast prövas i sak i en instans.</w:t>
      </w:r>
    </w:p>
    <w:p w:rsidR="000B3037" w:rsidRPr="00AA0C9E" w:rsidRDefault="000B3037">
      <w:r w:rsidRPr="00AA0C9E">
        <w:t>Personaldomstolens rättegångsregler fastställs av personaldomstolen i sam</w:t>
      </w:r>
      <w:r w:rsidRPr="00AA0C9E">
        <w:softHyphen/>
      </w:r>
      <w:r w:rsidRPr="00AA0C9E">
        <w:softHyphen/>
      </w:r>
      <w:r w:rsidRPr="00AA0C9E">
        <w:softHyphen/>
      </w:r>
      <w:r w:rsidRPr="00AA0C9E">
        <w:softHyphen/>
        <w:t>förstånd med domstolen och godkänns av rådet med kvalificerad major</w:t>
      </w:r>
      <w:r w:rsidRPr="00AA0C9E">
        <w:softHyphen/>
        <w:t>it</w:t>
      </w:r>
      <w:r w:rsidRPr="00AA0C9E">
        <w:softHyphen/>
        <w:t>et (artikel 225a sjätte stycket EG). Förslaget innehåller därför inte några rätte</w:t>
      </w:r>
      <w:r w:rsidRPr="00AA0C9E">
        <w:softHyphen/>
      </w:r>
      <w:r w:rsidRPr="00AA0C9E">
        <w:softHyphen/>
        <w:t>gångsregler. Genom en övergångsbestämmelse skall dock första</w:t>
      </w:r>
      <w:r w:rsidRPr="00AA0C9E">
        <w:softHyphen/>
        <w:t>instans</w:t>
      </w:r>
      <w:r w:rsidRPr="00AA0C9E">
        <w:softHyphen/>
        <w:t>rättens rättegångsregler gälla i tillämpliga delar till dess personal</w:t>
      </w:r>
      <w:r w:rsidRPr="00AA0C9E">
        <w:softHyphen/>
        <w:t>domstolens rättegångsregler träder i kraft.</w:t>
      </w:r>
    </w:p>
    <w:p w:rsidR="000B3037" w:rsidRPr="00AA0C9E" w:rsidRDefault="000B3037">
      <w:pPr>
        <w:pStyle w:val="Rubrik2"/>
      </w:pPr>
      <w:r w:rsidRPr="00AA0C9E">
        <w:t>Gällande svenska regler och förslagets effekt på dessa</w:t>
      </w:r>
    </w:p>
    <w:p w:rsidR="000B3037" w:rsidRPr="00AA0C9E" w:rsidRDefault="000B3037">
      <w:r w:rsidRPr="00AA0C9E">
        <w:t>---</w:t>
      </w:r>
    </w:p>
    <w:p w:rsidR="000B3037" w:rsidRPr="00AA0C9E" w:rsidRDefault="000B3037">
      <w:pPr>
        <w:pStyle w:val="Rubrik2"/>
      </w:pPr>
      <w:r w:rsidRPr="00AA0C9E">
        <w:t>Budgetära konsekvenser</w:t>
      </w:r>
    </w:p>
    <w:p w:rsidR="000B3037" w:rsidRPr="00AA0C9E" w:rsidRDefault="000B3037">
      <w:r w:rsidRPr="00AA0C9E">
        <w:t>Förslaget innehåller inte några bestämmelser om ersättning till de ytterligare sex domare som tillsätts när personaldomstolen upprättas. Beslut om löner, arvoden och pensioner för samtliga unionens domare fattas av rådet enligt artikel 210 EG och finansieras via gemenskapernas budget. Någ</w:t>
      </w:r>
      <w:r w:rsidRPr="00AA0C9E">
        <w:softHyphen/>
        <w:t>on omedel</w:t>
      </w:r>
      <w:r w:rsidRPr="00AA0C9E">
        <w:softHyphen/>
        <w:t xml:space="preserve">bar konsekvens för svensk del medför förslaget därför inte. </w:t>
      </w:r>
    </w:p>
    <w:p w:rsidR="000B3037" w:rsidRPr="00AA0C9E" w:rsidRDefault="000B3037">
      <w:pPr>
        <w:pStyle w:val="Rubrik1"/>
      </w:pPr>
      <w:r w:rsidRPr="00AA0C9E">
        <w:t>Ståndpunkter</w:t>
      </w:r>
    </w:p>
    <w:p w:rsidR="000B3037" w:rsidRPr="00AA0C9E" w:rsidRDefault="000B3037">
      <w:pPr>
        <w:pStyle w:val="Rubrik2"/>
      </w:pPr>
      <w:r w:rsidRPr="00AA0C9E">
        <w:t>Svensk ståndpunkt</w:t>
      </w:r>
    </w:p>
    <w:p w:rsidR="000B3037" w:rsidRPr="00AA0C9E" w:rsidRDefault="000B3037">
      <w:r w:rsidRPr="00AA0C9E">
        <w:t>Sverige ser det som angeläget att frågan om att frigöra resurser hos första</w:t>
      </w:r>
      <w:r w:rsidRPr="00AA0C9E">
        <w:softHyphen/>
        <w:t>instans</w:t>
      </w:r>
      <w:r w:rsidRPr="00AA0C9E">
        <w:softHyphen/>
        <w:t>rätten drivs framåt med kraft så att en avlastning av EG-domstolen kan komma till stånd i syfte att renodla EG-domstolens roll och på sikt korta handläggningstiderna i båda instanserna. Upprättandet av en per</w:t>
      </w:r>
      <w:r w:rsidRPr="00AA0C9E">
        <w:softHyphen/>
        <w:t>sonal</w:t>
      </w:r>
      <w:r w:rsidRPr="00AA0C9E">
        <w:softHyphen/>
        <w:t>dom</w:t>
      </w:r>
      <w:r w:rsidRPr="00AA0C9E">
        <w:softHyphen/>
        <w:t>stol</w:t>
      </w:r>
      <w:r w:rsidRPr="00AA0C9E">
        <w:softHyphen/>
        <w:t>en är en viktig del i denna strävan. Sverige är positivt till det huvud</w:t>
      </w:r>
      <w:r w:rsidRPr="00AA0C9E">
        <w:softHyphen/>
        <w:t>sak</w:t>
      </w:r>
      <w:r w:rsidRPr="00AA0C9E">
        <w:softHyphen/>
        <w:t>liga innehållet i kommissionens förslag. Den juridiskt/tekniska utformningen av förslaget vad gäller frågan om huruvida bestämmelser om samman</w:t>
      </w:r>
      <w:r w:rsidRPr="00AA0C9E">
        <w:softHyphen/>
        <w:t>sätt</w:t>
      </w:r>
      <w:r w:rsidRPr="00AA0C9E">
        <w:softHyphen/>
        <w:t>ning och behörighet skall återfinnas i beslutet om uppr</w:t>
      </w:r>
      <w:r w:rsidRPr="00AA0C9E">
        <w:t>ättande av rätts</w:t>
      </w:r>
      <w:r w:rsidRPr="00AA0C9E">
        <w:softHyphen/>
        <w:t>in</w:t>
      </w:r>
      <w:r w:rsidRPr="00AA0C9E">
        <w:softHyphen/>
        <w:t>stans</w:t>
      </w:r>
      <w:r w:rsidRPr="00AA0C9E">
        <w:softHyphen/>
      </w:r>
      <w:r w:rsidRPr="00AA0C9E">
        <w:softHyphen/>
        <w:t>en enligt artikel 225a EG (140b EA) eller genom ändring av/tillägg till proto</w:t>
      </w:r>
      <w:r w:rsidRPr="00AA0C9E">
        <w:softHyphen/>
        <w:t xml:space="preserve">kollet om domstolen stadga bör granskas ytterligare.     </w:t>
      </w:r>
    </w:p>
    <w:p w:rsidR="000B3037" w:rsidRPr="00AA0C9E" w:rsidRDefault="000B3037">
      <w:pPr>
        <w:pStyle w:val="Rubrik2"/>
      </w:pPr>
      <w:r w:rsidRPr="00AA0C9E">
        <w:t>Medlemsstaternas ståndpunkter</w:t>
      </w:r>
    </w:p>
    <w:p w:rsidR="000B3037" w:rsidRPr="00AA0C9E" w:rsidRDefault="000B3037">
      <w:r w:rsidRPr="00AA0C9E">
        <w:t>---</w:t>
      </w:r>
    </w:p>
    <w:p w:rsidR="000B3037" w:rsidRPr="00AA0C9E" w:rsidRDefault="000B3037">
      <w:pPr>
        <w:pStyle w:val="Rubrik2"/>
      </w:pPr>
      <w:r w:rsidRPr="00AA0C9E">
        <w:t>Institutionernas ståndpunkter</w:t>
      </w:r>
    </w:p>
    <w:p w:rsidR="000B3037" w:rsidRPr="00AA0C9E" w:rsidRDefault="000B3037">
      <w:r w:rsidRPr="00AA0C9E">
        <w:t>---</w:t>
      </w:r>
    </w:p>
    <w:p w:rsidR="000B3037" w:rsidRPr="00AA0C9E" w:rsidRDefault="000B3037">
      <w:pPr>
        <w:pStyle w:val="Rubrik2"/>
      </w:pPr>
      <w:r w:rsidRPr="00AA0C9E">
        <w:t>Remissinstansernas ståndpunkter</w:t>
      </w:r>
    </w:p>
    <w:p w:rsidR="000B3037" w:rsidRPr="00AA0C9E" w:rsidRDefault="000B3037">
      <w:r w:rsidRPr="00AA0C9E">
        <w:t>---</w:t>
      </w:r>
    </w:p>
    <w:p w:rsidR="000B3037" w:rsidRPr="00AA0C9E" w:rsidRDefault="000B3037">
      <w:pPr>
        <w:pStyle w:val="Rubrik1"/>
      </w:pPr>
      <w:r w:rsidRPr="00AA0C9E">
        <w:t>Övrigt</w:t>
      </w:r>
    </w:p>
    <w:p w:rsidR="000B3037" w:rsidRPr="00AA0C9E" w:rsidRDefault="000B3037">
      <w:pPr>
        <w:pStyle w:val="Rubrik2"/>
      </w:pPr>
      <w:r w:rsidRPr="00AA0C9E">
        <w:t>Fortsatt behandling av ärendet</w:t>
      </w:r>
    </w:p>
    <w:p w:rsidR="000B3037" w:rsidRPr="00AA0C9E" w:rsidRDefault="000B3037">
      <w:r w:rsidRPr="00AA0C9E">
        <w:t>Förslaget presenterades översiktligt av kommissionen vid möte i råds</w:t>
      </w:r>
      <w:r w:rsidRPr="00AA0C9E">
        <w:softHyphen/>
        <w:t>arbets</w:t>
      </w:r>
      <w:r w:rsidRPr="00AA0C9E">
        <w:softHyphen/>
        <w:t>grupp</w:t>
      </w:r>
      <w:r w:rsidRPr="00AA0C9E">
        <w:softHyphen/>
        <w:t>en för domstolen den 24 november 2003. Förslaget kommer att be</w:t>
      </w:r>
      <w:r w:rsidRPr="00AA0C9E">
        <w:softHyphen/>
        <w:t>hand</w:t>
      </w:r>
      <w:r w:rsidRPr="00AA0C9E">
        <w:softHyphen/>
      </w:r>
      <w:r w:rsidRPr="00AA0C9E">
        <w:softHyphen/>
        <w:t xml:space="preserve">las i sak för första gången vid arbetsgruppens möte den 15 december 2003. </w:t>
      </w:r>
    </w:p>
    <w:p w:rsidR="000B3037" w:rsidRPr="00AA0C9E" w:rsidRDefault="000B3037">
      <w:pPr>
        <w:pStyle w:val="Rubrik2"/>
      </w:pPr>
      <w:r w:rsidRPr="00AA0C9E">
        <w:t>Rättslig grund och beslutsförfarande</w:t>
      </w:r>
    </w:p>
    <w:p w:rsidR="000B3037" w:rsidRPr="00AA0C9E" w:rsidRDefault="000B3037">
      <w:r w:rsidRPr="00AA0C9E">
        <w:t>Beslut om upprättande av en särskild rättsinstans fattas enligt artikel 225a EG (respektive 140b EA) av rådet genom enhälligt beslut, på förslag av kom</w:t>
      </w:r>
      <w:r w:rsidRPr="00AA0C9E">
        <w:softHyphen/>
      </w:r>
      <w:r w:rsidRPr="00AA0C9E">
        <w:softHyphen/>
        <w:t>missionen och efter att ha hört Europaparlamentet och domstolen, eller på begäran av domstolen och efter att ha hört Europaparlamentet och kom</w:t>
      </w:r>
      <w:r w:rsidRPr="00AA0C9E">
        <w:softHyphen/>
        <w:t>mis</w:t>
      </w:r>
      <w:r w:rsidRPr="00AA0C9E">
        <w:softHyphen/>
        <w:t>sionen. Enligt samma artikel skall i beslutet om upprättande be</w:t>
      </w:r>
      <w:r w:rsidRPr="00AA0C9E">
        <w:softHyphen/>
        <w:t>stämm</w:t>
      </w:r>
      <w:r w:rsidRPr="00AA0C9E">
        <w:softHyphen/>
        <w:t>elser om rättinstansens sammansättning fastställas och omfattningen av dess be</w:t>
      </w:r>
      <w:r w:rsidRPr="00AA0C9E">
        <w:softHyphen/>
      </w:r>
      <w:r w:rsidRPr="00AA0C9E">
        <w:softHyphen/>
        <w:t>hörighet preciseras. Rättsinstansens ledamöter utses av rådet gen</w:t>
      </w:r>
      <w:r w:rsidRPr="00AA0C9E">
        <w:softHyphen/>
        <w:t>om en</w:t>
      </w:r>
      <w:r w:rsidRPr="00AA0C9E">
        <w:softHyphen/>
        <w:t>häll</w:t>
      </w:r>
      <w:r w:rsidRPr="00AA0C9E">
        <w:softHyphen/>
      </w:r>
      <w:r w:rsidRPr="00AA0C9E">
        <w:softHyphen/>
      </w:r>
      <w:r w:rsidRPr="00AA0C9E">
        <w:softHyphen/>
        <w:t>igt beslut. Vidare skall de särskilda rättsinstanserna fast</w:t>
      </w:r>
      <w:r w:rsidRPr="00AA0C9E">
        <w:softHyphen/>
        <w:t>ställa sina rätte</w:t>
      </w:r>
      <w:r w:rsidRPr="00AA0C9E">
        <w:softHyphen/>
        <w:t>gångs</w:t>
      </w:r>
      <w:r w:rsidRPr="00AA0C9E">
        <w:softHyphen/>
      </w:r>
      <w:r w:rsidRPr="00AA0C9E">
        <w:softHyphen/>
        <w:t xml:space="preserve">regler i samförstånd med domstolen. Dessa regler </w:t>
      </w:r>
      <w:r w:rsidRPr="00AA0C9E">
        <w:t>skall godkännas av råd</w:t>
      </w:r>
      <w:r w:rsidRPr="00AA0C9E">
        <w:softHyphen/>
        <w:t>et med kvalificerad majoritet. Om inget annat föreskrivs i beslutet om upp</w:t>
      </w:r>
      <w:r w:rsidRPr="00AA0C9E">
        <w:softHyphen/>
      </w:r>
      <w:r w:rsidRPr="00AA0C9E">
        <w:softHyphen/>
      </w:r>
      <w:r w:rsidRPr="00AA0C9E">
        <w:softHyphen/>
      </w:r>
      <w:r w:rsidRPr="00AA0C9E">
        <w:softHyphen/>
        <w:t>rättande skall bestämmelserna i fördraget som avser dom</w:t>
      </w:r>
      <w:r w:rsidRPr="00AA0C9E">
        <w:softHyphen/>
        <w:t>stolen och be</w:t>
      </w:r>
      <w:r w:rsidRPr="00AA0C9E">
        <w:softHyphen/>
        <w:t>stämm</w:t>
      </w:r>
      <w:r w:rsidRPr="00AA0C9E">
        <w:softHyphen/>
        <w:t>elserna i domstolens stadga tillämpas. Enligt artikel 245 EG fast</w:t>
      </w:r>
      <w:r w:rsidRPr="00AA0C9E">
        <w:softHyphen/>
        <w:t>ställs dom</w:t>
      </w:r>
      <w:r w:rsidRPr="00AA0C9E">
        <w:softHyphen/>
        <w:t>stolens stadga i ett särskilt protokoll. Enligt samma artikel ändras be</w:t>
      </w:r>
      <w:r w:rsidRPr="00AA0C9E">
        <w:softHyphen/>
        <w:t>stämmelserna i stadgan – med undantag för avdelning I – gen</w:t>
      </w:r>
      <w:r w:rsidRPr="00AA0C9E">
        <w:softHyphen/>
        <w:t>om enhälligt be</w:t>
      </w:r>
      <w:r w:rsidRPr="00AA0C9E">
        <w:softHyphen/>
      </w:r>
      <w:r w:rsidRPr="00AA0C9E">
        <w:softHyphen/>
        <w:t>slut i rådet, på begäran av domstolen och efter att ha hört Europa</w:t>
      </w:r>
      <w:r w:rsidRPr="00AA0C9E">
        <w:softHyphen/>
        <w:t>parla</w:t>
      </w:r>
      <w:r w:rsidRPr="00AA0C9E">
        <w:softHyphen/>
        <w:t>ment</w:t>
      </w:r>
      <w:r w:rsidRPr="00AA0C9E">
        <w:softHyphen/>
        <w:t>et och kommissionen, eller på b</w:t>
      </w:r>
      <w:r w:rsidRPr="00AA0C9E">
        <w:t xml:space="preserve">egäran av kommissionen och efter att ha hört Europaparlamentet och domstolen. </w:t>
      </w:r>
    </w:p>
    <w:p w:rsidR="000B3037" w:rsidRPr="00AA0C9E" w:rsidRDefault="000B3037">
      <w:pPr>
        <w:pStyle w:val="Rubrik2"/>
      </w:pPr>
      <w:r w:rsidRPr="00AA0C9E">
        <w:t>Fackuttryck/termer</w:t>
      </w:r>
    </w:p>
    <w:p w:rsidR="000B3037" w:rsidRPr="00AA0C9E" w:rsidRDefault="000B3037">
      <w:r w:rsidRPr="00AA0C9E">
        <w:t>---</w:t>
      </w:r>
    </w:p>
    <w:sectPr w:rsidR="000B3037" w:rsidRPr="00AA0C9E">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3037" w:rsidRPr="00AA0C9E" w:rsidRDefault="000B3037">
      <w:pPr>
        <w:spacing w:before="0" w:line="240" w:lineRule="auto"/>
      </w:pPr>
      <w:r w:rsidRPr="00AA0C9E">
        <w:separator/>
      </w:r>
    </w:p>
  </w:endnote>
  <w:endnote w:type="continuationSeparator" w:id="0">
    <w:p w:rsidR="000B3037" w:rsidRPr="00AA0C9E" w:rsidRDefault="000B3037">
      <w:pPr>
        <w:spacing w:before="0" w:line="240" w:lineRule="auto"/>
      </w:pPr>
      <w:r w:rsidRPr="00AA0C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037" w:rsidRPr="00AA0C9E" w:rsidRDefault="000B3037">
    <w:pPr>
      <w:pStyle w:val="SidfotH"/>
      <w:framePr w:wrap="around"/>
    </w:pPr>
    <w:r w:rsidRPr="00AA0C9E">
      <w:t>2</w:t>
    </w:r>
  </w:p>
  <w:p w:rsidR="000B3037" w:rsidRPr="00AA0C9E" w:rsidRDefault="000B303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037" w:rsidRPr="00AA0C9E" w:rsidRDefault="000B3037">
    <w:pPr>
      <w:pStyle w:val="SidfotH"/>
      <w:framePr w:wrap="around"/>
    </w:pPr>
    <w:r w:rsidRPr="00AA0C9E">
      <w:t>1</w:t>
    </w:r>
  </w:p>
  <w:p w:rsidR="000B3037" w:rsidRPr="00AA0C9E" w:rsidRDefault="000B30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3037" w:rsidRPr="00AA0C9E" w:rsidRDefault="000B3037">
      <w:pPr>
        <w:spacing w:before="0" w:line="240" w:lineRule="auto"/>
      </w:pPr>
      <w:r w:rsidRPr="00AA0C9E">
        <w:separator/>
      </w:r>
    </w:p>
  </w:footnote>
  <w:footnote w:type="continuationSeparator" w:id="0">
    <w:p w:rsidR="000B3037" w:rsidRPr="00AA0C9E" w:rsidRDefault="000B3037">
      <w:pPr>
        <w:spacing w:before="0" w:line="240" w:lineRule="auto"/>
      </w:pPr>
      <w:r w:rsidRPr="00AA0C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037" w:rsidRPr="00AA0C9E" w:rsidRDefault="000B3037">
    <w:pPr>
      <w:pStyle w:val="Kantrubrik"/>
      <w:framePr w:h="1157" w:hRule="exact" w:wrap="around" w:y="738"/>
    </w:pPr>
    <w:r w:rsidRPr="00AA0C9E">
      <w:t>2003/04:FPM37</w:t>
    </w:r>
  </w:p>
  <w:p w:rsidR="000B3037" w:rsidRPr="00AA0C9E" w:rsidRDefault="000B303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037" w:rsidRPr="00AA0C9E" w:rsidRDefault="00AA0C9E">
    <w:pPr>
      <w:pStyle w:val="Sidhuvud"/>
    </w:pPr>
    <w:r w:rsidRPr="00AA0C9E">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2162177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0B3037" w:rsidRDefault="000B303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13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0B3037" w:rsidRDefault="000B3037">
                    <w:pPr>
                      <w:pStyle w:val="Logo"/>
                    </w:pPr>
                    <w:r>
                      <w:object w:dxaOrig="840" w:dyaOrig="1545">
                        <v:shape id="_x0000_i1025" type="#_x0000_t75" style="width:42pt;height:77.15pt" fillcolor="window">
                          <v:imagedata r:id="rId1" o:title=""/>
                        </v:shape>
                        <o:OLEObject Type="Embed" ProgID="Word.Picture.8" ShapeID="_x0000_i1025" DrawAspect="Content" ObjectID="_182741813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55279146">
    <w:abstractNumId w:val="4"/>
  </w:num>
  <w:num w:numId="2" w16cid:durableId="923534692">
    <w:abstractNumId w:val="1"/>
  </w:num>
  <w:num w:numId="3" w16cid:durableId="172499220">
    <w:abstractNumId w:val="2"/>
  </w:num>
  <w:num w:numId="4" w16cid:durableId="735785922">
    <w:abstractNumId w:val="3"/>
  </w:num>
  <w:num w:numId="5" w16cid:durableId="1700543552">
    <w:abstractNumId w:val="5"/>
  </w:num>
  <w:num w:numId="6" w16cid:durableId="42245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2-11"/>
    <w:docVar w:name="Ar" w:val="2003/04"/>
    <w:docVar w:name="Dep" w:val="Utrikesdepartementet"/>
    <w:docVar w:name="DepWeb" w:val="Utrikesdepartementet"/>
    <w:docVar w:name="GDB1" w:val="15105/03 JUR 448 COUR 2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beslut om upprättande av Europeiska gemenskapernas personaldomsto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15105/03 JUR 448 COUR 29"/>
    <w:docVar w:name="Nr" w:val="37"/>
    <w:docVar w:name="Rub" w:val="Upprättande av Europeiska gemenskapernas personaldomstol"/>
    <w:docVar w:name="UppDat" w:val="2003-12-11"/>
    <w:docVar w:name="Utsk" w:val="Konstitutionsutskottet"/>
  </w:docVars>
  <w:rsids>
    <w:rsidRoot w:val="00967101"/>
    <w:rsid w:val="000B3037"/>
    <w:rsid w:val="00967101"/>
    <w:rsid w:val="00AA0C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6A2F81-14BA-4525-BF40-056169D6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1441</Words>
  <Characters>9470</Characters>
  <Application>Microsoft Office Word</Application>
  <DocSecurity>4</DocSecurity>
  <Lines>189</Lines>
  <Paragraphs>54</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2003-12-11T10:29:00Z</cp:lastPrinted>
  <dcterms:created xsi:type="dcterms:W3CDTF">2025-12-16T18:15:00Z</dcterms:created>
  <dcterms:modified xsi:type="dcterms:W3CDTF">2025-12-16T18:15:00Z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37</vt:lpwstr>
  </property>
  <property fmtid="{D5CDD505-2E9C-101B-9397-08002B2CF9AE}" pid="4" name="GDB1">
    <vt:lpwstr>15105/03 JUR 448 COUR 29</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Upprättande av Europeiska gemenskapernas personaldomstol</vt:lpwstr>
  </property>
  <property fmtid="{D5CDD505-2E9C-101B-9397-08002B2CF9AE}" pid="8" name="UppDat">
    <vt:lpwstr>2003-12-11</vt:lpwstr>
  </property>
  <property fmtid="{D5CDD505-2E9C-101B-9397-08002B2CF9AE}" pid="9" name="AnkDat">
    <vt:lpwstr>2003-12-11</vt:lpwstr>
  </property>
  <property fmtid="{D5CDD505-2E9C-101B-9397-08002B2CF9AE}" pid="10" name="Utsk">
    <vt:lpwstr>Konstitutionsutskottet</vt:lpwstr>
  </property>
  <property fmtid="{D5CDD505-2E9C-101B-9397-08002B2CF9AE}" pid="11" name="Ar">
    <vt:lpwstr>2003/04</vt:lpwstr>
  </property>
  <property fmtid="{D5CDD505-2E9C-101B-9397-08002B2CF9AE}" pid="12" name="DepID">
    <vt:lpwstr>3;0;0;234</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