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5D75E91B" w:rsidR="0096348C" w:rsidRPr="00BA38FB" w:rsidRDefault="00FE0D25" w:rsidP="0096348C">
            <w:pPr>
              <w:rPr>
                <w:b/>
                <w:szCs w:val="24"/>
              </w:rPr>
            </w:pPr>
            <w:r>
              <w:rPr>
                <w:b/>
                <w:szCs w:val="24"/>
              </w:rPr>
              <w:t>UTSKOTTSSAMMANTRÄDE 20</w:t>
            </w:r>
            <w:r w:rsidR="00BB1303">
              <w:rPr>
                <w:b/>
                <w:szCs w:val="24"/>
              </w:rPr>
              <w:t>2</w:t>
            </w:r>
            <w:r w:rsidR="004E4321">
              <w:rPr>
                <w:b/>
                <w:szCs w:val="24"/>
              </w:rPr>
              <w:t>3</w:t>
            </w:r>
            <w:r w:rsidR="00723D66" w:rsidRPr="00BA38FB">
              <w:rPr>
                <w:b/>
                <w:szCs w:val="24"/>
              </w:rPr>
              <w:t>/</w:t>
            </w:r>
            <w:r w:rsidR="009D3BD1">
              <w:rPr>
                <w:b/>
                <w:szCs w:val="24"/>
              </w:rPr>
              <w:t>2</w:t>
            </w:r>
            <w:r w:rsidR="004E4321">
              <w:rPr>
                <w:b/>
                <w:szCs w:val="24"/>
              </w:rPr>
              <w:t>4</w:t>
            </w:r>
            <w:r w:rsidR="0096348C" w:rsidRPr="00BA38FB">
              <w:rPr>
                <w:b/>
                <w:szCs w:val="24"/>
              </w:rPr>
              <w:t>:</w:t>
            </w:r>
            <w:r w:rsidR="008878B5">
              <w:rPr>
                <w:b/>
                <w:szCs w:val="24"/>
              </w:rPr>
              <w:t>1</w:t>
            </w:r>
            <w:r w:rsidR="00160D6A">
              <w:rPr>
                <w:b/>
                <w:szCs w:val="24"/>
              </w:rPr>
              <w:t>1</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5139D310"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567DC">
              <w:rPr>
                <w:szCs w:val="24"/>
              </w:rPr>
              <w:t>1</w:t>
            </w:r>
            <w:r w:rsidR="007838DC">
              <w:rPr>
                <w:szCs w:val="24"/>
              </w:rPr>
              <w:t>1</w:t>
            </w:r>
            <w:r w:rsidR="00B27A57">
              <w:rPr>
                <w:szCs w:val="24"/>
              </w:rPr>
              <w:t>-</w:t>
            </w:r>
            <w:r w:rsidR="000872EA">
              <w:rPr>
                <w:szCs w:val="24"/>
              </w:rPr>
              <w:t>30</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2D6B8806" w:rsidR="0096348C" w:rsidRPr="00BA38FB" w:rsidRDefault="00811214" w:rsidP="0096348C">
            <w:pPr>
              <w:rPr>
                <w:szCs w:val="24"/>
              </w:rPr>
            </w:pPr>
            <w:r>
              <w:rPr>
                <w:szCs w:val="24"/>
              </w:rPr>
              <w:t>9</w:t>
            </w:r>
            <w:r w:rsidR="00B22051" w:rsidRPr="005874BB">
              <w:rPr>
                <w:szCs w:val="24"/>
              </w:rPr>
              <w:t>.</w:t>
            </w:r>
            <w:r>
              <w:rPr>
                <w:szCs w:val="24"/>
              </w:rPr>
              <w:t>3</w:t>
            </w:r>
            <w:r w:rsidR="00C72D4B">
              <w:rPr>
                <w:szCs w:val="24"/>
              </w:rPr>
              <w:t>0</w:t>
            </w:r>
            <w:r w:rsidR="00615E83" w:rsidRPr="005874BB">
              <w:rPr>
                <w:szCs w:val="24"/>
              </w:rPr>
              <w:t>–</w:t>
            </w:r>
            <w:r w:rsidR="00FA62F2">
              <w:rPr>
                <w:szCs w:val="24"/>
              </w:rPr>
              <w:t>10.30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434DF1CC" w:rsidR="0096348C" w:rsidRPr="00BA38FB" w:rsidRDefault="0096348C" w:rsidP="0096348C">
            <w:pPr>
              <w:rPr>
                <w:szCs w:val="24"/>
              </w:rPr>
            </w:pPr>
            <w:r w:rsidRPr="00BA38FB">
              <w:rPr>
                <w:szCs w:val="24"/>
              </w:rPr>
              <w:t>Se bilaga</w:t>
            </w:r>
            <w:r w:rsidR="00047866">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4B772B" w:rsidRPr="00BA38FB" w14:paraId="3D80EEB2" w14:textId="77777777" w:rsidTr="007533FA">
        <w:trPr>
          <w:gridBefore w:val="1"/>
          <w:wBefore w:w="1206" w:type="dxa"/>
        </w:trPr>
        <w:tc>
          <w:tcPr>
            <w:tcW w:w="636" w:type="dxa"/>
          </w:tcPr>
          <w:p w14:paraId="30B4971E" w14:textId="0E0FB768" w:rsidR="004B772B" w:rsidRDefault="004B772B" w:rsidP="003B35EB">
            <w:pPr>
              <w:tabs>
                <w:tab w:val="left" w:pos="1701"/>
              </w:tabs>
              <w:rPr>
                <w:b/>
                <w:snapToGrid w:val="0"/>
                <w:szCs w:val="24"/>
              </w:rPr>
            </w:pPr>
            <w:r>
              <w:rPr>
                <w:b/>
                <w:snapToGrid w:val="0"/>
                <w:szCs w:val="24"/>
              </w:rPr>
              <w:t>§ 1</w:t>
            </w:r>
          </w:p>
        </w:tc>
        <w:tc>
          <w:tcPr>
            <w:tcW w:w="6947" w:type="dxa"/>
          </w:tcPr>
          <w:p w14:paraId="575FAE43" w14:textId="3E0BA073" w:rsidR="004B772B" w:rsidRDefault="004B772B" w:rsidP="00AC0BDB">
            <w:pPr>
              <w:tabs>
                <w:tab w:val="left" w:pos="1701"/>
              </w:tabs>
              <w:rPr>
                <w:b/>
              </w:rPr>
            </w:pPr>
            <w:r>
              <w:rPr>
                <w:b/>
              </w:rPr>
              <w:t xml:space="preserve">Förslag till ändring av direktiv om alternativ tvistlösning vid konsumenttvister </w:t>
            </w:r>
            <w:r w:rsidR="002551C1">
              <w:rPr>
                <w:b/>
              </w:rPr>
              <w:t>samt direktiven (EU) 2015/2302, (EU) 2019/2161 och (EU) 2020/1828 m.m.</w:t>
            </w:r>
          </w:p>
          <w:p w14:paraId="67A42A73" w14:textId="77777777" w:rsidR="004B772B" w:rsidRDefault="004B772B" w:rsidP="00AC0BDB">
            <w:pPr>
              <w:tabs>
                <w:tab w:val="left" w:pos="1701"/>
              </w:tabs>
              <w:rPr>
                <w:b/>
              </w:rPr>
            </w:pPr>
          </w:p>
          <w:p w14:paraId="2ECE4098" w14:textId="77777777" w:rsidR="004B772B" w:rsidRDefault="004B772B" w:rsidP="00AC0BDB">
            <w:pPr>
              <w:tabs>
                <w:tab w:val="left" w:pos="1701"/>
              </w:tabs>
              <w:rPr>
                <w:bCs/>
              </w:rPr>
            </w:pPr>
            <w:r>
              <w:rPr>
                <w:bCs/>
              </w:rPr>
              <w:t>Utskottet fortsatte subsidiaritetsprövningen av COM(2023) 649 och COM(2023) 647.</w:t>
            </w:r>
          </w:p>
          <w:p w14:paraId="0616CE20" w14:textId="77777777" w:rsidR="004B772B" w:rsidRDefault="004B772B" w:rsidP="00AC0BDB">
            <w:pPr>
              <w:tabs>
                <w:tab w:val="left" w:pos="1701"/>
              </w:tabs>
              <w:rPr>
                <w:bCs/>
              </w:rPr>
            </w:pPr>
          </w:p>
          <w:p w14:paraId="0CC59284" w14:textId="77777777" w:rsidR="004B772B" w:rsidRPr="003153D0" w:rsidRDefault="004B772B" w:rsidP="00AC0BDB">
            <w:pPr>
              <w:tabs>
                <w:tab w:val="left" w:pos="1701"/>
              </w:tabs>
              <w:rPr>
                <w:bCs/>
              </w:rPr>
            </w:pPr>
            <w:r w:rsidRPr="003153D0">
              <w:rPr>
                <w:bCs/>
              </w:rPr>
              <w:t xml:space="preserve">Statssekreterare </w:t>
            </w:r>
            <w:proofErr w:type="spellStart"/>
            <w:r w:rsidRPr="003153D0">
              <w:rPr>
                <w:bCs/>
              </w:rPr>
              <w:t>Natasa</w:t>
            </w:r>
            <w:proofErr w:type="spellEnd"/>
            <w:r w:rsidRPr="003153D0">
              <w:rPr>
                <w:bCs/>
              </w:rPr>
              <w:t xml:space="preserve"> </w:t>
            </w:r>
            <w:proofErr w:type="spellStart"/>
            <w:r w:rsidRPr="003153D0">
              <w:rPr>
                <w:bCs/>
              </w:rPr>
              <w:t>Ristic</w:t>
            </w:r>
            <w:proofErr w:type="spellEnd"/>
            <w:r w:rsidRPr="003153D0">
              <w:rPr>
                <w:bCs/>
              </w:rPr>
              <w:t xml:space="preserve"> Davidson, biträdd av medarbetare från Finansdepartementet, lämnade information om regeringens bedömning av tillämpningen av subsidiaritetsprincipen i förslaget.</w:t>
            </w:r>
          </w:p>
          <w:p w14:paraId="1D3A7A6D" w14:textId="77777777" w:rsidR="004B772B" w:rsidRPr="003153D0" w:rsidRDefault="004B772B" w:rsidP="00AC0BDB">
            <w:pPr>
              <w:tabs>
                <w:tab w:val="left" w:pos="1701"/>
              </w:tabs>
              <w:rPr>
                <w:bCs/>
              </w:rPr>
            </w:pPr>
          </w:p>
          <w:p w14:paraId="4678D3A0" w14:textId="77777777" w:rsidR="004B772B" w:rsidRPr="003153D0" w:rsidRDefault="004B772B" w:rsidP="00AC0BDB">
            <w:pPr>
              <w:tabs>
                <w:tab w:val="left" w:pos="1701"/>
              </w:tabs>
              <w:rPr>
                <w:bCs/>
              </w:rPr>
            </w:pPr>
            <w:r w:rsidRPr="003153D0">
              <w:rPr>
                <w:bCs/>
              </w:rPr>
              <w:t>Ärendet bordlades.</w:t>
            </w:r>
          </w:p>
          <w:p w14:paraId="65919B81" w14:textId="77777777" w:rsidR="004B772B" w:rsidRPr="003153D0" w:rsidRDefault="004B772B" w:rsidP="00AC0BDB">
            <w:pPr>
              <w:tabs>
                <w:tab w:val="left" w:pos="1701"/>
              </w:tabs>
              <w:rPr>
                <w:bCs/>
              </w:rPr>
            </w:pPr>
          </w:p>
          <w:p w14:paraId="2F1AAF6F" w14:textId="5B0D25DB" w:rsidR="004B772B" w:rsidRDefault="004B772B" w:rsidP="00AC0BDB">
            <w:pPr>
              <w:tabs>
                <w:tab w:val="left" w:pos="1701"/>
              </w:tabs>
              <w:rPr>
                <w:bCs/>
              </w:rPr>
            </w:pPr>
            <w:r w:rsidRPr="003153D0">
              <w:rPr>
                <w:bCs/>
              </w:rPr>
              <w:t xml:space="preserve">Under informationen närvarade en tjänsteman från </w:t>
            </w:r>
            <w:r w:rsidR="00FA62F2" w:rsidRPr="003153D0">
              <w:rPr>
                <w:bCs/>
              </w:rPr>
              <w:t xml:space="preserve">sekretariatet för </w:t>
            </w:r>
            <w:r w:rsidRPr="003153D0">
              <w:rPr>
                <w:bCs/>
              </w:rPr>
              <w:t>EU-</w:t>
            </w:r>
            <w:r w:rsidR="00FA62F2" w:rsidRPr="003153D0">
              <w:rPr>
                <w:bCs/>
              </w:rPr>
              <w:t>samordning</w:t>
            </w:r>
            <w:r w:rsidRPr="003153D0">
              <w:rPr>
                <w:bCs/>
              </w:rPr>
              <w:t>.</w:t>
            </w:r>
          </w:p>
          <w:p w14:paraId="1B1631CB" w14:textId="0E88BF2C" w:rsidR="004B772B" w:rsidRPr="004B772B" w:rsidRDefault="004B772B" w:rsidP="00AC0BDB">
            <w:pPr>
              <w:tabs>
                <w:tab w:val="left" w:pos="1701"/>
              </w:tabs>
              <w:rPr>
                <w:bCs/>
                <w:snapToGrid w:val="0"/>
                <w:szCs w:val="24"/>
              </w:rPr>
            </w:pPr>
          </w:p>
        </w:tc>
      </w:tr>
      <w:tr w:rsidR="002057F3" w:rsidRPr="00BA38FB" w14:paraId="30AE96A2" w14:textId="77777777" w:rsidTr="007533FA">
        <w:trPr>
          <w:gridBefore w:val="1"/>
          <w:wBefore w:w="1206" w:type="dxa"/>
        </w:trPr>
        <w:tc>
          <w:tcPr>
            <w:tcW w:w="636" w:type="dxa"/>
          </w:tcPr>
          <w:p w14:paraId="4EC1EFDF" w14:textId="1632061B" w:rsidR="002057F3" w:rsidRDefault="002057F3" w:rsidP="003B35EB">
            <w:pPr>
              <w:tabs>
                <w:tab w:val="left" w:pos="1701"/>
              </w:tabs>
              <w:rPr>
                <w:b/>
                <w:snapToGrid w:val="0"/>
                <w:szCs w:val="24"/>
              </w:rPr>
            </w:pPr>
            <w:r>
              <w:rPr>
                <w:b/>
                <w:snapToGrid w:val="0"/>
                <w:szCs w:val="24"/>
              </w:rPr>
              <w:t xml:space="preserve">§ </w:t>
            </w:r>
            <w:r w:rsidR="004B772B">
              <w:rPr>
                <w:b/>
                <w:snapToGrid w:val="0"/>
                <w:szCs w:val="24"/>
              </w:rPr>
              <w:t>2</w:t>
            </w:r>
          </w:p>
        </w:tc>
        <w:tc>
          <w:tcPr>
            <w:tcW w:w="6947" w:type="dxa"/>
          </w:tcPr>
          <w:p w14:paraId="0E9A6C92" w14:textId="77777777" w:rsidR="00AC0BDB" w:rsidRDefault="00AC0BDB" w:rsidP="00AC0BDB">
            <w:pPr>
              <w:tabs>
                <w:tab w:val="left" w:pos="1701"/>
              </w:tabs>
              <w:rPr>
                <w:b/>
                <w:snapToGrid w:val="0"/>
                <w:szCs w:val="24"/>
              </w:rPr>
            </w:pPr>
            <w:r>
              <w:rPr>
                <w:b/>
                <w:snapToGrid w:val="0"/>
                <w:szCs w:val="24"/>
              </w:rPr>
              <w:t>Justering av protokoll</w:t>
            </w:r>
          </w:p>
          <w:p w14:paraId="5543C80C" w14:textId="77777777" w:rsidR="00AC0BDB" w:rsidRDefault="00AC0BDB" w:rsidP="00AC0BDB">
            <w:pPr>
              <w:tabs>
                <w:tab w:val="left" w:pos="1701"/>
              </w:tabs>
              <w:rPr>
                <w:b/>
                <w:snapToGrid w:val="0"/>
                <w:szCs w:val="24"/>
              </w:rPr>
            </w:pPr>
          </w:p>
          <w:p w14:paraId="0980A9A3" w14:textId="5DEE068A" w:rsidR="00854DE1" w:rsidRPr="00AC0BDB" w:rsidRDefault="00AC0BDB" w:rsidP="00E515DF">
            <w:pPr>
              <w:tabs>
                <w:tab w:val="left" w:pos="1701"/>
              </w:tabs>
              <w:rPr>
                <w:bCs/>
                <w:snapToGrid w:val="0"/>
                <w:szCs w:val="24"/>
              </w:rPr>
            </w:pPr>
            <w:r>
              <w:rPr>
                <w:bCs/>
                <w:snapToGrid w:val="0"/>
                <w:szCs w:val="24"/>
              </w:rPr>
              <w:t>Utskottet justerade protokoll 2023/24:</w:t>
            </w:r>
            <w:r w:rsidR="008878B5">
              <w:rPr>
                <w:bCs/>
                <w:snapToGrid w:val="0"/>
                <w:szCs w:val="24"/>
              </w:rPr>
              <w:t>1</w:t>
            </w:r>
            <w:r w:rsidR="00C74B6D">
              <w:rPr>
                <w:bCs/>
                <w:snapToGrid w:val="0"/>
                <w:szCs w:val="24"/>
              </w:rPr>
              <w:t>0</w:t>
            </w:r>
            <w:r>
              <w:rPr>
                <w:bCs/>
                <w:snapToGrid w:val="0"/>
                <w:szCs w:val="24"/>
              </w:rPr>
              <w:t>.</w:t>
            </w:r>
          </w:p>
          <w:p w14:paraId="011C2B1D" w14:textId="690BEC99" w:rsidR="00AC0BDB" w:rsidRPr="002057F3" w:rsidRDefault="00AC0BDB" w:rsidP="00E515DF">
            <w:pPr>
              <w:tabs>
                <w:tab w:val="left" w:pos="1701"/>
              </w:tabs>
              <w:rPr>
                <w:bCs/>
              </w:rPr>
            </w:pPr>
          </w:p>
        </w:tc>
      </w:tr>
      <w:tr w:rsidR="00B110EB" w:rsidRPr="00BA38FB" w14:paraId="42CD8657" w14:textId="77777777" w:rsidTr="007533FA">
        <w:trPr>
          <w:gridBefore w:val="1"/>
          <w:wBefore w:w="1206" w:type="dxa"/>
        </w:trPr>
        <w:tc>
          <w:tcPr>
            <w:tcW w:w="636" w:type="dxa"/>
          </w:tcPr>
          <w:p w14:paraId="043D4449" w14:textId="1861318A" w:rsidR="00B110EB" w:rsidRDefault="00B110EB" w:rsidP="003B35EB">
            <w:pPr>
              <w:tabs>
                <w:tab w:val="left" w:pos="1701"/>
              </w:tabs>
              <w:rPr>
                <w:b/>
                <w:snapToGrid w:val="0"/>
                <w:szCs w:val="24"/>
              </w:rPr>
            </w:pPr>
            <w:r>
              <w:rPr>
                <w:b/>
                <w:snapToGrid w:val="0"/>
                <w:szCs w:val="24"/>
              </w:rPr>
              <w:t>§ 3</w:t>
            </w:r>
          </w:p>
        </w:tc>
        <w:tc>
          <w:tcPr>
            <w:tcW w:w="6947" w:type="dxa"/>
          </w:tcPr>
          <w:p w14:paraId="2A2FE774" w14:textId="4A66B7D8" w:rsidR="00B110EB" w:rsidRDefault="00B110EB" w:rsidP="008878B5">
            <w:pPr>
              <w:tabs>
                <w:tab w:val="left" w:pos="1701"/>
              </w:tabs>
              <w:rPr>
                <w:b/>
              </w:rPr>
            </w:pPr>
            <w:r>
              <w:rPr>
                <w:b/>
              </w:rPr>
              <w:t xml:space="preserve">Förslag </w:t>
            </w:r>
            <w:r w:rsidR="002551C1">
              <w:rPr>
                <w:b/>
              </w:rPr>
              <w:t>till ändring av direktiv</w:t>
            </w:r>
            <w:r w:rsidR="0034685D">
              <w:rPr>
                <w:b/>
              </w:rPr>
              <w:t xml:space="preserve"> 2013/11/EU om alternativ tvistlösning vid konsumenttvister samt direktiven (EU) 2015/2302, (EU) 2019/2161 och (EU) 2020/1828</w:t>
            </w:r>
          </w:p>
          <w:p w14:paraId="61A7B1BC" w14:textId="795A5215" w:rsidR="0034685D" w:rsidRDefault="0034685D" w:rsidP="008878B5">
            <w:pPr>
              <w:tabs>
                <w:tab w:val="left" w:pos="1701"/>
              </w:tabs>
              <w:rPr>
                <w:b/>
              </w:rPr>
            </w:pPr>
          </w:p>
          <w:p w14:paraId="190BF933" w14:textId="6F55AF33" w:rsidR="0034685D" w:rsidRDefault="00AC2F53" w:rsidP="008878B5">
            <w:pPr>
              <w:tabs>
                <w:tab w:val="left" w:pos="1701"/>
              </w:tabs>
              <w:rPr>
                <w:bCs/>
              </w:rPr>
            </w:pPr>
            <w:r>
              <w:rPr>
                <w:bCs/>
              </w:rPr>
              <w:t>Utskottet fortsatte subsidiaritetsprövningen av COM(2023) 649.</w:t>
            </w:r>
          </w:p>
          <w:p w14:paraId="452F1916" w14:textId="3AE23E94" w:rsidR="00AC2F53" w:rsidRDefault="00AC2F53" w:rsidP="008878B5">
            <w:pPr>
              <w:tabs>
                <w:tab w:val="left" w:pos="1701"/>
              </w:tabs>
              <w:rPr>
                <w:bCs/>
              </w:rPr>
            </w:pPr>
          </w:p>
          <w:p w14:paraId="14878896" w14:textId="0A8E8795" w:rsidR="00AC2F53" w:rsidRPr="00AC2F53" w:rsidRDefault="00AC2F53" w:rsidP="008878B5">
            <w:pPr>
              <w:tabs>
                <w:tab w:val="left" w:pos="1701"/>
              </w:tabs>
              <w:rPr>
                <w:bCs/>
              </w:rPr>
            </w:pPr>
            <w:r>
              <w:rPr>
                <w:bCs/>
              </w:rPr>
              <w:t>Ärendet bordlades.</w:t>
            </w:r>
          </w:p>
          <w:p w14:paraId="3D7168C8" w14:textId="2723F9B9" w:rsidR="00B110EB" w:rsidRDefault="00B110EB" w:rsidP="008878B5">
            <w:pPr>
              <w:tabs>
                <w:tab w:val="left" w:pos="1701"/>
              </w:tabs>
              <w:rPr>
                <w:b/>
              </w:rPr>
            </w:pPr>
          </w:p>
        </w:tc>
      </w:tr>
      <w:tr w:rsidR="00B110EB" w:rsidRPr="00BA38FB" w14:paraId="302087D0" w14:textId="77777777" w:rsidTr="007533FA">
        <w:trPr>
          <w:gridBefore w:val="1"/>
          <w:wBefore w:w="1206" w:type="dxa"/>
        </w:trPr>
        <w:tc>
          <w:tcPr>
            <w:tcW w:w="636" w:type="dxa"/>
          </w:tcPr>
          <w:p w14:paraId="469E7BA2" w14:textId="575B79FD" w:rsidR="00B110EB" w:rsidRDefault="00B110EB" w:rsidP="003B35EB">
            <w:pPr>
              <w:tabs>
                <w:tab w:val="left" w:pos="1701"/>
              </w:tabs>
              <w:rPr>
                <w:b/>
                <w:snapToGrid w:val="0"/>
                <w:szCs w:val="24"/>
              </w:rPr>
            </w:pPr>
            <w:r>
              <w:rPr>
                <w:b/>
                <w:snapToGrid w:val="0"/>
                <w:szCs w:val="24"/>
              </w:rPr>
              <w:t>§ 4</w:t>
            </w:r>
          </w:p>
        </w:tc>
        <w:tc>
          <w:tcPr>
            <w:tcW w:w="6947" w:type="dxa"/>
          </w:tcPr>
          <w:p w14:paraId="2F11F354" w14:textId="77777777" w:rsidR="00B110EB" w:rsidRDefault="0034685D" w:rsidP="008878B5">
            <w:pPr>
              <w:tabs>
                <w:tab w:val="left" w:pos="1701"/>
              </w:tabs>
              <w:rPr>
                <w:b/>
              </w:rPr>
            </w:pPr>
            <w:r w:rsidRPr="005A618D">
              <w:rPr>
                <w:b/>
              </w:rPr>
              <w:t>Förslag till förordning om upphävande av förordning (EU) nr 524/2013 och om ändring av förordningarna (EU) 2017/2394 och (EU) 2018/1724 vad gäller stängning av den europeiska plattformen för tvistlösning online</w:t>
            </w:r>
          </w:p>
          <w:p w14:paraId="387D5D83" w14:textId="77777777" w:rsidR="0034685D" w:rsidRDefault="0034685D" w:rsidP="008878B5">
            <w:pPr>
              <w:tabs>
                <w:tab w:val="left" w:pos="1701"/>
              </w:tabs>
              <w:rPr>
                <w:b/>
              </w:rPr>
            </w:pPr>
          </w:p>
          <w:p w14:paraId="7C1965ED" w14:textId="3086AAE4" w:rsidR="003153D0" w:rsidRDefault="003153D0" w:rsidP="003153D0">
            <w:pPr>
              <w:tabs>
                <w:tab w:val="left" w:pos="1701"/>
              </w:tabs>
              <w:rPr>
                <w:bCs/>
              </w:rPr>
            </w:pPr>
            <w:r>
              <w:rPr>
                <w:bCs/>
              </w:rPr>
              <w:t>Utskottet fortsatte subsidiaritetsprövningen av COM(2023) 647.</w:t>
            </w:r>
          </w:p>
          <w:p w14:paraId="75683080" w14:textId="77777777" w:rsidR="003153D0" w:rsidRDefault="003153D0" w:rsidP="003153D0">
            <w:pPr>
              <w:tabs>
                <w:tab w:val="left" w:pos="1701"/>
              </w:tabs>
              <w:rPr>
                <w:bCs/>
              </w:rPr>
            </w:pPr>
          </w:p>
          <w:p w14:paraId="3919A4FF" w14:textId="77777777" w:rsidR="003153D0" w:rsidRPr="00AC2F53" w:rsidRDefault="003153D0" w:rsidP="003153D0">
            <w:pPr>
              <w:tabs>
                <w:tab w:val="left" w:pos="1701"/>
              </w:tabs>
              <w:rPr>
                <w:bCs/>
              </w:rPr>
            </w:pPr>
            <w:r>
              <w:rPr>
                <w:bCs/>
              </w:rPr>
              <w:t>Ärendet bordlades.</w:t>
            </w:r>
          </w:p>
          <w:p w14:paraId="48F9BEFB" w14:textId="2912F819" w:rsidR="0034685D" w:rsidRDefault="0034685D" w:rsidP="008878B5">
            <w:pPr>
              <w:tabs>
                <w:tab w:val="left" w:pos="1701"/>
              </w:tabs>
              <w:rPr>
                <w:b/>
              </w:rPr>
            </w:pPr>
          </w:p>
        </w:tc>
      </w:tr>
      <w:tr w:rsidR="000D4149" w:rsidRPr="00BA38FB" w14:paraId="54DB8735" w14:textId="77777777" w:rsidTr="007533FA">
        <w:trPr>
          <w:gridBefore w:val="1"/>
          <w:wBefore w:w="1206" w:type="dxa"/>
        </w:trPr>
        <w:tc>
          <w:tcPr>
            <w:tcW w:w="636" w:type="dxa"/>
          </w:tcPr>
          <w:p w14:paraId="07D00825" w14:textId="34B11E75" w:rsidR="000D4149" w:rsidRDefault="000D4149" w:rsidP="003B35EB">
            <w:pPr>
              <w:tabs>
                <w:tab w:val="left" w:pos="1701"/>
              </w:tabs>
              <w:rPr>
                <w:b/>
                <w:snapToGrid w:val="0"/>
                <w:szCs w:val="24"/>
              </w:rPr>
            </w:pPr>
            <w:r>
              <w:rPr>
                <w:b/>
                <w:snapToGrid w:val="0"/>
                <w:szCs w:val="24"/>
              </w:rPr>
              <w:t xml:space="preserve">§ </w:t>
            </w:r>
            <w:r w:rsidR="00B110EB">
              <w:rPr>
                <w:b/>
                <w:snapToGrid w:val="0"/>
                <w:szCs w:val="24"/>
              </w:rPr>
              <w:t>5</w:t>
            </w:r>
          </w:p>
        </w:tc>
        <w:tc>
          <w:tcPr>
            <w:tcW w:w="6947" w:type="dxa"/>
          </w:tcPr>
          <w:p w14:paraId="0CAEA0D5" w14:textId="77777777" w:rsidR="008878B5" w:rsidRDefault="008878B5" w:rsidP="008878B5">
            <w:pPr>
              <w:tabs>
                <w:tab w:val="left" w:pos="1701"/>
              </w:tabs>
              <w:rPr>
                <w:b/>
              </w:rPr>
            </w:pPr>
            <w:r>
              <w:rPr>
                <w:b/>
              </w:rPr>
              <w:t>Utgiftsområde 18 Samhällsplanering, bostadsförsörjning och byggande samt konsumentpolitik (CU1)</w:t>
            </w:r>
          </w:p>
          <w:p w14:paraId="225CC05B" w14:textId="77777777" w:rsidR="008878B5" w:rsidRDefault="008878B5" w:rsidP="008878B5">
            <w:pPr>
              <w:tabs>
                <w:tab w:val="left" w:pos="1701"/>
              </w:tabs>
              <w:rPr>
                <w:b/>
              </w:rPr>
            </w:pPr>
          </w:p>
          <w:p w14:paraId="5B4C26A4" w14:textId="5FAACC7D" w:rsidR="008878B5" w:rsidRPr="00B03E3C" w:rsidRDefault="008878B5" w:rsidP="008878B5">
            <w:pPr>
              <w:tabs>
                <w:tab w:val="left" w:pos="1701"/>
              </w:tabs>
              <w:rPr>
                <w:snapToGrid w:val="0"/>
                <w:szCs w:val="24"/>
              </w:rPr>
            </w:pPr>
            <w:r w:rsidRPr="00121DB7">
              <w:rPr>
                <w:snapToGrid w:val="0"/>
                <w:szCs w:val="24"/>
              </w:rPr>
              <w:t xml:space="preserve">Utskottet </w:t>
            </w:r>
            <w:r>
              <w:rPr>
                <w:snapToGrid w:val="0"/>
                <w:szCs w:val="24"/>
              </w:rPr>
              <w:t>fortsatte</w:t>
            </w:r>
            <w:r w:rsidRPr="00121DB7">
              <w:rPr>
                <w:snapToGrid w:val="0"/>
                <w:szCs w:val="24"/>
              </w:rPr>
              <w:t xml:space="preserve"> beredningen av </w:t>
            </w:r>
            <w:r w:rsidRPr="00B03E3C">
              <w:rPr>
                <w:snapToGrid w:val="0"/>
                <w:szCs w:val="24"/>
              </w:rPr>
              <w:t xml:space="preserve">proposition </w:t>
            </w:r>
            <w:r>
              <w:rPr>
                <w:snapToGrid w:val="0"/>
                <w:szCs w:val="24"/>
              </w:rPr>
              <w:t xml:space="preserve">2023/24:1 </w:t>
            </w:r>
            <w:r w:rsidRPr="00B03E3C">
              <w:rPr>
                <w:snapToGrid w:val="0"/>
                <w:szCs w:val="24"/>
              </w:rPr>
              <w:t>och mo</w:t>
            </w:r>
            <w:r>
              <w:rPr>
                <w:snapToGrid w:val="0"/>
                <w:szCs w:val="24"/>
              </w:rPr>
              <w:t>-</w:t>
            </w:r>
            <w:proofErr w:type="spellStart"/>
            <w:r w:rsidRPr="00B03E3C">
              <w:rPr>
                <w:snapToGrid w:val="0"/>
                <w:szCs w:val="24"/>
              </w:rPr>
              <w:t>tioner</w:t>
            </w:r>
            <w:proofErr w:type="spellEnd"/>
            <w:r w:rsidRPr="00B03E3C">
              <w:rPr>
                <w:snapToGrid w:val="0"/>
                <w:szCs w:val="24"/>
              </w:rPr>
              <w:t>.</w:t>
            </w:r>
          </w:p>
          <w:p w14:paraId="13735BA4" w14:textId="77777777" w:rsidR="008878B5" w:rsidRDefault="008878B5" w:rsidP="008878B5">
            <w:pPr>
              <w:tabs>
                <w:tab w:val="left" w:pos="1701"/>
              </w:tabs>
              <w:rPr>
                <w:snapToGrid w:val="0"/>
                <w:szCs w:val="24"/>
              </w:rPr>
            </w:pPr>
          </w:p>
          <w:p w14:paraId="4B8F51EF" w14:textId="77777777" w:rsidR="008878B5" w:rsidRPr="004E3584" w:rsidRDefault="008878B5" w:rsidP="008878B5">
            <w:pPr>
              <w:tabs>
                <w:tab w:val="left" w:pos="1701"/>
              </w:tabs>
              <w:rPr>
                <w:snapToGrid w:val="0"/>
                <w:szCs w:val="24"/>
              </w:rPr>
            </w:pPr>
            <w:r w:rsidRPr="00B03E3C">
              <w:rPr>
                <w:snapToGrid w:val="0"/>
                <w:szCs w:val="24"/>
              </w:rPr>
              <w:t>Ärendet bordlades</w:t>
            </w:r>
            <w:r>
              <w:rPr>
                <w:bCs/>
              </w:rPr>
              <w:t>.</w:t>
            </w:r>
          </w:p>
          <w:p w14:paraId="52D51D8D" w14:textId="611857E2" w:rsidR="0064346C" w:rsidRPr="008567DC" w:rsidRDefault="0064346C" w:rsidP="0060099E">
            <w:pPr>
              <w:tabs>
                <w:tab w:val="left" w:pos="1701"/>
              </w:tabs>
              <w:rPr>
                <w:b/>
                <w:snapToGrid w:val="0"/>
                <w:szCs w:val="24"/>
              </w:rPr>
            </w:pPr>
          </w:p>
        </w:tc>
      </w:tr>
      <w:tr w:rsidR="004E3584" w:rsidRPr="00BA38FB" w14:paraId="5A8509F4" w14:textId="77777777" w:rsidTr="007533FA">
        <w:trPr>
          <w:gridBefore w:val="1"/>
          <w:wBefore w:w="1206" w:type="dxa"/>
        </w:trPr>
        <w:tc>
          <w:tcPr>
            <w:tcW w:w="636" w:type="dxa"/>
          </w:tcPr>
          <w:p w14:paraId="15DCB1AD" w14:textId="78B2EE7F" w:rsidR="004E3584" w:rsidRDefault="004E3584" w:rsidP="003B35EB">
            <w:pPr>
              <w:tabs>
                <w:tab w:val="left" w:pos="1701"/>
              </w:tabs>
              <w:rPr>
                <w:b/>
                <w:snapToGrid w:val="0"/>
                <w:szCs w:val="24"/>
              </w:rPr>
            </w:pPr>
            <w:r>
              <w:rPr>
                <w:b/>
                <w:snapToGrid w:val="0"/>
                <w:szCs w:val="24"/>
              </w:rPr>
              <w:lastRenderedPageBreak/>
              <w:t xml:space="preserve">§ </w:t>
            </w:r>
            <w:r w:rsidR="00B110EB">
              <w:rPr>
                <w:b/>
                <w:snapToGrid w:val="0"/>
                <w:szCs w:val="24"/>
              </w:rPr>
              <w:t>6</w:t>
            </w:r>
          </w:p>
        </w:tc>
        <w:tc>
          <w:tcPr>
            <w:tcW w:w="6947" w:type="dxa"/>
          </w:tcPr>
          <w:p w14:paraId="1C821C0A" w14:textId="75ACF95D" w:rsidR="004E3584" w:rsidRDefault="008878B5" w:rsidP="00811214">
            <w:pPr>
              <w:tabs>
                <w:tab w:val="left" w:pos="1701"/>
              </w:tabs>
              <w:rPr>
                <w:b/>
              </w:rPr>
            </w:pPr>
            <w:r>
              <w:rPr>
                <w:b/>
              </w:rPr>
              <w:t>F</w:t>
            </w:r>
            <w:r w:rsidR="007246D3">
              <w:rPr>
                <w:b/>
              </w:rPr>
              <w:t>råga om utskottsinitiativ om fri hyressättning vid nyproduktion</w:t>
            </w:r>
          </w:p>
          <w:p w14:paraId="06310D24" w14:textId="44CCA607" w:rsidR="004E3584" w:rsidRDefault="004E3584" w:rsidP="00811214">
            <w:pPr>
              <w:tabs>
                <w:tab w:val="left" w:pos="1701"/>
              </w:tabs>
              <w:rPr>
                <w:b/>
              </w:rPr>
            </w:pPr>
          </w:p>
          <w:p w14:paraId="7A0A2DB6" w14:textId="59C6550D" w:rsidR="007246D3" w:rsidRDefault="007246D3" w:rsidP="00811214">
            <w:pPr>
              <w:tabs>
                <w:tab w:val="left" w:pos="1701"/>
              </w:tabs>
              <w:rPr>
                <w:bCs/>
              </w:rPr>
            </w:pPr>
            <w:r w:rsidRPr="007246D3">
              <w:rPr>
                <w:bCs/>
              </w:rPr>
              <w:t xml:space="preserve">Utskottet fortsatte behandlingen av frågan om ett initiativ om fri </w:t>
            </w:r>
            <w:r w:rsidR="00047866">
              <w:rPr>
                <w:bCs/>
              </w:rPr>
              <w:br/>
            </w:r>
            <w:r w:rsidRPr="007246D3">
              <w:rPr>
                <w:bCs/>
              </w:rPr>
              <w:t>hyressättning</w:t>
            </w:r>
            <w:r w:rsidR="00047866">
              <w:rPr>
                <w:bCs/>
              </w:rPr>
              <w:t xml:space="preserve"> vid nyproduktion, se bilaga 2</w:t>
            </w:r>
            <w:r>
              <w:rPr>
                <w:bCs/>
              </w:rPr>
              <w:t>.</w:t>
            </w:r>
          </w:p>
          <w:p w14:paraId="7858E81A" w14:textId="05CD2243" w:rsidR="007246D3" w:rsidRDefault="007246D3" w:rsidP="00811214">
            <w:pPr>
              <w:tabs>
                <w:tab w:val="left" w:pos="1701"/>
              </w:tabs>
              <w:rPr>
                <w:bCs/>
              </w:rPr>
            </w:pPr>
          </w:p>
          <w:p w14:paraId="29A81EB6" w14:textId="4140891D" w:rsidR="007246D3" w:rsidRPr="00FA62F2" w:rsidRDefault="007246D3" w:rsidP="00811214">
            <w:pPr>
              <w:tabs>
                <w:tab w:val="left" w:pos="1701"/>
              </w:tabs>
              <w:rPr>
                <w:bCs/>
              </w:rPr>
            </w:pPr>
            <w:r w:rsidRPr="00FA62F2">
              <w:rPr>
                <w:bCs/>
              </w:rPr>
              <w:t>Utskottet beslutade att inte ta något initiativ.</w:t>
            </w:r>
          </w:p>
          <w:p w14:paraId="63D8E3D1" w14:textId="12A8B14E" w:rsidR="007246D3" w:rsidRPr="00FA62F2" w:rsidRDefault="007246D3" w:rsidP="00811214">
            <w:pPr>
              <w:tabs>
                <w:tab w:val="left" w:pos="1701"/>
              </w:tabs>
              <w:rPr>
                <w:bCs/>
              </w:rPr>
            </w:pPr>
          </w:p>
          <w:p w14:paraId="6CA6B1C9" w14:textId="420F7A11" w:rsidR="007246D3" w:rsidRPr="007246D3" w:rsidRDefault="007246D3" w:rsidP="00811214">
            <w:pPr>
              <w:tabs>
                <w:tab w:val="left" w:pos="1701"/>
              </w:tabs>
              <w:rPr>
                <w:bCs/>
              </w:rPr>
            </w:pPr>
            <w:r w:rsidRPr="00FA62F2">
              <w:rPr>
                <w:bCs/>
              </w:rPr>
              <w:t>C-ledamoten reserverade sig mot beslutet och ansåg att utskottet borde ha inlett ett beredningsarbete i syfte att kunna ta ett initiativ i frågan.</w:t>
            </w:r>
          </w:p>
          <w:p w14:paraId="4E98E48E" w14:textId="467A688D" w:rsidR="004E3584" w:rsidRDefault="004E3584" w:rsidP="00811214">
            <w:pPr>
              <w:tabs>
                <w:tab w:val="left" w:pos="1701"/>
              </w:tabs>
              <w:rPr>
                <w:b/>
              </w:rPr>
            </w:pPr>
          </w:p>
        </w:tc>
      </w:tr>
      <w:tr w:rsidR="0064346C" w:rsidRPr="00BA38FB" w14:paraId="4EBFB588" w14:textId="77777777" w:rsidTr="007533FA">
        <w:trPr>
          <w:gridBefore w:val="1"/>
          <w:wBefore w:w="1206" w:type="dxa"/>
        </w:trPr>
        <w:tc>
          <w:tcPr>
            <w:tcW w:w="636" w:type="dxa"/>
          </w:tcPr>
          <w:p w14:paraId="2AB0B79A" w14:textId="30C34338" w:rsidR="0064346C" w:rsidRDefault="0064346C" w:rsidP="003B35EB">
            <w:pPr>
              <w:tabs>
                <w:tab w:val="left" w:pos="1701"/>
              </w:tabs>
              <w:rPr>
                <w:b/>
                <w:snapToGrid w:val="0"/>
                <w:szCs w:val="24"/>
              </w:rPr>
            </w:pPr>
            <w:r>
              <w:rPr>
                <w:b/>
                <w:snapToGrid w:val="0"/>
                <w:szCs w:val="24"/>
              </w:rPr>
              <w:t xml:space="preserve">§ </w:t>
            </w:r>
            <w:r w:rsidR="00B110EB">
              <w:rPr>
                <w:b/>
                <w:snapToGrid w:val="0"/>
                <w:szCs w:val="24"/>
              </w:rPr>
              <w:t>7</w:t>
            </w:r>
          </w:p>
        </w:tc>
        <w:tc>
          <w:tcPr>
            <w:tcW w:w="6947" w:type="dxa"/>
          </w:tcPr>
          <w:p w14:paraId="104B46B3" w14:textId="77777777" w:rsidR="0064346C" w:rsidRDefault="00B110EB" w:rsidP="0060099E">
            <w:pPr>
              <w:tabs>
                <w:tab w:val="left" w:pos="1701"/>
              </w:tabs>
              <w:rPr>
                <w:bCs/>
              </w:rPr>
            </w:pPr>
            <w:r>
              <w:rPr>
                <w:b/>
              </w:rPr>
              <w:t>Inkomna EU-dokument</w:t>
            </w:r>
          </w:p>
          <w:p w14:paraId="718343DD" w14:textId="77777777" w:rsidR="0034685D" w:rsidRDefault="0034685D" w:rsidP="0060099E">
            <w:pPr>
              <w:tabs>
                <w:tab w:val="left" w:pos="1701"/>
              </w:tabs>
              <w:rPr>
                <w:bCs/>
              </w:rPr>
            </w:pPr>
          </w:p>
          <w:p w14:paraId="14CDEC49" w14:textId="77777777" w:rsidR="0034685D" w:rsidRDefault="0034685D" w:rsidP="0060099E">
            <w:pPr>
              <w:tabs>
                <w:tab w:val="left" w:pos="1701"/>
              </w:tabs>
              <w:rPr>
                <w:bCs/>
              </w:rPr>
            </w:pPr>
            <w:r>
              <w:rPr>
                <w:bCs/>
              </w:rPr>
              <w:t>En sammanställning över EU-dokument som inkommit under november 2023 anmäldes.</w:t>
            </w:r>
          </w:p>
          <w:p w14:paraId="58805813" w14:textId="03C76DDA" w:rsidR="0034685D" w:rsidRDefault="0034685D" w:rsidP="0060099E">
            <w:pPr>
              <w:tabs>
                <w:tab w:val="left" w:pos="1701"/>
              </w:tabs>
              <w:rPr>
                <w:b/>
              </w:rPr>
            </w:pPr>
          </w:p>
        </w:tc>
      </w:tr>
      <w:tr w:rsidR="0008536E" w:rsidRPr="00BA38FB" w14:paraId="47B5C79B" w14:textId="77777777" w:rsidTr="007533FA">
        <w:trPr>
          <w:gridBefore w:val="1"/>
          <w:wBefore w:w="1206" w:type="dxa"/>
        </w:trPr>
        <w:tc>
          <w:tcPr>
            <w:tcW w:w="636" w:type="dxa"/>
          </w:tcPr>
          <w:p w14:paraId="51A4A377" w14:textId="0DB1036B" w:rsidR="0008536E" w:rsidRDefault="0008536E" w:rsidP="0008536E">
            <w:pPr>
              <w:tabs>
                <w:tab w:val="left" w:pos="1701"/>
              </w:tabs>
              <w:rPr>
                <w:b/>
                <w:snapToGrid w:val="0"/>
                <w:szCs w:val="24"/>
              </w:rPr>
            </w:pPr>
            <w:r>
              <w:rPr>
                <w:b/>
                <w:snapToGrid w:val="0"/>
                <w:szCs w:val="24"/>
              </w:rPr>
              <w:t xml:space="preserve">§ </w:t>
            </w:r>
            <w:r w:rsidR="003153D0">
              <w:rPr>
                <w:b/>
                <w:snapToGrid w:val="0"/>
                <w:szCs w:val="24"/>
              </w:rPr>
              <w:t>8</w:t>
            </w:r>
          </w:p>
        </w:tc>
        <w:tc>
          <w:tcPr>
            <w:tcW w:w="6947" w:type="dxa"/>
          </w:tcPr>
          <w:p w14:paraId="4BA38871" w14:textId="11E1221F" w:rsidR="0008536E" w:rsidRDefault="0008536E" w:rsidP="0008536E">
            <w:pPr>
              <w:tabs>
                <w:tab w:val="left" w:pos="1701"/>
              </w:tabs>
              <w:rPr>
                <w:b/>
                <w:bCs/>
                <w:szCs w:val="24"/>
              </w:rPr>
            </w:pPr>
            <w:r>
              <w:rPr>
                <w:b/>
                <w:bCs/>
                <w:szCs w:val="24"/>
              </w:rPr>
              <w:t>Nästa sammanträde</w:t>
            </w:r>
          </w:p>
          <w:p w14:paraId="5BB625E0" w14:textId="77777777" w:rsidR="0008536E" w:rsidRDefault="0008536E" w:rsidP="0008536E">
            <w:pPr>
              <w:rPr>
                <w:bCs/>
                <w:szCs w:val="24"/>
              </w:rPr>
            </w:pPr>
          </w:p>
          <w:p w14:paraId="75D7DF82" w14:textId="4C0985F4" w:rsidR="0008536E" w:rsidRDefault="0008536E" w:rsidP="0008536E">
            <w:pPr>
              <w:rPr>
                <w:bCs/>
                <w:szCs w:val="24"/>
              </w:rPr>
            </w:pPr>
            <w:r>
              <w:rPr>
                <w:bCs/>
                <w:szCs w:val="24"/>
              </w:rPr>
              <w:t>Nästa sammanträde äger</w:t>
            </w:r>
            <w:r w:rsidR="00DC04E7">
              <w:rPr>
                <w:bCs/>
                <w:szCs w:val="24"/>
              </w:rPr>
              <w:t xml:space="preserve"> </w:t>
            </w:r>
            <w:r w:rsidRPr="00FA62F2">
              <w:rPr>
                <w:bCs/>
                <w:szCs w:val="24"/>
              </w:rPr>
              <w:t>rum t</w:t>
            </w:r>
            <w:r w:rsidR="007246D3" w:rsidRPr="00FA62F2">
              <w:rPr>
                <w:bCs/>
                <w:szCs w:val="24"/>
              </w:rPr>
              <w:t>ors</w:t>
            </w:r>
            <w:r w:rsidRPr="00FA62F2">
              <w:rPr>
                <w:bCs/>
                <w:szCs w:val="24"/>
              </w:rPr>
              <w:t>dagen den</w:t>
            </w:r>
            <w:r w:rsidR="00766F4B" w:rsidRPr="00FA62F2">
              <w:rPr>
                <w:bCs/>
                <w:szCs w:val="24"/>
              </w:rPr>
              <w:t xml:space="preserve"> </w:t>
            </w:r>
            <w:r w:rsidR="007246D3" w:rsidRPr="00FA62F2">
              <w:rPr>
                <w:bCs/>
                <w:szCs w:val="24"/>
              </w:rPr>
              <w:t>7</w:t>
            </w:r>
            <w:r w:rsidR="000872EA" w:rsidRPr="00FA62F2">
              <w:rPr>
                <w:bCs/>
                <w:szCs w:val="24"/>
              </w:rPr>
              <w:t xml:space="preserve"> december</w:t>
            </w:r>
            <w:r w:rsidRPr="00FA62F2">
              <w:rPr>
                <w:bCs/>
                <w:szCs w:val="24"/>
              </w:rPr>
              <w:t xml:space="preserve"> 2023 kl. </w:t>
            </w:r>
            <w:r w:rsidR="007246D3" w:rsidRPr="00FA62F2">
              <w:rPr>
                <w:bCs/>
                <w:szCs w:val="24"/>
              </w:rPr>
              <w:t>9</w:t>
            </w:r>
            <w:r w:rsidRPr="00FA62F2">
              <w:rPr>
                <w:bCs/>
                <w:szCs w:val="24"/>
              </w:rPr>
              <w:t>.</w:t>
            </w:r>
            <w:r w:rsidR="007246D3" w:rsidRPr="00FA62F2">
              <w:rPr>
                <w:bCs/>
                <w:szCs w:val="24"/>
              </w:rPr>
              <w:t>3</w:t>
            </w:r>
            <w:r w:rsidRPr="00FA62F2">
              <w:rPr>
                <w:bCs/>
                <w:szCs w:val="24"/>
              </w:rPr>
              <w:t>0.</w:t>
            </w:r>
          </w:p>
          <w:p w14:paraId="1997F5E8" w14:textId="77777777" w:rsidR="00073E5B" w:rsidRDefault="00073E5B" w:rsidP="0008536E">
            <w:pPr>
              <w:rPr>
                <w:bCs/>
                <w:szCs w:val="24"/>
              </w:rPr>
            </w:pPr>
          </w:p>
          <w:p w14:paraId="341FEC37" w14:textId="77777777" w:rsidR="0008536E" w:rsidRDefault="0008536E" w:rsidP="0008536E">
            <w:pPr>
              <w:tabs>
                <w:tab w:val="left" w:pos="1701"/>
              </w:tabs>
              <w:rPr>
                <w:b/>
                <w:snapToGrid w:val="0"/>
                <w:szCs w:val="24"/>
              </w:rPr>
            </w:pPr>
          </w:p>
        </w:tc>
      </w:tr>
      <w:tr w:rsidR="0008536E" w:rsidRPr="00BA38FB" w14:paraId="29C5E7A1" w14:textId="77777777" w:rsidTr="007533FA">
        <w:tc>
          <w:tcPr>
            <w:tcW w:w="8789" w:type="dxa"/>
            <w:gridSpan w:val="3"/>
          </w:tcPr>
          <w:p w14:paraId="3DEAB39D" w14:textId="77777777" w:rsidR="0008536E" w:rsidRDefault="0008536E" w:rsidP="0008536E">
            <w:pPr>
              <w:tabs>
                <w:tab w:val="left" w:pos="1701"/>
              </w:tabs>
              <w:ind w:left="1275"/>
              <w:rPr>
                <w:szCs w:val="24"/>
              </w:rPr>
            </w:pPr>
          </w:p>
          <w:p w14:paraId="68C4CF68" w14:textId="77777777" w:rsidR="00AF0697" w:rsidRDefault="00AF0697" w:rsidP="0008536E">
            <w:pPr>
              <w:tabs>
                <w:tab w:val="left" w:pos="1701"/>
              </w:tabs>
              <w:ind w:left="1275"/>
              <w:rPr>
                <w:szCs w:val="24"/>
              </w:rPr>
            </w:pPr>
          </w:p>
          <w:p w14:paraId="2D487D71" w14:textId="6C5DE270" w:rsidR="0008536E" w:rsidRPr="00BA38FB" w:rsidRDefault="0008536E" w:rsidP="0008536E">
            <w:pPr>
              <w:tabs>
                <w:tab w:val="left" w:pos="1701"/>
              </w:tabs>
              <w:ind w:left="1275"/>
              <w:rPr>
                <w:szCs w:val="24"/>
              </w:rPr>
            </w:pPr>
            <w:r w:rsidRPr="00BA38FB">
              <w:rPr>
                <w:szCs w:val="24"/>
              </w:rPr>
              <w:t>Vid protokollet</w:t>
            </w:r>
          </w:p>
          <w:p w14:paraId="4BCD85F2" w14:textId="7C6A68F8" w:rsidR="0008536E" w:rsidRDefault="0008536E" w:rsidP="0008536E">
            <w:pPr>
              <w:tabs>
                <w:tab w:val="left" w:pos="1701"/>
              </w:tabs>
              <w:ind w:left="1275"/>
              <w:rPr>
                <w:szCs w:val="24"/>
              </w:rPr>
            </w:pPr>
          </w:p>
          <w:p w14:paraId="1949DA19" w14:textId="282FDAD5" w:rsidR="0008536E" w:rsidRDefault="0008536E" w:rsidP="0008536E">
            <w:pPr>
              <w:tabs>
                <w:tab w:val="left" w:pos="1701"/>
              </w:tabs>
              <w:ind w:left="1275"/>
              <w:rPr>
                <w:szCs w:val="24"/>
              </w:rPr>
            </w:pPr>
          </w:p>
          <w:p w14:paraId="4EEAE1A3" w14:textId="77777777" w:rsidR="0008536E" w:rsidRPr="00BA38FB" w:rsidRDefault="0008536E" w:rsidP="0008536E">
            <w:pPr>
              <w:tabs>
                <w:tab w:val="left" w:pos="1701"/>
              </w:tabs>
              <w:ind w:left="1275"/>
              <w:rPr>
                <w:szCs w:val="24"/>
              </w:rPr>
            </w:pPr>
          </w:p>
          <w:p w14:paraId="41DD8846" w14:textId="77777777" w:rsidR="0008536E" w:rsidRPr="00BA38FB" w:rsidRDefault="0008536E" w:rsidP="0008536E">
            <w:pPr>
              <w:tabs>
                <w:tab w:val="left" w:pos="1701"/>
              </w:tabs>
              <w:ind w:left="1275"/>
              <w:rPr>
                <w:szCs w:val="24"/>
              </w:rPr>
            </w:pPr>
          </w:p>
          <w:p w14:paraId="6AC1CFAD" w14:textId="7B215C71" w:rsidR="0008536E" w:rsidRDefault="0008536E" w:rsidP="0008536E">
            <w:pPr>
              <w:tabs>
                <w:tab w:val="left" w:pos="1701"/>
              </w:tabs>
              <w:ind w:left="1275"/>
              <w:rPr>
                <w:szCs w:val="24"/>
              </w:rPr>
            </w:pPr>
            <w:r w:rsidRPr="00D402D7">
              <w:rPr>
                <w:szCs w:val="24"/>
              </w:rPr>
              <w:t xml:space="preserve">Justeras </w:t>
            </w:r>
            <w:r w:rsidRPr="003153D0">
              <w:rPr>
                <w:szCs w:val="24"/>
              </w:rPr>
              <w:t xml:space="preserve">den </w:t>
            </w:r>
            <w:r w:rsidR="0019376F" w:rsidRPr="003153D0">
              <w:rPr>
                <w:szCs w:val="24"/>
              </w:rPr>
              <w:t>7</w:t>
            </w:r>
            <w:r w:rsidR="000872EA" w:rsidRPr="003153D0">
              <w:rPr>
                <w:szCs w:val="24"/>
              </w:rPr>
              <w:t xml:space="preserve"> december</w:t>
            </w:r>
            <w:r w:rsidR="00DE0912" w:rsidRPr="003153D0">
              <w:rPr>
                <w:szCs w:val="24"/>
              </w:rPr>
              <w:t xml:space="preserve"> </w:t>
            </w:r>
            <w:r w:rsidRPr="003153D0">
              <w:rPr>
                <w:szCs w:val="24"/>
              </w:rPr>
              <w:t>2023</w:t>
            </w:r>
          </w:p>
          <w:p w14:paraId="28490F6B" w14:textId="77777777" w:rsidR="0008536E" w:rsidRDefault="0008536E" w:rsidP="0008536E">
            <w:pPr>
              <w:tabs>
                <w:tab w:val="left" w:pos="1701"/>
              </w:tabs>
              <w:ind w:left="1275"/>
              <w:rPr>
                <w:szCs w:val="24"/>
              </w:rPr>
            </w:pPr>
          </w:p>
          <w:p w14:paraId="1733BFA2" w14:textId="4140A90E" w:rsidR="0008536E" w:rsidRDefault="0008536E" w:rsidP="0008536E">
            <w:pPr>
              <w:tabs>
                <w:tab w:val="left" w:pos="1701"/>
              </w:tabs>
              <w:ind w:left="1275"/>
              <w:rPr>
                <w:szCs w:val="24"/>
              </w:rPr>
            </w:pPr>
          </w:p>
          <w:p w14:paraId="68A24BDC" w14:textId="77777777" w:rsidR="0008536E" w:rsidRPr="00BA38FB" w:rsidRDefault="0008536E" w:rsidP="0008536E">
            <w:pPr>
              <w:tabs>
                <w:tab w:val="left" w:pos="1701"/>
              </w:tabs>
              <w:ind w:left="1275"/>
              <w:rPr>
                <w:szCs w:val="24"/>
              </w:rPr>
            </w:pPr>
          </w:p>
          <w:p w14:paraId="6B2E76D6" w14:textId="7E1EBF5F" w:rsidR="0008536E" w:rsidRDefault="00047866" w:rsidP="0008536E">
            <w:pPr>
              <w:tabs>
                <w:tab w:val="left" w:pos="1701"/>
              </w:tabs>
              <w:ind w:left="1275"/>
              <w:rPr>
                <w:snapToGrid w:val="0"/>
                <w:szCs w:val="24"/>
              </w:rPr>
            </w:pPr>
            <w:r>
              <w:rPr>
                <w:snapToGrid w:val="0"/>
                <w:szCs w:val="24"/>
              </w:rPr>
              <w:t>Mikael Eskilandersson</w:t>
            </w:r>
          </w:p>
          <w:p w14:paraId="51F606B6" w14:textId="77777777" w:rsidR="0008536E" w:rsidRDefault="0008536E" w:rsidP="0008536E">
            <w:pPr>
              <w:tabs>
                <w:tab w:val="left" w:pos="1701"/>
              </w:tabs>
              <w:ind w:left="1275"/>
              <w:rPr>
                <w:snapToGrid w:val="0"/>
                <w:szCs w:val="24"/>
              </w:rPr>
            </w:pPr>
          </w:p>
          <w:p w14:paraId="65CDE05E" w14:textId="77777777" w:rsidR="0008536E" w:rsidRDefault="0008536E" w:rsidP="0008536E">
            <w:pPr>
              <w:tabs>
                <w:tab w:val="left" w:pos="1701"/>
              </w:tabs>
              <w:ind w:left="1275"/>
              <w:rPr>
                <w:snapToGrid w:val="0"/>
                <w:szCs w:val="24"/>
              </w:rPr>
            </w:pPr>
          </w:p>
          <w:p w14:paraId="7091F08B" w14:textId="77777777" w:rsidR="0008536E" w:rsidRPr="00BA38FB" w:rsidRDefault="0008536E" w:rsidP="0008536E">
            <w:pPr>
              <w:tabs>
                <w:tab w:val="left" w:pos="1701"/>
              </w:tabs>
              <w:rPr>
                <w:b/>
                <w:szCs w:val="24"/>
              </w:rPr>
            </w:pPr>
          </w:p>
        </w:tc>
      </w:tr>
    </w:tbl>
    <w:p w14:paraId="3E57245C" w14:textId="77777777" w:rsidR="002057F3" w:rsidRDefault="002057F3">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2057F3">
        <w:tc>
          <w:tcPr>
            <w:tcW w:w="2906" w:type="dxa"/>
            <w:tcBorders>
              <w:top w:val="nil"/>
              <w:left w:val="nil"/>
              <w:bottom w:val="nil"/>
              <w:right w:val="nil"/>
            </w:tcBorders>
            <w:hideMark/>
          </w:tcPr>
          <w:p w14:paraId="1E747715" w14:textId="67518B3A"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388C47B2" w:rsidR="00B46353" w:rsidRDefault="00B46353">
            <w:pPr>
              <w:tabs>
                <w:tab w:val="left" w:pos="1701"/>
              </w:tabs>
              <w:rPr>
                <w:b/>
                <w:sz w:val="22"/>
                <w:szCs w:val="22"/>
              </w:rPr>
            </w:pPr>
            <w:r>
              <w:rPr>
                <w:b/>
                <w:sz w:val="22"/>
                <w:szCs w:val="22"/>
              </w:rPr>
              <w:t>Bilaga</w:t>
            </w:r>
            <w:r w:rsidR="00047866">
              <w:rPr>
                <w:b/>
                <w:sz w:val="22"/>
                <w:szCs w:val="22"/>
              </w:rPr>
              <w:t xml:space="preserve"> 1</w:t>
            </w:r>
          </w:p>
          <w:p w14:paraId="5CE8713C" w14:textId="64BDC2FF" w:rsidR="00B46353" w:rsidRDefault="00B46353">
            <w:pPr>
              <w:tabs>
                <w:tab w:val="left" w:pos="1701"/>
              </w:tabs>
              <w:rPr>
                <w:sz w:val="22"/>
                <w:szCs w:val="22"/>
              </w:rPr>
            </w:pPr>
            <w:r>
              <w:rPr>
                <w:sz w:val="22"/>
                <w:szCs w:val="22"/>
              </w:rPr>
              <w:t>till protokoll 202</w:t>
            </w:r>
            <w:r w:rsidR="00A8050D">
              <w:rPr>
                <w:sz w:val="22"/>
                <w:szCs w:val="22"/>
              </w:rPr>
              <w:t>3</w:t>
            </w:r>
            <w:r>
              <w:rPr>
                <w:sz w:val="22"/>
                <w:szCs w:val="22"/>
              </w:rPr>
              <w:t>/2</w:t>
            </w:r>
            <w:r w:rsidR="00A8050D">
              <w:rPr>
                <w:sz w:val="22"/>
                <w:szCs w:val="22"/>
              </w:rPr>
              <w:t>4</w:t>
            </w:r>
            <w:r>
              <w:rPr>
                <w:sz w:val="22"/>
                <w:szCs w:val="22"/>
              </w:rPr>
              <w:t>:</w:t>
            </w:r>
            <w:r w:rsidR="000B604B">
              <w:rPr>
                <w:sz w:val="22"/>
                <w:szCs w:val="22"/>
              </w:rPr>
              <w:t>1</w:t>
            </w:r>
            <w:r w:rsidR="00C74B6D">
              <w:rPr>
                <w:sz w:val="22"/>
                <w:szCs w:val="22"/>
              </w:rPr>
              <w:t>1</w:t>
            </w:r>
          </w:p>
        </w:tc>
      </w:tr>
      <w:tr w:rsidR="002F0F2F" w:rsidRPr="00504D1A" w14:paraId="51FCD3BB" w14:textId="77777777" w:rsidTr="002057F3">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57C0C2C5" w:rsidR="002F0F2F" w:rsidRPr="0008536E"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153D0">
              <w:rPr>
                <w:sz w:val="20"/>
              </w:rPr>
              <w:t xml:space="preserve">§ </w:t>
            </w:r>
            <w:r w:rsidR="00314B97" w:rsidRPr="003153D0">
              <w:rPr>
                <w:sz w:val="20"/>
              </w:rPr>
              <w:t>1–</w:t>
            </w:r>
            <w:r w:rsidR="003153D0">
              <w:rPr>
                <w:sz w:val="20"/>
              </w:rPr>
              <w:t>8</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147795D" w:rsidR="002F0F2F" w:rsidRPr="0008536E"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46B177A3"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7896A7D4"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48BC3DAB"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54E0C2AA"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A56C7" w:rsidRPr="00504D1A" w14:paraId="27F84F88"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40EC11E0"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3B7696B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3042555C"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AF0697" w:rsidRPr="00504D1A" w14:paraId="745BF17A"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AF0697" w:rsidRPr="00504D1A" w:rsidRDefault="00AF0697" w:rsidP="00AF0697">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E2951F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0F9DC52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7D826D08"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022917C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171B020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7BB6988"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0119BAB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E2976B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70CA5B9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612F5B3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32A0E2F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16C64CD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6BEF6D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50C2D1AE"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39F0F38F"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0AB0C13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2723278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37BB4A6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58121F1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4F51C1F"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2089E97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1198733F"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3951C8F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6BBC7E9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2C93D9C"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CCD11D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5B0AD86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3FF2A759"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5B64AAA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65CF43B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444C054F"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5C76A2A"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AEDA798" w14:textId="7F94567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78A0D0F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53DA4BF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46D0D0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4A1C9D7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09FDAE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672E07C"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47F0EE78"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74359DB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05D269E8"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4C7D813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284C7D5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CB1D4D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CF2ED15"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50764E3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FDCB0C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479CDE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00F93BD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2843437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4465B01A"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7567390B"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651CD4E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62BF6F4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3D8CEF2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65A31C98"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17C0195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0D99AFEC"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C8C87BD" w14:textId="11E53D66"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53DBC4F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1C3FBA5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600789D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E20812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3E62B96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BC0B12D"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6833D4C8"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032CC95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58EFD0D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3120F8A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0FF3274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A42CF29"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0A40F661"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7145D7A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4082B42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181D8BA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2776EAE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06D2750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ED6EDD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0457E8"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1077F51C"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516450A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14C1299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1F6F880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4F88D62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2D6A3B7"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0CC9E469"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7AA0F43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36551F5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3E67FCAC"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6502FB1A"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0552F079"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23632C1"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53E900A7" w14:textId="24EEC93C"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Björn Tidland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AF069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7D11BB0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41E158A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224EBE2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0BC511F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25DA76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71294BC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AF0697" w:rsidRPr="00AA5DB3" w:rsidRDefault="00AF0697" w:rsidP="00AF0697">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2D4E12F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76156199"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5282918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2C40F1A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57D4654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FC65C07"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AF0697" w:rsidRPr="00504D1A" w:rsidRDefault="00AF0697" w:rsidP="00AF0697">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6D7CE4B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F46E2F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B4CE05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273A1BE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0F67AA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7DB4831F"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AF71EA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63D37C5E" w:rsidR="00AF0697" w:rsidRPr="00504D1A" w:rsidRDefault="00AF0697" w:rsidP="00AF0697">
            <w:pPr>
              <w:tabs>
                <w:tab w:val="left" w:pos="1701"/>
              </w:tabs>
              <w:rPr>
                <w:sz w:val="22"/>
                <w:szCs w:val="22"/>
                <w:lang w:val="en-US"/>
              </w:rPr>
            </w:pPr>
            <w:r>
              <w:rPr>
                <w:sz w:val="22"/>
                <w:szCs w:val="22"/>
                <w:lang w:val="en-US"/>
              </w:rPr>
              <w:t>Sara Gille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1EC17EF1"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2AE5174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46D28E71"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AF0697" w:rsidRPr="00504D1A" w:rsidRDefault="00AF0697" w:rsidP="00AF0697">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5A8A7B99" w:rsidR="00AF0697" w:rsidRPr="00E25BF7" w:rsidRDefault="00FA62F2"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0209091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06FBB98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548B81B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6B5FC81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35B70DEF"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F965B4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AF0697" w:rsidRPr="00504D1A" w:rsidRDefault="00AF0697" w:rsidP="00AF0697">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0E6B6F70"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01DE5053"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A7F549F"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385D9DE6"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2FADC4A4"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1E2FAC8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628A6DF"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AF0697" w:rsidRPr="00504D1A" w:rsidRDefault="00AF0697" w:rsidP="00AF0697">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0EEFC853"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AF0697" w:rsidRPr="00504D1A" w:rsidRDefault="00AF0697" w:rsidP="00AF0697">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4741340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AF0697" w:rsidRPr="00504D1A" w:rsidRDefault="00AF0697" w:rsidP="00AF0697">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7131F6D"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AF0697" w:rsidRPr="00504D1A" w:rsidRDefault="00AF0697" w:rsidP="00AF0697">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AF0697" w:rsidRPr="00E25BF7"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0CD751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AF0697" w:rsidRPr="00504D1A" w:rsidRDefault="00AF0697" w:rsidP="00AF0697">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08F0A241" w14:textId="77777777" w:rsidTr="002057F3">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62B9D2A" w:rsidR="00AF0697" w:rsidRPr="00504D1A" w:rsidRDefault="00AF0697" w:rsidP="00AF0697">
            <w:pPr>
              <w:tabs>
                <w:tab w:val="left" w:pos="1701"/>
              </w:tabs>
              <w:rPr>
                <w:snapToGrid w:val="0"/>
                <w:sz w:val="22"/>
                <w:szCs w:val="22"/>
              </w:rPr>
            </w:pPr>
            <w:r>
              <w:rPr>
                <w:snapToGrid w:val="0"/>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49722F8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AF0697" w:rsidRPr="00504D1A" w:rsidRDefault="00AF0697" w:rsidP="00AF0697">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17876EF7"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AF0697" w:rsidRPr="00504D1A" w:rsidRDefault="00AF0697" w:rsidP="00AF0697">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093B682B"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1B8C722" w14:textId="3224BCCB" w:rsidR="00AF0697" w:rsidRPr="00B26C49" w:rsidRDefault="00AF0697" w:rsidP="00AF0697">
            <w:pPr>
              <w:tabs>
                <w:tab w:val="left" w:pos="1701"/>
              </w:tabs>
              <w:rPr>
                <w:snapToGrid w:val="0"/>
                <w:sz w:val="22"/>
                <w:szCs w:val="22"/>
                <w:highlight w:val="yellow"/>
              </w:rPr>
            </w:pPr>
            <w:r w:rsidRPr="00C23E3A">
              <w:rPr>
                <w:snapToGrid w:val="0"/>
                <w:sz w:val="22"/>
                <w:szCs w:val="22"/>
              </w:rPr>
              <w:t>Isabell Mixter (V)</w:t>
            </w:r>
          </w:p>
        </w:tc>
        <w:tc>
          <w:tcPr>
            <w:tcW w:w="356" w:type="dxa"/>
            <w:tcBorders>
              <w:top w:val="single" w:sz="6" w:space="0" w:color="auto"/>
              <w:left w:val="single" w:sz="6" w:space="0" w:color="auto"/>
              <w:bottom w:val="single" w:sz="6" w:space="0" w:color="auto"/>
              <w:right w:val="single" w:sz="6" w:space="0" w:color="auto"/>
            </w:tcBorders>
          </w:tcPr>
          <w:p w14:paraId="68BC2F2D" w14:textId="607213C5"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5248CE90"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F3EAB9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7152B41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AF0697" w:rsidRPr="00504D1A" w:rsidRDefault="00AF0697" w:rsidP="00AF0697">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0DB47C92" w:rsidR="00AF0697" w:rsidRPr="00504D1A" w:rsidRDefault="00FA62F2"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FD5C9B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AF0697" w:rsidRPr="00504D1A" w:rsidRDefault="00AF0697" w:rsidP="00AF0697">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70E3595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4D9A892" w14:textId="3BED90A2" w:rsidR="00AF0697" w:rsidRPr="00004E27" w:rsidRDefault="00AF0697" w:rsidP="00AF0697">
            <w:pPr>
              <w:tabs>
                <w:tab w:val="left" w:pos="1701"/>
              </w:tabs>
              <w:rPr>
                <w:snapToGrid w:val="0"/>
                <w:sz w:val="22"/>
                <w:szCs w:val="22"/>
                <w:highlight w:val="yellow"/>
              </w:rPr>
            </w:pPr>
            <w:r w:rsidRPr="0004242B">
              <w:rPr>
                <w:snapToGrid w:val="0"/>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4B41DA4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AF0697" w:rsidRPr="00504D1A" w:rsidRDefault="00AF0697" w:rsidP="00AF0697">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0BBBF1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AF0697" w:rsidRPr="00504D1A" w:rsidRDefault="00AF0697" w:rsidP="00AF0697">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6E097AAF"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2D9DE7E3" w14:textId="6A3007D4" w:rsidR="00AF0697" w:rsidRPr="00504D1A" w:rsidRDefault="00AF0697" w:rsidP="00AF0697">
            <w:pPr>
              <w:tabs>
                <w:tab w:val="left" w:pos="1701"/>
              </w:tabs>
              <w:rPr>
                <w:snapToGrid w:val="0"/>
                <w:sz w:val="22"/>
                <w:szCs w:val="22"/>
              </w:rPr>
            </w:pPr>
            <w:r>
              <w:rPr>
                <w:snapToGrid w:val="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B75CB1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AF0697" w:rsidRPr="00504D1A" w:rsidRDefault="00AF0697" w:rsidP="00AF0697">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FFBAA95"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AF0697" w:rsidRPr="00504D1A" w:rsidRDefault="00AF0697" w:rsidP="00AF0697">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7F6BB6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AF0697" w:rsidRPr="00504D1A" w:rsidRDefault="00AF0697" w:rsidP="00AF0697">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23D51480"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AF0697" w:rsidRPr="00504D1A" w:rsidRDefault="00AF0697" w:rsidP="00AF0697">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3A47638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AF0697" w:rsidRPr="00504D1A" w:rsidRDefault="00AF0697" w:rsidP="00AF0697">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EB5D944"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AF0697" w:rsidRPr="00504D1A" w:rsidRDefault="00AF0697" w:rsidP="00AF0697">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3030CAE"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AF0697" w:rsidRDefault="00AF0697" w:rsidP="00AF0697">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E62A25A"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AF0697" w:rsidRDefault="00AF0697" w:rsidP="00AF0697">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0697" w:rsidRPr="00504D1A" w14:paraId="5A9B845B" w14:textId="77777777" w:rsidTr="002057F3">
        <w:trPr>
          <w:trHeight w:val="263"/>
        </w:trPr>
        <w:tc>
          <w:tcPr>
            <w:tcW w:w="2906" w:type="dxa"/>
            <w:tcBorders>
              <w:top w:val="nil"/>
              <w:left w:val="nil"/>
              <w:bottom w:val="nil"/>
              <w:right w:val="nil"/>
            </w:tcBorders>
            <w:hideMark/>
          </w:tcPr>
          <w:p w14:paraId="0D74FCE2" w14:textId="1A583ED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AF0697" w:rsidRPr="00504D1A" w14:paraId="4A13B87A" w14:textId="77777777" w:rsidTr="002057F3">
        <w:trPr>
          <w:trHeight w:val="262"/>
        </w:trPr>
        <w:tc>
          <w:tcPr>
            <w:tcW w:w="2906" w:type="dxa"/>
            <w:tcBorders>
              <w:top w:val="nil"/>
              <w:left w:val="nil"/>
              <w:bottom w:val="nil"/>
              <w:right w:val="nil"/>
            </w:tcBorders>
            <w:hideMark/>
          </w:tcPr>
          <w:p w14:paraId="1B317193" w14:textId="4670858B"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AF0697" w:rsidRPr="00504D1A" w:rsidRDefault="00AF0697" w:rsidP="00AF06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6ECEACD3" w:rsidR="006C5497" w:rsidRDefault="006C5497" w:rsidP="001947D8">
      <w:pPr>
        <w:widowControl/>
        <w:rPr>
          <w:b/>
        </w:rPr>
      </w:pPr>
    </w:p>
    <w:p w14:paraId="09C918E9" w14:textId="02CD58AC" w:rsidR="00C970A5" w:rsidRDefault="00C970A5" w:rsidP="001947D8">
      <w:pPr>
        <w:widowControl/>
        <w:rPr>
          <w:b/>
        </w:rPr>
      </w:pPr>
    </w:p>
    <w:p w14:paraId="1ACF708A" w14:textId="27CD29DA" w:rsidR="00C970A5" w:rsidRDefault="00C970A5" w:rsidP="001947D8">
      <w:pPr>
        <w:widowControl/>
        <w:rPr>
          <w:b/>
        </w:rPr>
      </w:pPr>
    </w:p>
    <w:p w14:paraId="04CB52F6" w14:textId="77777777" w:rsidR="00C970A5" w:rsidRDefault="00C970A5">
      <w:pPr>
        <w:widowControl/>
        <w:rPr>
          <w:b/>
        </w:rPr>
      </w:pPr>
      <w:r>
        <w:rPr>
          <w:b/>
        </w:rPr>
        <w:br w:type="page"/>
      </w:r>
    </w:p>
    <w:p w14:paraId="2F27E01B" w14:textId="730ADE08" w:rsidR="00C970A5" w:rsidRDefault="00C970A5" w:rsidP="001947D8">
      <w:pPr>
        <w:widowControl/>
        <w:rPr>
          <w:b/>
        </w:rPr>
      </w:pPr>
      <w:r>
        <w:rPr>
          <w:b/>
        </w:rPr>
        <w:lastRenderedPageBreak/>
        <w:tab/>
      </w:r>
      <w:r>
        <w:rPr>
          <w:b/>
        </w:rPr>
        <w:tab/>
      </w:r>
      <w:r>
        <w:rPr>
          <w:b/>
        </w:rPr>
        <w:tab/>
      </w:r>
      <w:r>
        <w:rPr>
          <w:b/>
        </w:rPr>
        <w:tab/>
        <w:t>Bilaga 2</w:t>
      </w:r>
    </w:p>
    <w:p w14:paraId="02F4CDA6" w14:textId="04820CC9" w:rsidR="00C970A5" w:rsidRDefault="00C970A5" w:rsidP="001947D8">
      <w:pPr>
        <w:widowControl/>
        <w:rPr>
          <w:b/>
        </w:rPr>
      </w:pPr>
    </w:p>
    <w:p w14:paraId="0C312655" w14:textId="70A4935F" w:rsidR="00C970A5" w:rsidRDefault="00C970A5" w:rsidP="001947D8">
      <w:pPr>
        <w:widowControl/>
        <w:rPr>
          <w:b/>
        </w:rPr>
      </w:pPr>
    </w:p>
    <w:p w14:paraId="74B68D9B" w14:textId="7F518977" w:rsidR="00C970A5" w:rsidRDefault="00C970A5" w:rsidP="001947D8">
      <w:pPr>
        <w:widowControl/>
        <w:rPr>
          <w:b/>
        </w:rPr>
      </w:pPr>
    </w:p>
    <w:p w14:paraId="6C0B55BC" w14:textId="77777777" w:rsidR="00ED32BB" w:rsidRPr="00ED32BB" w:rsidRDefault="00ED32BB" w:rsidP="00ED32BB">
      <w:pPr>
        <w:keepNext/>
        <w:widowControl/>
        <w:tabs>
          <w:tab w:val="left" w:pos="284"/>
        </w:tabs>
        <w:spacing w:before="120" w:after="80"/>
        <w:outlineLvl w:val="0"/>
        <w:rPr>
          <w:rFonts w:ascii="GillSans Pro for Riksdagen Md" w:hAnsi="GillSans Pro for Riksdagen Md"/>
          <w:b/>
          <w:kern w:val="28"/>
          <w:sz w:val="28"/>
          <w:szCs w:val="36"/>
        </w:rPr>
      </w:pPr>
      <w:r w:rsidRPr="00ED32BB">
        <w:rPr>
          <w:rFonts w:ascii="GillSans Pro for Riksdagen Md" w:hAnsi="GillSans Pro for Riksdagen Md"/>
          <w:b/>
          <w:kern w:val="28"/>
          <w:sz w:val="28"/>
          <w:szCs w:val="36"/>
        </w:rPr>
        <w:t>Utskottsinitiativ</w:t>
      </w:r>
    </w:p>
    <w:p w14:paraId="09E50556" w14:textId="77777777" w:rsidR="00ED32BB" w:rsidRPr="00ED32BB" w:rsidRDefault="00ED32BB" w:rsidP="00ED32BB">
      <w:pPr>
        <w:widowControl/>
        <w:tabs>
          <w:tab w:val="left" w:pos="284"/>
        </w:tabs>
        <w:rPr>
          <w:sz w:val="22"/>
          <w:szCs w:val="36"/>
        </w:rPr>
      </w:pPr>
    </w:p>
    <w:p w14:paraId="320A676B" w14:textId="77777777" w:rsidR="00ED32BB" w:rsidRPr="00ED32BB" w:rsidRDefault="00ED32BB" w:rsidP="00ED32BB">
      <w:pPr>
        <w:keepNext/>
        <w:widowControl/>
        <w:tabs>
          <w:tab w:val="left" w:pos="284"/>
        </w:tabs>
        <w:spacing w:before="60" w:after="60" w:line="260" w:lineRule="atLeast"/>
        <w:outlineLvl w:val="1"/>
        <w:rPr>
          <w:rFonts w:ascii="GillSans Pro for Riksdagen Md" w:hAnsi="GillSans Pro for Riksdagen Md"/>
          <w:b/>
          <w:i/>
          <w:kern w:val="28"/>
          <w:sz w:val="25"/>
          <w:szCs w:val="36"/>
        </w:rPr>
      </w:pPr>
      <w:r w:rsidRPr="00ED32BB">
        <w:rPr>
          <w:rFonts w:ascii="GillSans Pro for Riksdagen Md" w:hAnsi="GillSans Pro for Riksdagen Md"/>
          <w:b/>
          <w:i/>
          <w:kern w:val="28"/>
          <w:sz w:val="25"/>
          <w:szCs w:val="36"/>
        </w:rPr>
        <w:t>Initiativ för en friare hyressättning</w:t>
      </w:r>
    </w:p>
    <w:p w14:paraId="542E5008" w14:textId="77777777" w:rsidR="00ED32BB" w:rsidRPr="00ED32BB" w:rsidRDefault="00ED32BB" w:rsidP="00ED32BB">
      <w:pPr>
        <w:widowControl/>
        <w:rPr>
          <w:sz w:val="22"/>
          <w:szCs w:val="36"/>
        </w:rPr>
      </w:pPr>
    </w:p>
    <w:p w14:paraId="0FC12CC8" w14:textId="77777777" w:rsidR="00ED32BB" w:rsidRPr="00ED32BB" w:rsidRDefault="00ED32BB" w:rsidP="00ED32BB">
      <w:pPr>
        <w:widowControl/>
        <w:rPr>
          <w:sz w:val="22"/>
          <w:szCs w:val="36"/>
          <w:u w:val="single"/>
        </w:rPr>
      </w:pPr>
      <w:r w:rsidRPr="00ED32BB">
        <w:rPr>
          <w:sz w:val="22"/>
          <w:szCs w:val="36"/>
          <w:u w:val="single"/>
        </w:rPr>
        <w:t>Förslag till beslut:</w:t>
      </w:r>
    </w:p>
    <w:p w14:paraId="00DFC163" w14:textId="77777777" w:rsidR="00ED32BB" w:rsidRPr="00ED32BB" w:rsidRDefault="00ED32BB" w:rsidP="00ED32BB">
      <w:pPr>
        <w:widowControl/>
        <w:rPr>
          <w:sz w:val="22"/>
          <w:szCs w:val="36"/>
        </w:rPr>
      </w:pPr>
      <w:r w:rsidRPr="00ED32BB">
        <w:rPr>
          <w:sz w:val="22"/>
          <w:szCs w:val="36"/>
        </w:rPr>
        <w:t>Riksdagen ställer sig bakom det som utskottet anför om att regeringen bör återkomma till riksdagen med förslag om fri hyressättning i nyproducerade hyresrätter.</w:t>
      </w:r>
    </w:p>
    <w:p w14:paraId="230AA671" w14:textId="77777777" w:rsidR="00ED32BB" w:rsidRPr="00ED32BB" w:rsidRDefault="00ED32BB" w:rsidP="00ED32BB">
      <w:pPr>
        <w:widowControl/>
        <w:rPr>
          <w:sz w:val="22"/>
          <w:szCs w:val="36"/>
        </w:rPr>
      </w:pPr>
    </w:p>
    <w:p w14:paraId="6AA00EB9" w14:textId="77777777" w:rsidR="00ED32BB" w:rsidRPr="00ED32BB" w:rsidRDefault="00ED32BB" w:rsidP="00ED32BB">
      <w:pPr>
        <w:widowControl/>
        <w:rPr>
          <w:sz w:val="22"/>
          <w:szCs w:val="36"/>
          <w:u w:val="single"/>
        </w:rPr>
      </w:pPr>
      <w:r w:rsidRPr="00ED32BB">
        <w:rPr>
          <w:sz w:val="22"/>
          <w:szCs w:val="36"/>
          <w:u w:val="single"/>
        </w:rPr>
        <w:t>Motivering:</w:t>
      </w:r>
    </w:p>
    <w:p w14:paraId="1961B41A" w14:textId="77777777" w:rsidR="00ED32BB" w:rsidRPr="00ED32BB" w:rsidRDefault="00ED32BB" w:rsidP="00ED32BB">
      <w:pPr>
        <w:widowControl/>
        <w:rPr>
          <w:sz w:val="22"/>
          <w:szCs w:val="36"/>
        </w:rPr>
      </w:pPr>
      <w:r w:rsidRPr="00ED32BB">
        <w:rPr>
          <w:sz w:val="22"/>
          <w:szCs w:val="36"/>
        </w:rPr>
        <w:t>Under våren 2020 tillsattes en utredning om fri hyressättning i nyproduktion. Våren 2021 lämnade den sitt betänkande. Därefter avstannade reformarbetet. Centerpartiet anser att reformeringen av hyressättningen behöver fortgå.</w:t>
      </w:r>
    </w:p>
    <w:p w14:paraId="5446FFFE" w14:textId="77777777" w:rsidR="00ED32BB" w:rsidRPr="00ED32BB" w:rsidRDefault="00ED32BB" w:rsidP="00ED32BB">
      <w:pPr>
        <w:widowControl/>
        <w:rPr>
          <w:sz w:val="22"/>
          <w:szCs w:val="36"/>
        </w:rPr>
      </w:pPr>
    </w:p>
    <w:p w14:paraId="42D7961B" w14:textId="77777777" w:rsidR="00ED32BB" w:rsidRPr="00ED32BB" w:rsidRDefault="00ED32BB" w:rsidP="00ED32BB">
      <w:pPr>
        <w:widowControl/>
        <w:rPr>
          <w:sz w:val="22"/>
          <w:szCs w:val="36"/>
        </w:rPr>
      </w:pPr>
      <w:r w:rsidRPr="00ED32BB">
        <w:rPr>
          <w:sz w:val="22"/>
          <w:szCs w:val="36"/>
        </w:rPr>
        <w:t>Vi har till följd av ekonomiska omständigheter ett läge där bostadsbyggandet mer eller mindre avstannat. Vi är inte i närheten av den byggtakt som Boverket pekar på att Sverige behöver för att klara behovet av nya bostäder. Brist på bostäder är dessutom inget storstadsproblem, utan är en utmaning i stora delar av landet.</w:t>
      </w:r>
    </w:p>
    <w:p w14:paraId="63A653B0" w14:textId="77777777" w:rsidR="00ED32BB" w:rsidRPr="00ED32BB" w:rsidRDefault="00ED32BB" w:rsidP="00ED32BB">
      <w:pPr>
        <w:widowControl/>
        <w:rPr>
          <w:sz w:val="22"/>
          <w:szCs w:val="36"/>
        </w:rPr>
      </w:pPr>
    </w:p>
    <w:p w14:paraId="7EE56485" w14:textId="77777777" w:rsidR="00ED32BB" w:rsidRPr="00ED32BB" w:rsidRDefault="00ED32BB" w:rsidP="00ED32BB">
      <w:pPr>
        <w:widowControl/>
        <w:rPr>
          <w:sz w:val="22"/>
          <w:szCs w:val="36"/>
        </w:rPr>
      </w:pPr>
      <w:r w:rsidRPr="00ED32BB">
        <w:rPr>
          <w:sz w:val="22"/>
          <w:szCs w:val="36"/>
        </w:rPr>
        <w:t>De ekonomiska förutsättningarna är ett viktigt skäl till varför ett system för friare hyressättning behövs. Bakgrunden till detta är svårigheten att få långsiktighet i de kalkyler som ligger till grund för bostadsbyggandet.</w:t>
      </w:r>
    </w:p>
    <w:p w14:paraId="414E3D80" w14:textId="77777777" w:rsidR="00ED32BB" w:rsidRPr="00ED32BB" w:rsidRDefault="00ED32BB" w:rsidP="00ED32BB">
      <w:pPr>
        <w:widowControl/>
        <w:rPr>
          <w:sz w:val="22"/>
          <w:szCs w:val="36"/>
        </w:rPr>
      </w:pPr>
    </w:p>
    <w:p w14:paraId="719A22A6" w14:textId="77777777" w:rsidR="00ED32BB" w:rsidRPr="00ED32BB" w:rsidRDefault="00ED32BB" w:rsidP="00ED32BB">
      <w:pPr>
        <w:widowControl/>
        <w:rPr>
          <w:sz w:val="22"/>
          <w:szCs w:val="36"/>
        </w:rPr>
      </w:pPr>
      <w:r w:rsidRPr="00ED32BB">
        <w:rPr>
          <w:sz w:val="22"/>
          <w:szCs w:val="36"/>
        </w:rPr>
        <w:t>Vid sidan av de ekonomiska realiteterna skulle ett större inslag av avtalsfrihet mellan hyresvärd och hyresgäst innebära stora möjligheter att utveckla hyresrätten som upplåtelseform.</w:t>
      </w:r>
    </w:p>
    <w:p w14:paraId="413041A0" w14:textId="77777777" w:rsidR="00ED32BB" w:rsidRPr="00ED32BB" w:rsidRDefault="00ED32BB" w:rsidP="00ED32BB">
      <w:pPr>
        <w:widowControl/>
        <w:rPr>
          <w:sz w:val="22"/>
          <w:szCs w:val="36"/>
        </w:rPr>
      </w:pPr>
    </w:p>
    <w:p w14:paraId="735272C2" w14:textId="77777777" w:rsidR="00ED32BB" w:rsidRPr="00ED32BB" w:rsidRDefault="00ED32BB" w:rsidP="00ED32BB">
      <w:pPr>
        <w:widowControl/>
        <w:rPr>
          <w:sz w:val="22"/>
          <w:szCs w:val="36"/>
        </w:rPr>
      </w:pPr>
      <w:r w:rsidRPr="00ED32BB">
        <w:rPr>
          <w:sz w:val="22"/>
          <w:szCs w:val="36"/>
        </w:rPr>
        <w:t>Det huvudsakliga syftet med en hyresreform är dock att lägga en grund för fler tillgängliga hyresrätter så att bostadsköerna kan kortas. Den bristsituation som länge rått har också påvisats hämma den ekonomiska utvecklingen när möjliga medarbetare inte kan flytta dit jobben finns på grund av att man inte kan finna en bostad inom rimlig tid. Detta är en hämsko i ett läge när Sverige ser en ny våg av industriinvesteringar som för med sig ett betydande behov av arbetskraft.</w:t>
      </w:r>
    </w:p>
    <w:p w14:paraId="3D09824D" w14:textId="77777777" w:rsidR="00ED32BB" w:rsidRPr="00ED32BB" w:rsidRDefault="00ED32BB" w:rsidP="00ED32BB">
      <w:pPr>
        <w:widowControl/>
        <w:rPr>
          <w:sz w:val="22"/>
          <w:szCs w:val="36"/>
        </w:rPr>
      </w:pPr>
    </w:p>
    <w:p w14:paraId="30D88756" w14:textId="77777777" w:rsidR="00ED32BB" w:rsidRPr="00ED32BB" w:rsidRDefault="00ED32BB" w:rsidP="00ED32BB">
      <w:pPr>
        <w:widowControl/>
        <w:rPr>
          <w:sz w:val="22"/>
          <w:szCs w:val="36"/>
        </w:rPr>
      </w:pPr>
      <w:r w:rsidRPr="00ED32BB">
        <w:rPr>
          <w:sz w:val="22"/>
          <w:szCs w:val="36"/>
        </w:rPr>
        <w:t>Fri hyressättning i nyproduktion är inte den enda reform som bostadsmarknaden behöver. Men det är en viktig pusselbit för att på sikt skapa en bättre balans på svensk bostadsmarknad. Som redan konstaterats har frågan om fri hyressättning nyligen utretts, och det skulle därför vara möjligt att genast fortsätta reformarbetet. Regeringen bör därför snarast återkomma till riksdagen med en proposition med förslag om en reformerad hyressättning i linje med vad som här anförts.</w:t>
      </w:r>
    </w:p>
    <w:p w14:paraId="7613A764" w14:textId="77777777" w:rsidR="00ED32BB" w:rsidRDefault="00ED32BB" w:rsidP="001947D8">
      <w:pPr>
        <w:widowControl/>
        <w:rPr>
          <w:b/>
        </w:rPr>
      </w:pPr>
    </w:p>
    <w:sectPr w:rsidR="00ED32BB"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B98" w14:textId="77777777" w:rsidR="002463CB" w:rsidRDefault="002463CB" w:rsidP="00AD6647">
      <w:r>
        <w:separator/>
      </w:r>
    </w:p>
  </w:endnote>
  <w:endnote w:type="continuationSeparator" w:id="0">
    <w:p w14:paraId="2F5EE447" w14:textId="77777777" w:rsidR="002463CB" w:rsidRDefault="002463CB"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A535" w14:textId="77777777" w:rsidR="002463CB" w:rsidRDefault="002463CB" w:rsidP="00AD6647">
      <w:r>
        <w:separator/>
      </w:r>
    </w:p>
  </w:footnote>
  <w:footnote w:type="continuationSeparator" w:id="0">
    <w:p w14:paraId="1B83DB95" w14:textId="77777777" w:rsidR="002463CB" w:rsidRDefault="002463CB"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8"/>
  </w:num>
  <w:num w:numId="6">
    <w:abstractNumId w:val="3"/>
  </w:num>
  <w:num w:numId="7">
    <w:abstractNumId w:val="11"/>
  </w:num>
  <w:num w:numId="8">
    <w:abstractNumId w:val="7"/>
  </w:num>
  <w:num w:numId="9">
    <w:abstractNumId w:val="6"/>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4A77"/>
    <w:rsid w:val="00004E27"/>
    <w:rsid w:val="00007A81"/>
    <w:rsid w:val="00007B4B"/>
    <w:rsid w:val="00011A79"/>
    <w:rsid w:val="00014070"/>
    <w:rsid w:val="000142DA"/>
    <w:rsid w:val="00014B9C"/>
    <w:rsid w:val="000152B7"/>
    <w:rsid w:val="00015F59"/>
    <w:rsid w:val="00016D08"/>
    <w:rsid w:val="0002111F"/>
    <w:rsid w:val="000211BD"/>
    <w:rsid w:val="000227C6"/>
    <w:rsid w:val="00022B82"/>
    <w:rsid w:val="00024885"/>
    <w:rsid w:val="0003001F"/>
    <w:rsid w:val="0003470E"/>
    <w:rsid w:val="00035486"/>
    <w:rsid w:val="000403AA"/>
    <w:rsid w:val="0004044D"/>
    <w:rsid w:val="0004242B"/>
    <w:rsid w:val="00046389"/>
    <w:rsid w:val="000468A1"/>
    <w:rsid w:val="00047866"/>
    <w:rsid w:val="00050035"/>
    <w:rsid w:val="000502BA"/>
    <w:rsid w:val="00051185"/>
    <w:rsid w:val="000535C7"/>
    <w:rsid w:val="00054112"/>
    <w:rsid w:val="0005467D"/>
    <w:rsid w:val="00060181"/>
    <w:rsid w:val="00060329"/>
    <w:rsid w:val="000615E7"/>
    <w:rsid w:val="00063679"/>
    <w:rsid w:val="00065C96"/>
    <w:rsid w:val="000666DB"/>
    <w:rsid w:val="00072744"/>
    <w:rsid w:val="00073E5B"/>
    <w:rsid w:val="0007437F"/>
    <w:rsid w:val="00074A92"/>
    <w:rsid w:val="00080CCF"/>
    <w:rsid w:val="000827EC"/>
    <w:rsid w:val="0008536E"/>
    <w:rsid w:val="000872EA"/>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5839"/>
    <w:rsid w:val="000B604B"/>
    <w:rsid w:val="000B77A9"/>
    <w:rsid w:val="000C3B91"/>
    <w:rsid w:val="000C4E1E"/>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3A61"/>
    <w:rsid w:val="0012486D"/>
    <w:rsid w:val="00131006"/>
    <w:rsid w:val="00132019"/>
    <w:rsid w:val="00132192"/>
    <w:rsid w:val="00136F36"/>
    <w:rsid w:val="00137548"/>
    <w:rsid w:val="00140136"/>
    <w:rsid w:val="00140DA8"/>
    <w:rsid w:val="00141EE8"/>
    <w:rsid w:val="0014516F"/>
    <w:rsid w:val="00146F2D"/>
    <w:rsid w:val="001477F4"/>
    <w:rsid w:val="001517DC"/>
    <w:rsid w:val="0015180D"/>
    <w:rsid w:val="00152374"/>
    <w:rsid w:val="0015525B"/>
    <w:rsid w:val="001560E3"/>
    <w:rsid w:val="00160D6A"/>
    <w:rsid w:val="00160ED5"/>
    <w:rsid w:val="0016166D"/>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376F"/>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72E1"/>
    <w:rsid w:val="001D2A2F"/>
    <w:rsid w:val="001D471D"/>
    <w:rsid w:val="001D6700"/>
    <w:rsid w:val="001E0F31"/>
    <w:rsid w:val="001E1B5B"/>
    <w:rsid w:val="001E30BB"/>
    <w:rsid w:val="001E453A"/>
    <w:rsid w:val="001E61B8"/>
    <w:rsid w:val="001E6414"/>
    <w:rsid w:val="001F040B"/>
    <w:rsid w:val="001F1BB9"/>
    <w:rsid w:val="001F23F5"/>
    <w:rsid w:val="001F42E1"/>
    <w:rsid w:val="001F5AFF"/>
    <w:rsid w:val="00200FBD"/>
    <w:rsid w:val="00201860"/>
    <w:rsid w:val="002057F3"/>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26241"/>
    <w:rsid w:val="00230E6A"/>
    <w:rsid w:val="00231D6A"/>
    <w:rsid w:val="002335AA"/>
    <w:rsid w:val="00234652"/>
    <w:rsid w:val="00236EAD"/>
    <w:rsid w:val="00237871"/>
    <w:rsid w:val="00240171"/>
    <w:rsid w:val="00242799"/>
    <w:rsid w:val="002457B2"/>
    <w:rsid w:val="002457DC"/>
    <w:rsid w:val="002457E5"/>
    <w:rsid w:val="002463CB"/>
    <w:rsid w:val="00250924"/>
    <w:rsid w:val="00250CB8"/>
    <w:rsid w:val="002522C8"/>
    <w:rsid w:val="002544E0"/>
    <w:rsid w:val="002551C1"/>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443"/>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60FE"/>
    <w:rsid w:val="002E7311"/>
    <w:rsid w:val="002F0F2F"/>
    <w:rsid w:val="002F1627"/>
    <w:rsid w:val="002F284C"/>
    <w:rsid w:val="002F31DA"/>
    <w:rsid w:val="002F33BF"/>
    <w:rsid w:val="002F3C34"/>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4B97"/>
    <w:rsid w:val="003153D0"/>
    <w:rsid w:val="00315DB3"/>
    <w:rsid w:val="00317AD2"/>
    <w:rsid w:val="00317F49"/>
    <w:rsid w:val="00320ED3"/>
    <w:rsid w:val="003222AC"/>
    <w:rsid w:val="00323112"/>
    <w:rsid w:val="00323D70"/>
    <w:rsid w:val="00332505"/>
    <w:rsid w:val="00333A4C"/>
    <w:rsid w:val="00335156"/>
    <w:rsid w:val="003363C5"/>
    <w:rsid w:val="00337C70"/>
    <w:rsid w:val="003405BC"/>
    <w:rsid w:val="00342671"/>
    <w:rsid w:val="00344181"/>
    <w:rsid w:val="0034685D"/>
    <w:rsid w:val="00346CD1"/>
    <w:rsid w:val="003510FA"/>
    <w:rsid w:val="00355A31"/>
    <w:rsid w:val="003566DD"/>
    <w:rsid w:val="00356B4F"/>
    <w:rsid w:val="00357DCA"/>
    <w:rsid w:val="00360479"/>
    <w:rsid w:val="003619AD"/>
    <w:rsid w:val="00361BD5"/>
    <w:rsid w:val="00362F9A"/>
    <w:rsid w:val="00365915"/>
    <w:rsid w:val="00370C65"/>
    <w:rsid w:val="00372F7F"/>
    <w:rsid w:val="0037495C"/>
    <w:rsid w:val="0037657F"/>
    <w:rsid w:val="00377F9C"/>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0C14"/>
    <w:rsid w:val="004124C9"/>
    <w:rsid w:val="00415695"/>
    <w:rsid w:val="0041580F"/>
    <w:rsid w:val="0041727C"/>
    <w:rsid w:val="0041735A"/>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B6AAE"/>
    <w:rsid w:val="004B772B"/>
    <w:rsid w:val="004C0DA0"/>
    <w:rsid w:val="004C2983"/>
    <w:rsid w:val="004C52F5"/>
    <w:rsid w:val="004C5D17"/>
    <w:rsid w:val="004C782D"/>
    <w:rsid w:val="004C7878"/>
    <w:rsid w:val="004D0A74"/>
    <w:rsid w:val="004D14FA"/>
    <w:rsid w:val="004D3183"/>
    <w:rsid w:val="004D4150"/>
    <w:rsid w:val="004D7167"/>
    <w:rsid w:val="004D7FEE"/>
    <w:rsid w:val="004E05D5"/>
    <w:rsid w:val="004E24F9"/>
    <w:rsid w:val="004E25A8"/>
    <w:rsid w:val="004E2630"/>
    <w:rsid w:val="004E3584"/>
    <w:rsid w:val="004E3DF4"/>
    <w:rsid w:val="004E4321"/>
    <w:rsid w:val="004E569D"/>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27BD2"/>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2C76"/>
    <w:rsid w:val="005A3E1D"/>
    <w:rsid w:val="005A56C7"/>
    <w:rsid w:val="005A5783"/>
    <w:rsid w:val="005B147D"/>
    <w:rsid w:val="005B256E"/>
    <w:rsid w:val="005B372D"/>
    <w:rsid w:val="005B3CDD"/>
    <w:rsid w:val="005B5D60"/>
    <w:rsid w:val="005C126C"/>
    <w:rsid w:val="005C1541"/>
    <w:rsid w:val="005C17C0"/>
    <w:rsid w:val="005C351D"/>
    <w:rsid w:val="005C7D58"/>
    <w:rsid w:val="005D04D9"/>
    <w:rsid w:val="005D13A5"/>
    <w:rsid w:val="005D13AD"/>
    <w:rsid w:val="005D271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46C"/>
    <w:rsid w:val="00643F2C"/>
    <w:rsid w:val="0064607A"/>
    <w:rsid w:val="00646C10"/>
    <w:rsid w:val="006614A8"/>
    <w:rsid w:val="00661EAF"/>
    <w:rsid w:val="00662F96"/>
    <w:rsid w:val="0066373A"/>
    <w:rsid w:val="006660B8"/>
    <w:rsid w:val="0067474C"/>
    <w:rsid w:val="00676B25"/>
    <w:rsid w:val="006803E7"/>
    <w:rsid w:val="006814A7"/>
    <w:rsid w:val="006823CC"/>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2DC9"/>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46D3"/>
    <w:rsid w:val="00727780"/>
    <w:rsid w:val="00730E81"/>
    <w:rsid w:val="00742212"/>
    <w:rsid w:val="007422F5"/>
    <w:rsid w:val="00744916"/>
    <w:rsid w:val="00744AF5"/>
    <w:rsid w:val="00745FE9"/>
    <w:rsid w:val="0074664F"/>
    <w:rsid w:val="00750FF0"/>
    <w:rsid w:val="007510F8"/>
    <w:rsid w:val="007533FA"/>
    <w:rsid w:val="0075365A"/>
    <w:rsid w:val="0076145B"/>
    <w:rsid w:val="00761574"/>
    <w:rsid w:val="00763199"/>
    <w:rsid w:val="00766F4B"/>
    <w:rsid w:val="00767281"/>
    <w:rsid w:val="00767BDA"/>
    <w:rsid w:val="007739D9"/>
    <w:rsid w:val="007741F5"/>
    <w:rsid w:val="007778C7"/>
    <w:rsid w:val="007779FE"/>
    <w:rsid w:val="0078109F"/>
    <w:rsid w:val="00781130"/>
    <w:rsid w:val="007828A1"/>
    <w:rsid w:val="007828AE"/>
    <w:rsid w:val="007838DC"/>
    <w:rsid w:val="00786E2B"/>
    <w:rsid w:val="00790371"/>
    <w:rsid w:val="007929F8"/>
    <w:rsid w:val="0079549C"/>
    <w:rsid w:val="00795EF8"/>
    <w:rsid w:val="007967E7"/>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5322"/>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1214"/>
    <w:rsid w:val="00812339"/>
    <w:rsid w:val="00812B29"/>
    <w:rsid w:val="00813916"/>
    <w:rsid w:val="00813EEB"/>
    <w:rsid w:val="008145FC"/>
    <w:rsid w:val="00816C5D"/>
    <w:rsid w:val="00823D6F"/>
    <w:rsid w:val="0083383F"/>
    <w:rsid w:val="00834B38"/>
    <w:rsid w:val="008366D8"/>
    <w:rsid w:val="00843005"/>
    <w:rsid w:val="008432E7"/>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544C"/>
    <w:rsid w:val="00865839"/>
    <w:rsid w:val="008708C6"/>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285"/>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07A"/>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2AB9"/>
    <w:rsid w:val="009337B2"/>
    <w:rsid w:val="009346BD"/>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D8B"/>
    <w:rsid w:val="00976C1F"/>
    <w:rsid w:val="00976D7E"/>
    <w:rsid w:val="00982260"/>
    <w:rsid w:val="0098234B"/>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1B95"/>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ED8"/>
    <w:rsid w:val="00A257C5"/>
    <w:rsid w:val="00A314AA"/>
    <w:rsid w:val="00A32B11"/>
    <w:rsid w:val="00A33C2F"/>
    <w:rsid w:val="00A33FE3"/>
    <w:rsid w:val="00A35092"/>
    <w:rsid w:val="00A37907"/>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050D"/>
    <w:rsid w:val="00A823F9"/>
    <w:rsid w:val="00A8335C"/>
    <w:rsid w:val="00A8340C"/>
    <w:rsid w:val="00A8355C"/>
    <w:rsid w:val="00A83808"/>
    <w:rsid w:val="00A83934"/>
    <w:rsid w:val="00A84C07"/>
    <w:rsid w:val="00A8525A"/>
    <w:rsid w:val="00A928A7"/>
    <w:rsid w:val="00A92DD1"/>
    <w:rsid w:val="00A94074"/>
    <w:rsid w:val="00A9471A"/>
    <w:rsid w:val="00A96460"/>
    <w:rsid w:val="00A96FE3"/>
    <w:rsid w:val="00AA1ACB"/>
    <w:rsid w:val="00AA3419"/>
    <w:rsid w:val="00AA3877"/>
    <w:rsid w:val="00AA3E8B"/>
    <w:rsid w:val="00AA41CE"/>
    <w:rsid w:val="00AA5DB3"/>
    <w:rsid w:val="00AB0FD7"/>
    <w:rsid w:val="00AB2A4D"/>
    <w:rsid w:val="00AB381B"/>
    <w:rsid w:val="00AB460B"/>
    <w:rsid w:val="00AB4858"/>
    <w:rsid w:val="00AC0BDB"/>
    <w:rsid w:val="00AC1C22"/>
    <w:rsid w:val="00AC2F53"/>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0697"/>
    <w:rsid w:val="00AF2BF0"/>
    <w:rsid w:val="00AF3CB7"/>
    <w:rsid w:val="00AF3DDD"/>
    <w:rsid w:val="00AF4134"/>
    <w:rsid w:val="00AF60A7"/>
    <w:rsid w:val="00B028B6"/>
    <w:rsid w:val="00B02CCB"/>
    <w:rsid w:val="00B05592"/>
    <w:rsid w:val="00B05D7C"/>
    <w:rsid w:val="00B10892"/>
    <w:rsid w:val="00B110EB"/>
    <w:rsid w:val="00B1251F"/>
    <w:rsid w:val="00B14BC1"/>
    <w:rsid w:val="00B159BE"/>
    <w:rsid w:val="00B16790"/>
    <w:rsid w:val="00B16AB5"/>
    <w:rsid w:val="00B22051"/>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744A6"/>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C4505"/>
    <w:rsid w:val="00BC5BE8"/>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409"/>
    <w:rsid w:val="00BF768C"/>
    <w:rsid w:val="00C00CB4"/>
    <w:rsid w:val="00C014ED"/>
    <w:rsid w:val="00C03596"/>
    <w:rsid w:val="00C0599A"/>
    <w:rsid w:val="00C05B0A"/>
    <w:rsid w:val="00C11E6C"/>
    <w:rsid w:val="00C13033"/>
    <w:rsid w:val="00C14520"/>
    <w:rsid w:val="00C210B3"/>
    <w:rsid w:val="00C220E3"/>
    <w:rsid w:val="00C22A88"/>
    <w:rsid w:val="00C23E3A"/>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56623"/>
    <w:rsid w:val="00C61546"/>
    <w:rsid w:val="00C61CCA"/>
    <w:rsid w:val="00C62D4C"/>
    <w:rsid w:val="00C637D4"/>
    <w:rsid w:val="00C6525B"/>
    <w:rsid w:val="00C659B8"/>
    <w:rsid w:val="00C674F9"/>
    <w:rsid w:val="00C675CE"/>
    <w:rsid w:val="00C67AEE"/>
    <w:rsid w:val="00C7011F"/>
    <w:rsid w:val="00C72CE6"/>
    <w:rsid w:val="00C72D4B"/>
    <w:rsid w:val="00C730EF"/>
    <w:rsid w:val="00C73311"/>
    <w:rsid w:val="00C73F1F"/>
    <w:rsid w:val="00C74837"/>
    <w:rsid w:val="00C74B6D"/>
    <w:rsid w:val="00C7561C"/>
    <w:rsid w:val="00C83D4A"/>
    <w:rsid w:val="00C85407"/>
    <w:rsid w:val="00C862CF"/>
    <w:rsid w:val="00C90C3B"/>
    <w:rsid w:val="00C90D8F"/>
    <w:rsid w:val="00C917F3"/>
    <w:rsid w:val="00C93236"/>
    <w:rsid w:val="00C93E34"/>
    <w:rsid w:val="00C970A5"/>
    <w:rsid w:val="00C97907"/>
    <w:rsid w:val="00CA3F80"/>
    <w:rsid w:val="00CA6DD4"/>
    <w:rsid w:val="00CB002D"/>
    <w:rsid w:val="00CB2930"/>
    <w:rsid w:val="00CB51D2"/>
    <w:rsid w:val="00CB54BA"/>
    <w:rsid w:val="00CC3328"/>
    <w:rsid w:val="00CC419A"/>
    <w:rsid w:val="00CC4C93"/>
    <w:rsid w:val="00CC5F6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6CBB"/>
    <w:rsid w:val="00D075A3"/>
    <w:rsid w:val="00D078BC"/>
    <w:rsid w:val="00D1093D"/>
    <w:rsid w:val="00D13D09"/>
    <w:rsid w:val="00D20542"/>
    <w:rsid w:val="00D23CC6"/>
    <w:rsid w:val="00D24EF6"/>
    <w:rsid w:val="00D2768E"/>
    <w:rsid w:val="00D31D4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11D"/>
    <w:rsid w:val="00D5629D"/>
    <w:rsid w:val="00D56BCC"/>
    <w:rsid w:val="00D57C30"/>
    <w:rsid w:val="00D615B9"/>
    <w:rsid w:val="00D62813"/>
    <w:rsid w:val="00D63252"/>
    <w:rsid w:val="00D668DD"/>
    <w:rsid w:val="00D67D67"/>
    <w:rsid w:val="00D67DCA"/>
    <w:rsid w:val="00D711B5"/>
    <w:rsid w:val="00D72569"/>
    <w:rsid w:val="00D75215"/>
    <w:rsid w:val="00D7770E"/>
    <w:rsid w:val="00D77805"/>
    <w:rsid w:val="00D80363"/>
    <w:rsid w:val="00D82F03"/>
    <w:rsid w:val="00D8398D"/>
    <w:rsid w:val="00D84C9E"/>
    <w:rsid w:val="00D862EE"/>
    <w:rsid w:val="00D8714B"/>
    <w:rsid w:val="00D94175"/>
    <w:rsid w:val="00D97624"/>
    <w:rsid w:val="00DA066D"/>
    <w:rsid w:val="00DA1D54"/>
    <w:rsid w:val="00DA3B2C"/>
    <w:rsid w:val="00DA43C5"/>
    <w:rsid w:val="00DA462D"/>
    <w:rsid w:val="00DA72D5"/>
    <w:rsid w:val="00DB0378"/>
    <w:rsid w:val="00DB123A"/>
    <w:rsid w:val="00DB135D"/>
    <w:rsid w:val="00DB2404"/>
    <w:rsid w:val="00DB4534"/>
    <w:rsid w:val="00DB706F"/>
    <w:rsid w:val="00DB7C77"/>
    <w:rsid w:val="00DC04E7"/>
    <w:rsid w:val="00DC2075"/>
    <w:rsid w:val="00DC2569"/>
    <w:rsid w:val="00DC40CE"/>
    <w:rsid w:val="00DC4529"/>
    <w:rsid w:val="00DC5151"/>
    <w:rsid w:val="00DC5CB1"/>
    <w:rsid w:val="00DC615A"/>
    <w:rsid w:val="00DC6897"/>
    <w:rsid w:val="00DC6D97"/>
    <w:rsid w:val="00DC7DF7"/>
    <w:rsid w:val="00DD0161"/>
    <w:rsid w:val="00DD0227"/>
    <w:rsid w:val="00DD118A"/>
    <w:rsid w:val="00DD3014"/>
    <w:rsid w:val="00DD49DF"/>
    <w:rsid w:val="00DD4F12"/>
    <w:rsid w:val="00DD5844"/>
    <w:rsid w:val="00DD6FAA"/>
    <w:rsid w:val="00DD7785"/>
    <w:rsid w:val="00DE0912"/>
    <w:rsid w:val="00DE1771"/>
    <w:rsid w:val="00DE3DB9"/>
    <w:rsid w:val="00DE50F0"/>
    <w:rsid w:val="00DE54AF"/>
    <w:rsid w:val="00DE54DD"/>
    <w:rsid w:val="00DE5E6B"/>
    <w:rsid w:val="00DE6912"/>
    <w:rsid w:val="00DE7817"/>
    <w:rsid w:val="00DF10D2"/>
    <w:rsid w:val="00DF1362"/>
    <w:rsid w:val="00E004C0"/>
    <w:rsid w:val="00E012FE"/>
    <w:rsid w:val="00E02462"/>
    <w:rsid w:val="00E02CB3"/>
    <w:rsid w:val="00E036C4"/>
    <w:rsid w:val="00E03E73"/>
    <w:rsid w:val="00E05CBD"/>
    <w:rsid w:val="00E05D33"/>
    <w:rsid w:val="00E065C3"/>
    <w:rsid w:val="00E0667B"/>
    <w:rsid w:val="00E102B9"/>
    <w:rsid w:val="00E10B03"/>
    <w:rsid w:val="00E114BC"/>
    <w:rsid w:val="00E12564"/>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515DF"/>
    <w:rsid w:val="00E62E1F"/>
    <w:rsid w:val="00E64074"/>
    <w:rsid w:val="00E6422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A52AD"/>
    <w:rsid w:val="00EA7BB9"/>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2BB"/>
    <w:rsid w:val="00ED335D"/>
    <w:rsid w:val="00ED4003"/>
    <w:rsid w:val="00ED578F"/>
    <w:rsid w:val="00ED588F"/>
    <w:rsid w:val="00ED68C1"/>
    <w:rsid w:val="00ED68F3"/>
    <w:rsid w:val="00EE40FC"/>
    <w:rsid w:val="00EE485D"/>
    <w:rsid w:val="00EE7F25"/>
    <w:rsid w:val="00EF09BA"/>
    <w:rsid w:val="00EF0EA5"/>
    <w:rsid w:val="00EF1B6A"/>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335E"/>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A62F2"/>
    <w:rsid w:val="00FB2A0F"/>
    <w:rsid w:val="00FB2BA9"/>
    <w:rsid w:val="00FB4FA4"/>
    <w:rsid w:val="00FB5151"/>
    <w:rsid w:val="00FB77C3"/>
    <w:rsid w:val="00FC0925"/>
    <w:rsid w:val="00FC1C61"/>
    <w:rsid w:val="00FC247D"/>
    <w:rsid w:val="00FC4753"/>
    <w:rsid w:val="00FC5B1B"/>
    <w:rsid w:val="00FD13A3"/>
    <w:rsid w:val="00FD1F20"/>
    <w:rsid w:val="00FD36C3"/>
    <w:rsid w:val="00FD3D8C"/>
    <w:rsid w:val="00FD7115"/>
    <w:rsid w:val="00FE0868"/>
    <w:rsid w:val="00FE0D25"/>
    <w:rsid w:val="00FE0D9E"/>
    <w:rsid w:val="00FE3C86"/>
    <w:rsid w:val="00FE3E45"/>
    <w:rsid w:val="00FE6D09"/>
    <w:rsid w:val="00FF01B7"/>
    <w:rsid w:val="00FF0E81"/>
    <w:rsid w:val="00FF0EE3"/>
    <w:rsid w:val="00FF0F01"/>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character" w:customStyle="1" w:styleId="Rubrik1Char">
    <w:name w:val="Rubrik 1 Char"/>
    <w:basedOn w:val="Standardstycketeckensnitt"/>
    <w:link w:val="Rubrik1"/>
    <w:rsid w:val="00C970A5"/>
    <w:rPr>
      <w:b/>
      <w:kern w:val="36"/>
      <w:sz w:val="48"/>
    </w:rPr>
  </w:style>
  <w:style w:type="character" w:customStyle="1" w:styleId="Rubrik2Char">
    <w:name w:val="Rubrik 2 Char"/>
    <w:basedOn w:val="Standardstycketeckensnitt"/>
    <w:link w:val="Rubrik2"/>
    <w:rsid w:val="00C970A5"/>
    <w:rPr>
      <w:b/>
      <w:kern w:val="3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5263</Characters>
  <Application>Microsoft Office Word</Application>
  <DocSecurity>0</DocSecurity>
  <Lines>1052</Lines>
  <Paragraphs>186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2023-10-24T05:39:00Z</cp:lastPrinted>
  <dcterms:created xsi:type="dcterms:W3CDTF">2023-12-07T11:41:00Z</dcterms:created>
  <dcterms:modified xsi:type="dcterms:W3CDTF">2023-12-07T11:42:00Z</dcterms:modified>
</cp:coreProperties>
</file>