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EB4B3F">
        <w:t>3307</w:t>
      </w:r>
      <w:r w:rsidR="002E3B39">
        <w:t xml:space="preserve"> </w:t>
      </w:r>
      <w:r w:rsidR="00EB4B3F">
        <w:t>Stenkastning mot danska bilar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EB4B3F">
                <w:t>02551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Ju2021/02551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f145cdac-9a34-4ab1-905b-df4a25a8c315</RD_Svarsid>
  </documentManagement>
</p:properties>
</file>

<file path=customXml/itemProps1.xml><?xml version="1.0" encoding="utf-8"?>
<ds:datastoreItem xmlns:ds="http://schemas.openxmlformats.org/officeDocument/2006/customXml" ds:itemID="{9A76E80C-C9EE-4804-99A0-F653E6875B35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3307.docx</dc:title>
  <cp:revision>6</cp:revision>
  <cp:lastPrinted>2020-09-01T07:09:00Z</cp:lastPrinted>
  <dcterms:created xsi:type="dcterms:W3CDTF">2021-06-29T07:11:00Z</dcterms:created>
  <dcterms:modified xsi:type="dcterms:W3CDTF">2021-06-30T08:44:00Z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