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F3196" w:rsidTr="001D63FD">
        <w:tblPrEx>
          <w:tblCellMar>
            <w:top w:w="0" w:type="dxa"/>
            <w:bottom w:w="0" w:type="dxa"/>
          </w:tblCellMar>
        </w:tblPrEx>
        <w:tc>
          <w:tcPr>
            <w:tcW w:w="2268" w:type="dxa"/>
          </w:tcPr>
          <w:p w:rsidR="006E4E11" w:rsidRPr="004F319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F3196" w:rsidRDefault="006E4E11" w:rsidP="007242A3">
            <w:pPr>
              <w:framePr w:w="5035" w:h="1644" w:wrap="notBeside" w:vAnchor="page" w:hAnchor="page" w:x="6573" w:y="721"/>
              <w:rPr>
                <w:rFonts w:ascii="TradeGothic" w:hAnsi="TradeGothic"/>
                <w:i/>
                <w:sz w:val="18"/>
              </w:rPr>
            </w:pPr>
          </w:p>
        </w:tc>
      </w:tr>
      <w:tr w:rsidR="001D63FD" w:rsidRPr="004F3196" w:rsidTr="001D63FD">
        <w:tblPrEx>
          <w:tblCellMar>
            <w:top w:w="0" w:type="dxa"/>
            <w:bottom w:w="0" w:type="dxa"/>
          </w:tblCellMar>
        </w:tblPrEx>
        <w:tc>
          <w:tcPr>
            <w:tcW w:w="5267" w:type="dxa"/>
            <w:gridSpan w:val="3"/>
          </w:tcPr>
          <w:p w:rsidR="001D63FD" w:rsidRPr="004F3196" w:rsidRDefault="001D63FD" w:rsidP="007242A3">
            <w:pPr>
              <w:framePr w:w="5035" w:h="1644" w:wrap="notBeside" w:vAnchor="page" w:hAnchor="page" w:x="6573" w:y="721"/>
              <w:rPr>
                <w:rFonts w:ascii="TradeGothic" w:hAnsi="TradeGothic"/>
                <w:b/>
                <w:sz w:val="22"/>
              </w:rPr>
            </w:pPr>
            <w:r w:rsidRPr="004F3196">
              <w:rPr>
                <w:rFonts w:ascii="TradeGothic" w:hAnsi="TradeGothic"/>
                <w:b/>
                <w:sz w:val="22"/>
              </w:rPr>
              <w:t>Rådspromemoria</w:t>
            </w:r>
          </w:p>
        </w:tc>
      </w:tr>
      <w:tr w:rsidR="006E4E11" w:rsidRPr="004F3196" w:rsidTr="001D63FD">
        <w:tblPrEx>
          <w:tblCellMar>
            <w:top w:w="0" w:type="dxa"/>
            <w:bottom w:w="0" w:type="dxa"/>
          </w:tblCellMar>
        </w:tblPrEx>
        <w:tc>
          <w:tcPr>
            <w:tcW w:w="3402" w:type="dxa"/>
            <w:gridSpan w:val="2"/>
          </w:tcPr>
          <w:p w:rsidR="006E4E11" w:rsidRPr="004F3196" w:rsidRDefault="006E4E11" w:rsidP="007242A3">
            <w:pPr>
              <w:framePr w:w="5035" w:h="1644" w:wrap="notBeside" w:vAnchor="page" w:hAnchor="page" w:x="6573" w:y="721"/>
            </w:pPr>
          </w:p>
        </w:tc>
        <w:tc>
          <w:tcPr>
            <w:tcW w:w="1865" w:type="dxa"/>
          </w:tcPr>
          <w:p w:rsidR="006E4E11" w:rsidRPr="004F3196" w:rsidRDefault="006E4E11" w:rsidP="007242A3">
            <w:pPr>
              <w:framePr w:w="5035" w:h="1644" w:wrap="notBeside" w:vAnchor="page" w:hAnchor="page" w:x="6573" w:y="721"/>
            </w:pPr>
          </w:p>
        </w:tc>
      </w:tr>
      <w:tr w:rsidR="006E4E11" w:rsidRPr="004F3196" w:rsidTr="001D63FD">
        <w:tblPrEx>
          <w:tblCellMar>
            <w:top w:w="0" w:type="dxa"/>
            <w:bottom w:w="0" w:type="dxa"/>
          </w:tblCellMar>
        </w:tblPrEx>
        <w:tc>
          <w:tcPr>
            <w:tcW w:w="2268" w:type="dxa"/>
          </w:tcPr>
          <w:p w:rsidR="006E4E11" w:rsidRPr="004F3196" w:rsidRDefault="00A26980" w:rsidP="007242A3">
            <w:pPr>
              <w:framePr w:w="5035" w:h="1644" w:wrap="notBeside" w:vAnchor="page" w:hAnchor="page" w:x="6573" w:y="721"/>
            </w:pPr>
            <w:r w:rsidRPr="004F3196">
              <w:t>2010-0</w:t>
            </w:r>
            <w:r w:rsidR="00BA5A6D" w:rsidRPr="004F3196">
              <w:t>5-</w:t>
            </w:r>
            <w:r w:rsidR="009C2E95" w:rsidRPr="004F3196">
              <w:t>24</w:t>
            </w:r>
          </w:p>
        </w:tc>
        <w:tc>
          <w:tcPr>
            <w:tcW w:w="2999" w:type="dxa"/>
            <w:gridSpan w:val="2"/>
          </w:tcPr>
          <w:p w:rsidR="006E4E11" w:rsidRPr="004F3196" w:rsidRDefault="006E4E11" w:rsidP="007242A3">
            <w:pPr>
              <w:framePr w:w="5035" w:h="1644" w:wrap="notBeside" w:vAnchor="page" w:hAnchor="page" w:x="6573" w:y="721"/>
            </w:pPr>
          </w:p>
        </w:tc>
      </w:tr>
      <w:tr w:rsidR="006E4E11" w:rsidRPr="004F3196" w:rsidTr="001D63FD">
        <w:tblPrEx>
          <w:tblCellMar>
            <w:top w:w="0" w:type="dxa"/>
            <w:bottom w:w="0" w:type="dxa"/>
          </w:tblCellMar>
        </w:tblPrEx>
        <w:tc>
          <w:tcPr>
            <w:tcW w:w="2268" w:type="dxa"/>
          </w:tcPr>
          <w:p w:rsidR="006E4E11" w:rsidRPr="004F3196" w:rsidRDefault="006E4E11" w:rsidP="007242A3">
            <w:pPr>
              <w:framePr w:w="5035" w:h="1644" w:wrap="notBeside" w:vAnchor="page" w:hAnchor="page" w:x="6573" w:y="721"/>
            </w:pPr>
          </w:p>
        </w:tc>
        <w:tc>
          <w:tcPr>
            <w:tcW w:w="2999" w:type="dxa"/>
            <w:gridSpan w:val="2"/>
          </w:tcPr>
          <w:p w:rsidR="006E4E11" w:rsidRPr="004F319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F3196">
        <w:tblPrEx>
          <w:tblCellMar>
            <w:top w:w="0" w:type="dxa"/>
            <w:bottom w:w="0" w:type="dxa"/>
          </w:tblCellMar>
        </w:tblPrEx>
        <w:trPr>
          <w:trHeight w:val="284"/>
        </w:trPr>
        <w:tc>
          <w:tcPr>
            <w:tcW w:w="4911" w:type="dxa"/>
          </w:tcPr>
          <w:p w:rsidR="006E4E11" w:rsidRPr="004F3196" w:rsidRDefault="001D63FD">
            <w:pPr>
              <w:pStyle w:val="Avsndare"/>
              <w:framePr w:h="2483" w:wrap="notBeside" w:x="1504"/>
              <w:rPr>
                <w:b/>
                <w:i w:val="0"/>
                <w:sz w:val="22"/>
              </w:rPr>
            </w:pPr>
            <w:r w:rsidRPr="004F3196">
              <w:rPr>
                <w:b/>
                <w:i w:val="0"/>
                <w:sz w:val="22"/>
              </w:rPr>
              <w:t>Justitiedepartementet</w:t>
            </w: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r w:rsidR="006E4E11" w:rsidRPr="004F3196">
        <w:tblPrEx>
          <w:tblCellMar>
            <w:top w:w="0" w:type="dxa"/>
            <w:bottom w:w="0" w:type="dxa"/>
          </w:tblCellMar>
        </w:tblPrEx>
        <w:trPr>
          <w:trHeight w:val="284"/>
        </w:trPr>
        <w:tc>
          <w:tcPr>
            <w:tcW w:w="4911" w:type="dxa"/>
          </w:tcPr>
          <w:p w:rsidR="00A847D7" w:rsidRPr="004F3196" w:rsidRDefault="00A847D7">
            <w:pPr>
              <w:pStyle w:val="Avsndare"/>
              <w:framePr w:h="2483" w:wrap="notBeside" w:x="1504"/>
              <w:rPr>
                <w:bCs/>
                <w:iCs/>
              </w:rPr>
            </w:pPr>
            <w:r w:rsidRPr="004F3196">
              <w:rPr>
                <w:bCs/>
                <w:iCs/>
              </w:rPr>
              <w:t xml:space="preserve">Enheten för brottmålsärenden och </w:t>
            </w:r>
          </w:p>
          <w:p w:rsidR="006E4E11" w:rsidRPr="004F3196" w:rsidRDefault="00A847D7">
            <w:pPr>
              <w:pStyle w:val="Avsndare"/>
              <w:framePr w:h="2483" w:wrap="notBeside" w:x="1504"/>
              <w:rPr>
                <w:bCs/>
                <w:iCs/>
              </w:rPr>
            </w:pPr>
            <w:r w:rsidRPr="004F3196">
              <w:rPr>
                <w:bCs/>
                <w:iCs/>
              </w:rPr>
              <w:t>internationellt rättsligt samarbete (BIRS)</w:t>
            </w: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r w:rsidR="006E4E11" w:rsidRPr="004F3196">
        <w:tblPrEx>
          <w:tblCellMar>
            <w:top w:w="0" w:type="dxa"/>
            <w:bottom w:w="0" w:type="dxa"/>
          </w:tblCellMar>
        </w:tblPrEx>
        <w:trPr>
          <w:trHeight w:val="284"/>
        </w:trPr>
        <w:tc>
          <w:tcPr>
            <w:tcW w:w="4911" w:type="dxa"/>
          </w:tcPr>
          <w:p w:rsidR="006E4E11" w:rsidRPr="004F3196" w:rsidRDefault="006E4E11">
            <w:pPr>
              <w:pStyle w:val="Avsndare"/>
              <w:framePr w:h="2483" w:wrap="notBeside" w:x="1504"/>
              <w:rPr>
                <w:bCs/>
                <w:iCs/>
              </w:rPr>
            </w:pPr>
          </w:p>
        </w:tc>
      </w:tr>
    </w:tbl>
    <w:p w:rsidR="006E4E11" w:rsidRPr="004F3196" w:rsidRDefault="006E4E11">
      <w:pPr>
        <w:framePr w:w="4400" w:h="2523" w:wrap="notBeside" w:vAnchor="page" w:hAnchor="page" w:x="6453" w:y="2445"/>
        <w:ind w:left="142"/>
        <w:rPr>
          <w:b/>
        </w:rPr>
      </w:pPr>
    </w:p>
    <w:p w:rsidR="001D63FD" w:rsidRPr="004F3196" w:rsidRDefault="00BE4E22">
      <w:pPr>
        <w:pStyle w:val="RKrubrik"/>
        <w:pBdr>
          <w:bottom w:val="single" w:sz="6" w:space="1" w:color="auto"/>
        </w:pBdr>
      </w:pPr>
      <w:bookmarkStart w:id="0" w:name="bRubrik"/>
      <w:bookmarkEnd w:id="0"/>
      <w:r w:rsidRPr="004F3196">
        <w:t>Rådets möte</w:t>
      </w:r>
      <w:r w:rsidR="001D63FD" w:rsidRPr="004F3196">
        <w:t xml:space="preserve"> </w:t>
      </w:r>
      <w:r w:rsidR="00A205D3" w:rsidRPr="004F3196">
        <w:t xml:space="preserve">(rättsliga och inrikes frågor) </w:t>
      </w:r>
      <w:r w:rsidR="001D63FD" w:rsidRPr="004F3196">
        <w:t xml:space="preserve">den </w:t>
      </w:r>
      <w:r w:rsidR="00BA5A6D" w:rsidRPr="004F3196">
        <w:t>3–4 juni</w:t>
      </w:r>
      <w:r w:rsidRPr="004F3196">
        <w:t xml:space="preserve"> 2010</w:t>
      </w:r>
    </w:p>
    <w:p w:rsidR="001D63FD" w:rsidRPr="004F3196" w:rsidRDefault="001D63FD">
      <w:pPr>
        <w:pStyle w:val="RKnormal"/>
      </w:pPr>
    </w:p>
    <w:p w:rsidR="001D63FD" w:rsidRPr="004F3196" w:rsidRDefault="00962FF0">
      <w:pPr>
        <w:pStyle w:val="RKnormal"/>
      </w:pPr>
      <w:r w:rsidRPr="004F3196">
        <w:t xml:space="preserve">Dagordningspunkt </w:t>
      </w:r>
      <w:r w:rsidR="00A205D3" w:rsidRPr="004F3196">
        <w:t>4</w:t>
      </w:r>
    </w:p>
    <w:p w:rsidR="001D63FD" w:rsidRPr="004F3196" w:rsidRDefault="001D63FD">
      <w:pPr>
        <w:pStyle w:val="RKnormal"/>
      </w:pPr>
    </w:p>
    <w:p w:rsidR="001D63FD" w:rsidRPr="004F3196" w:rsidRDefault="00A205D3">
      <w:pPr>
        <w:pStyle w:val="RKnormal"/>
      </w:pPr>
      <w:r w:rsidRPr="004F3196">
        <w:t xml:space="preserve">Rubrik: </w:t>
      </w:r>
      <w:r w:rsidR="00BE4E22" w:rsidRPr="004F3196">
        <w:t>Förslag</w:t>
      </w:r>
      <w:r w:rsidR="002D031F" w:rsidRPr="004F3196">
        <w:t xml:space="preserve"> </w:t>
      </w:r>
      <w:r w:rsidR="00BE4E22" w:rsidRPr="004F3196">
        <w:t xml:space="preserve">till direktiv om en europeisk skyddsorder </w:t>
      </w:r>
    </w:p>
    <w:p w:rsidR="001D63FD" w:rsidRPr="004F3196" w:rsidRDefault="001D63FD">
      <w:pPr>
        <w:pStyle w:val="RKnormal"/>
      </w:pPr>
    </w:p>
    <w:p w:rsidR="001D63FD" w:rsidRPr="004F3196" w:rsidRDefault="001D63FD">
      <w:pPr>
        <w:pStyle w:val="RKnormal"/>
      </w:pPr>
      <w:r w:rsidRPr="004F3196">
        <w:t>Dokument:</w:t>
      </w:r>
      <w:r w:rsidR="00BE4E22" w:rsidRPr="004F3196">
        <w:t xml:space="preserve"> har ännu inte distribuerats </w:t>
      </w:r>
    </w:p>
    <w:p w:rsidR="001D63FD" w:rsidRPr="004F3196" w:rsidRDefault="001D63FD">
      <w:pPr>
        <w:pStyle w:val="RKnormal"/>
      </w:pPr>
    </w:p>
    <w:p w:rsidR="00831AC7" w:rsidRPr="004F3196" w:rsidRDefault="00BE4E22">
      <w:pPr>
        <w:pStyle w:val="RKnormal"/>
      </w:pPr>
      <w:r w:rsidRPr="004F3196">
        <w:t xml:space="preserve">Tidigare dokument: </w:t>
      </w:r>
    </w:p>
    <w:p w:rsidR="00831AC7" w:rsidRPr="004F3196" w:rsidRDefault="00BA5A6D">
      <w:pPr>
        <w:pStyle w:val="RKnormal"/>
      </w:pPr>
      <w:r w:rsidRPr="004F3196">
        <w:t xml:space="preserve">Dok. 9599/10, </w:t>
      </w:r>
      <w:r w:rsidR="00A26980" w:rsidRPr="004F3196">
        <w:t xml:space="preserve">COPEN </w:t>
      </w:r>
      <w:r w:rsidRPr="004F3196">
        <w:t>120/</w:t>
      </w:r>
      <w:r w:rsidR="00A26980" w:rsidRPr="004F3196">
        <w:t xml:space="preserve">CODEC </w:t>
      </w:r>
      <w:r w:rsidRPr="004F3196">
        <w:t>413</w:t>
      </w:r>
      <w:r w:rsidR="00A26980" w:rsidRPr="004F3196">
        <w:t xml:space="preserve"> </w:t>
      </w:r>
      <w:r w:rsidR="00831AC7" w:rsidRPr="004F3196">
        <w:t>(senaste versionen av direktivet)</w:t>
      </w:r>
    </w:p>
    <w:p w:rsidR="00BE4E22" w:rsidRPr="004F3196" w:rsidRDefault="00BE4E22">
      <w:pPr>
        <w:pStyle w:val="RKnormal"/>
      </w:pPr>
    </w:p>
    <w:p w:rsidR="00BE4E22" w:rsidRPr="004F3196" w:rsidRDefault="00BE4E22">
      <w:pPr>
        <w:pStyle w:val="RKnormal"/>
      </w:pPr>
      <w:r w:rsidRPr="004F3196">
        <w:t>Fakta-PM: Justitie</w:t>
      </w:r>
      <w:r w:rsidR="001D63FD" w:rsidRPr="004F3196">
        <w:t>dep</w:t>
      </w:r>
      <w:r w:rsidRPr="004F3196">
        <w:t xml:space="preserve">artementet </w:t>
      </w:r>
      <w:r w:rsidR="001D63FD" w:rsidRPr="004F3196">
        <w:t>200</w:t>
      </w:r>
      <w:r w:rsidRPr="004F3196">
        <w:t>9/10:FPM</w:t>
      </w:r>
    </w:p>
    <w:p w:rsidR="00BE4E22" w:rsidRPr="004F3196" w:rsidRDefault="00BE4E22">
      <w:pPr>
        <w:pStyle w:val="RKnormal"/>
      </w:pPr>
    </w:p>
    <w:p w:rsidR="001D63FD" w:rsidRPr="004F3196" w:rsidRDefault="00A26980">
      <w:pPr>
        <w:pStyle w:val="RKnormal"/>
      </w:pPr>
      <w:r w:rsidRPr="004F3196">
        <w:t xml:space="preserve">Tidigare behandlad vid samråd med EU-nämnden: </w:t>
      </w:r>
      <w:r w:rsidR="00BA5A6D" w:rsidRPr="004F3196">
        <w:t xml:space="preserve">den </w:t>
      </w:r>
      <w:r w:rsidRPr="004F3196">
        <w:t>19 februari 2010</w:t>
      </w:r>
      <w:r w:rsidR="00BA5A6D" w:rsidRPr="004F3196">
        <w:t xml:space="preserve"> och den 16 april 2010</w:t>
      </w:r>
    </w:p>
    <w:p w:rsidR="001D63FD" w:rsidRPr="004F3196" w:rsidRDefault="001D63FD">
      <w:pPr>
        <w:pStyle w:val="RKrubrik"/>
      </w:pPr>
      <w:r w:rsidRPr="004F3196">
        <w:t>Bakgrund (inkl. syftet med behandlingen i rådet)</w:t>
      </w:r>
    </w:p>
    <w:p w:rsidR="00ED4219" w:rsidRPr="004F3196" w:rsidRDefault="00E70089" w:rsidP="00D8578C">
      <w:pPr>
        <w:pStyle w:val="RKnormal"/>
      </w:pPr>
      <w:r w:rsidRPr="004F3196">
        <w:t xml:space="preserve">Spanien har tillsammans med </w:t>
      </w:r>
      <w:r w:rsidR="00450B5E" w:rsidRPr="004F3196">
        <w:t xml:space="preserve">ett flertal medlemsstater, däribland </w:t>
      </w:r>
      <w:r w:rsidRPr="004F3196">
        <w:t>Sverige</w:t>
      </w:r>
      <w:r w:rsidR="00450B5E" w:rsidRPr="004F3196">
        <w:t>,</w:t>
      </w:r>
      <w:r w:rsidRPr="004F3196">
        <w:t xml:space="preserve"> lagt fram ett förslag till </w:t>
      </w:r>
      <w:r w:rsidR="00450B5E" w:rsidRPr="004F3196">
        <w:t xml:space="preserve">ett </w:t>
      </w:r>
      <w:r w:rsidRPr="004F3196">
        <w:t xml:space="preserve">direktiv </w:t>
      </w:r>
      <w:r w:rsidR="00295017" w:rsidRPr="004F3196">
        <w:t>om en europeisk skyddsorder</w:t>
      </w:r>
      <w:r w:rsidRPr="004F3196">
        <w:t>. Direk</w:t>
      </w:r>
      <w:r w:rsidR="00450B5E" w:rsidRPr="004F3196">
        <w:softHyphen/>
      </w:r>
      <w:r w:rsidRPr="004F3196">
        <w:t>tivet ska göra det möjligt att överföra vad som i svensk rätt närmast mot</w:t>
      </w:r>
      <w:r w:rsidR="00450B5E" w:rsidRPr="004F3196">
        <w:softHyphen/>
      </w:r>
      <w:r w:rsidRPr="004F3196">
        <w:t>svaras av besöksförbud, och vissa andra åtgärder som har beslutats för att skydda en hotad person, från en medlemsstat till en annan, när den hota</w:t>
      </w:r>
      <w:r w:rsidR="00450B5E" w:rsidRPr="004F3196">
        <w:softHyphen/>
      </w:r>
      <w:r w:rsidRPr="004F3196">
        <w:t xml:space="preserve">de personen flyttar </w:t>
      </w:r>
      <w:r w:rsidR="00450B5E" w:rsidRPr="004F3196">
        <w:t>till en annan stat</w:t>
      </w:r>
      <w:r w:rsidRPr="004F3196">
        <w:t xml:space="preserve">. Syftet med direktivet är att </w:t>
      </w:r>
      <w:r w:rsidR="00450B5E" w:rsidRPr="004F3196">
        <w:t>öka</w:t>
      </w:r>
      <w:r w:rsidRPr="004F3196">
        <w:t xml:space="preserve"> skyddet för brottsoffer eller personer som riskerar att utsättas för brott, i praktiken ofta kvinnor som lever under hot från en tidigare partner, och att göra det möjligt för dem att flytta mellan medlemsstaterna </w:t>
      </w:r>
      <w:r w:rsidR="00450B5E" w:rsidRPr="004F3196">
        <w:t>sam</w:t>
      </w:r>
      <w:r w:rsidR="00450B5E" w:rsidRPr="004F3196">
        <w:softHyphen/>
        <w:t xml:space="preserve">tidigt </w:t>
      </w:r>
      <w:r w:rsidR="003563F7" w:rsidRPr="004F3196">
        <w:t>s</w:t>
      </w:r>
      <w:r w:rsidR="00450B5E" w:rsidRPr="004F3196">
        <w:t>om de</w:t>
      </w:r>
      <w:r w:rsidRPr="004F3196">
        <w:t xml:space="preserve"> åtgärd</w:t>
      </w:r>
      <w:r w:rsidR="00450B5E" w:rsidRPr="004F3196">
        <w:t>er</w:t>
      </w:r>
      <w:r w:rsidRPr="004F3196">
        <w:t xml:space="preserve"> som ha</w:t>
      </w:r>
      <w:r w:rsidR="00450B5E" w:rsidRPr="004F3196">
        <w:t>r meddelats för att skydda dem kvarstår.</w:t>
      </w:r>
    </w:p>
    <w:p w:rsidR="00ED4219" w:rsidRPr="004F3196" w:rsidRDefault="00ED4219" w:rsidP="00D8578C">
      <w:pPr>
        <w:pStyle w:val="RKnormal"/>
      </w:pPr>
    </w:p>
    <w:p w:rsidR="004E5629" w:rsidRPr="004F3196" w:rsidRDefault="001804C0" w:rsidP="00D8578C">
      <w:pPr>
        <w:pStyle w:val="RKnormal"/>
      </w:pPr>
      <w:r w:rsidRPr="004F3196">
        <w:t xml:space="preserve">Förhandlingar om förslaget inleddes i januari i </w:t>
      </w:r>
      <w:r w:rsidR="00E75D36" w:rsidRPr="004F3196">
        <w:t xml:space="preserve">år </w:t>
      </w:r>
      <w:r w:rsidR="00F1089E" w:rsidRPr="004F3196">
        <w:t xml:space="preserve">på </w:t>
      </w:r>
      <w:r w:rsidRPr="004F3196">
        <w:t>rådsarbets</w:t>
      </w:r>
      <w:r w:rsidR="00E75D36" w:rsidRPr="004F3196">
        <w:softHyphen/>
      </w:r>
      <w:r w:rsidRPr="004F3196">
        <w:t>grupp</w:t>
      </w:r>
      <w:r w:rsidR="00F1089E" w:rsidRPr="004F3196">
        <w:t>s</w:t>
      </w:r>
      <w:r w:rsidR="00E75D36" w:rsidRPr="004F3196">
        <w:softHyphen/>
      </w:r>
      <w:r w:rsidR="00F1089E" w:rsidRPr="004F3196">
        <w:t>nivå</w:t>
      </w:r>
      <w:r w:rsidR="00A76B70" w:rsidRPr="004F3196">
        <w:t xml:space="preserve"> och </w:t>
      </w:r>
      <w:r w:rsidR="004E5629" w:rsidRPr="004F3196">
        <w:t xml:space="preserve">ett flertal möten har </w:t>
      </w:r>
      <w:r w:rsidR="00A76B70" w:rsidRPr="004F3196">
        <w:t>hållits</w:t>
      </w:r>
      <w:r w:rsidRPr="004F3196">
        <w:t xml:space="preserve">. </w:t>
      </w:r>
      <w:r w:rsidR="004E5629" w:rsidRPr="004F3196">
        <w:t xml:space="preserve">Direktivet var i februari föremål för en allmän diskussion i </w:t>
      </w:r>
      <w:r w:rsidR="003563F7" w:rsidRPr="004F3196">
        <w:t>RIF-</w:t>
      </w:r>
      <w:r w:rsidR="004E5629" w:rsidRPr="004F3196">
        <w:t>rådet</w:t>
      </w:r>
      <w:r w:rsidR="005E1CFE" w:rsidRPr="004F3196">
        <w:t xml:space="preserve"> och i april </w:t>
      </w:r>
      <w:r w:rsidR="007C4969" w:rsidRPr="004F3196">
        <w:t>träffades överens</w:t>
      </w:r>
      <w:r w:rsidR="007C4969" w:rsidRPr="004F3196">
        <w:softHyphen/>
        <w:t>kom</w:t>
      </w:r>
      <w:r w:rsidR="007C4969" w:rsidRPr="004F3196">
        <w:softHyphen/>
      </w:r>
      <w:r w:rsidR="007C4969" w:rsidRPr="004F3196">
        <w:lastRenderedPageBreak/>
        <w:t>melse om en allmän riktlinje avseende tillämp</w:t>
      </w:r>
      <w:r w:rsidR="007C4969" w:rsidRPr="004F3196">
        <w:softHyphen/>
        <w:t>nings</w:t>
      </w:r>
      <w:r w:rsidR="007C4969" w:rsidRPr="004F3196">
        <w:softHyphen/>
        <w:t>området</w:t>
      </w:r>
      <w:r w:rsidR="004E5629" w:rsidRPr="004F3196">
        <w:t xml:space="preserve">. </w:t>
      </w:r>
      <w:r w:rsidR="000259DE" w:rsidRPr="004F3196">
        <w:t xml:space="preserve">Syftet med </w:t>
      </w:r>
      <w:r w:rsidR="00B949B3" w:rsidRPr="004F3196">
        <w:t>den aktuella</w:t>
      </w:r>
      <w:r w:rsidR="000259DE" w:rsidRPr="004F3196">
        <w:t xml:space="preserve"> behand</w:t>
      </w:r>
      <w:r w:rsidR="00B949B3" w:rsidRPr="004F3196">
        <w:softHyphen/>
        <w:t>lingen</w:t>
      </w:r>
      <w:r w:rsidR="000259DE" w:rsidRPr="004F3196">
        <w:t xml:space="preserve"> i rådet är att nå politisk överenskommelse beträffande hela direktivet. </w:t>
      </w:r>
    </w:p>
    <w:p w:rsidR="004E5629" w:rsidRPr="004F3196" w:rsidRDefault="004E5629" w:rsidP="00D8578C">
      <w:pPr>
        <w:pStyle w:val="RKnormal"/>
      </w:pPr>
    </w:p>
    <w:p w:rsidR="004E5629" w:rsidRPr="004F3196" w:rsidRDefault="00F1089E" w:rsidP="00D8578C">
      <w:pPr>
        <w:pStyle w:val="RKnormal"/>
      </w:pPr>
      <w:r w:rsidRPr="004F3196">
        <w:t>M</w:t>
      </w:r>
      <w:r w:rsidR="00E70089" w:rsidRPr="004F3196">
        <w:t xml:space="preserve">edlemsstaterna </w:t>
      </w:r>
      <w:r w:rsidRPr="004F3196">
        <w:t xml:space="preserve">har </w:t>
      </w:r>
      <w:r w:rsidR="00E70089" w:rsidRPr="004F3196">
        <w:t>uttalat sitt stöd för förslagets syfte</w:t>
      </w:r>
      <w:r w:rsidR="004E5629" w:rsidRPr="004F3196">
        <w:t xml:space="preserve"> och i stort varit</w:t>
      </w:r>
      <w:r w:rsidR="00E70089" w:rsidRPr="004F3196">
        <w:t xml:space="preserve"> positiv</w:t>
      </w:r>
      <w:r w:rsidR="004E5629" w:rsidRPr="004F3196">
        <w:t>a</w:t>
      </w:r>
      <w:r w:rsidR="00E70089" w:rsidRPr="004F3196">
        <w:t xml:space="preserve"> till att skapa ett samarbete på området.</w:t>
      </w:r>
      <w:r w:rsidR="00017452" w:rsidRPr="004F3196" w:rsidDel="00017452">
        <w:t xml:space="preserve"> </w:t>
      </w:r>
      <w:r w:rsidR="002A3D65" w:rsidRPr="004F3196">
        <w:t>Frågor som fått stort ut</w:t>
      </w:r>
      <w:r w:rsidRPr="004F3196">
        <w:softHyphen/>
      </w:r>
      <w:r w:rsidR="002A3D65" w:rsidRPr="004F3196">
        <w:t xml:space="preserve">rymme under </w:t>
      </w:r>
      <w:r w:rsidR="004E5629" w:rsidRPr="004F3196">
        <w:t xml:space="preserve">förhandlingarna är </w:t>
      </w:r>
      <w:r w:rsidRPr="004F3196">
        <w:t xml:space="preserve">tillämpningsområdet i relation till </w:t>
      </w:r>
      <w:r w:rsidR="004E5629" w:rsidRPr="004F3196">
        <w:t xml:space="preserve">den rättsliga grunden, kompetensfördelningen mellan den utfärdande och verkställande staten samt förhållandet till andra </w:t>
      </w:r>
      <w:r w:rsidR="008007C9" w:rsidRPr="004F3196">
        <w:t>närliggande</w:t>
      </w:r>
      <w:r w:rsidRPr="004F3196">
        <w:t xml:space="preserve"> rättsakter</w:t>
      </w:r>
      <w:r w:rsidR="002D4561" w:rsidRPr="004F3196">
        <w:t xml:space="preserve">. </w:t>
      </w:r>
    </w:p>
    <w:p w:rsidR="004E5629" w:rsidRPr="004F3196" w:rsidRDefault="004E5629" w:rsidP="00D8578C">
      <w:pPr>
        <w:pStyle w:val="RKnormal"/>
      </w:pPr>
    </w:p>
    <w:p w:rsidR="00B43B4A" w:rsidRPr="004F3196" w:rsidRDefault="00406B3C" w:rsidP="00D8578C">
      <w:pPr>
        <w:pStyle w:val="RKnormal"/>
      </w:pPr>
      <w:r w:rsidRPr="004F3196">
        <w:t>Frågorna</w:t>
      </w:r>
      <w:r w:rsidR="004E5629" w:rsidRPr="004F3196">
        <w:t xml:space="preserve"> om </w:t>
      </w:r>
      <w:r w:rsidR="00F1089E" w:rsidRPr="004F3196">
        <w:t>tillämpningsområdet och den rättslig</w:t>
      </w:r>
      <w:r w:rsidR="00035BCB" w:rsidRPr="004F3196">
        <w:t>a</w:t>
      </w:r>
      <w:r w:rsidR="00F1089E" w:rsidRPr="004F3196">
        <w:t xml:space="preserve"> grund</w:t>
      </w:r>
      <w:r w:rsidRPr="004F3196">
        <w:t>en</w:t>
      </w:r>
      <w:r w:rsidR="00F1089E" w:rsidRPr="004F3196">
        <w:t xml:space="preserve"> </w:t>
      </w:r>
      <w:r w:rsidR="004E5629" w:rsidRPr="004F3196">
        <w:t xml:space="preserve">har </w:t>
      </w:r>
      <w:r w:rsidRPr="004F3196">
        <w:t>diskute</w:t>
      </w:r>
      <w:r w:rsidRPr="004F3196">
        <w:softHyphen/>
        <w:t xml:space="preserve">rats </w:t>
      </w:r>
      <w:r w:rsidR="002D7E06" w:rsidRPr="004F3196">
        <w:t xml:space="preserve">ingående. </w:t>
      </w:r>
      <w:r w:rsidR="00017452" w:rsidRPr="004F3196">
        <w:t xml:space="preserve">I vissa </w:t>
      </w:r>
      <w:r w:rsidR="00C34863" w:rsidRPr="004F3196">
        <w:t xml:space="preserve">medlemsstater </w:t>
      </w:r>
      <w:r w:rsidR="00017452" w:rsidRPr="004F3196">
        <w:t>tas</w:t>
      </w:r>
      <w:r w:rsidR="003A77B1" w:rsidRPr="004F3196">
        <w:t xml:space="preserve"> </w:t>
      </w:r>
      <w:r w:rsidR="00017452" w:rsidRPr="004F3196">
        <w:t xml:space="preserve">besluten </w:t>
      </w:r>
      <w:r w:rsidR="003A77B1" w:rsidRPr="004F3196">
        <w:t xml:space="preserve">i ett civilrättsligt eller </w:t>
      </w:r>
      <w:r w:rsidR="00293839" w:rsidRPr="004F3196">
        <w:t>annan form av</w:t>
      </w:r>
      <w:r w:rsidR="002644D3" w:rsidRPr="004F3196">
        <w:t xml:space="preserve"> förfarande medan de</w:t>
      </w:r>
      <w:r w:rsidR="003A77B1" w:rsidRPr="004F3196">
        <w:t xml:space="preserve"> </w:t>
      </w:r>
      <w:r w:rsidR="00017452" w:rsidRPr="004F3196">
        <w:t xml:space="preserve">i </w:t>
      </w:r>
      <w:r w:rsidR="003A77B1" w:rsidRPr="004F3196">
        <w:t xml:space="preserve">andra </w:t>
      </w:r>
      <w:r w:rsidR="00C34863" w:rsidRPr="004F3196">
        <w:t>medlemsstater</w:t>
      </w:r>
      <w:r w:rsidR="00603D7F" w:rsidRPr="004F3196">
        <w:t xml:space="preserve"> </w:t>
      </w:r>
      <w:r w:rsidR="002644D3" w:rsidRPr="004F3196">
        <w:t xml:space="preserve">har sin grund i </w:t>
      </w:r>
      <w:r w:rsidR="003A77B1" w:rsidRPr="004F3196">
        <w:t>ett straffrättsligt</w:t>
      </w:r>
      <w:r w:rsidR="002644D3" w:rsidRPr="004F3196">
        <w:t xml:space="preserve"> förfarande</w:t>
      </w:r>
      <w:r w:rsidR="003A77B1" w:rsidRPr="004F3196">
        <w:t>.</w:t>
      </w:r>
      <w:r w:rsidR="00603D7F" w:rsidRPr="004F3196">
        <w:t xml:space="preserve"> </w:t>
      </w:r>
      <w:r w:rsidR="00A0001B" w:rsidRPr="004F3196">
        <w:t>Ordförandeskapet har förespråkat ett brett tilläm</w:t>
      </w:r>
      <w:r w:rsidR="00F841C6" w:rsidRPr="004F3196">
        <w:t xml:space="preserve">pningsområde </w:t>
      </w:r>
      <w:r w:rsidR="00A0001B" w:rsidRPr="004F3196">
        <w:t xml:space="preserve">som omfattar skyddsåtgärder meddelade i </w:t>
      </w:r>
      <w:r w:rsidR="00B949B3" w:rsidRPr="004F3196">
        <w:t>såväl</w:t>
      </w:r>
      <w:r w:rsidR="00F841C6" w:rsidRPr="004F3196">
        <w:t xml:space="preserve"> straff- som civilrättsliga och</w:t>
      </w:r>
      <w:r w:rsidR="00A0001B" w:rsidRPr="004F3196">
        <w:t xml:space="preserve"> andra förfaranden. </w:t>
      </w:r>
      <w:r w:rsidR="00B43B4A" w:rsidRPr="004F3196">
        <w:t>I anslutning till det har medlemsstaterna efterfrågat r</w:t>
      </w:r>
      <w:r w:rsidR="00F1089E" w:rsidRPr="004F3196">
        <w:t>ådets rättstjänst</w:t>
      </w:r>
      <w:r w:rsidR="00B43B4A" w:rsidRPr="004F3196">
        <w:t>s bedömning</w:t>
      </w:r>
      <w:r w:rsidR="00F1089E" w:rsidRPr="004F3196">
        <w:t xml:space="preserve"> </w:t>
      </w:r>
      <w:r w:rsidR="00B43B4A" w:rsidRPr="004F3196">
        <w:t xml:space="preserve">angående rättslig grund. Rättstjänsten har </w:t>
      </w:r>
      <w:r w:rsidR="00A0001B" w:rsidRPr="004F3196">
        <w:t xml:space="preserve">i </w:t>
      </w:r>
      <w:r w:rsidR="00F1089E" w:rsidRPr="004F3196">
        <w:t xml:space="preserve">ett skriftligt yttrande angett </w:t>
      </w:r>
      <w:r w:rsidR="002A3D65" w:rsidRPr="004F3196">
        <w:t xml:space="preserve">att </w:t>
      </w:r>
      <w:r w:rsidR="000A58F9" w:rsidRPr="004F3196">
        <w:t xml:space="preserve">artikel 82.1 i </w:t>
      </w:r>
      <w:r w:rsidR="002836D4" w:rsidRPr="004F3196">
        <w:t>F</w:t>
      </w:r>
      <w:r w:rsidR="00F1089E" w:rsidRPr="004F3196">
        <w:t>EU</w:t>
      </w:r>
      <w:r w:rsidR="002836D4" w:rsidRPr="004F3196">
        <w:t>F</w:t>
      </w:r>
      <w:r w:rsidR="00F1089E" w:rsidRPr="004F3196">
        <w:t xml:space="preserve"> </w:t>
      </w:r>
      <w:r w:rsidR="000A58F9" w:rsidRPr="004F3196">
        <w:t xml:space="preserve">om straffrättsligt samarbete utgör en tillräcklig </w:t>
      </w:r>
      <w:r w:rsidR="000F3238" w:rsidRPr="004F3196">
        <w:t xml:space="preserve">och lämplig </w:t>
      </w:r>
      <w:r w:rsidR="000A58F9" w:rsidRPr="004F3196">
        <w:t xml:space="preserve">rättslig grund för </w:t>
      </w:r>
      <w:r w:rsidR="00B43B4A" w:rsidRPr="004F3196">
        <w:t xml:space="preserve">detta </w:t>
      </w:r>
      <w:r w:rsidR="000A58F9" w:rsidRPr="004F3196">
        <w:t>direktiv</w:t>
      </w:r>
      <w:r w:rsidR="00B43B4A" w:rsidRPr="004F3196">
        <w:t>. Kommissionen har gjort en annan tolkning och menar att direktivet bör ha ett snävare tillämpningsområde.</w:t>
      </w:r>
    </w:p>
    <w:p w:rsidR="001D63FD" w:rsidRPr="004F3196" w:rsidRDefault="001D63FD">
      <w:pPr>
        <w:pStyle w:val="RKrubrik"/>
      </w:pPr>
      <w:r w:rsidRPr="004F3196">
        <w:t>Rättslig grund och beslutsförfarande</w:t>
      </w:r>
    </w:p>
    <w:p w:rsidR="00BE4E22" w:rsidRPr="004F3196" w:rsidRDefault="00BE4E22" w:rsidP="00BE4E22">
      <w:pPr>
        <w:pStyle w:val="RKnormal"/>
        <w:rPr>
          <w:b/>
        </w:rPr>
      </w:pPr>
      <w:r w:rsidRPr="004F3196">
        <w:t>Det föreslagna direktivet är grundat på artikel 82.1 d i FEUF och har lagts fram av en grupp medlemsstater som utgör (minst) en fjärdedel av medlemsstaterna i enlighet med artikel 76 b</w:t>
      </w:r>
      <w:r w:rsidR="00406B3C" w:rsidRPr="004F3196">
        <w:t xml:space="preserve"> FEUF</w:t>
      </w:r>
      <w:r w:rsidRPr="004F3196">
        <w:t xml:space="preserve">. </w:t>
      </w:r>
      <w:r w:rsidR="00406B3C" w:rsidRPr="004F3196">
        <w:t>Direk</w:t>
      </w:r>
      <w:r w:rsidR="00406B3C" w:rsidRPr="004F3196">
        <w:softHyphen/>
        <w:t xml:space="preserve">tivet </w:t>
      </w:r>
      <w:r w:rsidR="002D0461" w:rsidRPr="004F3196">
        <w:t>ska antas inom det ordinarie lag</w:t>
      </w:r>
      <w:r w:rsidR="005417AC" w:rsidRPr="004F3196">
        <w:t xml:space="preserve">stiftningsförfarandet artikel 294 </w:t>
      </w:r>
      <w:r w:rsidR="00406B3C" w:rsidRPr="004F3196">
        <w:t>FEUF</w:t>
      </w:r>
      <w:r w:rsidR="002D0461" w:rsidRPr="004F3196">
        <w:t xml:space="preserve">. </w:t>
      </w:r>
      <w:r w:rsidR="00C41B7E" w:rsidRPr="004F3196">
        <w:t>I enlighet med det förfarandet har texten</w:t>
      </w:r>
      <w:r w:rsidR="002D031F" w:rsidRPr="004F3196">
        <w:t xml:space="preserve"> översänts</w:t>
      </w:r>
      <w:r w:rsidRPr="004F3196">
        <w:t xml:space="preserve"> till Europa</w:t>
      </w:r>
      <w:r w:rsidR="00406B3C" w:rsidRPr="004F3196">
        <w:softHyphen/>
      </w:r>
      <w:r w:rsidRPr="004F3196">
        <w:t xml:space="preserve">parlamentet och kommissionen. </w:t>
      </w:r>
      <w:r w:rsidR="002D031F" w:rsidRPr="004F3196">
        <w:t xml:space="preserve">Texten har också översänts till </w:t>
      </w:r>
      <w:r w:rsidRPr="004F3196">
        <w:t>med</w:t>
      </w:r>
      <w:r w:rsidR="00406B3C" w:rsidRPr="004F3196">
        <w:softHyphen/>
      </w:r>
      <w:r w:rsidRPr="004F3196">
        <w:t>lemsstaternas nationella parlament med tillämpning av artikel 2 i prot</w:t>
      </w:r>
      <w:r w:rsidR="00406B3C" w:rsidRPr="004F3196">
        <w:t>o</w:t>
      </w:r>
      <w:r w:rsidR="00406B3C" w:rsidRPr="004F3196">
        <w:softHyphen/>
        <w:t xml:space="preserve">koll </w:t>
      </w:r>
      <w:r w:rsidRPr="004F3196">
        <w:t>nr. 1 och artikel 4 i protokoll nr. 2 till</w:t>
      </w:r>
      <w:r w:rsidR="00A637A5" w:rsidRPr="004F3196">
        <w:t xml:space="preserve"> </w:t>
      </w:r>
      <w:r w:rsidR="00406B3C" w:rsidRPr="004F3196">
        <w:t>FEU</w:t>
      </w:r>
      <w:r w:rsidR="00B949B3" w:rsidRPr="004F3196">
        <w:t>F</w:t>
      </w:r>
      <w:r w:rsidRPr="004F3196">
        <w:t xml:space="preserve">, </w:t>
      </w:r>
      <w:r w:rsidR="00947369" w:rsidRPr="004F3196">
        <w:t xml:space="preserve">för bedömning av </w:t>
      </w:r>
      <w:r w:rsidRPr="004F3196">
        <w:t>initia</w:t>
      </w:r>
      <w:r w:rsidR="00406B3C" w:rsidRPr="004F3196">
        <w:softHyphen/>
      </w:r>
      <w:r w:rsidRPr="004F3196">
        <w:t>tivets fören</w:t>
      </w:r>
      <w:r w:rsidR="00B949B3" w:rsidRPr="004F3196">
        <w:softHyphen/>
      </w:r>
      <w:r w:rsidRPr="004F3196">
        <w:t xml:space="preserve">lighet med subsidiaritetsprincipen. </w:t>
      </w:r>
    </w:p>
    <w:p w:rsidR="001D63FD" w:rsidRPr="004F3196" w:rsidRDefault="001D63FD">
      <w:pPr>
        <w:pStyle w:val="RKrubrik"/>
        <w:rPr>
          <w:i/>
          <w:iCs/>
        </w:rPr>
      </w:pPr>
      <w:r w:rsidRPr="004F3196">
        <w:rPr>
          <w:i/>
          <w:iCs/>
        </w:rPr>
        <w:t>Svensk ståndpunkt</w:t>
      </w:r>
    </w:p>
    <w:p w:rsidR="00D844A0" w:rsidRPr="004F3196" w:rsidRDefault="00C41B7E" w:rsidP="00C41B7E">
      <w:pPr>
        <w:pStyle w:val="RKnormal"/>
      </w:pPr>
      <w:r w:rsidRPr="004F3196">
        <w:t>Sverige är positivt till direktivets syfte, dvs. att stärka skyddet för perso</w:t>
      </w:r>
      <w:r w:rsidR="00ED4219" w:rsidRPr="004F3196">
        <w:softHyphen/>
      </w:r>
      <w:r w:rsidRPr="004F3196">
        <w:t>ner som lever under hot från en annan person och att öka deras möjlig</w:t>
      </w:r>
      <w:r w:rsidR="00ED4219" w:rsidRPr="004F3196">
        <w:softHyphen/>
      </w:r>
      <w:r w:rsidRPr="004F3196">
        <w:t xml:space="preserve">heter att fritt röra sig inom EU. </w:t>
      </w:r>
    </w:p>
    <w:p w:rsidR="00D844A0" w:rsidRPr="004F3196" w:rsidRDefault="00D844A0" w:rsidP="00C41B7E">
      <w:pPr>
        <w:pStyle w:val="RKnormal"/>
      </w:pPr>
    </w:p>
    <w:p w:rsidR="004E6092" w:rsidRPr="004F3196" w:rsidRDefault="008425BF" w:rsidP="00C41B7E">
      <w:pPr>
        <w:pStyle w:val="RKnormal"/>
      </w:pPr>
      <w:r w:rsidRPr="004F3196">
        <w:t>För att tillmötesgå de medlemsstater som är tveksamma till det breda tillämp</w:t>
      </w:r>
      <w:r w:rsidRPr="004F3196">
        <w:softHyphen/>
        <w:t>nings</w:t>
      </w:r>
      <w:r w:rsidRPr="004F3196">
        <w:softHyphen/>
        <w:t xml:space="preserve">området har det införts </w:t>
      </w:r>
      <w:r w:rsidR="00D844A0" w:rsidRPr="004F3196">
        <w:t>fler möjligheter att</w:t>
      </w:r>
      <w:r w:rsidRPr="004F3196">
        <w:t xml:space="preserve"> vägra</w:t>
      </w:r>
      <w:r w:rsidR="00D844A0" w:rsidRPr="004F3196">
        <w:t xml:space="preserve"> verkställa skyddsordern</w:t>
      </w:r>
      <w:r w:rsidRPr="004F3196">
        <w:t>. För att väga upp den relativt</w:t>
      </w:r>
      <w:r w:rsidR="00D844A0" w:rsidRPr="004F3196">
        <w:t xml:space="preserve"> långa listan på vägrans</w:t>
      </w:r>
      <w:r w:rsidR="00D844A0" w:rsidRPr="004F3196">
        <w:softHyphen/>
        <w:t>grunder</w:t>
      </w:r>
      <w:r w:rsidRPr="004F3196">
        <w:t xml:space="preserve"> </w:t>
      </w:r>
      <w:r w:rsidR="00D844A0" w:rsidRPr="004F3196">
        <w:t>har det införts en skyldighet för den verkställande myndig</w:t>
      </w:r>
      <w:r w:rsidR="00D844A0" w:rsidRPr="004F3196">
        <w:softHyphen/>
        <w:t>het som vägrar verkställighet att informera den skyddsbehövande om möjligheten att begära en skyddsåtgärd direkt i den verkställande staten.</w:t>
      </w:r>
    </w:p>
    <w:p w:rsidR="00E366E7" w:rsidRPr="004F3196" w:rsidRDefault="00E366E7" w:rsidP="00C41B7E">
      <w:pPr>
        <w:pStyle w:val="RKnormal"/>
      </w:pPr>
    </w:p>
    <w:p w:rsidR="00EC20DE" w:rsidRPr="004F3196" w:rsidRDefault="008A1EC7" w:rsidP="00C41B7E">
      <w:pPr>
        <w:pStyle w:val="RKnormal"/>
      </w:pPr>
      <w:r w:rsidRPr="004F3196">
        <w:t>Vad gäller kompetensfördelningen mellan den utfärdande och verkställ</w:t>
      </w:r>
      <w:r w:rsidR="007B0411" w:rsidRPr="004F3196">
        <w:softHyphen/>
      </w:r>
      <w:r w:rsidRPr="004F3196">
        <w:t xml:space="preserve">ande staten </w:t>
      </w:r>
      <w:r w:rsidR="00E366E7" w:rsidRPr="004F3196">
        <w:t xml:space="preserve">har Sverige i förhandlingarna verkat </w:t>
      </w:r>
      <w:r w:rsidR="00695EA3" w:rsidRPr="004F3196">
        <w:t xml:space="preserve">mer </w:t>
      </w:r>
      <w:r w:rsidRPr="004F3196">
        <w:t xml:space="preserve">för en flexibel </w:t>
      </w:r>
      <w:r w:rsidR="00751CA9" w:rsidRPr="004F3196">
        <w:t xml:space="preserve">och lämplig </w:t>
      </w:r>
      <w:r w:rsidRPr="004F3196">
        <w:t>snarare än en principiell lösning eftersom så många olika situa</w:t>
      </w:r>
      <w:r w:rsidR="00695EA3" w:rsidRPr="004F3196">
        <w:softHyphen/>
      </w:r>
      <w:r w:rsidRPr="004F3196">
        <w:t>tioner kan u</w:t>
      </w:r>
      <w:r w:rsidR="00E366E7" w:rsidRPr="004F3196">
        <w:t>p</w:t>
      </w:r>
      <w:r w:rsidR="007765E6" w:rsidRPr="004F3196">
        <w:t>pstå när en överträdelse begås</w:t>
      </w:r>
      <w:r w:rsidR="00E366E7" w:rsidRPr="004F3196">
        <w:t>.</w:t>
      </w:r>
      <w:r w:rsidR="00BD1583" w:rsidRPr="004F3196">
        <w:t xml:space="preserve"> Här har</w:t>
      </w:r>
      <w:r w:rsidR="00E366E7" w:rsidRPr="004F3196">
        <w:t xml:space="preserve"> Sverige </w:t>
      </w:r>
      <w:r w:rsidR="00BD1583" w:rsidRPr="004F3196">
        <w:t>särskilt be</w:t>
      </w:r>
      <w:r w:rsidR="00695EA3" w:rsidRPr="004F3196">
        <w:softHyphen/>
      </w:r>
      <w:r w:rsidR="00BD1583" w:rsidRPr="004F3196">
        <w:t xml:space="preserve">vakat </w:t>
      </w:r>
      <w:r w:rsidR="002D4561" w:rsidRPr="004F3196">
        <w:t>att den verkställande staten, enligt sedvanliga regler om jurisdik</w:t>
      </w:r>
      <w:r w:rsidR="00695EA3" w:rsidRPr="004F3196">
        <w:softHyphen/>
      </w:r>
      <w:r w:rsidR="002D4561" w:rsidRPr="004F3196">
        <w:t xml:space="preserve">tion, </w:t>
      </w:r>
      <w:r w:rsidR="00E366E7" w:rsidRPr="004F3196">
        <w:t xml:space="preserve">måste ha kompetens att lagföra </w:t>
      </w:r>
      <w:r w:rsidR="00BD1583" w:rsidRPr="004F3196">
        <w:t xml:space="preserve">en </w:t>
      </w:r>
      <w:r w:rsidR="00E366E7" w:rsidRPr="004F3196">
        <w:t xml:space="preserve">eventuell </w:t>
      </w:r>
      <w:r w:rsidR="00BD1583" w:rsidRPr="004F3196">
        <w:t>överträdelse</w:t>
      </w:r>
      <w:r w:rsidR="00695EA3" w:rsidRPr="004F3196">
        <w:t xml:space="preserve">, oavsett </w:t>
      </w:r>
      <w:r w:rsidR="00BD1583" w:rsidRPr="004F3196">
        <w:t xml:space="preserve">om överträdelsen </w:t>
      </w:r>
      <w:r w:rsidR="00695EA3" w:rsidRPr="004F3196">
        <w:t>är endast ett brott enligt de regler som gäller för skyddsordern eller ett brott enligt allmänna straffrättsliga regler (t.ex. olaga hot)</w:t>
      </w:r>
      <w:r w:rsidR="00E75D36" w:rsidRPr="004F3196">
        <w:t xml:space="preserve">. </w:t>
      </w:r>
      <w:r w:rsidR="00E366E7" w:rsidRPr="004F3196">
        <w:t xml:space="preserve">Nuvarande </w:t>
      </w:r>
      <w:r w:rsidR="002D4561" w:rsidRPr="004F3196">
        <w:t>förslag ger enligt Sveriges synsätt</w:t>
      </w:r>
      <w:r w:rsidR="00E366E7" w:rsidRPr="004F3196">
        <w:t xml:space="preserve"> </w:t>
      </w:r>
      <w:r w:rsidR="00603D7F" w:rsidRPr="004F3196">
        <w:t xml:space="preserve">en </w:t>
      </w:r>
      <w:r w:rsidR="002D4561" w:rsidRPr="004F3196">
        <w:t xml:space="preserve">bra </w:t>
      </w:r>
      <w:r w:rsidR="00E366E7" w:rsidRPr="004F3196">
        <w:t xml:space="preserve">balans i kompetensfördelning mellan den utfärdande och verkställande staten. </w:t>
      </w:r>
    </w:p>
    <w:p w:rsidR="00BD1583" w:rsidRPr="004F3196" w:rsidRDefault="00BD1583" w:rsidP="00C41B7E">
      <w:pPr>
        <w:pStyle w:val="RKnormal"/>
      </w:pPr>
    </w:p>
    <w:p w:rsidR="00B52D91" w:rsidRPr="004F3196" w:rsidRDefault="00B52D91" w:rsidP="00C41B7E">
      <w:pPr>
        <w:pStyle w:val="RKnormal"/>
      </w:pPr>
      <w:r w:rsidRPr="004F3196">
        <w:t>Avsee</w:t>
      </w:r>
      <w:r w:rsidR="00695EA3" w:rsidRPr="004F3196">
        <w:t>nde övriga frågor i direktivet –</w:t>
      </w:r>
      <w:r w:rsidRPr="004F3196">
        <w:t xml:space="preserve"> </w:t>
      </w:r>
      <w:r w:rsidR="00BD1583" w:rsidRPr="004F3196">
        <w:t xml:space="preserve">bl.a. vilka </w:t>
      </w:r>
      <w:r w:rsidR="0083366F" w:rsidRPr="004F3196">
        <w:t>skyddsåtgärder som om</w:t>
      </w:r>
      <w:r w:rsidR="00695EA3" w:rsidRPr="004F3196">
        <w:softHyphen/>
      </w:r>
      <w:r w:rsidR="0083366F" w:rsidRPr="004F3196">
        <w:t>fattas och</w:t>
      </w:r>
      <w:r w:rsidR="00BD1583" w:rsidRPr="004F3196">
        <w:t xml:space="preserve"> </w:t>
      </w:r>
      <w:r w:rsidR="004D251F" w:rsidRPr="004F3196">
        <w:t xml:space="preserve">förfarandereglerna </w:t>
      </w:r>
      <w:r w:rsidR="00695EA3" w:rsidRPr="004F3196">
        <w:t>–</w:t>
      </w:r>
      <w:r w:rsidRPr="004F3196">
        <w:t xml:space="preserve"> presenterar nuvarande förslag effektiva men samtidigt tillräckligt flexibla lösningar för att alla olika förfaranden ska kunna hanteras, utan</w:t>
      </w:r>
      <w:r w:rsidR="0083366F" w:rsidRPr="004F3196">
        <w:t xml:space="preserve"> </w:t>
      </w:r>
      <w:r w:rsidR="00173CBA" w:rsidRPr="004F3196">
        <w:t xml:space="preserve">att </w:t>
      </w:r>
      <w:r w:rsidR="0083366F" w:rsidRPr="004F3196">
        <w:t xml:space="preserve">för den skull </w:t>
      </w:r>
      <w:r w:rsidRPr="004F3196">
        <w:t xml:space="preserve">ge avkall på </w:t>
      </w:r>
      <w:r w:rsidR="001242BF" w:rsidRPr="004F3196">
        <w:t>den enskildes rätts</w:t>
      </w:r>
      <w:r w:rsidR="00D844A0" w:rsidRPr="004F3196">
        <w:softHyphen/>
      </w:r>
      <w:r w:rsidR="001242BF" w:rsidRPr="004F3196">
        <w:t xml:space="preserve">säkerhet. </w:t>
      </w:r>
      <w:r w:rsidR="00173CBA" w:rsidRPr="004F3196">
        <w:t xml:space="preserve">Direktivet innehåller bl.a. en </w:t>
      </w:r>
      <w:r w:rsidR="00AA7DB7" w:rsidRPr="004F3196">
        <w:t xml:space="preserve">rätt för </w:t>
      </w:r>
      <w:r w:rsidR="00173CBA" w:rsidRPr="004F3196">
        <w:t>den enski</w:t>
      </w:r>
      <w:r w:rsidR="00AA7DB7" w:rsidRPr="004F3196">
        <w:t>lde att bli hörd och</w:t>
      </w:r>
      <w:r w:rsidR="00173CBA" w:rsidRPr="004F3196">
        <w:t xml:space="preserve"> att överklaga</w:t>
      </w:r>
      <w:r w:rsidR="00AA7DB7" w:rsidRPr="004F3196">
        <w:t xml:space="preserve"> skyddsåtgärden</w:t>
      </w:r>
      <w:r w:rsidR="00DC6ABE" w:rsidRPr="004F3196">
        <w:t xml:space="preserve"> </w:t>
      </w:r>
      <w:r w:rsidR="008425BF" w:rsidRPr="004F3196">
        <w:t xml:space="preserve">i den utfärdande staten, </w:t>
      </w:r>
      <w:r w:rsidR="00DC6ABE" w:rsidRPr="004F3196">
        <w:t xml:space="preserve">liksom en uttrycklig hänvisning </w:t>
      </w:r>
      <w:r w:rsidR="008425BF" w:rsidRPr="004F3196">
        <w:t>till den enskildes möjlighet att överklaga beslut om verkställighet i den verkställande staten</w:t>
      </w:r>
      <w:r w:rsidR="002909F4" w:rsidRPr="004F3196">
        <w:t xml:space="preserve">. </w:t>
      </w:r>
      <w:r w:rsidR="001242BF" w:rsidRPr="004F3196">
        <w:t>Direktivet</w:t>
      </w:r>
      <w:r w:rsidRPr="004F3196">
        <w:t xml:space="preserve"> får </w:t>
      </w:r>
      <w:r w:rsidR="00D732D1" w:rsidRPr="004F3196">
        <w:t xml:space="preserve">därför </w:t>
      </w:r>
      <w:r w:rsidRPr="004F3196">
        <w:t xml:space="preserve">anses väl avvägt. </w:t>
      </w:r>
    </w:p>
    <w:p w:rsidR="00B52D91" w:rsidRPr="004F3196" w:rsidRDefault="00B52D91" w:rsidP="00C41B7E">
      <w:pPr>
        <w:pStyle w:val="RKnormal"/>
      </w:pPr>
    </w:p>
    <w:p w:rsidR="00E366E7" w:rsidRPr="004F3196" w:rsidRDefault="008A1EC7" w:rsidP="008A1EC7">
      <w:pPr>
        <w:pStyle w:val="RKnormal"/>
      </w:pPr>
      <w:r w:rsidRPr="004F3196">
        <w:t>Sammanfattningsvis är Sve</w:t>
      </w:r>
      <w:r w:rsidR="002D4561" w:rsidRPr="004F3196">
        <w:t xml:space="preserve">rige positivt </w:t>
      </w:r>
      <w:r w:rsidR="001242BF" w:rsidRPr="004F3196">
        <w:t xml:space="preserve">till och stödjer </w:t>
      </w:r>
      <w:r w:rsidR="00173CBA" w:rsidRPr="004F3196">
        <w:t>ordförandeskapet</w:t>
      </w:r>
      <w:r w:rsidR="001242BF" w:rsidRPr="004F3196">
        <w:t xml:space="preserve">s förslag till direktiv. </w:t>
      </w:r>
    </w:p>
    <w:p w:rsidR="001D63FD" w:rsidRPr="004F3196" w:rsidRDefault="001D63FD">
      <w:pPr>
        <w:pStyle w:val="RKrubrik"/>
      </w:pPr>
      <w:r w:rsidRPr="004F3196">
        <w:t>Europaparlamentets inställning</w:t>
      </w:r>
    </w:p>
    <w:p w:rsidR="00F34CA5" w:rsidRPr="004F3196" w:rsidRDefault="00B949B3" w:rsidP="00F34CA5">
      <w:pPr>
        <w:pStyle w:val="RKnormal"/>
      </w:pPr>
      <w:r w:rsidRPr="004F3196">
        <w:t>EP hade en första utskottsbehandling av initiativet den 3 maj 2010 i ett gemensamt sammanträde mellan LIBE- och FEMM-utskotten, vilka gemensamt ansvarar för frågan. Utskotten var eniga om behovet av direk</w:t>
      </w:r>
      <w:r w:rsidRPr="004F3196">
        <w:softHyphen/>
        <w:t>tivet och flera ledamöter uttalade sig för ett brett tillämp</w:t>
      </w:r>
      <w:r w:rsidRPr="004F3196">
        <w:softHyphen/>
        <w:t>nings</w:t>
      </w:r>
      <w:r w:rsidRPr="004F3196">
        <w:softHyphen/>
        <w:t xml:space="preserve">område. Ett första utkast till betänkande ska diskuteras </w:t>
      </w:r>
      <w:r w:rsidR="007A79D4" w:rsidRPr="004F3196">
        <w:t>den 31 maj och</w:t>
      </w:r>
      <w:r w:rsidRPr="004F3196">
        <w:t xml:space="preserve"> </w:t>
      </w:r>
      <w:r w:rsidR="007A79D4" w:rsidRPr="004F3196">
        <w:t>o</w:t>
      </w:r>
      <w:r w:rsidRPr="004F3196">
        <w:t>mröst</w:t>
      </w:r>
      <w:r w:rsidRPr="004F3196">
        <w:softHyphen/>
        <w:t>ning i EP beräknas till oktober månad.</w:t>
      </w:r>
    </w:p>
    <w:p w:rsidR="001D63FD" w:rsidRPr="004F3196" w:rsidRDefault="001D63FD">
      <w:pPr>
        <w:pStyle w:val="RKrubrik"/>
        <w:rPr>
          <w:i/>
          <w:iCs/>
        </w:rPr>
      </w:pPr>
      <w:r w:rsidRPr="004F3196">
        <w:rPr>
          <w:i/>
          <w:iCs/>
        </w:rPr>
        <w:t>Förslaget</w:t>
      </w:r>
    </w:p>
    <w:p w:rsidR="00EA170D" w:rsidRPr="004F3196" w:rsidRDefault="00270890" w:rsidP="00270890">
      <w:pPr>
        <w:pStyle w:val="RKnormal"/>
      </w:pPr>
      <w:r w:rsidRPr="004F3196">
        <w:t xml:space="preserve">Direktivet förutsätter att den hotade personens hemviststat har meddelat ett besöksförbud eller annan sådan åtgärd som gäller i den staten. När den hotade personen flyttar eller har för avsikt att </w:t>
      </w:r>
      <w:r w:rsidR="00BD1583" w:rsidRPr="004F3196">
        <w:t>bosätta eller uppehålla sig i</w:t>
      </w:r>
      <w:r w:rsidRPr="004F3196">
        <w:t xml:space="preserve"> en annan medlemsstat </w:t>
      </w:r>
      <w:r w:rsidR="00BD1583" w:rsidRPr="004F3196">
        <w:t xml:space="preserve">eller redan gör det </w:t>
      </w:r>
      <w:r w:rsidRPr="004F3196">
        <w:t>ska myndigheterna – van</w:t>
      </w:r>
      <w:r w:rsidR="00695EA3" w:rsidRPr="004F3196">
        <w:softHyphen/>
      </w:r>
      <w:r w:rsidRPr="004F3196">
        <w:t xml:space="preserve">ligen åklagare eller domstol – i den förstnämnda (utfärdande) staten </w:t>
      </w:r>
      <w:r w:rsidR="007765E6" w:rsidRPr="004F3196">
        <w:t xml:space="preserve">på ansökan av den hotade personen </w:t>
      </w:r>
      <w:r w:rsidRPr="004F3196">
        <w:t xml:space="preserve">kunna </w:t>
      </w:r>
      <w:r w:rsidR="00695EA3" w:rsidRPr="004F3196">
        <w:t xml:space="preserve">utfärda en skyddsorder. Den innebär </w:t>
      </w:r>
      <w:r w:rsidR="00A54C00" w:rsidRPr="004F3196">
        <w:t xml:space="preserve">att </w:t>
      </w:r>
      <w:r w:rsidR="00695EA3" w:rsidRPr="004F3196">
        <w:t xml:space="preserve">besöksförbudet eller de andra åtgärderna </w:t>
      </w:r>
      <w:r w:rsidRPr="004F3196">
        <w:t>ska gälla i den stat till vilken personen i fråga flyttar (den verkställande staten)</w:t>
      </w:r>
      <w:r w:rsidR="00695EA3" w:rsidRPr="004F3196">
        <w:t>,</w:t>
      </w:r>
      <w:r w:rsidR="00A54C00" w:rsidRPr="004F3196">
        <w:t xml:space="preserve"> </w:t>
      </w:r>
      <w:r w:rsidR="00695EA3" w:rsidRPr="004F3196">
        <w:t>efter ett beslut i den staten</w:t>
      </w:r>
      <w:r w:rsidRPr="004F3196">
        <w:t xml:space="preserve">. </w:t>
      </w:r>
    </w:p>
    <w:p w:rsidR="004C10A0" w:rsidRPr="004F3196" w:rsidRDefault="004C10A0" w:rsidP="00EA170D">
      <w:pPr>
        <w:pStyle w:val="RKnormal"/>
      </w:pPr>
    </w:p>
    <w:p w:rsidR="00EA170D" w:rsidRPr="004F3196" w:rsidRDefault="00EA170D" w:rsidP="00EA170D">
      <w:pPr>
        <w:pStyle w:val="RKnormal"/>
      </w:pPr>
      <w:r w:rsidRPr="004F3196">
        <w:t xml:space="preserve">De olika åtgärder </w:t>
      </w:r>
      <w:r w:rsidR="004C10A0" w:rsidRPr="004F3196">
        <w:t xml:space="preserve">som </w:t>
      </w:r>
      <w:r w:rsidRPr="004F3196">
        <w:t>kan bli föremål för över</w:t>
      </w:r>
      <w:r w:rsidR="00695EA3" w:rsidRPr="004F3196">
        <w:t>flyttning till en annan stat är:</w:t>
      </w:r>
      <w:r w:rsidRPr="004F3196">
        <w:t xml:space="preserve"> </w:t>
      </w:r>
    </w:p>
    <w:p w:rsidR="00EA170D" w:rsidRPr="004F3196" w:rsidRDefault="00EA170D" w:rsidP="00EA170D">
      <w:pPr>
        <w:pStyle w:val="RKnormal"/>
      </w:pPr>
      <w:r w:rsidRPr="004F3196">
        <w:t>– En skyldighet att avhålla sig från att beträda vissa lokaler, platser eller fastställda områden där den skyddade personen bor eller som den skyddade personen besöker.</w:t>
      </w:r>
    </w:p>
    <w:p w:rsidR="00EA170D" w:rsidRPr="004F3196" w:rsidRDefault="00EA170D" w:rsidP="00EA170D">
      <w:pPr>
        <w:pStyle w:val="RKnormal"/>
      </w:pPr>
      <w:r w:rsidRPr="004F3196">
        <w:t xml:space="preserve">– En skyldighet att undvika kontakt med den skyddade personen per telefon, e-post, brev, fax eller genom andra medel. </w:t>
      </w:r>
    </w:p>
    <w:p w:rsidR="00EA170D" w:rsidRPr="004F3196" w:rsidRDefault="00EA170D" w:rsidP="00EA170D">
      <w:pPr>
        <w:pStyle w:val="RKnormal"/>
      </w:pPr>
      <w:r w:rsidRPr="004F3196">
        <w:t>– Ett förbud mot att komma den skyddade personen närmare än ett visst fastställt avstånd.</w:t>
      </w:r>
    </w:p>
    <w:p w:rsidR="00BD1583" w:rsidRPr="004F3196" w:rsidRDefault="00BD1583" w:rsidP="00EA170D">
      <w:pPr>
        <w:pStyle w:val="RKnormal"/>
      </w:pPr>
    </w:p>
    <w:p w:rsidR="007D6CE4" w:rsidRPr="004F3196" w:rsidRDefault="00270890" w:rsidP="00270890">
      <w:pPr>
        <w:pStyle w:val="RKnormal"/>
      </w:pPr>
      <w:r w:rsidRPr="004F3196">
        <w:t xml:space="preserve">Den verkställande staten är skyldig att erkänna </w:t>
      </w:r>
      <w:r w:rsidR="00A54C00" w:rsidRPr="004F3196">
        <w:t>skyddsordern</w:t>
      </w:r>
      <w:r w:rsidR="00BC1EB4" w:rsidRPr="004F3196">
        <w:t xml:space="preserve"> och besluta om närmast motsvarande åtgärd </w:t>
      </w:r>
      <w:r w:rsidRPr="004F3196">
        <w:t>i enlighet med sin inhemska lagstiftning</w:t>
      </w:r>
      <w:r w:rsidR="00751CA9" w:rsidRPr="004F3196">
        <w:t xml:space="preserve">, </w:t>
      </w:r>
      <w:r w:rsidR="007D6CE4" w:rsidRPr="004F3196">
        <w:t>såvida ingen</w:t>
      </w:r>
      <w:r w:rsidR="00751CA9" w:rsidRPr="004F3196">
        <w:t xml:space="preserve"> enligt direktivet angiven </w:t>
      </w:r>
      <w:r w:rsidR="007D6CE4" w:rsidRPr="004F3196">
        <w:t>vägransgrund föreligger.</w:t>
      </w:r>
      <w:r w:rsidR="007D6CE4" w:rsidRPr="004F3196">
        <w:rPr>
          <w:b/>
        </w:rPr>
        <w:t xml:space="preserve"> </w:t>
      </w:r>
      <w:r w:rsidR="00BC1EB4" w:rsidRPr="004F3196">
        <w:t>Den verk</w:t>
      </w:r>
      <w:r w:rsidR="00A54C00" w:rsidRPr="004F3196">
        <w:softHyphen/>
      </w:r>
      <w:r w:rsidR="00BC1EB4" w:rsidRPr="004F3196">
        <w:t xml:space="preserve">ställande staten </w:t>
      </w:r>
      <w:r w:rsidR="00074EBA" w:rsidRPr="004F3196">
        <w:rPr>
          <w:i/>
        </w:rPr>
        <w:t>får</w:t>
      </w:r>
      <w:r w:rsidR="00074EBA" w:rsidRPr="004F3196">
        <w:t xml:space="preserve"> </w:t>
      </w:r>
      <w:r w:rsidR="00BC1EB4" w:rsidRPr="004F3196">
        <w:t xml:space="preserve">vägra verkställighet om </w:t>
      </w:r>
      <w:r w:rsidR="00074EBA" w:rsidRPr="004F3196">
        <w:t>viss formalia inte</w:t>
      </w:r>
      <w:r w:rsidR="00A54C00" w:rsidRPr="004F3196">
        <w:t xml:space="preserve"> har efter</w:t>
      </w:r>
      <w:r w:rsidR="00A54C00" w:rsidRPr="004F3196">
        <w:softHyphen/>
        <w:t>levts</w:t>
      </w:r>
      <w:r w:rsidR="00890A0B" w:rsidRPr="004F3196">
        <w:t>,</w:t>
      </w:r>
      <w:r w:rsidR="00074EBA" w:rsidRPr="004F3196">
        <w:t xml:space="preserve"> om den ursprungliga skyddsåtgärden inte motsvarar någon av de skydd</w:t>
      </w:r>
      <w:r w:rsidR="00310693" w:rsidRPr="004F3196">
        <w:t>s</w:t>
      </w:r>
      <w:r w:rsidR="00074EBA" w:rsidRPr="004F3196">
        <w:t>åtgärder som direktivet omfattar</w:t>
      </w:r>
      <w:r w:rsidR="00890A0B" w:rsidRPr="004F3196">
        <w:t xml:space="preserve"> eller om skyddsåtgärden är baserad på en gärning som inte är straffbar i den verkställande staten</w:t>
      </w:r>
      <w:r w:rsidR="00074EBA" w:rsidRPr="004F3196">
        <w:t xml:space="preserve">. </w:t>
      </w:r>
      <w:r w:rsidR="00890A0B" w:rsidRPr="004F3196">
        <w:t>Utöver dessa vägransgrunder finns även</w:t>
      </w:r>
      <w:r w:rsidR="00074EBA" w:rsidRPr="004F3196">
        <w:t xml:space="preserve"> vissa vägransgrunder </w:t>
      </w:r>
      <w:r w:rsidR="00310693" w:rsidRPr="004F3196">
        <w:t xml:space="preserve">typiska för straffrättsliga förfaranden avseende </w:t>
      </w:r>
      <w:r w:rsidR="005F6DCC" w:rsidRPr="004F3196">
        <w:t xml:space="preserve">bl.a. </w:t>
      </w:r>
      <w:r w:rsidR="00310693" w:rsidRPr="004F3196">
        <w:t>amnesti, immunitet, preskrip</w:t>
      </w:r>
      <w:r w:rsidR="005F6DCC" w:rsidRPr="004F3196">
        <w:softHyphen/>
      </w:r>
      <w:r w:rsidR="00310693" w:rsidRPr="004F3196">
        <w:t xml:space="preserve">tion, </w:t>
      </w:r>
      <w:r w:rsidR="00310693" w:rsidRPr="004F3196">
        <w:rPr>
          <w:i/>
        </w:rPr>
        <w:t>ne bis in idem</w:t>
      </w:r>
      <w:r w:rsidR="00310693" w:rsidRPr="004F3196">
        <w:t xml:space="preserve"> och straffbarhetsålder. </w:t>
      </w:r>
      <w:r w:rsidR="003D41A1" w:rsidRPr="004F3196">
        <w:t>Om den verkställande myndig</w:t>
      </w:r>
      <w:r w:rsidR="003D41A1" w:rsidRPr="004F3196">
        <w:softHyphen/>
        <w:t>heten vägrar verkställighet är myndigheten skyldig att informera den skyddsbehövande om möjligheten att i stället begära en skydds</w:t>
      </w:r>
      <w:r w:rsidR="003D41A1" w:rsidRPr="004F3196">
        <w:softHyphen/>
        <w:t xml:space="preserve">åtgärd direkt i den verkställande staten. </w:t>
      </w:r>
    </w:p>
    <w:p w:rsidR="004C10A0" w:rsidRPr="004F3196" w:rsidRDefault="004C10A0" w:rsidP="00270890">
      <w:pPr>
        <w:pStyle w:val="RKnormal"/>
      </w:pPr>
    </w:p>
    <w:p w:rsidR="007D6CE4" w:rsidRPr="004F3196" w:rsidRDefault="00270890" w:rsidP="00270890">
      <w:pPr>
        <w:pStyle w:val="RKnormal"/>
      </w:pPr>
      <w:r w:rsidRPr="004F3196">
        <w:t xml:space="preserve">Eftersom de åtgärder som det kan bli fråga om riktar sig mot den person som ger upphov till hotet i form av olika föreskrifter eller ålägganden så </w:t>
      </w:r>
      <w:r w:rsidR="00310782" w:rsidRPr="004F3196">
        <w:t xml:space="preserve">reglerar </w:t>
      </w:r>
      <w:r w:rsidRPr="004F3196">
        <w:t xml:space="preserve">direktivet </w:t>
      </w:r>
      <w:r w:rsidR="00310782" w:rsidRPr="004F3196">
        <w:t>frågan om delgivning till personen om åtgärder som vidtagits i den verkställande staten</w:t>
      </w:r>
      <w:r w:rsidRPr="004F3196">
        <w:t xml:space="preserve">. </w:t>
      </w:r>
      <w:r w:rsidR="00BD0625" w:rsidRPr="004F3196">
        <w:t>Det finns också en bestämmelse som ger personen en rätt att bli hörd och att överklaga skyddsåtgärden</w:t>
      </w:r>
      <w:r w:rsidR="00172ECD" w:rsidRPr="004F3196">
        <w:t xml:space="preserve"> i de fall sådana rättigheter inte redan tillgodosetts i det ursprungliga förfaran</w:t>
      </w:r>
      <w:r w:rsidR="00E1466A" w:rsidRPr="004F3196">
        <w:softHyphen/>
      </w:r>
      <w:r w:rsidR="00172ECD" w:rsidRPr="004F3196">
        <w:t>det</w:t>
      </w:r>
      <w:r w:rsidR="00BD0625" w:rsidRPr="004F3196">
        <w:t>.</w:t>
      </w:r>
    </w:p>
    <w:p w:rsidR="007D6CE4" w:rsidRPr="004F3196" w:rsidRDefault="007D6CE4" w:rsidP="00270890">
      <w:pPr>
        <w:pStyle w:val="RKnormal"/>
      </w:pPr>
    </w:p>
    <w:p w:rsidR="00310693" w:rsidRPr="004F3196" w:rsidRDefault="007D6CE4" w:rsidP="00270890">
      <w:pPr>
        <w:pStyle w:val="RKnormal"/>
      </w:pPr>
      <w:r w:rsidRPr="004F3196">
        <w:t>Vad gäller kompetensfördelningen mellan den utfärdande och verkställ</w:t>
      </w:r>
      <w:r w:rsidR="00BC1EB4" w:rsidRPr="004F3196">
        <w:softHyphen/>
      </w:r>
      <w:r w:rsidRPr="004F3196">
        <w:t xml:space="preserve">ande </w:t>
      </w:r>
      <w:r w:rsidR="00310693" w:rsidRPr="004F3196">
        <w:t>staten har den</w:t>
      </w:r>
      <w:r w:rsidR="00060CC1" w:rsidRPr="004F3196">
        <w:t xml:space="preserve"> utfärdande staten ensam behörighet att förfoga över den ursprungliga skyddsåtgärden och själva skyddsordern och kan där</w:t>
      </w:r>
      <w:r w:rsidR="00A54C00" w:rsidRPr="004F3196">
        <w:softHyphen/>
      </w:r>
      <w:r w:rsidR="00060CC1" w:rsidRPr="004F3196">
        <w:t>med återkalla, förnya eller ändra den senare. Den</w:t>
      </w:r>
      <w:r w:rsidR="00310693" w:rsidRPr="004F3196">
        <w:t xml:space="preserve"> verkställande st</w:t>
      </w:r>
      <w:r w:rsidR="00060CC1" w:rsidRPr="004F3196">
        <w:t>aten har å sin sida, sedan en skyddsorder erkänts och genomförts, bl.a. kompe</w:t>
      </w:r>
      <w:r w:rsidR="00A54C00" w:rsidRPr="004F3196">
        <w:softHyphen/>
      </w:r>
      <w:r w:rsidR="00060CC1" w:rsidRPr="004F3196">
        <w:t xml:space="preserve">tens att beivra </w:t>
      </w:r>
      <w:r w:rsidR="00310693" w:rsidRPr="004F3196">
        <w:t>över</w:t>
      </w:r>
      <w:r w:rsidR="00060CC1" w:rsidRPr="004F3196">
        <w:t>trädelser som utgör brott enligt lagen i den verk</w:t>
      </w:r>
      <w:r w:rsidR="00A54C00" w:rsidRPr="004F3196">
        <w:softHyphen/>
      </w:r>
      <w:r w:rsidR="00060CC1" w:rsidRPr="004F3196">
        <w:t xml:space="preserve">ställande staten och fatta andra beslut till följd av en överträdelse. Det regleras vidare uttryckligen att den utfärdande staten behåller kompetens att </w:t>
      </w:r>
      <w:r w:rsidR="003545FD" w:rsidRPr="004F3196">
        <w:t xml:space="preserve">undanröja </w:t>
      </w:r>
      <w:r w:rsidR="007765E6" w:rsidRPr="004F3196">
        <w:t>den ursprungliga skyddsåtgärden</w:t>
      </w:r>
      <w:r w:rsidR="003545FD" w:rsidRPr="004F3196">
        <w:t>,</w:t>
      </w:r>
      <w:r w:rsidR="007765E6" w:rsidRPr="004F3196">
        <w:t xml:space="preserve"> </w:t>
      </w:r>
      <w:r w:rsidR="0083366F" w:rsidRPr="004F3196">
        <w:t xml:space="preserve">om den </w:t>
      </w:r>
      <w:r w:rsidR="007765E6" w:rsidRPr="004F3196">
        <w:t>meddelats som en övervakningsåtgärd (alternativ till häkt</w:t>
      </w:r>
      <w:r w:rsidR="003545FD" w:rsidRPr="004F3196">
        <w:t>n</w:t>
      </w:r>
      <w:r w:rsidR="007765E6" w:rsidRPr="004F3196">
        <w:t xml:space="preserve">ing) eller </w:t>
      </w:r>
      <w:r w:rsidR="003545FD" w:rsidRPr="004F3196">
        <w:t>en icke frihetsberö</w:t>
      </w:r>
      <w:r w:rsidR="00A54C00" w:rsidRPr="004F3196">
        <w:softHyphen/>
      </w:r>
      <w:r w:rsidR="003545FD" w:rsidRPr="004F3196">
        <w:t xml:space="preserve">vande </w:t>
      </w:r>
      <w:r w:rsidR="007765E6" w:rsidRPr="004F3196">
        <w:t>påföljd</w:t>
      </w:r>
      <w:r w:rsidR="003545FD" w:rsidRPr="004F3196">
        <w:t xml:space="preserve"> såsom villkorlig dom,</w:t>
      </w:r>
      <w:r w:rsidR="007765E6" w:rsidRPr="004F3196">
        <w:t xml:space="preserve"> </w:t>
      </w:r>
      <w:r w:rsidR="003545FD" w:rsidRPr="004F3196">
        <w:t>och i stället vidta frihetsberövande åtgärder</w:t>
      </w:r>
      <w:r w:rsidR="007765E6" w:rsidRPr="004F3196">
        <w:t xml:space="preserve">. </w:t>
      </w:r>
    </w:p>
    <w:p w:rsidR="008007C9" w:rsidRPr="004F3196" w:rsidRDefault="008007C9" w:rsidP="00270890">
      <w:pPr>
        <w:pStyle w:val="RKnormal"/>
      </w:pPr>
    </w:p>
    <w:p w:rsidR="007765E6" w:rsidRPr="004F3196" w:rsidRDefault="007765E6" w:rsidP="00270890">
      <w:pPr>
        <w:pStyle w:val="RKnormal"/>
      </w:pPr>
      <w:r w:rsidRPr="004F3196">
        <w:t>Direktivet innehåller vidare</w:t>
      </w:r>
      <w:r w:rsidR="00775D7D" w:rsidRPr="004F3196">
        <w:t xml:space="preserve"> bl.a. reglering om behöriga myndigheter, hur en skyddsorder ska översändas, språkregim och vilken information </w:t>
      </w:r>
      <w:r w:rsidR="00377CE9" w:rsidRPr="004F3196">
        <w:t xml:space="preserve">som </w:t>
      </w:r>
      <w:r w:rsidR="00775D7D" w:rsidRPr="004F3196">
        <w:t>ska ges till en hotad person om möjligheterna till en skyddsorder. Därut</w:t>
      </w:r>
      <w:r w:rsidR="00A54C00" w:rsidRPr="004F3196">
        <w:softHyphen/>
      </w:r>
      <w:r w:rsidR="00775D7D" w:rsidRPr="004F3196">
        <w:t>över anger direktivet under vilka begränsade omständigheter skyddsåt</w:t>
      </w:r>
      <w:r w:rsidR="00A54C00" w:rsidRPr="004F3196">
        <w:softHyphen/>
      </w:r>
      <w:r w:rsidR="00775D7D" w:rsidRPr="004F3196">
        <w:t xml:space="preserve">gärden som införts i den verkställande staten får upphöra, </w:t>
      </w:r>
      <w:r w:rsidR="00253AE8" w:rsidRPr="004F3196">
        <w:t>hur</w:t>
      </w:r>
      <w:r w:rsidR="00775D7D" w:rsidRPr="004F3196">
        <w:t xml:space="preserve"> kostnader</w:t>
      </w:r>
      <w:r w:rsidR="0083366F" w:rsidRPr="004F3196">
        <w:t xml:space="preserve"> för förfarandet </w:t>
      </w:r>
      <w:r w:rsidR="00377CE9" w:rsidRPr="004F3196">
        <w:t xml:space="preserve">ska bäras </w:t>
      </w:r>
      <w:r w:rsidR="00253AE8" w:rsidRPr="004F3196">
        <w:t>mellan</w:t>
      </w:r>
      <w:r w:rsidR="00377CE9" w:rsidRPr="004F3196">
        <w:t xml:space="preserve"> staterna, </w:t>
      </w:r>
      <w:r w:rsidR="0083366F" w:rsidRPr="004F3196">
        <w:t xml:space="preserve">som huvudregel </w:t>
      </w:r>
      <w:r w:rsidR="00EC4BFD" w:rsidRPr="004F3196">
        <w:t xml:space="preserve">av </w:t>
      </w:r>
      <w:r w:rsidR="00775D7D" w:rsidRPr="004F3196">
        <w:t>den verk</w:t>
      </w:r>
      <w:r w:rsidR="00EC4BFD" w:rsidRPr="004F3196">
        <w:softHyphen/>
      </w:r>
      <w:r w:rsidR="00775D7D" w:rsidRPr="004F3196">
        <w:t>ställande staten</w:t>
      </w:r>
      <w:r w:rsidR="00377CE9" w:rsidRPr="004F3196">
        <w:t>,</w:t>
      </w:r>
      <w:r w:rsidR="00775D7D" w:rsidRPr="004F3196">
        <w:t xml:space="preserve"> </w:t>
      </w:r>
      <w:r w:rsidR="00253AE8" w:rsidRPr="004F3196">
        <w:t xml:space="preserve">i enlighet med dess nationella rätt, </w:t>
      </w:r>
      <w:r w:rsidR="00775D7D" w:rsidRPr="004F3196">
        <w:t>och att den verk</w:t>
      </w:r>
      <w:r w:rsidR="00EC4BFD" w:rsidRPr="004F3196">
        <w:softHyphen/>
      </w:r>
      <w:r w:rsidR="00775D7D" w:rsidRPr="004F3196">
        <w:t>ställande statens nationella regler om överprövning gäller för de</w:t>
      </w:r>
      <w:r w:rsidR="00377CE9" w:rsidRPr="004F3196">
        <w:t>t</w:t>
      </w:r>
      <w:r w:rsidR="00775D7D" w:rsidRPr="004F3196">
        <w:t xml:space="preserve"> </w:t>
      </w:r>
      <w:r w:rsidR="00377CE9" w:rsidRPr="004F3196">
        <w:t xml:space="preserve">beslut om </w:t>
      </w:r>
      <w:r w:rsidR="00775D7D" w:rsidRPr="004F3196">
        <w:t>åtgärd</w:t>
      </w:r>
      <w:r w:rsidR="00377CE9" w:rsidRPr="004F3196">
        <w:t>er</w:t>
      </w:r>
      <w:r w:rsidR="00775D7D" w:rsidRPr="004F3196">
        <w:t xml:space="preserve"> som </w:t>
      </w:r>
      <w:r w:rsidR="00377CE9" w:rsidRPr="004F3196">
        <w:t xml:space="preserve">meddelas </w:t>
      </w:r>
      <w:r w:rsidR="00775D7D" w:rsidRPr="004F3196">
        <w:t xml:space="preserve">till följd av skyddsordern. </w:t>
      </w:r>
    </w:p>
    <w:p w:rsidR="008007C9" w:rsidRPr="004F3196" w:rsidRDefault="008007C9" w:rsidP="00270890">
      <w:pPr>
        <w:pStyle w:val="RKnormal"/>
      </w:pPr>
    </w:p>
    <w:p w:rsidR="008007C9" w:rsidRPr="004F3196" w:rsidRDefault="008007C9" w:rsidP="00270890">
      <w:pPr>
        <w:pStyle w:val="RKnormal"/>
      </w:pPr>
      <w:r w:rsidRPr="004F3196">
        <w:t xml:space="preserve">Såvitt avser förhållandet till andra instrument anges att det </w:t>
      </w:r>
      <w:r w:rsidR="0083366F" w:rsidRPr="004F3196">
        <w:t>här direktivet inte ska påverka</w:t>
      </w:r>
      <w:r w:rsidRPr="004F3196">
        <w:t xml:space="preserve"> </w:t>
      </w:r>
      <w:r w:rsidR="0083366F" w:rsidRPr="004F3196">
        <w:t xml:space="preserve">tillämpningen av andra instrument. </w:t>
      </w:r>
    </w:p>
    <w:p w:rsidR="001D63FD" w:rsidRPr="004F3196" w:rsidRDefault="001D63FD">
      <w:pPr>
        <w:pStyle w:val="RKrubrik"/>
        <w:rPr>
          <w:i/>
          <w:iCs/>
        </w:rPr>
      </w:pPr>
      <w:r w:rsidRPr="004F3196">
        <w:rPr>
          <w:i/>
          <w:iCs/>
        </w:rPr>
        <w:t>Gällande svenska regler och förslagets effekter på dessa</w:t>
      </w:r>
    </w:p>
    <w:p w:rsidR="00EA170D" w:rsidRPr="004F3196" w:rsidRDefault="00C41B7E" w:rsidP="00C41B7E">
      <w:pPr>
        <w:pStyle w:val="RKnormal"/>
      </w:pPr>
      <w:r w:rsidRPr="004F3196">
        <w:t>Den typ av åtgärder som avses i direktivet motsvaras i svensk rätt när</w:t>
      </w:r>
      <w:r w:rsidR="00A54C00" w:rsidRPr="004F3196">
        <w:softHyphen/>
      </w:r>
      <w:r w:rsidRPr="004F3196">
        <w:t xml:space="preserve">mast av besöksförbud, som regleras i </w:t>
      </w:r>
      <w:r w:rsidRPr="004F3196">
        <w:rPr>
          <w:i/>
        </w:rPr>
        <w:t>lagen (1988:688)</w:t>
      </w:r>
      <w:r w:rsidRPr="004F3196">
        <w:t xml:space="preserve"> </w:t>
      </w:r>
      <w:r w:rsidRPr="004F3196">
        <w:rPr>
          <w:i/>
        </w:rPr>
        <w:t>om besöksförbud</w:t>
      </w:r>
      <w:r w:rsidRPr="004F3196">
        <w:t>. Enligt denna lag får förbud meddelas för en person att besöka eller på annat sätt ta kontakt med en annan person eller att följa efter denna person (</w:t>
      </w:r>
      <w:r w:rsidRPr="004F3196">
        <w:rPr>
          <w:i/>
        </w:rPr>
        <w:t>besöksförbud</w:t>
      </w:r>
      <w:r w:rsidRPr="004F3196">
        <w:t>). Ett sådant förbud får meddelas om det på grund av särskilda omständigheter finns risk för att den mot vilken förbudet avses gälla kommer att begå brott mot, förfölja eller på annat sätt all</w:t>
      </w:r>
      <w:r w:rsidR="00A54C00" w:rsidRPr="004F3196">
        <w:softHyphen/>
      </w:r>
      <w:r w:rsidRPr="004F3196">
        <w:t>varligt trakassera den som förbudet avses skydda. Vid bedömningen a</w:t>
      </w:r>
      <w:r w:rsidR="00751CA9" w:rsidRPr="004F3196">
        <w:t>v om sådan risk föreligger ska</w:t>
      </w:r>
      <w:r w:rsidRPr="004F3196">
        <w:t xml:space="preserve"> särskilt beaktas om den mot vilken förbudet avses gälla har begått brott mot den andra personens liv, hälsa, frihet eller frid</w:t>
      </w:r>
      <w:r w:rsidR="007D6CE4" w:rsidRPr="004F3196">
        <w:t>. Förbudet kan under vissa förutsättningar gälla gemensam bostad (</w:t>
      </w:r>
      <w:r w:rsidR="007D6CE4" w:rsidRPr="004F3196">
        <w:rPr>
          <w:i/>
        </w:rPr>
        <w:t>besöksförbud avseende gemensam bostad</w:t>
      </w:r>
      <w:r w:rsidR="00F12A37" w:rsidRPr="004F3196">
        <w:t xml:space="preserve">). Om det </w:t>
      </w:r>
      <w:r w:rsidR="007D6CE4" w:rsidRPr="004F3196">
        <w:t xml:space="preserve">kan </w:t>
      </w:r>
      <w:r w:rsidR="00271575" w:rsidRPr="004F3196">
        <w:t xml:space="preserve">antas att ett besöksförbud </w:t>
      </w:r>
      <w:r w:rsidR="00F12A37" w:rsidRPr="004F3196">
        <w:t>inte är tillräckligt kan det u</w:t>
      </w:r>
      <w:r w:rsidR="007D6CE4" w:rsidRPr="004F3196">
        <w:t>tvidgas</w:t>
      </w:r>
      <w:r w:rsidR="00EA170D" w:rsidRPr="004F3196">
        <w:t xml:space="preserve"> till att avse förbud att</w:t>
      </w:r>
      <w:r w:rsidRPr="004F3196">
        <w:t xml:space="preserve"> uppehålla sig i närheten av en annan persons bostad eller arbetsplats eller annat ställe där den personen brukar vistas (</w:t>
      </w:r>
      <w:r w:rsidRPr="004F3196">
        <w:rPr>
          <w:i/>
        </w:rPr>
        <w:t>utvidgat besöksförbud</w:t>
      </w:r>
      <w:r w:rsidRPr="004F3196">
        <w:t>). Den som har överträtt ett utvidgat besöksförbud får meddelas förbud att uppehålla sig inom ett större område än som följer av dessa bestämmelser (</w:t>
      </w:r>
      <w:r w:rsidRPr="004F3196">
        <w:rPr>
          <w:i/>
        </w:rPr>
        <w:t>särskilt utvidgat besöksförbud</w:t>
      </w:r>
      <w:r w:rsidRPr="004F3196">
        <w:t xml:space="preserve">). </w:t>
      </w:r>
    </w:p>
    <w:p w:rsidR="00EA170D" w:rsidRPr="004F3196" w:rsidRDefault="00EA170D" w:rsidP="00C41B7E">
      <w:pPr>
        <w:pStyle w:val="RKnormal"/>
      </w:pPr>
    </w:p>
    <w:p w:rsidR="00EC20DE" w:rsidRPr="004F3196" w:rsidRDefault="00EC20DE" w:rsidP="00EA170D">
      <w:pPr>
        <w:pStyle w:val="RKnormal"/>
      </w:pPr>
      <w:r w:rsidRPr="004F3196">
        <w:t>Frågor om besöksförbud prövas av allmän åklagare och tas upp på begä</w:t>
      </w:r>
      <w:r w:rsidR="00A54C00" w:rsidRPr="004F3196">
        <w:softHyphen/>
      </w:r>
      <w:r w:rsidRPr="004F3196">
        <w:t>ran av den som förbudet avses skydda eller när det annars finns anled</w:t>
      </w:r>
      <w:r w:rsidR="00A54C00" w:rsidRPr="004F3196">
        <w:softHyphen/>
      </w:r>
      <w:r w:rsidRPr="004F3196">
        <w:t xml:space="preserve">ning till det. </w:t>
      </w:r>
      <w:r w:rsidR="00293839" w:rsidRPr="004F3196">
        <w:t xml:space="preserve">Förfarandet har både straffrättsliga och förvaltningsrättsliga inslag. Den som har ålagts ett besöksförbud och den som förbudet avser att skydda kan begära att tingsrätten prövar ett beslut om besöksförbud som fattats av åklagare. Tingsrätten prövar även </w:t>
      </w:r>
      <w:r w:rsidR="00360799" w:rsidRPr="004F3196">
        <w:t xml:space="preserve">mål </w:t>
      </w:r>
      <w:r w:rsidR="00293839" w:rsidRPr="004F3196">
        <w:t>där personer har brutit mot besöksförbud.</w:t>
      </w:r>
    </w:p>
    <w:p w:rsidR="00293839" w:rsidRPr="004F3196" w:rsidRDefault="00293839" w:rsidP="00EA170D">
      <w:pPr>
        <w:pStyle w:val="RKnormal"/>
      </w:pPr>
    </w:p>
    <w:p w:rsidR="00C41B7E" w:rsidRPr="004F3196" w:rsidRDefault="00C41B7E" w:rsidP="00C41B7E">
      <w:pPr>
        <w:pStyle w:val="RKnormal"/>
      </w:pPr>
      <w:r w:rsidRPr="004F3196">
        <w:t xml:space="preserve">Den svenska lagstiftningen motsvarar </w:t>
      </w:r>
      <w:r w:rsidR="00CA30B9" w:rsidRPr="004F3196">
        <w:t xml:space="preserve">de flesta </w:t>
      </w:r>
      <w:r w:rsidRPr="004F3196">
        <w:t>men inte alla av de åtgär</w:t>
      </w:r>
      <w:r w:rsidR="00A54C00" w:rsidRPr="004F3196">
        <w:softHyphen/>
      </w:r>
      <w:r w:rsidRPr="004F3196">
        <w:t>der som direktivet omfattar. I dag finns det ingen svensk lagstiftning angående övertagande och verkställ</w:t>
      </w:r>
      <w:r w:rsidR="00C05430" w:rsidRPr="004F3196">
        <w:t>ighet</w:t>
      </w:r>
      <w:r w:rsidRPr="004F3196">
        <w:t xml:space="preserve"> av </w:t>
      </w:r>
      <w:r w:rsidR="00C05430" w:rsidRPr="004F3196">
        <w:t>utländska</w:t>
      </w:r>
      <w:r w:rsidRPr="004F3196">
        <w:t xml:space="preserve"> beslut. Inte heller finns det någon lagstiftning om överförande av sådana beslut till andra stater. Genomförandet av det föreslagna direktivet kommer således att kräva ny lagstiftning.</w:t>
      </w:r>
    </w:p>
    <w:p w:rsidR="001D63FD" w:rsidRPr="004F3196" w:rsidRDefault="001D63FD">
      <w:pPr>
        <w:pStyle w:val="RKrubrik"/>
      </w:pPr>
      <w:r w:rsidRPr="004F3196">
        <w:t>Ekonomiska konsekvenser</w:t>
      </w:r>
    </w:p>
    <w:p w:rsidR="00C41B7E" w:rsidRPr="004F3196" w:rsidRDefault="00C41B7E" w:rsidP="00C41B7E">
      <w:pPr>
        <w:pStyle w:val="RKnormal"/>
      </w:pPr>
      <w:r w:rsidRPr="004F3196">
        <w:t>Det föreligger inte någon tillförlitlig statistik på hur många fall det föreslagna direktivet kan antas komma att tillämpas på. Några nya och långtgående åligganden innebär dock bestämmelserna inte för medlems</w:t>
      </w:r>
      <w:r w:rsidR="007765E6" w:rsidRPr="004F3196">
        <w:softHyphen/>
      </w:r>
      <w:r w:rsidRPr="004F3196">
        <w:t xml:space="preserve">staterna. Medan direktivet innebär att de berörda myndigheterna får vissa nya arbetsuppgifter jämfört med i dag, kan det också antas innebära vissa besparingar eftersom ett överförande av en skyddsorder innebär att en ny process om den berörda personens skyddsbehov </w:t>
      </w:r>
      <w:r w:rsidR="00EB0619" w:rsidRPr="004F3196">
        <w:t xml:space="preserve">i den andra staten </w:t>
      </w:r>
      <w:r w:rsidRPr="004F3196">
        <w:t>undviks. I dagsläget är det dock inte möjligt att närmare bedöma vilka budgetära konsekvenser ett genomförande av direktivet kommer att få. Det bör dock kunna förutsättas att eventuella budgetära konsekvenser, såväl nationella som inom EU, ska kunna finansieras genom ompriorite</w:t>
      </w:r>
      <w:r w:rsidR="00A54C00" w:rsidRPr="004F3196">
        <w:softHyphen/>
      </w:r>
      <w:r w:rsidRPr="004F3196">
        <w:t>ringar inom befintliga budgetramar.</w:t>
      </w:r>
    </w:p>
    <w:p w:rsidR="001D63FD" w:rsidRPr="004F3196" w:rsidRDefault="001D63FD">
      <w:pPr>
        <w:pStyle w:val="RKrubrik"/>
      </w:pPr>
      <w:r w:rsidRPr="004F3196">
        <w:t>Övrigt</w:t>
      </w:r>
    </w:p>
    <w:p w:rsidR="008A6A99" w:rsidRPr="004F3196" w:rsidRDefault="008A6A99" w:rsidP="00A54C00">
      <w:pPr>
        <w:pStyle w:val="RKnormal"/>
        <w:jc w:val="center"/>
      </w:pPr>
    </w:p>
    <w:p w:rsidR="00A54C00" w:rsidRPr="004F3196" w:rsidRDefault="00A54C00" w:rsidP="00A54C00">
      <w:pPr>
        <w:pStyle w:val="RKnormal"/>
        <w:jc w:val="center"/>
      </w:pPr>
      <w:r w:rsidRPr="004F3196">
        <w:t>________________</w:t>
      </w:r>
    </w:p>
    <w:p w:rsidR="00A54C00" w:rsidRPr="004F3196" w:rsidRDefault="00A54C00">
      <w:pPr>
        <w:pStyle w:val="RKnormal"/>
      </w:pPr>
    </w:p>
    <w:sectPr w:rsidR="00A54C00" w:rsidRPr="004F319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B91" w:rsidRPr="004F3196" w:rsidRDefault="00BA5B91">
      <w:r w:rsidRPr="004F3196">
        <w:separator/>
      </w:r>
    </w:p>
  </w:endnote>
  <w:endnote w:type="continuationSeparator" w:id="0">
    <w:p w:rsidR="00BA5B91" w:rsidRPr="004F3196" w:rsidRDefault="00BA5B91">
      <w:r w:rsidRPr="004F3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B91" w:rsidRPr="004F3196" w:rsidRDefault="00BA5B91">
      <w:r w:rsidRPr="004F3196">
        <w:separator/>
      </w:r>
    </w:p>
  </w:footnote>
  <w:footnote w:type="continuationSeparator" w:id="0">
    <w:p w:rsidR="00BA5B91" w:rsidRPr="004F3196" w:rsidRDefault="00BA5B91">
      <w:r w:rsidRPr="004F3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E8" w:rsidRPr="004F3196" w:rsidRDefault="00253AE8">
    <w:pPr>
      <w:pStyle w:val="Sidhuvud"/>
      <w:framePr w:wrap="around" w:vAnchor="text" w:hAnchor="margin" w:xAlign="right" w:y="1"/>
      <w:rPr>
        <w:rStyle w:val="Sidnummer"/>
      </w:rPr>
    </w:pPr>
    <w:r w:rsidRPr="004F3196">
      <w:rPr>
        <w:rStyle w:val="Sidnummer"/>
      </w:rPr>
      <w:fldChar w:fldCharType="begin" w:fldLock="1"/>
    </w:r>
    <w:r w:rsidRPr="004F3196">
      <w:rPr>
        <w:rStyle w:val="Sidnummer"/>
      </w:rPr>
      <w:instrText xml:space="preserve">PAGE  </w:instrText>
    </w:r>
    <w:r w:rsidRPr="004F3196">
      <w:rPr>
        <w:rStyle w:val="Sidnummer"/>
      </w:rPr>
      <w:fldChar w:fldCharType="separate"/>
    </w:r>
    <w:r w:rsidR="009C2E95" w:rsidRPr="004F3196">
      <w:rPr>
        <w:rStyle w:val="Sidnummer"/>
      </w:rPr>
      <w:t>6</w:t>
    </w:r>
    <w:r w:rsidRPr="004F319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53AE8" w:rsidRPr="004F3196">
      <w:tblPrEx>
        <w:tblCellMar>
          <w:top w:w="0" w:type="dxa"/>
          <w:bottom w:w="0" w:type="dxa"/>
        </w:tblCellMar>
      </w:tblPrEx>
      <w:trPr>
        <w:cantSplit/>
      </w:trPr>
      <w:tc>
        <w:tcPr>
          <w:tcW w:w="3119" w:type="dxa"/>
        </w:tcPr>
        <w:p w:rsidR="00253AE8" w:rsidRPr="004F3196" w:rsidRDefault="00253AE8">
          <w:pPr>
            <w:pStyle w:val="Sidhuvud"/>
            <w:spacing w:line="200" w:lineRule="atLeast"/>
            <w:ind w:right="357"/>
            <w:rPr>
              <w:rFonts w:ascii="TradeGothic" w:hAnsi="TradeGothic"/>
              <w:b/>
              <w:bCs/>
              <w:sz w:val="16"/>
            </w:rPr>
          </w:pPr>
        </w:p>
      </w:tc>
      <w:tc>
        <w:tcPr>
          <w:tcW w:w="4111" w:type="dxa"/>
          <w:tcMar>
            <w:left w:w="567" w:type="dxa"/>
          </w:tcMar>
        </w:tcPr>
        <w:p w:rsidR="00253AE8" w:rsidRPr="004F3196" w:rsidRDefault="00253AE8">
          <w:pPr>
            <w:pStyle w:val="Sidhuvud"/>
            <w:ind w:right="360"/>
          </w:pPr>
        </w:p>
      </w:tc>
      <w:tc>
        <w:tcPr>
          <w:tcW w:w="1525" w:type="dxa"/>
        </w:tcPr>
        <w:p w:rsidR="00253AE8" w:rsidRPr="004F3196" w:rsidRDefault="00253AE8">
          <w:pPr>
            <w:pStyle w:val="Sidhuvud"/>
            <w:ind w:right="360"/>
          </w:pPr>
        </w:p>
      </w:tc>
    </w:tr>
  </w:tbl>
  <w:p w:rsidR="00253AE8" w:rsidRPr="004F3196" w:rsidRDefault="00253AE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E8" w:rsidRPr="004F3196" w:rsidRDefault="00253AE8">
    <w:pPr>
      <w:pStyle w:val="Sidhuvud"/>
      <w:framePr w:wrap="around" w:vAnchor="text" w:hAnchor="margin" w:xAlign="right" w:y="1"/>
      <w:rPr>
        <w:rStyle w:val="Sidnummer"/>
      </w:rPr>
    </w:pPr>
    <w:r w:rsidRPr="004F3196">
      <w:rPr>
        <w:rStyle w:val="Sidnummer"/>
      </w:rPr>
      <w:fldChar w:fldCharType="begin" w:fldLock="1"/>
    </w:r>
    <w:r w:rsidRPr="004F3196">
      <w:rPr>
        <w:rStyle w:val="Sidnummer"/>
      </w:rPr>
      <w:instrText xml:space="preserve">PAGE  </w:instrText>
    </w:r>
    <w:r w:rsidRPr="004F3196">
      <w:rPr>
        <w:rStyle w:val="Sidnummer"/>
      </w:rPr>
      <w:fldChar w:fldCharType="separate"/>
    </w:r>
    <w:r w:rsidR="009C2E95" w:rsidRPr="004F3196">
      <w:rPr>
        <w:rStyle w:val="Sidnummer"/>
      </w:rPr>
      <w:t>5</w:t>
    </w:r>
    <w:r w:rsidRPr="004F319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53AE8" w:rsidRPr="004F3196">
      <w:tblPrEx>
        <w:tblCellMar>
          <w:top w:w="0" w:type="dxa"/>
          <w:bottom w:w="0" w:type="dxa"/>
        </w:tblCellMar>
      </w:tblPrEx>
      <w:trPr>
        <w:cantSplit/>
      </w:trPr>
      <w:tc>
        <w:tcPr>
          <w:tcW w:w="3119" w:type="dxa"/>
        </w:tcPr>
        <w:p w:rsidR="00253AE8" w:rsidRPr="004F3196" w:rsidRDefault="00253AE8">
          <w:pPr>
            <w:pStyle w:val="Sidhuvud"/>
            <w:spacing w:line="200" w:lineRule="atLeast"/>
            <w:ind w:right="357"/>
            <w:rPr>
              <w:rFonts w:ascii="TradeGothic" w:hAnsi="TradeGothic"/>
              <w:b/>
              <w:bCs/>
              <w:sz w:val="16"/>
            </w:rPr>
          </w:pPr>
        </w:p>
      </w:tc>
      <w:tc>
        <w:tcPr>
          <w:tcW w:w="4111" w:type="dxa"/>
          <w:tcMar>
            <w:left w:w="567" w:type="dxa"/>
          </w:tcMar>
        </w:tcPr>
        <w:p w:rsidR="00253AE8" w:rsidRPr="004F3196" w:rsidRDefault="00253AE8">
          <w:pPr>
            <w:pStyle w:val="Sidhuvud"/>
            <w:ind w:right="360"/>
          </w:pPr>
        </w:p>
      </w:tc>
      <w:tc>
        <w:tcPr>
          <w:tcW w:w="1525" w:type="dxa"/>
        </w:tcPr>
        <w:p w:rsidR="00253AE8" w:rsidRPr="004F3196" w:rsidRDefault="00253AE8">
          <w:pPr>
            <w:pStyle w:val="Sidhuvud"/>
            <w:ind w:right="360"/>
          </w:pPr>
        </w:p>
      </w:tc>
    </w:tr>
  </w:tbl>
  <w:p w:rsidR="00253AE8" w:rsidRPr="004F3196" w:rsidRDefault="00253AE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AE8" w:rsidRPr="004F3196" w:rsidRDefault="004F3196">
    <w:pPr>
      <w:framePr w:w="2948" w:h="1321" w:hRule="exact" w:wrap="notBeside" w:vAnchor="page" w:hAnchor="page" w:x="1362" w:y="653"/>
    </w:pPr>
    <w:r w:rsidRPr="004F319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53AE8" w:rsidRPr="004F3196" w:rsidRDefault="00253AE8">
    <w:pPr>
      <w:pStyle w:val="RKrubrik"/>
      <w:keepNext w:val="0"/>
      <w:tabs>
        <w:tab w:val="clear" w:pos="1134"/>
        <w:tab w:val="clear" w:pos="2835"/>
      </w:tabs>
      <w:spacing w:before="0" w:after="0" w:line="320" w:lineRule="atLeast"/>
      <w:rPr>
        <w:bCs/>
      </w:rPr>
    </w:pPr>
  </w:p>
  <w:p w:rsidR="00253AE8" w:rsidRPr="004F3196" w:rsidRDefault="00253AE8">
    <w:pPr>
      <w:rPr>
        <w:rFonts w:ascii="TradeGothic" w:hAnsi="TradeGothic"/>
        <w:b/>
        <w:bCs/>
        <w:spacing w:val="12"/>
        <w:sz w:val="22"/>
      </w:rPr>
    </w:pPr>
  </w:p>
  <w:p w:rsidR="00253AE8" w:rsidRPr="004F3196" w:rsidRDefault="00253AE8">
    <w:pPr>
      <w:pStyle w:val="RKrubrik"/>
      <w:keepNext w:val="0"/>
      <w:tabs>
        <w:tab w:val="clear" w:pos="1134"/>
        <w:tab w:val="clear" w:pos="2835"/>
      </w:tabs>
      <w:spacing w:before="0" w:after="0" w:line="320" w:lineRule="atLeast"/>
      <w:rPr>
        <w:bCs/>
      </w:rPr>
    </w:pPr>
  </w:p>
  <w:p w:rsidR="00253AE8" w:rsidRPr="004F3196" w:rsidRDefault="00253AE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7236"/>
    <w:rsid w:val="00017452"/>
    <w:rsid w:val="000259DE"/>
    <w:rsid w:val="0003134C"/>
    <w:rsid w:val="00031661"/>
    <w:rsid w:val="00035BCB"/>
    <w:rsid w:val="00060CC1"/>
    <w:rsid w:val="00063AF0"/>
    <w:rsid w:val="00074EBA"/>
    <w:rsid w:val="00085628"/>
    <w:rsid w:val="000A58F9"/>
    <w:rsid w:val="000F3238"/>
    <w:rsid w:val="00115B7F"/>
    <w:rsid w:val="001242BF"/>
    <w:rsid w:val="00150384"/>
    <w:rsid w:val="00172ECD"/>
    <w:rsid w:val="00173CBA"/>
    <w:rsid w:val="001804C0"/>
    <w:rsid w:val="001805B7"/>
    <w:rsid w:val="001A428E"/>
    <w:rsid w:val="001D63FD"/>
    <w:rsid w:val="00253AE8"/>
    <w:rsid w:val="002644D3"/>
    <w:rsid w:val="00270890"/>
    <w:rsid w:val="00271575"/>
    <w:rsid w:val="002836D4"/>
    <w:rsid w:val="002909F4"/>
    <w:rsid w:val="00293839"/>
    <w:rsid w:val="00295017"/>
    <w:rsid w:val="002A3D65"/>
    <w:rsid w:val="002C6F74"/>
    <w:rsid w:val="002D031F"/>
    <w:rsid w:val="002D0461"/>
    <w:rsid w:val="002D4561"/>
    <w:rsid w:val="002D7E06"/>
    <w:rsid w:val="002F25D3"/>
    <w:rsid w:val="002F54E9"/>
    <w:rsid w:val="00310693"/>
    <w:rsid w:val="00310782"/>
    <w:rsid w:val="00313338"/>
    <w:rsid w:val="00313BA6"/>
    <w:rsid w:val="003400E3"/>
    <w:rsid w:val="003545FD"/>
    <w:rsid w:val="003563F7"/>
    <w:rsid w:val="00360799"/>
    <w:rsid w:val="0036476E"/>
    <w:rsid w:val="00377CE9"/>
    <w:rsid w:val="003A77B1"/>
    <w:rsid w:val="003B57C6"/>
    <w:rsid w:val="003B58D5"/>
    <w:rsid w:val="003C219E"/>
    <w:rsid w:val="003D41A1"/>
    <w:rsid w:val="003D74D8"/>
    <w:rsid w:val="003F4133"/>
    <w:rsid w:val="00406B3C"/>
    <w:rsid w:val="00444715"/>
    <w:rsid w:val="00450B5E"/>
    <w:rsid w:val="004836A3"/>
    <w:rsid w:val="00495B88"/>
    <w:rsid w:val="004A328D"/>
    <w:rsid w:val="004C10A0"/>
    <w:rsid w:val="004D251F"/>
    <w:rsid w:val="004E5629"/>
    <w:rsid w:val="004E6092"/>
    <w:rsid w:val="004F3196"/>
    <w:rsid w:val="00514080"/>
    <w:rsid w:val="00517EA8"/>
    <w:rsid w:val="005417AC"/>
    <w:rsid w:val="00593594"/>
    <w:rsid w:val="005D3317"/>
    <w:rsid w:val="005E1CFE"/>
    <w:rsid w:val="005E3DAA"/>
    <w:rsid w:val="005F6DCC"/>
    <w:rsid w:val="005F7BCF"/>
    <w:rsid w:val="0060376D"/>
    <w:rsid w:val="00603D7F"/>
    <w:rsid w:val="00627AE5"/>
    <w:rsid w:val="00662589"/>
    <w:rsid w:val="00695EA3"/>
    <w:rsid w:val="006C5C13"/>
    <w:rsid w:val="006E4E11"/>
    <w:rsid w:val="006E79A6"/>
    <w:rsid w:val="006F2FAD"/>
    <w:rsid w:val="007242A3"/>
    <w:rsid w:val="007456AE"/>
    <w:rsid w:val="007458D7"/>
    <w:rsid w:val="00751CA9"/>
    <w:rsid w:val="00775D7D"/>
    <w:rsid w:val="007765E6"/>
    <w:rsid w:val="007A79D4"/>
    <w:rsid w:val="007B0411"/>
    <w:rsid w:val="007C4969"/>
    <w:rsid w:val="007D6CE4"/>
    <w:rsid w:val="007E4B1E"/>
    <w:rsid w:val="007F5CCD"/>
    <w:rsid w:val="008007C9"/>
    <w:rsid w:val="00831AC7"/>
    <w:rsid w:val="0083366F"/>
    <w:rsid w:val="008425BF"/>
    <w:rsid w:val="00874EFC"/>
    <w:rsid w:val="00890A0B"/>
    <w:rsid w:val="008A1EC7"/>
    <w:rsid w:val="008A6A99"/>
    <w:rsid w:val="008F3DD3"/>
    <w:rsid w:val="0092580A"/>
    <w:rsid w:val="00947369"/>
    <w:rsid w:val="00962FF0"/>
    <w:rsid w:val="0097261D"/>
    <w:rsid w:val="00984286"/>
    <w:rsid w:val="009C2E95"/>
    <w:rsid w:val="00A0001B"/>
    <w:rsid w:val="00A205D3"/>
    <w:rsid w:val="00A26980"/>
    <w:rsid w:val="00A54C00"/>
    <w:rsid w:val="00A637A5"/>
    <w:rsid w:val="00A76B70"/>
    <w:rsid w:val="00A847D7"/>
    <w:rsid w:val="00A85062"/>
    <w:rsid w:val="00A878CB"/>
    <w:rsid w:val="00AA6F51"/>
    <w:rsid w:val="00AA7DB7"/>
    <w:rsid w:val="00AE53F6"/>
    <w:rsid w:val="00B366BB"/>
    <w:rsid w:val="00B43B4A"/>
    <w:rsid w:val="00B52D91"/>
    <w:rsid w:val="00B949B3"/>
    <w:rsid w:val="00BA5A6D"/>
    <w:rsid w:val="00BA5B91"/>
    <w:rsid w:val="00BC1EB4"/>
    <w:rsid w:val="00BD0625"/>
    <w:rsid w:val="00BD1583"/>
    <w:rsid w:val="00BE11E3"/>
    <w:rsid w:val="00BE4E22"/>
    <w:rsid w:val="00C05430"/>
    <w:rsid w:val="00C13617"/>
    <w:rsid w:val="00C34863"/>
    <w:rsid w:val="00C41B7E"/>
    <w:rsid w:val="00C62413"/>
    <w:rsid w:val="00C7422E"/>
    <w:rsid w:val="00C75FFC"/>
    <w:rsid w:val="00C77960"/>
    <w:rsid w:val="00CA30B9"/>
    <w:rsid w:val="00CD6F0B"/>
    <w:rsid w:val="00CF609E"/>
    <w:rsid w:val="00D218CD"/>
    <w:rsid w:val="00D24A39"/>
    <w:rsid w:val="00D33497"/>
    <w:rsid w:val="00D422CC"/>
    <w:rsid w:val="00D732D1"/>
    <w:rsid w:val="00D844A0"/>
    <w:rsid w:val="00D8578C"/>
    <w:rsid w:val="00DB3AD6"/>
    <w:rsid w:val="00DC6ABE"/>
    <w:rsid w:val="00E1466A"/>
    <w:rsid w:val="00E366E7"/>
    <w:rsid w:val="00E70089"/>
    <w:rsid w:val="00E75D36"/>
    <w:rsid w:val="00E8267C"/>
    <w:rsid w:val="00EA170D"/>
    <w:rsid w:val="00EB0619"/>
    <w:rsid w:val="00EC20DE"/>
    <w:rsid w:val="00EC25F9"/>
    <w:rsid w:val="00EC4BFD"/>
    <w:rsid w:val="00ED4219"/>
    <w:rsid w:val="00EE0E36"/>
    <w:rsid w:val="00F07528"/>
    <w:rsid w:val="00F1089E"/>
    <w:rsid w:val="00F12A37"/>
    <w:rsid w:val="00F34CA5"/>
    <w:rsid w:val="00F51986"/>
    <w:rsid w:val="00F841C6"/>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05F4EC-6294-4B6C-BFF3-729E9A92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60376D"/>
    <w:rPr>
      <w:sz w:val="20"/>
    </w:rPr>
  </w:style>
  <w:style w:type="character" w:styleId="Fotnotsreferens">
    <w:name w:val="footnote reference"/>
    <w:basedOn w:val="Standardstycketeckensnitt"/>
    <w:semiHidden/>
    <w:rsid w:val="00603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1855</Words>
  <Characters>11116</Characters>
  <Application>Microsoft Office Word</Application>
  <DocSecurity>4</DocSecurity>
  <Lines>252</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2010-04-08T13:43:00Z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