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C373F" w14:paraId="2BD94587" w14:textId="77777777">
        <w:tc>
          <w:tcPr>
            <w:tcW w:w="2268" w:type="dxa"/>
          </w:tcPr>
          <w:p w14:paraId="1476E828" w14:textId="77777777" w:rsidR="000C373F" w:rsidRDefault="000C373F">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0B506F9" w14:textId="77777777" w:rsidR="000C373F" w:rsidRDefault="000C373F">
            <w:pPr>
              <w:framePr w:w="5035" w:h="1644" w:wrap="notBeside" w:vAnchor="page" w:hAnchor="page" w:x="6573" w:y="721"/>
              <w:rPr>
                <w:rFonts w:ascii="TradeGothic" w:hAnsi="TradeGothic"/>
                <w:i/>
                <w:sz w:val="18"/>
              </w:rPr>
            </w:pPr>
          </w:p>
        </w:tc>
      </w:tr>
      <w:tr w:rsidR="000C373F" w14:paraId="5ADEDA54" w14:textId="77777777">
        <w:tc>
          <w:tcPr>
            <w:tcW w:w="2268" w:type="dxa"/>
          </w:tcPr>
          <w:p w14:paraId="494D1DAD" w14:textId="77777777" w:rsidR="000C373F" w:rsidRDefault="000C373F">
            <w:pPr>
              <w:framePr w:w="5035" w:h="1644" w:wrap="notBeside" w:vAnchor="page" w:hAnchor="page" w:x="6573" w:y="721"/>
              <w:rPr>
                <w:rFonts w:ascii="TradeGothic" w:hAnsi="TradeGothic"/>
                <w:b/>
                <w:sz w:val="22"/>
              </w:rPr>
            </w:pPr>
          </w:p>
        </w:tc>
        <w:tc>
          <w:tcPr>
            <w:tcW w:w="2999" w:type="dxa"/>
            <w:gridSpan w:val="2"/>
          </w:tcPr>
          <w:p w14:paraId="2E785EF0" w14:textId="77777777" w:rsidR="000C373F" w:rsidRDefault="000C373F">
            <w:pPr>
              <w:framePr w:w="5035" w:h="1644" w:wrap="notBeside" w:vAnchor="page" w:hAnchor="page" w:x="6573" w:y="721"/>
              <w:rPr>
                <w:rFonts w:ascii="TradeGothic" w:hAnsi="TradeGothic"/>
                <w:b/>
                <w:sz w:val="22"/>
              </w:rPr>
            </w:pPr>
          </w:p>
        </w:tc>
      </w:tr>
      <w:tr w:rsidR="000C373F" w14:paraId="4D1E8914" w14:textId="77777777">
        <w:tc>
          <w:tcPr>
            <w:tcW w:w="3402" w:type="dxa"/>
            <w:gridSpan w:val="2"/>
          </w:tcPr>
          <w:p w14:paraId="326AAABF" w14:textId="77777777" w:rsidR="000C373F" w:rsidRDefault="000C373F">
            <w:pPr>
              <w:framePr w:w="5035" w:h="1644" w:wrap="notBeside" w:vAnchor="page" w:hAnchor="page" w:x="6573" w:y="721"/>
            </w:pPr>
          </w:p>
        </w:tc>
        <w:tc>
          <w:tcPr>
            <w:tcW w:w="1865" w:type="dxa"/>
          </w:tcPr>
          <w:p w14:paraId="4125403F" w14:textId="77777777" w:rsidR="000C373F" w:rsidRDefault="000C373F">
            <w:pPr>
              <w:framePr w:w="5035" w:h="1644" w:wrap="notBeside" w:vAnchor="page" w:hAnchor="page" w:x="6573" w:y="721"/>
            </w:pPr>
          </w:p>
        </w:tc>
      </w:tr>
      <w:tr w:rsidR="000C373F" w14:paraId="7AE65CC5" w14:textId="77777777">
        <w:tc>
          <w:tcPr>
            <w:tcW w:w="2268" w:type="dxa"/>
          </w:tcPr>
          <w:p w14:paraId="277D9617" w14:textId="77777777" w:rsidR="000C373F" w:rsidRDefault="000C373F">
            <w:pPr>
              <w:framePr w:w="5035" w:h="1644" w:wrap="notBeside" w:vAnchor="page" w:hAnchor="page" w:x="6573" w:y="721"/>
            </w:pPr>
          </w:p>
        </w:tc>
        <w:tc>
          <w:tcPr>
            <w:tcW w:w="2999" w:type="dxa"/>
            <w:gridSpan w:val="2"/>
          </w:tcPr>
          <w:p w14:paraId="17F3B152" w14:textId="77777777" w:rsidR="000C373F" w:rsidRDefault="00F45291" w:rsidP="00F24AC9">
            <w:pPr>
              <w:framePr w:w="5035" w:h="1644" w:wrap="notBeside" w:vAnchor="page" w:hAnchor="page" w:x="6573" w:y="721"/>
              <w:rPr>
                <w:sz w:val="20"/>
              </w:rPr>
            </w:pPr>
            <w:r w:rsidRPr="00F24AC9">
              <w:rPr>
                <w:sz w:val="20"/>
              </w:rPr>
              <w:t>Dnr Ju2017</w:t>
            </w:r>
            <w:r w:rsidR="00F24AC9" w:rsidRPr="00F24AC9">
              <w:rPr>
                <w:sz w:val="20"/>
              </w:rPr>
              <w:t>/02817/POL</w:t>
            </w:r>
          </w:p>
        </w:tc>
      </w:tr>
      <w:tr w:rsidR="000C373F" w14:paraId="3B6210F5" w14:textId="77777777">
        <w:tc>
          <w:tcPr>
            <w:tcW w:w="2268" w:type="dxa"/>
          </w:tcPr>
          <w:p w14:paraId="7281E46E" w14:textId="77777777" w:rsidR="000C373F" w:rsidRDefault="000C373F">
            <w:pPr>
              <w:framePr w:w="5035" w:h="1644" w:wrap="notBeside" w:vAnchor="page" w:hAnchor="page" w:x="6573" w:y="721"/>
            </w:pPr>
          </w:p>
        </w:tc>
        <w:tc>
          <w:tcPr>
            <w:tcW w:w="2999" w:type="dxa"/>
            <w:gridSpan w:val="2"/>
          </w:tcPr>
          <w:p w14:paraId="7C253B54" w14:textId="77777777" w:rsidR="000C373F" w:rsidRDefault="000C373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C373F" w14:paraId="15AD4D8B"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0C373F" w14:paraId="1C31F14B"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0C373F" w14:paraId="4D90CDD0" w14:textId="77777777">
                    <w:trPr>
                      <w:trHeight w:val="284"/>
                    </w:trPr>
                    <w:tc>
                      <w:tcPr>
                        <w:tcW w:w="4911" w:type="dxa"/>
                      </w:tcPr>
                      <w:p w14:paraId="3C316231" w14:textId="77777777" w:rsidR="000C373F" w:rsidRDefault="00F45291">
                        <w:pPr>
                          <w:framePr w:w="4695" w:h="2483" w:hSpace="113" w:wrap="notBeside" w:vAnchor="page" w:hAnchor="page" w:x="1504" w:y="2496"/>
                          <w:tabs>
                            <w:tab w:val="left" w:pos="2288"/>
                          </w:tabs>
                          <w:overflowPunct/>
                          <w:spacing w:line="240" w:lineRule="auto"/>
                          <w:textAlignment w:val="auto"/>
                          <w:rPr>
                            <w:rFonts w:ascii="TradeGothic" w:hAnsi="TradeGothic" w:cs="TradeGothic"/>
                            <w:b/>
                            <w:bCs/>
                            <w:iCs/>
                            <w:color w:val="000000"/>
                            <w:sz w:val="20"/>
                            <w:lang w:eastAsia="sv-SE"/>
                          </w:rPr>
                        </w:pPr>
                        <w:r>
                          <w:rPr>
                            <w:rFonts w:ascii="TradeGothic" w:hAnsi="TradeGothic" w:cs="TradeGothic"/>
                            <w:b/>
                            <w:bCs/>
                            <w:iCs/>
                            <w:color w:val="000000"/>
                            <w:sz w:val="20"/>
                            <w:lang w:eastAsia="sv-SE"/>
                          </w:rPr>
                          <w:t>Justitiedepartementet</w:t>
                        </w:r>
                      </w:p>
                    </w:tc>
                  </w:tr>
                  <w:tr w:rsidR="000C373F" w14:paraId="44328378" w14:textId="77777777">
                    <w:trPr>
                      <w:trHeight w:val="284"/>
                    </w:trPr>
                    <w:tc>
                      <w:tcPr>
                        <w:tcW w:w="4911" w:type="dxa"/>
                      </w:tcPr>
                      <w:p w14:paraId="47348080" w14:textId="77777777" w:rsidR="000C373F" w:rsidRDefault="00F45291">
                        <w:pPr>
                          <w:pStyle w:val="Avsndare"/>
                          <w:framePr w:h="2483" w:wrap="notBeside" w:x="1504"/>
                          <w:rPr>
                            <w:rFonts w:cs="TradeGothic"/>
                            <w:iCs/>
                            <w:color w:val="000000"/>
                            <w:szCs w:val="18"/>
                            <w:lang w:eastAsia="sv-SE"/>
                          </w:rPr>
                        </w:pPr>
                        <w:r>
                          <w:rPr>
                            <w:rFonts w:cs="TradeGothic"/>
                            <w:iCs/>
                            <w:color w:val="000000"/>
                            <w:szCs w:val="18"/>
                            <w:lang w:eastAsia="sv-SE"/>
                          </w:rPr>
                          <w:t>Justitie- och migrationsministern</w:t>
                        </w:r>
                      </w:p>
                    </w:tc>
                  </w:tr>
                </w:tbl>
                <w:p w14:paraId="60EA6BAF" w14:textId="77777777" w:rsidR="000C373F" w:rsidRDefault="000C373F">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0C373F" w14:paraId="7C6F14A0" w14:textId="77777777">
              <w:trPr>
                <w:trHeight w:val="284"/>
              </w:trPr>
              <w:tc>
                <w:tcPr>
                  <w:tcW w:w="4911" w:type="dxa"/>
                </w:tcPr>
                <w:p w14:paraId="4302801F" w14:textId="77777777" w:rsidR="000C373F" w:rsidRDefault="000C373F">
                  <w:pPr>
                    <w:pStyle w:val="Avsndare"/>
                    <w:framePr w:h="2483" w:wrap="notBeside" w:x="1504"/>
                    <w:rPr>
                      <w:rFonts w:cs="TradeGothic"/>
                      <w:iCs/>
                      <w:color w:val="000000"/>
                      <w:szCs w:val="18"/>
                      <w:lang w:eastAsia="sv-SE"/>
                    </w:rPr>
                  </w:pPr>
                </w:p>
                <w:p w14:paraId="51F9EFBD" w14:textId="77777777" w:rsidR="000C373F" w:rsidRDefault="000C373F">
                  <w:pPr>
                    <w:pStyle w:val="Avsndare"/>
                    <w:framePr w:h="2483" w:wrap="notBeside" w:x="1504"/>
                    <w:rPr>
                      <w:rFonts w:cs="TradeGothic"/>
                      <w:b/>
                      <w:iCs/>
                      <w:color w:val="000000"/>
                      <w:szCs w:val="18"/>
                      <w:lang w:eastAsia="sv-SE"/>
                    </w:rPr>
                  </w:pPr>
                </w:p>
              </w:tc>
            </w:tr>
          </w:tbl>
          <w:p w14:paraId="4C773EB4" w14:textId="77777777" w:rsidR="000C373F" w:rsidRDefault="000C373F">
            <w:pPr>
              <w:pStyle w:val="Avsndare"/>
              <w:framePr w:h="2483" w:wrap="notBeside" w:x="1504"/>
              <w:rPr>
                <w:bCs/>
                <w:iCs/>
              </w:rPr>
            </w:pPr>
          </w:p>
        </w:tc>
      </w:tr>
      <w:tr w:rsidR="000C373F" w14:paraId="5CECA441" w14:textId="77777777">
        <w:trPr>
          <w:trHeight w:val="284"/>
        </w:trPr>
        <w:tc>
          <w:tcPr>
            <w:tcW w:w="4911" w:type="dxa"/>
          </w:tcPr>
          <w:p w14:paraId="34849248" w14:textId="77777777" w:rsidR="000C373F" w:rsidRDefault="000C373F">
            <w:pPr>
              <w:pStyle w:val="Avsndare"/>
              <w:framePr w:h="2483" w:wrap="notBeside" w:x="1504"/>
              <w:rPr>
                <w:bCs/>
                <w:iCs/>
              </w:rPr>
            </w:pPr>
          </w:p>
        </w:tc>
      </w:tr>
      <w:tr w:rsidR="000C373F" w14:paraId="549DA74D" w14:textId="77777777">
        <w:trPr>
          <w:trHeight w:val="284"/>
        </w:trPr>
        <w:tc>
          <w:tcPr>
            <w:tcW w:w="4911" w:type="dxa"/>
          </w:tcPr>
          <w:p w14:paraId="7D66321E" w14:textId="77777777" w:rsidR="000C373F" w:rsidRDefault="000C373F">
            <w:pPr>
              <w:pStyle w:val="Avsndare"/>
              <w:framePr w:h="2483" w:wrap="notBeside" w:x="1504"/>
              <w:rPr>
                <w:bCs/>
                <w:iCs/>
              </w:rPr>
            </w:pPr>
          </w:p>
        </w:tc>
      </w:tr>
      <w:tr w:rsidR="000C373F" w14:paraId="014576C9" w14:textId="77777777">
        <w:trPr>
          <w:trHeight w:val="284"/>
        </w:trPr>
        <w:tc>
          <w:tcPr>
            <w:tcW w:w="4911" w:type="dxa"/>
          </w:tcPr>
          <w:p w14:paraId="3F281F4C" w14:textId="77777777" w:rsidR="000C373F" w:rsidRDefault="000C373F">
            <w:pPr>
              <w:pStyle w:val="Avsndare"/>
              <w:framePr w:h="2483" w:wrap="notBeside" w:x="1504"/>
              <w:rPr>
                <w:bCs/>
                <w:iCs/>
              </w:rPr>
            </w:pPr>
          </w:p>
        </w:tc>
      </w:tr>
    </w:tbl>
    <w:p w14:paraId="60EABE21" w14:textId="77777777" w:rsidR="000C373F" w:rsidRDefault="00F45291">
      <w:pPr>
        <w:framePr w:w="4400" w:h="2523" w:wrap="notBeside" w:vAnchor="page" w:hAnchor="page" w:x="6453" w:y="2445"/>
        <w:ind w:left="142"/>
      </w:pPr>
      <w:r>
        <w:t>Till riksdagen</w:t>
      </w:r>
    </w:p>
    <w:p w14:paraId="288CF246" w14:textId="77777777" w:rsidR="000C373F" w:rsidRDefault="00F45291">
      <w:pPr>
        <w:pStyle w:val="RKrubrik"/>
        <w:pBdr>
          <w:bottom w:val="single" w:sz="4" w:space="1" w:color="auto"/>
        </w:pBdr>
        <w:spacing w:before="0" w:after="0"/>
      </w:pPr>
      <w:r w:rsidRPr="001F19D4">
        <w:t>Svar på fråga 2016/17:</w:t>
      </w:r>
      <w:r w:rsidR="0092381E" w:rsidRPr="001F19D4">
        <w:t>1091 av</w:t>
      </w:r>
      <w:r w:rsidR="001F19D4" w:rsidRPr="001F19D4">
        <w:t xml:space="preserve"> Christina Höj Larsen (V)</w:t>
      </w:r>
      <w:r w:rsidR="0092381E" w:rsidRPr="001F19D4">
        <w:t xml:space="preserve"> Förvar av barn</w:t>
      </w:r>
    </w:p>
    <w:p w14:paraId="42373727" w14:textId="77777777" w:rsidR="0092381E" w:rsidRDefault="0092381E">
      <w:pPr>
        <w:pStyle w:val="RKnormal"/>
      </w:pPr>
    </w:p>
    <w:p w14:paraId="5B4BB732" w14:textId="77777777" w:rsidR="0092381E" w:rsidRDefault="0092381E">
      <w:pPr>
        <w:pStyle w:val="RKnormal"/>
      </w:pPr>
    </w:p>
    <w:p w14:paraId="02BFE5D0" w14:textId="77777777" w:rsidR="0092381E" w:rsidRPr="00174E24" w:rsidRDefault="0092381E">
      <w:pPr>
        <w:pStyle w:val="RKnormal"/>
        <w:rPr>
          <w:szCs w:val="24"/>
        </w:rPr>
      </w:pPr>
      <w:r w:rsidRPr="00D85014">
        <w:rPr>
          <w:szCs w:val="24"/>
        </w:rPr>
        <w:t xml:space="preserve">Christina Höj Larsen har frågat </w:t>
      </w:r>
      <w:r w:rsidR="00001ACF" w:rsidRPr="00D85014">
        <w:rPr>
          <w:szCs w:val="24"/>
        </w:rPr>
        <w:t>inrikesministern</w:t>
      </w:r>
      <w:r w:rsidRPr="00D85014">
        <w:rPr>
          <w:szCs w:val="24"/>
        </w:rPr>
        <w:t xml:space="preserve"> om</w:t>
      </w:r>
      <w:r w:rsidR="002565BB" w:rsidRPr="00D85014">
        <w:rPr>
          <w:szCs w:val="24"/>
        </w:rPr>
        <w:t xml:space="preserve"> han</w:t>
      </w:r>
      <w:r w:rsidRPr="00D85014">
        <w:rPr>
          <w:szCs w:val="24"/>
        </w:rPr>
        <w:t xml:space="preserve"> avser att verka för att Sverige står upp för innebörden i principen om barnets bästa och motsätta sig EU-kommissionens förslag</w:t>
      </w:r>
      <w:r w:rsidR="002565BB" w:rsidRPr="00D85014">
        <w:rPr>
          <w:szCs w:val="24"/>
        </w:rPr>
        <w:t xml:space="preserve"> om</w:t>
      </w:r>
      <w:r w:rsidR="00420BF0" w:rsidRPr="00174E24">
        <w:rPr>
          <w:szCs w:val="24"/>
        </w:rPr>
        <w:t xml:space="preserve"> förvarstagande inom ramen för återvändandearbetet.</w:t>
      </w:r>
      <w:r w:rsidR="00001ACF" w:rsidRPr="00174E24">
        <w:rPr>
          <w:szCs w:val="24"/>
        </w:rPr>
        <w:t xml:space="preserve"> </w:t>
      </w:r>
      <w:r w:rsidR="00A83337">
        <w:rPr>
          <w:szCs w:val="24"/>
        </w:rPr>
        <w:t>Frågan har överlämnats till mig.</w:t>
      </w:r>
    </w:p>
    <w:p w14:paraId="16E01E94" w14:textId="77777777" w:rsidR="0092381E" w:rsidRPr="00174E24" w:rsidRDefault="0092381E">
      <w:pPr>
        <w:pStyle w:val="RKnormal"/>
        <w:rPr>
          <w:szCs w:val="24"/>
        </w:rPr>
      </w:pPr>
    </w:p>
    <w:p w14:paraId="2F01C838" w14:textId="77777777" w:rsidR="009102AC" w:rsidRPr="00174E24" w:rsidRDefault="0092381E">
      <w:pPr>
        <w:pStyle w:val="RKnormal"/>
        <w:rPr>
          <w:szCs w:val="24"/>
        </w:rPr>
      </w:pPr>
      <w:r w:rsidRPr="00174E24">
        <w:rPr>
          <w:szCs w:val="24"/>
        </w:rPr>
        <w:t xml:space="preserve">Christina Höj Larsen </w:t>
      </w:r>
      <w:r w:rsidR="00BD6F38" w:rsidRPr="00174E24">
        <w:rPr>
          <w:szCs w:val="24"/>
        </w:rPr>
        <w:t xml:space="preserve">refererar till </w:t>
      </w:r>
      <w:r w:rsidR="009102AC" w:rsidRPr="00174E24">
        <w:rPr>
          <w:szCs w:val="24"/>
        </w:rPr>
        <w:t xml:space="preserve">kommissionens rekommendation av den 7 mars 2017 om effektivare återvändanden vid tillämpningen av Europaparlamentets och rådets direktiv 2008/115/EG (återvändandedirektivet). </w:t>
      </w:r>
      <w:r w:rsidR="00420BF0" w:rsidRPr="00174E24">
        <w:rPr>
          <w:szCs w:val="24"/>
        </w:rPr>
        <w:t>Direktivet genomfördes i svensk rätt genom författnings</w:t>
      </w:r>
      <w:r w:rsidR="00006E32" w:rsidRPr="00174E24">
        <w:rPr>
          <w:szCs w:val="24"/>
        </w:rPr>
        <w:t>ändringar som trädde i kraft den 1 maj 2012.</w:t>
      </w:r>
    </w:p>
    <w:p w14:paraId="726ADC84" w14:textId="77777777" w:rsidR="00B45271" w:rsidRPr="00174E24" w:rsidRDefault="00B45271">
      <w:pPr>
        <w:pStyle w:val="RKnormal"/>
        <w:rPr>
          <w:szCs w:val="24"/>
        </w:rPr>
      </w:pPr>
    </w:p>
    <w:p w14:paraId="089A9B6F" w14:textId="77777777" w:rsidR="004D298E" w:rsidRPr="00174E24" w:rsidRDefault="00B45271">
      <w:pPr>
        <w:pStyle w:val="RKnormal"/>
        <w:rPr>
          <w:rStyle w:val="Betoning"/>
          <w:i w:val="0"/>
          <w:szCs w:val="24"/>
        </w:rPr>
      </w:pPr>
      <w:r w:rsidRPr="00174E24">
        <w:rPr>
          <w:rStyle w:val="Betoning"/>
          <w:i w:val="0"/>
          <w:szCs w:val="24"/>
        </w:rPr>
        <w:t>I rekommendationen ger kommissionen vägledning för hur medlemsstaterna kan effektivisera sina nationella återvändandeförfaranden.</w:t>
      </w:r>
    </w:p>
    <w:p w14:paraId="2E499EF5" w14:textId="77777777" w:rsidR="004D298E" w:rsidRPr="00174E24" w:rsidRDefault="004D298E">
      <w:pPr>
        <w:pStyle w:val="RKnormal"/>
        <w:rPr>
          <w:szCs w:val="24"/>
        </w:rPr>
      </w:pPr>
    </w:p>
    <w:p w14:paraId="5963E83B" w14:textId="77777777" w:rsidR="00B45271" w:rsidRPr="00174E24" w:rsidRDefault="00B45271">
      <w:pPr>
        <w:pStyle w:val="RKnormal"/>
        <w:rPr>
          <w:szCs w:val="24"/>
        </w:rPr>
      </w:pPr>
      <w:r w:rsidRPr="00174E24">
        <w:rPr>
          <w:szCs w:val="24"/>
        </w:rPr>
        <w:t xml:space="preserve">Kommissionen rekommenderar bland annat att medlemsstaterna, när det finns risk för avvikande, i större utsträckning tillämpar det handlingsutrymme som finns i direktivet för att </w:t>
      </w:r>
      <w:r w:rsidR="004D298E" w:rsidRPr="00174E24">
        <w:rPr>
          <w:szCs w:val="24"/>
        </w:rPr>
        <w:t xml:space="preserve">ta </w:t>
      </w:r>
      <w:r w:rsidRPr="00174E24">
        <w:rPr>
          <w:szCs w:val="24"/>
        </w:rPr>
        <w:t xml:space="preserve">personer i förvar. </w:t>
      </w:r>
      <w:r w:rsidR="00D85014" w:rsidRPr="00D85014">
        <w:rPr>
          <w:szCs w:val="24"/>
        </w:rPr>
        <w:t>Enligt rekommendation bör medlemsstaterna,</w:t>
      </w:r>
      <w:r w:rsidR="00D85014" w:rsidRPr="00174E24" w:rsidDel="00D85014">
        <w:rPr>
          <w:szCs w:val="24"/>
        </w:rPr>
        <w:t xml:space="preserve"> </w:t>
      </w:r>
      <w:r w:rsidR="00D85014" w:rsidRPr="00174E24">
        <w:rPr>
          <w:szCs w:val="24"/>
        </w:rPr>
        <w:t>m</w:t>
      </w:r>
      <w:r w:rsidRPr="00174E24">
        <w:rPr>
          <w:szCs w:val="24"/>
        </w:rPr>
        <w:t>ed beaktande av de grundläggande rättigheterna och de villkor som fastställs i direktivet</w:t>
      </w:r>
      <w:r w:rsidR="00D85014" w:rsidRPr="00174E24">
        <w:rPr>
          <w:szCs w:val="24"/>
        </w:rPr>
        <w:t>,</w:t>
      </w:r>
      <w:r w:rsidRPr="00174E24">
        <w:rPr>
          <w:szCs w:val="24"/>
        </w:rPr>
        <w:t xml:space="preserve"> inte i sin nationella lagstiftning utesluta möjligheterna att placera underåriga i förvar, ifall detta är absolut nödvändigt för att det slutgiltiga beslutet om återvändande </w:t>
      </w:r>
      <w:r w:rsidR="00AB4843" w:rsidRPr="00174E24">
        <w:rPr>
          <w:szCs w:val="24"/>
        </w:rPr>
        <w:t xml:space="preserve">ska kunna </w:t>
      </w:r>
      <w:r w:rsidRPr="00174E24">
        <w:rPr>
          <w:szCs w:val="24"/>
        </w:rPr>
        <w:t>verkställ</w:t>
      </w:r>
      <w:r w:rsidR="00AB4843" w:rsidRPr="00174E24">
        <w:rPr>
          <w:szCs w:val="24"/>
        </w:rPr>
        <w:t>a</w:t>
      </w:r>
      <w:r w:rsidRPr="00174E24">
        <w:rPr>
          <w:szCs w:val="24"/>
        </w:rPr>
        <w:t xml:space="preserve">s. </w:t>
      </w:r>
      <w:r w:rsidR="004D298E" w:rsidRPr="00174E24">
        <w:rPr>
          <w:szCs w:val="24"/>
        </w:rPr>
        <w:t>Detta i den utsträckning medlemsstaterna inte kan garantera att mindre ingripande åtgärder än förvar kan tillämpas verkningsfullt i syfte att säkerställa ett effektivt återvändande.</w:t>
      </w:r>
    </w:p>
    <w:p w14:paraId="68D1075B" w14:textId="77777777" w:rsidR="004D298E" w:rsidRPr="00174E24" w:rsidRDefault="004D298E">
      <w:pPr>
        <w:pStyle w:val="RKnormal"/>
        <w:rPr>
          <w:szCs w:val="24"/>
        </w:rPr>
      </w:pPr>
    </w:p>
    <w:p w14:paraId="36142BCA" w14:textId="77777777" w:rsidR="004D298E" w:rsidRDefault="004D298E">
      <w:pPr>
        <w:pStyle w:val="RKnormal"/>
      </w:pPr>
      <w:r>
        <w:t xml:space="preserve">Enligt utlänningslagen (2005:716) får ett barn tas i förvar om det är nödvändigt för att förbereda eller genomföra verkställigheten av ett beslut om avvisning eller utvisning och det inte är tillräckligt att ställa barnet under uppsikt. Ett beslut om förvar får inte fattas om det innebär att barnets skiljs från båda sina vårdnadshavare genom att barnet eller </w:t>
      </w:r>
      <w:r>
        <w:lastRenderedPageBreak/>
        <w:t xml:space="preserve">vårdnadshavaren tas i förvar. Barn får inte hållas i förvar längre tid än 72 timmar eller, om det finns synnerliga skäl, ytterligare 72 timmar. </w:t>
      </w:r>
    </w:p>
    <w:p w14:paraId="3EE0B648" w14:textId="77777777" w:rsidR="004D298E" w:rsidRDefault="004D298E">
      <w:pPr>
        <w:pStyle w:val="RKnormal"/>
      </w:pPr>
    </w:p>
    <w:p w14:paraId="4DBDB016" w14:textId="77777777" w:rsidR="004D298E" w:rsidRDefault="001B723F">
      <w:pPr>
        <w:pStyle w:val="RKnormal"/>
      </w:pPr>
      <w:r>
        <w:t>Enligt utlänningslagen 1 kap. 10 § ska i fall som rör ett barn särskilt beaktas vad hänsynen till barnets hälsa och utveckling samt barnets bästa i övrigt kräver.</w:t>
      </w:r>
    </w:p>
    <w:p w14:paraId="01192439" w14:textId="77777777" w:rsidR="001B723F" w:rsidRDefault="001B723F">
      <w:pPr>
        <w:pStyle w:val="RKnormal"/>
      </w:pPr>
    </w:p>
    <w:p w14:paraId="3C8F4539" w14:textId="77777777" w:rsidR="00AB4843" w:rsidRPr="00AB4843" w:rsidRDefault="00AB4843" w:rsidP="00AB4843">
      <w:pPr>
        <w:overflowPunct/>
        <w:autoSpaceDE/>
        <w:autoSpaceDN/>
        <w:adjustRightInd/>
        <w:spacing w:line="240" w:lineRule="auto"/>
        <w:textAlignment w:val="auto"/>
        <w:rPr>
          <w:rStyle w:val="Betoning"/>
          <w:i w:val="0"/>
        </w:rPr>
      </w:pPr>
      <w:r w:rsidRPr="00AB4843">
        <w:rPr>
          <w:rStyle w:val="Betoning"/>
          <w:i w:val="0"/>
        </w:rPr>
        <w:t xml:space="preserve">Det är ovanligt att barn tas i förvar i Sverige. Ibland är det dock nödvändigt med korta förvarstaganden för att avlägsnandebeslut som avser ensamkommande barn och barnfamiljer ska vara möjliga att verkställa. Jag finner inte skäl att ändra på de regler som gäller i detta avseende. </w:t>
      </w:r>
    </w:p>
    <w:p w14:paraId="5F5F5D1E" w14:textId="77777777" w:rsidR="00AB4843" w:rsidRPr="00AB4843" w:rsidRDefault="00AB4843" w:rsidP="00AB4843">
      <w:pPr>
        <w:overflowPunct/>
        <w:autoSpaceDE/>
        <w:autoSpaceDN/>
        <w:adjustRightInd/>
        <w:spacing w:line="240" w:lineRule="auto"/>
        <w:textAlignment w:val="auto"/>
        <w:rPr>
          <w:rFonts w:ascii="Calibri" w:eastAsia="Calibri" w:hAnsi="Calibri" w:cs="Calibri"/>
          <w:sz w:val="22"/>
          <w:szCs w:val="22"/>
        </w:rPr>
      </w:pPr>
    </w:p>
    <w:p w14:paraId="68844327" w14:textId="77777777" w:rsidR="00AB4843" w:rsidRPr="00AB4843" w:rsidRDefault="00AB4843" w:rsidP="00AB4843">
      <w:pPr>
        <w:overflowPunct/>
        <w:autoSpaceDE/>
        <w:autoSpaceDN/>
        <w:adjustRightInd/>
        <w:spacing w:line="240" w:lineRule="auto"/>
        <w:textAlignment w:val="auto"/>
        <w:rPr>
          <w:rStyle w:val="Betoning"/>
          <w:i w:val="0"/>
        </w:rPr>
      </w:pPr>
      <w:r w:rsidRPr="00AB4843">
        <w:rPr>
          <w:rStyle w:val="Betoning"/>
          <w:i w:val="0"/>
        </w:rPr>
        <w:t>EU-kommissionens uttalande är en rekommendation som i sig inte föranleder någon åtgärd från regeringen.   </w:t>
      </w:r>
    </w:p>
    <w:p w14:paraId="351127A7" w14:textId="77777777" w:rsidR="00AB4843" w:rsidRDefault="00AB4843">
      <w:pPr>
        <w:pStyle w:val="RKnormal"/>
        <w:rPr>
          <w:rStyle w:val="Betoning"/>
          <w:i w:val="0"/>
        </w:rPr>
      </w:pPr>
    </w:p>
    <w:p w14:paraId="6E2B0E80" w14:textId="77777777" w:rsidR="00AB4843" w:rsidRPr="006B7C4D" w:rsidRDefault="00AB4843">
      <w:pPr>
        <w:pStyle w:val="RKnormal"/>
        <w:rPr>
          <w:rStyle w:val="Betoning"/>
          <w:i w:val="0"/>
        </w:rPr>
      </w:pPr>
    </w:p>
    <w:p w14:paraId="04D846BB" w14:textId="77777777" w:rsidR="000C373F" w:rsidRPr="006B7C4D" w:rsidRDefault="00F45291">
      <w:pPr>
        <w:pStyle w:val="RKnormal"/>
        <w:rPr>
          <w:rStyle w:val="Betoning"/>
          <w:i w:val="0"/>
        </w:rPr>
      </w:pPr>
      <w:r w:rsidRPr="006B7C4D">
        <w:rPr>
          <w:rStyle w:val="Betoning"/>
          <w:i w:val="0"/>
        </w:rPr>
        <w:t xml:space="preserve">Stockholm den </w:t>
      </w:r>
      <w:r w:rsidR="0092381E" w:rsidRPr="006B7C4D">
        <w:rPr>
          <w:rStyle w:val="Betoning"/>
          <w:i w:val="0"/>
        </w:rPr>
        <w:t>29</w:t>
      </w:r>
      <w:r w:rsidRPr="006B7C4D">
        <w:rPr>
          <w:rStyle w:val="Betoning"/>
          <w:i w:val="0"/>
        </w:rPr>
        <w:t xml:space="preserve"> mars 2017</w:t>
      </w:r>
    </w:p>
    <w:p w14:paraId="781E1B91" w14:textId="77777777" w:rsidR="000C373F" w:rsidRPr="006B7C4D" w:rsidRDefault="000C373F">
      <w:pPr>
        <w:pStyle w:val="RKnormal"/>
        <w:rPr>
          <w:rStyle w:val="Betoning"/>
          <w:i w:val="0"/>
        </w:rPr>
      </w:pPr>
    </w:p>
    <w:p w14:paraId="36148D40" w14:textId="77777777" w:rsidR="000C373F" w:rsidRPr="006B7C4D" w:rsidRDefault="000C373F">
      <w:pPr>
        <w:pStyle w:val="RKnormal"/>
        <w:rPr>
          <w:rStyle w:val="Betoning"/>
          <w:i w:val="0"/>
        </w:rPr>
      </w:pPr>
    </w:p>
    <w:p w14:paraId="4D7BA897" w14:textId="77777777" w:rsidR="000C373F" w:rsidRPr="006B7C4D" w:rsidRDefault="000C373F">
      <w:pPr>
        <w:pStyle w:val="RKnormal"/>
        <w:rPr>
          <w:rStyle w:val="Betoning"/>
          <w:i w:val="0"/>
        </w:rPr>
      </w:pPr>
    </w:p>
    <w:p w14:paraId="1BFF889E" w14:textId="77777777" w:rsidR="000C373F" w:rsidRPr="006B7C4D" w:rsidRDefault="00F45291">
      <w:pPr>
        <w:pStyle w:val="RKnormal"/>
        <w:rPr>
          <w:rStyle w:val="Betoning"/>
          <w:i w:val="0"/>
        </w:rPr>
      </w:pPr>
      <w:r w:rsidRPr="006B7C4D">
        <w:rPr>
          <w:rStyle w:val="Betoning"/>
          <w:i w:val="0"/>
        </w:rPr>
        <w:t>Morgan Johansson</w:t>
      </w:r>
    </w:p>
    <w:sectPr w:rsidR="000C373F" w:rsidRPr="006B7C4D">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03146" w14:textId="77777777" w:rsidR="00B071FE" w:rsidRDefault="00B071FE">
      <w:r>
        <w:separator/>
      </w:r>
    </w:p>
  </w:endnote>
  <w:endnote w:type="continuationSeparator" w:id="0">
    <w:p w14:paraId="075D8124" w14:textId="77777777" w:rsidR="00B071FE" w:rsidRDefault="00B0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8CE1F" w14:textId="77777777" w:rsidR="00B071FE" w:rsidRDefault="00B071FE">
      <w:r>
        <w:separator/>
      </w:r>
    </w:p>
  </w:footnote>
  <w:footnote w:type="continuationSeparator" w:id="0">
    <w:p w14:paraId="15889919" w14:textId="77777777" w:rsidR="00B071FE" w:rsidRDefault="00B0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B320E" w14:textId="77777777" w:rsidR="000C373F" w:rsidRDefault="00F452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59B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73F" w14:paraId="221A7AAF" w14:textId="77777777">
      <w:trPr>
        <w:cantSplit/>
      </w:trPr>
      <w:tc>
        <w:tcPr>
          <w:tcW w:w="3119" w:type="dxa"/>
        </w:tcPr>
        <w:p w14:paraId="4D1C137C" w14:textId="77777777" w:rsidR="000C373F" w:rsidRDefault="000C373F">
          <w:pPr>
            <w:pStyle w:val="Sidhuvud"/>
            <w:spacing w:line="200" w:lineRule="atLeast"/>
            <w:ind w:right="357"/>
            <w:rPr>
              <w:rFonts w:ascii="TradeGothic" w:hAnsi="TradeGothic"/>
              <w:b/>
              <w:bCs/>
              <w:sz w:val="16"/>
            </w:rPr>
          </w:pPr>
        </w:p>
      </w:tc>
      <w:tc>
        <w:tcPr>
          <w:tcW w:w="4111" w:type="dxa"/>
          <w:tcMar>
            <w:left w:w="567" w:type="dxa"/>
          </w:tcMar>
        </w:tcPr>
        <w:p w14:paraId="49245210" w14:textId="77777777" w:rsidR="000C373F" w:rsidRDefault="000C373F">
          <w:pPr>
            <w:pStyle w:val="Sidhuvud"/>
            <w:ind w:right="360"/>
          </w:pPr>
        </w:p>
      </w:tc>
      <w:tc>
        <w:tcPr>
          <w:tcW w:w="1525" w:type="dxa"/>
        </w:tcPr>
        <w:p w14:paraId="116D1DBC" w14:textId="77777777" w:rsidR="000C373F" w:rsidRDefault="000C373F">
          <w:pPr>
            <w:pStyle w:val="Sidhuvud"/>
            <w:ind w:right="360"/>
          </w:pPr>
        </w:p>
      </w:tc>
    </w:tr>
  </w:tbl>
  <w:p w14:paraId="6CE146B1" w14:textId="77777777" w:rsidR="000C373F" w:rsidRDefault="000C373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D7ED" w14:textId="77777777" w:rsidR="000C373F" w:rsidRDefault="00F452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2BC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73F" w14:paraId="79125044" w14:textId="77777777">
      <w:trPr>
        <w:cantSplit/>
      </w:trPr>
      <w:tc>
        <w:tcPr>
          <w:tcW w:w="3119" w:type="dxa"/>
        </w:tcPr>
        <w:p w14:paraId="53F49389" w14:textId="77777777" w:rsidR="000C373F" w:rsidRDefault="000C373F">
          <w:pPr>
            <w:pStyle w:val="Sidhuvud"/>
            <w:spacing w:line="200" w:lineRule="atLeast"/>
            <w:ind w:right="357"/>
            <w:rPr>
              <w:rFonts w:ascii="TradeGothic" w:hAnsi="TradeGothic"/>
              <w:b/>
              <w:bCs/>
              <w:sz w:val="16"/>
            </w:rPr>
          </w:pPr>
        </w:p>
      </w:tc>
      <w:tc>
        <w:tcPr>
          <w:tcW w:w="4111" w:type="dxa"/>
          <w:tcMar>
            <w:left w:w="567" w:type="dxa"/>
          </w:tcMar>
        </w:tcPr>
        <w:p w14:paraId="68CCD2F2" w14:textId="77777777" w:rsidR="000C373F" w:rsidRDefault="000C373F">
          <w:pPr>
            <w:pStyle w:val="Sidhuvud"/>
            <w:ind w:right="360"/>
          </w:pPr>
        </w:p>
      </w:tc>
      <w:tc>
        <w:tcPr>
          <w:tcW w:w="1525" w:type="dxa"/>
        </w:tcPr>
        <w:p w14:paraId="14C58880" w14:textId="77777777" w:rsidR="000C373F" w:rsidRDefault="000C373F">
          <w:pPr>
            <w:pStyle w:val="Sidhuvud"/>
            <w:ind w:right="360"/>
          </w:pPr>
        </w:p>
      </w:tc>
    </w:tr>
  </w:tbl>
  <w:p w14:paraId="4E9E42A1" w14:textId="77777777" w:rsidR="000C373F" w:rsidRDefault="000C373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4E84" w14:textId="77777777" w:rsidR="000C373F" w:rsidRDefault="00F45291">
    <w:pPr>
      <w:framePr w:w="2948" w:h="1321" w:hRule="exact" w:wrap="notBeside" w:vAnchor="page" w:hAnchor="page" w:x="1362" w:y="653"/>
    </w:pPr>
    <w:r>
      <w:rPr>
        <w:noProof/>
        <w:lang w:eastAsia="sv-SE"/>
      </w:rPr>
      <w:drawing>
        <wp:inline distT="0" distB="0" distL="0" distR="0" wp14:anchorId="60A524E4" wp14:editId="3A8521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0CF4CC" w14:textId="77777777" w:rsidR="000C373F" w:rsidRDefault="000C373F">
    <w:pPr>
      <w:pStyle w:val="RKrubrik"/>
      <w:keepNext w:val="0"/>
      <w:tabs>
        <w:tab w:val="clear" w:pos="1134"/>
        <w:tab w:val="clear" w:pos="2835"/>
      </w:tabs>
      <w:spacing w:before="0" w:after="0" w:line="320" w:lineRule="atLeast"/>
      <w:rPr>
        <w:bCs/>
      </w:rPr>
    </w:pPr>
  </w:p>
  <w:p w14:paraId="6517FD97" w14:textId="77777777" w:rsidR="000C373F" w:rsidRDefault="000C373F">
    <w:pPr>
      <w:rPr>
        <w:rFonts w:ascii="TradeGothic" w:hAnsi="TradeGothic"/>
        <w:b/>
        <w:bCs/>
        <w:spacing w:val="12"/>
        <w:sz w:val="22"/>
      </w:rPr>
    </w:pPr>
  </w:p>
  <w:p w14:paraId="64686EA2" w14:textId="77777777" w:rsidR="000C373F" w:rsidRDefault="000C373F">
    <w:pPr>
      <w:pStyle w:val="RKrubrik"/>
      <w:keepNext w:val="0"/>
      <w:tabs>
        <w:tab w:val="clear" w:pos="1134"/>
        <w:tab w:val="clear" w:pos="2835"/>
      </w:tabs>
      <w:spacing w:before="0" w:after="0" w:line="320" w:lineRule="atLeast"/>
      <w:rPr>
        <w:bCs/>
      </w:rPr>
    </w:pPr>
  </w:p>
  <w:p w14:paraId="15692275" w14:textId="77777777" w:rsidR="000C373F" w:rsidRDefault="000C373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9445EC0"/>
    <w:multiLevelType w:val="hybridMultilevel"/>
    <w:tmpl w:val="573021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F"/>
    <w:rsid w:val="00001ACF"/>
    <w:rsid w:val="00006E32"/>
    <w:rsid w:val="000A34B4"/>
    <w:rsid w:val="000C373F"/>
    <w:rsid w:val="00174E24"/>
    <w:rsid w:val="001B723F"/>
    <w:rsid w:val="001F19D4"/>
    <w:rsid w:val="002019BF"/>
    <w:rsid w:val="002565BB"/>
    <w:rsid w:val="002716B4"/>
    <w:rsid w:val="002C5AC4"/>
    <w:rsid w:val="002D3FE1"/>
    <w:rsid w:val="002F20D4"/>
    <w:rsid w:val="002F58C8"/>
    <w:rsid w:val="0034005F"/>
    <w:rsid w:val="003B4289"/>
    <w:rsid w:val="003C55D9"/>
    <w:rsid w:val="003E59B3"/>
    <w:rsid w:val="00420BF0"/>
    <w:rsid w:val="0044255F"/>
    <w:rsid w:val="004D298E"/>
    <w:rsid w:val="00591706"/>
    <w:rsid w:val="00597CD2"/>
    <w:rsid w:val="005F503D"/>
    <w:rsid w:val="00623D39"/>
    <w:rsid w:val="00637F8D"/>
    <w:rsid w:val="00664C22"/>
    <w:rsid w:val="0068386C"/>
    <w:rsid w:val="006B7C4D"/>
    <w:rsid w:val="006D3B02"/>
    <w:rsid w:val="00782BCD"/>
    <w:rsid w:val="008D5B2D"/>
    <w:rsid w:val="009102AC"/>
    <w:rsid w:val="0092381E"/>
    <w:rsid w:val="00A83337"/>
    <w:rsid w:val="00AA272F"/>
    <w:rsid w:val="00AB4843"/>
    <w:rsid w:val="00B071FE"/>
    <w:rsid w:val="00B45271"/>
    <w:rsid w:val="00B621BE"/>
    <w:rsid w:val="00B70981"/>
    <w:rsid w:val="00B803C7"/>
    <w:rsid w:val="00BD6F38"/>
    <w:rsid w:val="00D23548"/>
    <w:rsid w:val="00D85014"/>
    <w:rsid w:val="00E13572"/>
    <w:rsid w:val="00F24AC9"/>
    <w:rsid w:val="00F45291"/>
    <w:rsid w:val="00F57A47"/>
    <w:rsid w:val="00FE4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4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rPr>
      <w:rFonts w:ascii="Tahoma" w:hAnsi="Tahoma" w:cs="Tahoma"/>
      <w:sz w:val="16"/>
      <w:szCs w:val="16"/>
      <w:lang w:eastAsia="en-US"/>
    </w:rPr>
  </w:style>
  <w:style w:type="character" w:styleId="Hyperlnk">
    <w:name w:val="Hyperlink"/>
    <w:basedOn w:val="Standardstycketeckensnitt"/>
    <w:rPr>
      <w:color w:val="0000FF" w:themeColor="hyperlink"/>
      <w:u w:val="single"/>
    </w:rPr>
  </w:style>
  <w:style w:type="paragraph" w:styleId="Brdtextmedindrag">
    <w:name w:val="Body Text Indent"/>
    <w:basedOn w:val="Normal"/>
    <w:link w:val="BrdtextmedindragChar"/>
    <w:qFormat/>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Pr>
      <w:rFonts w:asciiTheme="minorHAnsi" w:eastAsiaTheme="minorHAnsi" w:hAnsiTheme="minorHAnsi" w:cstheme="minorBidi"/>
      <w:sz w:val="25"/>
      <w:szCs w:val="25"/>
      <w:lang w:eastAsia="en-US"/>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pPr>
      <w:spacing w:line="240" w:lineRule="auto"/>
    </w:pPr>
    <w:rPr>
      <w:sz w:val="20"/>
    </w:rPr>
  </w:style>
  <w:style w:type="character" w:customStyle="1" w:styleId="KommentarerChar">
    <w:name w:val="Kommentarer Char"/>
    <w:basedOn w:val="Standardstycketeckensnitt"/>
    <w:link w:val="Kommentarer"/>
    <w:rPr>
      <w:rFonts w:ascii="OrigGarmnd BT" w:hAnsi="OrigGarmnd BT"/>
      <w:lang w:eastAsia="en-US"/>
    </w:rPr>
  </w:style>
  <w:style w:type="paragraph" w:styleId="Kommentarsmne">
    <w:name w:val="annotation subject"/>
    <w:basedOn w:val="Kommentarer"/>
    <w:next w:val="Kommentarer"/>
    <w:link w:val="KommentarsmneChar"/>
    <w:rPr>
      <w:b/>
      <w:bCs/>
    </w:rPr>
  </w:style>
  <w:style w:type="character" w:customStyle="1" w:styleId="KommentarsmneChar">
    <w:name w:val="Kommentarsämne Char"/>
    <w:basedOn w:val="KommentarerChar"/>
    <w:link w:val="Kommentarsmne"/>
    <w:rPr>
      <w:rFonts w:ascii="OrigGarmnd BT" w:hAnsi="OrigGarmnd BT"/>
      <w:b/>
      <w:bCs/>
      <w:lang w:eastAsia="en-US"/>
    </w:rPr>
  </w:style>
  <w:style w:type="character" w:customStyle="1" w:styleId="RKnormalChar">
    <w:name w:val="RKnormal Char"/>
    <w:link w:val="RKnormal"/>
    <w:rPr>
      <w:rFonts w:ascii="OrigGarmnd BT" w:hAnsi="OrigGarmnd BT"/>
      <w:sz w:val="24"/>
      <w:lang w:eastAsia="en-US"/>
    </w:rPr>
  </w:style>
  <w:style w:type="character" w:styleId="Betoning">
    <w:name w:val="Emphasis"/>
    <w:basedOn w:val="Standardstycketeckensnitt"/>
    <w:qFormat/>
    <w:rsid w:val="006B7C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rPr>
      <w:rFonts w:ascii="Tahoma" w:hAnsi="Tahoma" w:cs="Tahoma"/>
      <w:sz w:val="16"/>
      <w:szCs w:val="16"/>
      <w:lang w:eastAsia="en-US"/>
    </w:rPr>
  </w:style>
  <w:style w:type="character" w:styleId="Hyperlnk">
    <w:name w:val="Hyperlink"/>
    <w:basedOn w:val="Standardstycketeckensnitt"/>
    <w:rPr>
      <w:color w:val="0000FF" w:themeColor="hyperlink"/>
      <w:u w:val="single"/>
    </w:rPr>
  </w:style>
  <w:style w:type="paragraph" w:styleId="Brdtextmedindrag">
    <w:name w:val="Body Text Indent"/>
    <w:basedOn w:val="Normal"/>
    <w:link w:val="BrdtextmedindragChar"/>
    <w:qFormat/>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Pr>
      <w:rFonts w:asciiTheme="minorHAnsi" w:eastAsiaTheme="minorHAnsi" w:hAnsiTheme="minorHAnsi" w:cstheme="minorBidi"/>
      <w:sz w:val="25"/>
      <w:szCs w:val="25"/>
      <w:lang w:eastAsia="en-US"/>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pPr>
      <w:spacing w:line="240" w:lineRule="auto"/>
    </w:pPr>
    <w:rPr>
      <w:sz w:val="20"/>
    </w:rPr>
  </w:style>
  <w:style w:type="character" w:customStyle="1" w:styleId="KommentarerChar">
    <w:name w:val="Kommentarer Char"/>
    <w:basedOn w:val="Standardstycketeckensnitt"/>
    <w:link w:val="Kommentarer"/>
    <w:rPr>
      <w:rFonts w:ascii="OrigGarmnd BT" w:hAnsi="OrigGarmnd BT"/>
      <w:lang w:eastAsia="en-US"/>
    </w:rPr>
  </w:style>
  <w:style w:type="paragraph" w:styleId="Kommentarsmne">
    <w:name w:val="annotation subject"/>
    <w:basedOn w:val="Kommentarer"/>
    <w:next w:val="Kommentarer"/>
    <w:link w:val="KommentarsmneChar"/>
    <w:rPr>
      <w:b/>
      <w:bCs/>
    </w:rPr>
  </w:style>
  <w:style w:type="character" w:customStyle="1" w:styleId="KommentarsmneChar">
    <w:name w:val="Kommentarsämne Char"/>
    <w:basedOn w:val="KommentarerChar"/>
    <w:link w:val="Kommentarsmne"/>
    <w:rPr>
      <w:rFonts w:ascii="OrigGarmnd BT" w:hAnsi="OrigGarmnd BT"/>
      <w:b/>
      <w:bCs/>
      <w:lang w:eastAsia="en-US"/>
    </w:rPr>
  </w:style>
  <w:style w:type="character" w:customStyle="1" w:styleId="RKnormalChar">
    <w:name w:val="RKnormal Char"/>
    <w:link w:val="RKnormal"/>
    <w:rPr>
      <w:rFonts w:ascii="OrigGarmnd BT" w:hAnsi="OrigGarmnd BT"/>
      <w:sz w:val="24"/>
      <w:lang w:eastAsia="en-US"/>
    </w:rPr>
  </w:style>
  <w:style w:type="character" w:styleId="Betoning">
    <w:name w:val="Emphasis"/>
    <w:basedOn w:val="Standardstycketeckensnitt"/>
    <w:qFormat/>
    <w:rsid w:val="006B7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503">
      <w:bodyDiv w:val="1"/>
      <w:marLeft w:val="0"/>
      <w:marRight w:val="0"/>
      <w:marTop w:val="0"/>
      <w:marBottom w:val="0"/>
      <w:divBdr>
        <w:top w:val="none" w:sz="0" w:space="0" w:color="auto"/>
        <w:left w:val="none" w:sz="0" w:space="0" w:color="auto"/>
        <w:bottom w:val="none" w:sz="0" w:space="0" w:color="auto"/>
        <w:right w:val="none" w:sz="0" w:space="0" w:color="auto"/>
      </w:divBdr>
    </w:div>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887839199">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1190491645">
      <w:bodyDiv w:val="1"/>
      <w:marLeft w:val="0"/>
      <w:marRight w:val="0"/>
      <w:marTop w:val="0"/>
      <w:marBottom w:val="0"/>
      <w:divBdr>
        <w:top w:val="none" w:sz="0" w:space="0" w:color="auto"/>
        <w:left w:val="none" w:sz="0" w:space="0" w:color="auto"/>
        <w:bottom w:val="none" w:sz="0" w:space="0" w:color="auto"/>
        <w:right w:val="none" w:sz="0" w:space="0" w:color="auto"/>
      </w:divBdr>
    </w:div>
    <w:div w:id="1488325973">
      <w:bodyDiv w:val="1"/>
      <w:marLeft w:val="0"/>
      <w:marRight w:val="0"/>
      <w:marTop w:val="0"/>
      <w:marBottom w:val="0"/>
      <w:divBdr>
        <w:top w:val="none" w:sz="0" w:space="0" w:color="auto"/>
        <w:left w:val="none" w:sz="0" w:space="0" w:color="auto"/>
        <w:bottom w:val="none" w:sz="0" w:space="0" w:color="auto"/>
        <w:right w:val="none" w:sz="0" w:space="0" w:color="auto"/>
      </w:divBdr>
    </w:div>
    <w:div w:id="1677146587">
      <w:bodyDiv w:val="1"/>
      <w:marLeft w:val="0"/>
      <w:marRight w:val="0"/>
      <w:marTop w:val="0"/>
      <w:marBottom w:val="0"/>
      <w:divBdr>
        <w:top w:val="none" w:sz="0" w:space="0" w:color="auto"/>
        <w:left w:val="none" w:sz="0" w:space="0" w:color="auto"/>
        <w:bottom w:val="none" w:sz="0" w:space="0" w:color="auto"/>
        <w:right w:val="none" w:sz="0" w:space="0" w:color="auto"/>
      </w:divBdr>
    </w:div>
    <w:div w:id="1731493256">
      <w:bodyDiv w:val="1"/>
      <w:marLeft w:val="0"/>
      <w:marRight w:val="0"/>
      <w:marTop w:val="0"/>
      <w:marBottom w:val="0"/>
      <w:divBdr>
        <w:top w:val="none" w:sz="0" w:space="0" w:color="auto"/>
        <w:left w:val="none" w:sz="0" w:space="0" w:color="auto"/>
        <w:bottom w:val="none" w:sz="0" w:space="0" w:color="auto"/>
        <w:right w:val="none" w:sz="0" w:space="0" w:color="auto"/>
      </w:divBdr>
    </w:div>
    <w:div w:id="1828084963">
      <w:bodyDiv w:val="1"/>
      <w:marLeft w:val="0"/>
      <w:marRight w:val="0"/>
      <w:marTop w:val="0"/>
      <w:marBottom w:val="0"/>
      <w:divBdr>
        <w:top w:val="none" w:sz="0" w:space="0" w:color="auto"/>
        <w:left w:val="none" w:sz="0" w:space="0" w:color="auto"/>
        <w:bottom w:val="none" w:sz="0" w:space="0" w:color="auto"/>
        <w:right w:val="none" w:sz="0" w:space="0" w:color="auto"/>
      </w:divBdr>
    </w:div>
    <w:div w:id="1941177558">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5517944b-761f-4438-ae0b-ab21eda52f6e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2D2A-A865-41A7-9D4C-9F0B72D3DC7C}"/>
</file>

<file path=customXml/itemProps2.xml><?xml version="1.0" encoding="utf-8"?>
<ds:datastoreItem xmlns:ds="http://schemas.openxmlformats.org/officeDocument/2006/customXml" ds:itemID="{05F3229E-A3B3-4146-9347-BCC833E55FC6}"/>
</file>

<file path=customXml/itemProps3.xml><?xml version="1.0" encoding="utf-8"?>
<ds:datastoreItem xmlns:ds="http://schemas.openxmlformats.org/officeDocument/2006/customXml" ds:itemID="{D8A5981E-351A-4816-86B8-E25815757E0D}"/>
</file>

<file path=customXml/itemProps4.xml><?xml version="1.0" encoding="utf-8"?>
<ds:datastoreItem xmlns:ds="http://schemas.openxmlformats.org/officeDocument/2006/customXml" ds:itemID="{54F01867-4D4F-4344-A155-7144321E47BA}"/>
</file>

<file path=customXml/itemProps5.xml><?xml version="1.0" encoding="utf-8"?>
<ds:datastoreItem xmlns:ds="http://schemas.openxmlformats.org/officeDocument/2006/customXml" ds:itemID="{2D7FACB9-DFB4-4476-9F92-331E314B49A6}"/>
</file>

<file path=customXml/itemProps6.xml><?xml version="1.0" encoding="utf-8"?>
<ds:datastoreItem xmlns:ds="http://schemas.openxmlformats.org/officeDocument/2006/customXml" ds:itemID="{76CABDBA-E930-4A66-A54B-5EEE583A2CA6}"/>
</file>

<file path=customXml/itemProps7.xml><?xml version="1.0" encoding="utf-8"?>
<ds:datastoreItem xmlns:ds="http://schemas.openxmlformats.org/officeDocument/2006/customXml" ds:itemID="{B8C53E73-FDD6-4748-B124-C800E8F3EA0B}"/>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2301</Characters>
  <Application>Microsoft Office Word</Application>
  <DocSecurity>4</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2</cp:revision>
  <cp:lastPrinted>2017-03-27T11:14:00Z</cp:lastPrinted>
  <dcterms:created xsi:type="dcterms:W3CDTF">2017-03-29T06:39:00Z</dcterms:created>
  <dcterms:modified xsi:type="dcterms:W3CDTF">2017-03-29T06:39:00Z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8b4d17b9-46e2-403a-b609-973561e37636</vt:lpwstr>
  </property>
</Properties>
</file>