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63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23 januari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 Torsdagen den 22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2025/26:95 Säkerhetsförvaring – en ny tidsobestämd frihetsberövande påföljd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780 Förslag till Europaparlamentets och rådets förordning om ändring av förordning (EU) 2018/848 vad gäller vissa regler för produktion, märkning och certifiering samt vissa regler för handel med tredjeländer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18 mars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847 Förslag till Europaparlamentets och rådets förordning om inrättande av en åtgärdsram för att underlätta transport av militär utrustning, militära varor och militär personal i hela unionen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mars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2025/26:237 av Erik Ezelius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reservofficerare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2025/26:241 av Erik Ezelius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Nordkalotten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2025/26:248 av Lena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Uppgifter om missförhållanden inom Försvarsmaktens hundtjänst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2025/26:249 av Lena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Frivilligorganisationernas långsiktiga planerings- och finansieringsförutsättningar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2025/26:266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Sudan och Sveriges vapenexport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2025/26:269 av Alexandra Völker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Terrorlistning av Irans revolutionsgarde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2025/26:274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folkliga protesterna i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2025/26:273 av Lorena Delgado Varas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USA:s attack mot Venezuela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23 januari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2026-01-23</SAFIR_Sammantradesdatum_Doc>
    <SAFIR_SammantradeID xmlns="C07A1A6C-0B19-41D9-BDF8-F523BA3921EB">c57f4ba8-6f1b-4341-8a4d-47ec6e8b3a2e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D5858443-7EA9-4912-8711-4C32BD7A80D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23 januari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