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A76AF">
        <w:tblPrEx>
          <w:tblCellMar>
            <w:top w:w="0" w:type="dxa"/>
            <w:bottom w:w="0" w:type="dxa"/>
          </w:tblCellMar>
        </w:tblPrEx>
        <w:trPr>
          <w:cantSplit/>
          <w:trHeight w:val="1720"/>
        </w:trPr>
        <w:tc>
          <w:tcPr>
            <w:tcW w:w="6024" w:type="dxa"/>
            <w:gridSpan w:val="2"/>
          </w:tcPr>
          <w:p w:rsidR="00AD1390" w:rsidRPr="00BA76AF" w:rsidRDefault="00AD1390">
            <w:pPr>
              <w:pStyle w:val="HuvudRubrik"/>
            </w:pPr>
            <w:r w:rsidRPr="00BA76AF">
              <w:t>Utrikesutskottets betänkande</w:t>
            </w:r>
          </w:p>
          <w:p w:rsidR="00AD1390" w:rsidRPr="00BA76AF" w:rsidRDefault="00AD1390">
            <w:pPr>
              <w:pStyle w:val="HuvudRubrikRad2"/>
            </w:pPr>
            <w:bookmarkStart w:id="0" w:name="BetänkandeNr"/>
            <w:bookmarkEnd w:id="0"/>
            <w:r w:rsidRPr="00BA76AF">
              <w:t>2000/01:UU14</w:t>
            </w:r>
          </w:p>
        </w:tc>
        <w:tc>
          <w:tcPr>
            <w:tcW w:w="1418" w:type="dxa"/>
            <w:tcBorders>
              <w:bottom w:val="nil"/>
            </w:tcBorders>
          </w:tcPr>
          <w:p w:rsidR="00AD1390" w:rsidRPr="00BA76AF" w:rsidRDefault="00BA76AF">
            <w:pPr>
              <w:spacing w:line="230" w:lineRule="auto"/>
              <w:jc w:val="center"/>
            </w:pPr>
            <w:r w:rsidRPr="00BA76A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D1390" w:rsidRPr="00BA76AF" w:rsidRDefault="00AD1390">
            <w:pPr>
              <w:pStyle w:val="Normaltindrag"/>
              <w:jc w:val="center"/>
            </w:pPr>
          </w:p>
          <w:p w:rsidR="00AD1390" w:rsidRPr="00BA76AF" w:rsidRDefault="00AD1390">
            <w:pPr>
              <w:pStyle w:val="StatusSida1"/>
            </w:pPr>
          </w:p>
          <w:p w:rsidR="00AD1390" w:rsidRPr="00BA76AF" w:rsidRDefault="00AD1390">
            <w:pPr>
              <w:pStyle w:val="UtskriftsdatumSida1"/>
              <w:framePr w:wrap="around"/>
            </w:pPr>
          </w:p>
        </w:tc>
      </w:tr>
      <w:tr w:rsidR="00000000" w:rsidRPr="00BA76AF">
        <w:tblPrEx>
          <w:tblCellMar>
            <w:top w:w="0" w:type="dxa"/>
            <w:bottom w:w="0" w:type="dxa"/>
          </w:tblCellMar>
        </w:tblPrEx>
        <w:trPr>
          <w:cantSplit/>
        </w:trPr>
        <w:tc>
          <w:tcPr>
            <w:tcW w:w="6024" w:type="dxa"/>
            <w:gridSpan w:val="2"/>
            <w:tcBorders>
              <w:bottom w:val="single" w:sz="4" w:space="0" w:color="auto"/>
            </w:tcBorders>
          </w:tcPr>
          <w:p w:rsidR="00AD1390" w:rsidRPr="00BA76AF" w:rsidRDefault="00AD1390">
            <w:pPr>
              <w:pStyle w:val="DokumentRubrik"/>
              <w:rPr>
                <w:noProof w:val="0"/>
              </w:rPr>
            </w:pPr>
            <w:bookmarkStart w:id="1" w:name="Huvudrubrik"/>
            <w:bookmarkEnd w:id="1"/>
            <w:r w:rsidRPr="00BA76AF">
              <w:rPr>
                <w:noProof w:val="0"/>
              </w:rPr>
              <w:t>Krigsmaterielexporten år 2000</w:t>
            </w:r>
          </w:p>
        </w:tc>
        <w:tc>
          <w:tcPr>
            <w:tcW w:w="1418" w:type="dxa"/>
            <w:tcBorders>
              <w:bottom w:val="nil"/>
            </w:tcBorders>
          </w:tcPr>
          <w:p w:rsidR="00AD1390" w:rsidRPr="00BA76AF" w:rsidRDefault="00AD1390"/>
        </w:tc>
      </w:tr>
      <w:tr w:rsidR="00000000" w:rsidRPr="00BA76AF">
        <w:tblPrEx>
          <w:tblCellMar>
            <w:top w:w="0" w:type="dxa"/>
            <w:bottom w:w="0" w:type="dxa"/>
          </w:tblCellMar>
        </w:tblPrEx>
        <w:trPr>
          <w:cantSplit/>
          <w:trHeight w:hRule="exact" w:val="360"/>
        </w:trPr>
        <w:tc>
          <w:tcPr>
            <w:tcW w:w="3012" w:type="dxa"/>
          </w:tcPr>
          <w:p w:rsidR="00AD1390" w:rsidRPr="00BA76AF" w:rsidRDefault="00AD1390"/>
        </w:tc>
        <w:tc>
          <w:tcPr>
            <w:tcW w:w="3012" w:type="dxa"/>
          </w:tcPr>
          <w:p w:rsidR="00AD1390" w:rsidRPr="00BA76AF" w:rsidRDefault="00AD1390"/>
        </w:tc>
        <w:tc>
          <w:tcPr>
            <w:tcW w:w="1418" w:type="dxa"/>
          </w:tcPr>
          <w:p w:rsidR="00AD1390" w:rsidRPr="00BA76AF" w:rsidRDefault="00AD1390"/>
        </w:tc>
      </w:tr>
    </w:tbl>
    <w:p w:rsidR="00AD1390" w:rsidRPr="00BA76AF" w:rsidRDefault="00AD1390">
      <w:pPr>
        <w:pStyle w:val="Rubrik1"/>
        <w:spacing w:after="180"/>
        <w:rPr>
          <w:noProof w:val="0"/>
        </w:rPr>
      </w:pPr>
      <w:bookmarkStart w:id="2" w:name="_Toc517757077"/>
      <w:r w:rsidRPr="00BA76AF">
        <w:rPr>
          <w:noProof w:val="0"/>
        </w:rPr>
        <w:t>Sammanfattning</w:t>
      </w:r>
      <w:bookmarkEnd w:id="2"/>
    </w:p>
    <w:p w:rsidR="00AD1390" w:rsidRPr="00BA76AF" w:rsidRDefault="00AD1390">
      <w:bookmarkStart w:id="3" w:name="TextStart"/>
      <w:bookmarkEnd w:id="3"/>
      <w:r w:rsidRPr="00BA76AF">
        <w:t>I detta betänkande behandlar utskottet regeringens skrivelse 2000/01:114 Redogörelse för den svenska exportkontrollpolitiken och exporten av krig</w:t>
      </w:r>
      <w:r w:rsidRPr="00BA76AF">
        <w:t>s</w:t>
      </w:r>
      <w:r w:rsidRPr="00BA76AF">
        <w:t>materiel år 2000, vilken föreslås bli lagd till handlingarna. Utskottet behan</w:t>
      </w:r>
      <w:r w:rsidRPr="00BA76AF">
        <w:t>d</w:t>
      </w:r>
      <w:r w:rsidRPr="00BA76AF">
        <w:t>lar också de motioner som väckts med anledning av skrivelsen samt ett antal andra motioner från den allmänna motionstiden 2000/01. Motionerna rör främst förslag på hur krigsmaterielexporten i olika avseenden skulle kunna begränsas, men förslag finns också om att Sverige skall arbeta för geme</w:t>
      </w:r>
      <w:r w:rsidRPr="00BA76AF">
        <w:t>n</w:t>
      </w:r>
      <w:r w:rsidRPr="00BA76AF">
        <w:t>samma binda</w:t>
      </w:r>
      <w:r w:rsidRPr="00BA76AF">
        <w:t>n</w:t>
      </w:r>
      <w:r w:rsidRPr="00BA76AF">
        <w:t>de EU-regler på området.</w:t>
      </w:r>
    </w:p>
    <w:p w:rsidR="00AD1390" w:rsidRPr="00BA76AF" w:rsidRDefault="00AD1390">
      <w:pPr>
        <w:pStyle w:val="Normaltindrag"/>
      </w:pPr>
      <w:r w:rsidRPr="00BA76AF">
        <w:t>Till betänkandet har fogats åtta reservationer och tre särskilda yttranden.</w:t>
      </w:r>
    </w:p>
    <w:p w:rsidR="00AD1390" w:rsidRPr="00BA76AF" w:rsidRDefault="00AD1390">
      <w:pPr>
        <w:pStyle w:val="Normaltindrag"/>
      </w:pPr>
    </w:p>
    <w:p w:rsidR="00AD1390" w:rsidRPr="00BA76AF" w:rsidRDefault="00AD1390">
      <w:pPr>
        <w:pStyle w:val="Normaltindrag"/>
      </w:pPr>
    </w:p>
    <w:p w:rsidR="00AD1390" w:rsidRPr="00BA76AF" w:rsidRDefault="00AD1390">
      <w:pPr>
        <w:pStyle w:val="Normaltindrag"/>
      </w:pPr>
    </w:p>
    <w:p w:rsidR="00AD1390" w:rsidRPr="00BA76AF" w:rsidRDefault="00AD1390">
      <w:pPr>
        <w:pStyle w:val="Normaltindrag"/>
        <w:sectPr w:rsidR="00000000" w:rsidRPr="00BA76A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D1390" w:rsidRPr="00BA76AF" w:rsidRDefault="00AD1390">
      <w:pPr>
        <w:pStyle w:val="Rubrik1"/>
        <w:rPr>
          <w:noProof w:val="0"/>
        </w:rPr>
      </w:pPr>
      <w:bookmarkStart w:id="4" w:name="_Toc517757078"/>
      <w:r w:rsidRPr="00BA76AF">
        <w:rPr>
          <w:noProof w:val="0"/>
        </w:rPr>
        <w:lastRenderedPageBreak/>
        <w:t>Innehållsförteckning</w:t>
      </w:r>
      <w:bookmarkEnd w:id="4"/>
    </w:p>
    <w:p w:rsidR="00AD1390" w:rsidRPr="00BA76AF" w:rsidRDefault="00AD1390">
      <w:pPr>
        <w:pStyle w:val="Innehll1"/>
      </w:pPr>
      <w:r w:rsidRPr="00BA76AF">
        <w:t>Sammanfattning</w:t>
      </w:r>
      <w:r w:rsidRPr="00BA76AF">
        <w:tab/>
        <w:t>1</w:t>
      </w:r>
    </w:p>
    <w:p w:rsidR="00AD1390" w:rsidRPr="00BA76AF" w:rsidRDefault="00AD1390">
      <w:pPr>
        <w:pStyle w:val="Innehll1"/>
      </w:pPr>
      <w:r w:rsidRPr="00BA76AF">
        <w:t>Innehållsförteckning</w:t>
      </w:r>
      <w:r w:rsidRPr="00BA76AF">
        <w:tab/>
        <w:t>2</w:t>
      </w:r>
    </w:p>
    <w:p w:rsidR="00AD1390" w:rsidRPr="00BA76AF" w:rsidRDefault="00AD1390">
      <w:pPr>
        <w:pStyle w:val="Innehll1"/>
      </w:pPr>
      <w:r w:rsidRPr="00BA76AF">
        <w:t>Utskottets förslag till riksdagsbeslut</w:t>
      </w:r>
      <w:r w:rsidRPr="00BA76AF">
        <w:tab/>
        <w:t>4</w:t>
      </w:r>
    </w:p>
    <w:p w:rsidR="00AD1390" w:rsidRPr="00BA76AF" w:rsidRDefault="00AD1390">
      <w:pPr>
        <w:pStyle w:val="Innehll1"/>
      </w:pPr>
      <w:r w:rsidRPr="00BA76AF">
        <w:t>Redogörelse för ärendet</w:t>
      </w:r>
      <w:r w:rsidRPr="00BA76AF">
        <w:tab/>
        <w:t>6</w:t>
      </w:r>
    </w:p>
    <w:p w:rsidR="00AD1390" w:rsidRPr="00BA76AF" w:rsidRDefault="00AD1390">
      <w:pPr>
        <w:pStyle w:val="Innehll2"/>
      </w:pPr>
      <w:r w:rsidRPr="00BA76AF">
        <w:t>Skrivelsens huvudsakliga innehåll</w:t>
      </w:r>
      <w:r w:rsidRPr="00BA76AF">
        <w:tab/>
        <w:t>6</w:t>
      </w:r>
    </w:p>
    <w:p w:rsidR="00AD1390" w:rsidRPr="00BA76AF" w:rsidRDefault="00AD1390">
      <w:pPr>
        <w:pStyle w:val="Innehll3"/>
      </w:pPr>
      <w:r w:rsidRPr="00BA76AF">
        <w:t>Sammanfattning och bakgrund</w:t>
      </w:r>
      <w:r w:rsidRPr="00BA76AF">
        <w:tab/>
        <w:t>6</w:t>
      </w:r>
    </w:p>
    <w:p w:rsidR="00AD1390" w:rsidRPr="00BA76AF" w:rsidRDefault="00AD1390">
      <w:pPr>
        <w:pStyle w:val="Innehll3"/>
      </w:pPr>
      <w:r w:rsidRPr="00BA76AF">
        <w:t>Den svenska krigsmaterielexporten år 2000</w:t>
      </w:r>
      <w:r w:rsidRPr="00BA76AF">
        <w:tab/>
        <w:t>6</w:t>
      </w:r>
    </w:p>
    <w:p w:rsidR="00AD1390" w:rsidRPr="00BA76AF" w:rsidRDefault="00AD1390">
      <w:pPr>
        <w:pStyle w:val="Innehll3"/>
      </w:pPr>
      <w:r w:rsidRPr="00BA76AF">
        <w:rPr>
          <w:snapToGrid w:val="0"/>
        </w:rPr>
        <w:t>Lagen om krigsmateriel</w:t>
      </w:r>
      <w:r w:rsidRPr="00BA76AF">
        <w:tab/>
        <w:t>7</w:t>
      </w:r>
    </w:p>
    <w:p w:rsidR="00AD1390" w:rsidRPr="00BA76AF" w:rsidRDefault="00AD1390">
      <w:pPr>
        <w:pStyle w:val="Innehll3"/>
      </w:pPr>
      <w:r w:rsidRPr="00BA76AF">
        <w:rPr>
          <w:snapToGrid w:val="0"/>
        </w:rPr>
        <w:t>Riktlinjerna för krigsmaterielexport</w:t>
      </w:r>
      <w:r w:rsidRPr="00BA76AF">
        <w:tab/>
        <w:t>7</w:t>
      </w:r>
    </w:p>
    <w:p w:rsidR="00AD1390" w:rsidRPr="00BA76AF" w:rsidRDefault="00AD1390">
      <w:pPr>
        <w:pStyle w:val="Innehll3"/>
      </w:pPr>
      <w:r w:rsidRPr="00BA76AF">
        <w:rPr>
          <w:snapToGrid w:val="0"/>
        </w:rPr>
        <w:t>Inspektionen för strategiska produkter</w:t>
      </w:r>
      <w:r w:rsidRPr="00BA76AF">
        <w:tab/>
        <w:t>8</w:t>
      </w:r>
    </w:p>
    <w:p w:rsidR="00AD1390" w:rsidRPr="00BA76AF" w:rsidRDefault="00AD1390">
      <w:pPr>
        <w:pStyle w:val="Innehll3"/>
      </w:pPr>
      <w:r w:rsidRPr="00BA76AF">
        <w:rPr>
          <w:snapToGrid w:val="0"/>
        </w:rPr>
        <w:t>Exportkontrollrådet (EKR)</w:t>
      </w:r>
      <w:r w:rsidRPr="00BA76AF">
        <w:tab/>
        <w:t>8</w:t>
      </w:r>
    </w:p>
    <w:p w:rsidR="00AD1390" w:rsidRPr="00BA76AF" w:rsidRDefault="00AD1390">
      <w:pPr>
        <w:pStyle w:val="Innehll3"/>
      </w:pPr>
      <w:r w:rsidRPr="00BA76AF">
        <w:rPr>
          <w:snapToGrid w:val="0"/>
        </w:rPr>
        <w:t>Informationsverksamhet avseende exportkontroll</w:t>
      </w:r>
      <w:r w:rsidRPr="00BA76AF">
        <w:tab/>
        <w:t>9</w:t>
      </w:r>
    </w:p>
    <w:p w:rsidR="00AD1390" w:rsidRPr="00BA76AF" w:rsidRDefault="00AD1390">
      <w:pPr>
        <w:pStyle w:val="Innehll3"/>
      </w:pPr>
      <w:r w:rsidRPr="00BA76AF">
        <w:rPr>
          <w:snapToGrid w:val="0"/>
        </w:rPr>
        <w:t>FN-registret och annan internationell rapportering om vapenöverföringar</w:t>
      </w:r>
      <w:r w:rsidRPr="00BA76AF">
        <w:tab/>
        <w:t>9</w:t>
      </w:r>
    </w:p>
    <w:p w:rsidR="00AD1390" w:rsidRPr="00BA76AF" w:rsidRDefault="00AD1390">
      <w:pPr>
        <w:pStyle w:val="Innehll3"/>
      </w:pPr>
      <w:r w:rsidRPr="00BA76AF">
        <w:t>Exportkontroll av produkter med dubbla användningsområden</w:t>
      </w:r>
      <w:r w:rsidRPr="00BA76AF">
        <w:tab/>
        <w:t>11</w:t>
      </w:r>
    </w:p>
    <w:p w:rsidR="00AD1390" w:rsidRPr="00BA76AF" w:rsidRDefault="00AD1390">
      <w:pPr>
        <w:pStyle w:val="Innehll3"/>
      </w:pPr>
      <w:r w:rsidRPr="00BA76AF">
        <w:t>Svensk krigsmaterielexport år 2000</w:t>
      </w:r>
      <w:r w:rsidRPr="00BA76AF">
        <w:tab/>
        <w:t>12</w:t>
      </w:r>
    </w:p>
    <w:p w:rsidR="00AD1390" w:rsidRPr="00BA76AF" w:rsidRDefault="00AD1390">
      <w:pPr>
        <w:pStyle w:val="Innehll3"/>
      </w:pPr>
      <w:r w:rsidRPr="00BA76AF">
        <w:t>Beviljade utförseltillstånd</w:t>
      </w:r>
      <w:r w:rsidRPr="00BA76AF">
        <w:tab/>
        <w:t>13</w:t>
      </w:r>
    </w:p>
    <w:p w:rsidR="00AD1390" w:rsidRPr="00BA76AF" w:rsidRDefault="00AD1390">
      <w:pPr>
        <w:pStyle w:val="Innehll3"/>
      </w:pPr>
      <w:r w:rsidRPr="00BA76AF">
        <w:t>Faktiska leveranser</w:t>
      </w:r>
      <w:r w:rsidRPr="00BA76AF">
        <w:tab/>
        <w:t>14</w:t>
      </w:r>
    </w:p>
    <w:p w:rsidR="00AD1390" w:rsidRPr="00BA76AF" w:rsidRDefault="00AD1390">
      <w:pPr>
        <w:pStyle w:val="Innehll3"/>
      </w:pPr>
      <w:r w:rsidRPr="00BA76AF">
        <w:t>Fördelning av exporten på materielslag</w:t>
      </w:r>
      <w:r w:rsidRPr="00BA76AF">
        <w:tab/>
        <w:t>15</w:t>
      </w:r>
    </w:p>
    <w:p w:rsidR="00AD1390" w:rsidRPr="00BA76AF" w:rsidRDefault="00AD1390">
      <w:pPr>
        <w:pStyle w:val="Innehll3"/>
      </w:pPr>
      <w:r w:rsidRPr="00BA76AF">
        <w:t>Exportens geografiska fördelning</w:t>
      </w:r>
      <w:r w:rsidRPr="00BA76AF">
        <w:tab/>
        <w:t>16</w:t>
      </w:r>
    </w:p>
    <w:p w:rsidR="00AD1390" w:rsidRPr="00BA76AF" w:rsidRDefault="00AD1390">
      <w:pPr>
        <w:pStyle w:val="Innehll2"/>
      </w:pPr>
      <w:r w:rsidRPr="00BA76AF">
        <w:rPr>
          <w:kern w:val="1"/>
        </w:rPr>
        <w:t>Sammanfattning av motionerna</w:t>
      </w:r>
      <w:r w:rsidRPr="00BA76AF">
        <w:tab/>
        <w:t>17</w:t>
      </w:r>
    </w:p>
    <w:p w:rsidR="00AD1390" w:rsidRPr="00BA76AF" w:rsidRDefault="00AD1390">
      <w:pPr>
        <w:pStyle w:val="Innehll3"/>
      </w:pPr>
      <w:r w:rsidRPr="00BA76AF">
        <w:t>Motioner med anledning av skrivelse 2000/01:114</w:t>
      </w:r>
      <w:r w:rsidRPr="00BA76AF">
        <w:tab/>
        <w:t>17</w:t>
      </w:r>
    </w:p>
    <w:p w:rsidR="00AD1390" w:rsidRPr="00BA76AF" w:rsidRDefault="00AD1390">
      <w:pPr>
        <w:pStyle w:val="Innehll3"/>
      </w:pPr>
      <w:r w:rsidRPr="00BA76AF">
        <w:t>Motioner från allmänna motionstiden 2000/01</w:t>
      </w:r>
      <w:r w:rsidRPr="00BA76AF">
        <w:tab/>
        <w:t>18</w:t>
      </w:r>
    </w:p>
    <w:p w:rsidR="00AD1390" w:rsidRPr="00BA76AF" w:rsidRDefault="00AD1390">
      <w:pPr>
        <w:pStyle w:val="Innehll1"/>
      </w:pPr>
      <w:r w:rsidRPr="00BA76AF">
        <w:t>Utskottets överväganden</w:t>
      </w:r>
      <w:r w:rsidRPr="00BA76AF">
        <w:tab/>
        <w:t>19</w:t>
      </w:r>
    </w:p>
    <w:p w:rsidR="00AD1390" w:rsidRPr="00BA76AF" w:rsidRDefault="00AD1390">
      <w:pPr>
        <w:pStyle w:val="Innehll4"/>
      </w:pPr>
      <w:r w:rsidRPr="00BA76AF">
        <w:t>Aktuella initiativ för att begränsa vapenhandeln</w:t>
      </w:r>
      <w:r w:rsidRPr="00BA76AF">
        <w:tab/>
        <w:t>19</w:t>
      </w:r>
    </w:p>
    <w:p w:rsidR="00AD1390" w:rsidRPr="00BA76AF" w:rsidRDefault="00AD1390">
      <w:pPr>
        <w:pStyle w:val="Innehll4"/>
      </w:pPr>
      <w:r w:rsidRPr="00BA76AF">
        <w:t>Regelverket och dess tillämpning</w:t>
      </w:r>
      <w:r w:rsidRPr="00BA76AF">
        <w:tab/>
        <w:t>20</w:t>
      </w:r>
    </w:p>
    <w:p w:rsidR="00AD1390" w:rsidRPr="00BA76AF" w:rsidRDefault="00AD1390">
      <w:pPr>
        <w:pStyle w:val="Innehll4"/>
      </w:pPr>
      <w:r w:rsidRPr="00BA76AF">
        <w:t>EU:s uppförandekod och internationellt samarbete</w:t>
      </w:r>
      <w:r w:rsidRPr="00BA76AF">
        <w:tab/>
        <w:t>22</w:t>
      </w:r>
    </w:p>
    <w:p w:rsidR="00AD1390" w:rsidRPr="00BA76AF" w:rsidRDefault="00AD1390">
      <w:pPr>
        <w:pStyle w:val="Innehll4"/>
      </w:pPr>
      <w:r w:rsidRPr="00BA76AF">
        <w:t>Krigsmaterielexport till enskilda stater och områden</w:t>
      </w:r>
      <w:r w:rsidRPr="00BA76AF">
        <w:tab/>
        <w:t>24</w:t>
      </w:r>
    </w:p>
    <w:p w:rsidR="00AD1390" w:rsidRPr="00BA76AF" w:rsidRDefault="00AD1390">
      <w:pPr>
        <w:pStyle w:val="Innehll4"/>
      </w:pPr>
      <w:r w:rsidRPr="00BA76AF">
        <w:t>Klusterbomber och utarmat uran i ammunition</w:t>
      </w:r>
      <w:r w:rsidRPr="00BA76AF">
        <w:tab/>
        <w:t>25</w:t>
      </w:r>
    </w:p>
    <w:p w:rsidR="00AD1390" w:rsidRPr="00BA76AF" w:rsidRDefault="00AD1390">
      <w:pPr>
        <w:pStyle w:val="Innehll4"/>
      </w:pPr>
      <w:r w:rsidRPr="00BA76AF">
        <w:t>Övriga frågor</w:t>
      </w:r>
      <w:r w:rsidRPr="00BA76AF">
        <w:tab/>
        <w:t>27</w:t>
      </w:r>
    </w:p>
    <w:p w:rsidR="00AD1390" w:rsidRPr="00BA76AF" w:rsidRDefault="00AD1390">
      <w:pPr>
        <w:pStyle w:val="Innehll1"/>
      </w:pPr>
      <w:r w:rsidRPr="00BA76AF">
        <w:t>Reservationer</w:t>
      </w:r>
      <w:r w:rsidRPr="00BA76AF">
        <w:tab/>
        <w:t>28</w:t>
      </w:r>
    </w:p>
    <w:p w:rsidR="00AD1390" w:rsidRPr="00BA76AF" w:rsidRDefault="00AD1390">
      <w:pPr>
        <w:pStyle w:val="Innehll2"/>
        <w:tabs>
          <w:tab w:val="left" w:pos="568"/>
        </w:tabs>
      </w:pPr>
      <w:r w:rsidRPr="00BA76AF">
        <w:t>1.</w:t>
      </w:r>
      <w:r w:rsidRPr="00BA76AF">
        <w:tab/>
        <w:t>Ny lagstiftning för krigsmaterielexport (punkt 2) (v)</w:t>
      </w:r>
      <w:r w:rsidRPr="00BA76AF">
        <w:tab/>
        <w:t>28</w:t>
      </w:r>
    </w:p>
    <w:p w:rsidR="00AD1390" w:rsidRPr="00BA76AF" w:rsidRDefault="00AD1390">
      <w:pPr>
        <w:pStyle w:val="Innehll2"/>
        <w:tabs>
          <w:tab w:val="left" w:pos="568"/>
        </w:tabs>
      </w:pPr>
      <w:r w:rsidRPr="00BA76AF">
        <w:t>2.</w:t>
      </w:r>
      <w:r w:rsidRPr="00BA76AF">
        <w:tab/>
        <w:t>Export av övrig krigsmateriel (punkt 3) (v) och (mp)</w:t>
      </w:r>
      <w:r w:rsidRPr="00BA76AF">
        <w:tab/>
        <w:t>28</w:t>
      </w:r>
    </w:p>
    <w:p w:rsidR="00AD1390" w:rsidRPr="00BA76AF" w:rsidRDefault="00AD1390">
      <w:pPr>
        <w:pStyle w:val="Innehll2"/>
        <w:tabs>
          <w:tab w:val="left" w:pos="568"/>
        </w:tabs>
      </w:pPr>
      <w:r w:rsidRPr="00BA76AF">
        <w:t>3.</w:t>
      </w:r>
      <w:r w:rsidRPr="00BA76AF">
        <w:tab/>
        <w:t>Demokratikriteriet (punkt 4) (v) och (mp)</w:t>
      </w:r>
      <w:r w:rsidRPr="00BA76AF">
        <w:tab/>
        <w:t>29</w:t>
      </w:r>
    </w:p>
    <w:p w:rsidR="00AD1390" w:rsidRPr="00BA76AF" w:rsidRDefault="00AD1390">
      <w:pPr>
        <w:pStyle w:val="Innehll2"/>
        <w:tabs>
          <w:tab w:val="left" w:pos="568"/>
        </w:tabs>
      </w:pPr>
      <w:r w:rsidRPr="00BA76AF">
        <w:t>4.</w:t>
      </w:r>
      <w:r w:rsidRPr="00BA76AF">
        <w:tab/>
        <w:t>Följdleveranser (punkt 5) (v) och (mp)</w:t>
      </w:r>
      <w:r w:rsidRPr="00BA76AF">
        <w:tab/>
        <w:t>29</w:t>
      </w:r>
    </w:p>
    <w:p w:rsidR="00AD1390" w:rsidRPr="00BA76AF" w:rsidRDefault="00AD1390">
      <w:pPr>
        <w:pStyle w:val="Innehll2"/>
        <w:tabs>
          <w:tab w:val="left" w:pos="568"/>
        </w:tabs>
      </w:pPr>
      <w:r w:rsidRPr="00BA76AF">
        <w:t>5.</w:t>
      </w:r>
      <w:r w:rsidRPr="00BA76AF">
        <w:tab/>
        <w:t>EU-gemensamma regler för krigsmaterielexport (punkt 6) (m)</w:t>
      </w:r>
      <w:r w:rsidRPr="00BA76AF">
        <w:tab/>
        <w:t>30</w:t>
      </w:r>
    </w:p>
    <w:p w:rsidR="00AD1390" w:rsidRPr="00BA76AF" w:rsidRDefault="00AD1390">
      <w:pPr>
        <w:pStyle w:val="Innehll2"/>
        <w:tabs>
          <w:tab w:val="left" w:pos="568"/>
        </w:tabs>
      </w:pPr>
      <w:r w:rsidRPr="00BA76AF">
        <w:t>6.</w:t>
      </w:r>
      <w:r w:rsidRPr="00BA76AF">
        <w:tab/>
        <w:t>Offentlig redovisning av avslagsbeslut (punkt 7) (v) och (mp)</w:t>
      </w:r>
      <w:r w:rsidRPr="00BA76AF">
        <w:tab/>
        <w:t>30</w:t>
      </w:r>
    </w:p>
    <w:p w:rsidR="00AD1390" w:rsidRPr="00BA76AF" w:rsidRDefault="00AD1390">
      <w:pPr>
        <w:pStyle w:val="Innehll2"/>
        <w:tabs>
          <w:tab w:val="left" w:pos="568"/>
        </w:tabs>
      </w:pPr>
      <w:r w:rsidRPr="00BA76AF">
        <w:t>7.</w:t>
      </w:r>
      <w:r w:rsidRPr="00BA76AF">
        <w:tab/>
        <w:t>Utarmat uran i ammunition (punkt 12) (v) och (mp)</w:t>
      </w:r>
      <w:r w:rsidRPr="00BA76AF">
        <w:tab/>
        <w:t>30</w:t>
      </w:r>
    </w:p>
    <w:p w:rsidR="00AD1390" w:rsidRPr="00BA76AF" w:rsidRDefault="00AD1390">
      <w:pPr>
        <w:pStyle w:val="Innehll2"/>
        <w:tabs>
          <w:tab w:val="left" w:pos="568"/>
        </w:tabs>
      </w:pPr>
      <w:r w:rsidRPr="00BA76AF">
        <w:t>8.</w:t>
      </w:r>
      <w:r w:rsidRPr="00BA76AF">
        <w:tab/>
        <w:t>WEAG-medlemskap (punkt 14) (v) och (mp)</w:t>
      </w:r>
      <w:r w:rsidRPr="00BA76AF">
        <w:tab/>
        <w:t>31</w:t>
      </w:r>
    </w:p>
    <w:p w:rsidR="00AD1390" w:rsidRPr="00BA76AF" w:rsidRDefault="00AD1390">
      <w:pPr>
        <w:pStyle w:val="Innehll1"/>
      </w:pPr>
      <w:r w:rsidRPr="00BA76AF">
        <w:t>Särskilda yttranden</w:t>
      </w:r>
      <w:r w:rsidRPr="00BA76AF">
        <w:tab/>
        <w:t>32</w:t>
      </w:r>
    </w:p>
    <w:p w:rsidR="00AD1390" w:rsidRPr="00BA76AF" w:rsidRDefault="00AD1390">
      <w:pPr>
        <w:pStyle w:val="Innehll2"/>
      </w:pPr>
      <w:r w:rsidRPr="00BA76AF">
        <w:t>1. Tolkning av nuvarande regelverk (punkt 1) (v)</w:t>
      </w:r>
      <w:r w:rsidRPr="00BA76AF">
        <w:tab/>
        <w:t>32</w:t>
      </w:r>
    </w:p>
    <w:p w:rsidR="00AD1390" w:rsidRPr="00BA76AF" w:rsidRDefault="00AD1390">
      <w:pPr>
        <w:pStyle w:val="Innehll2"/>
      </w:pPr>
      <w:r w:rsidRPr="00BA76AF">
        <w:t>2. Krigsmaterielexport till enskilda stater och områden (punkt 10) (v)</w:t>
      </w:r>
      <w:r w:rsidRPr="00BA76AF">
        <w:tab/>
        <w:t>32</w:t>
      </w:r>
    </w:p>
    <w:p w:rsidR="00AD1390" w:rsidRPr="00BA76AF" w:rsidRDefault="00AD1390">
      <w:pPr>
        <w:pStyle w:val="Innehll2"/>
      </w:pPr>
      <w:r w:rsidRPr="00BA76AF">
        <w:t>3. Krigsmaterielexport till enskilda stater och områden (punkt 10) (v), (c) och (fp)</w:t>
      </w:r>
      <w:r w:rsidRPr="00BA76AF">
        <w:tab/>
        <w:t>32</w:t>
      </w:r>
    </w:p>
    <w:p w:rsidR="00AD1390" w:rsidRPr="00BA76AF" w:rsidRDefault="00AD1390">
      <w:pPr>
        <w:pStyle w:val="Innehll1"/>
        <w:rPr>
          <w:i/>
        </w:rPr>
      </w:pPr>
      <w:r w:rsidRPr="00BA76AF">
        <w:rPr>
          <w:i/>
        </w:rPr>
        <w:t>Bilaga</w:t>
      </w:r>
    </w:p>
    <w:p w:rsidR="00AD1390" w:rsidRPr="00BA76AF" w:rsidRDefault="00AD1390">
      <w:pPr>
        <w:pStyle w:val="Innehll1"/>
      </w:pPr>
      <w:r w:rsidRPr="00BA76AF">
        <w:t>Förteckning över behandlade förslag</w:t>
      </w:r>
      <w:r w:rsidRPr="00BA76AF">
        <w:tab/>
        <w:t>34</w:t>
      </w:r>
    </w:p>
    <w:p w:rsidR="00AD1390" w:rsidRPr="00BA76AF" w:rsidRDefault="00AD1390">
      <w:pPr>
        <w:pStyle w:val="Innehll2"/>
      </w:pPr>
      <w:r w:rsidRPr="00BA76AF">
        <w:t>Skrivelsen</w:t>
      </w:r>
      <w:r w:rsidRPr="00BA76AF">
        <w:tab/>
        <w:t>34</w:t>
      </w:r>
    </w:p>
    <w:p w:rsidR="00AD1390" w:rsidRPr="00BA76AF" w:rsidRDefault="00AD1390">
      <w:pPr>
        <w:pStyle w:val="Innehll2"/>
      </w:pPr>
      <w:r w:rsidRPr="00BA76AF">
        <w:t>Följdmotioner</w:t>
      </w:r>
      <w:r w:rsidRPr="00BA76AF">
        <w:tab/>
        <w:t>34</w:t>
      </w:r>
    </w:p>
    <w:p w:rsidR="00AD1390" w:rsidRPr="00BA76AF" w:rsidRDefault="00AD1390">
      <w:pPr>
        <w:pStyle w:val="Innehll2"/>
      </w:pPr>
      <w:r w:rsidRPr="00BA76AF">
        <w:t>Motioner från allmänna motionstiden</w:t>
      </w:r>
      <w:r w:rsidRPr="00BA76AF">
        <w:tab/>
        <w:t>35</w:t>
      </w:r>
    </w:p>
    <w:p w:rsidR="00AD1390" w:rsidRPr="00BA76AF" w:rsidRDefault="00AD1390"/>
    <w:p w:rsidR="00AD1390" w:rsidRPr="00BA76AF" w:rsidRDefault="00AD1390">
      <w:pPr>
        <w:pStyle w:val="Normaltindrag"/>
        <w:sectPr w:rsidR="00000000" w:rsidRPr="00BA76A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D1390" w:rsidRPr="00BA76AF" w:rsidRDefault="00AD1390">
      <w:pPr>
        <w:pStyle w:val="Rubrik1"/>
        <w:rPr>
          <w:noProof w:val="0"/>
        </w:rPr>
      </w:pPr>
      <w:bookmarkStart w:id="6" w:name="_Toc517757079"/>
      <w:r w:rsidRPr="00BA76AF">
        <w:rPr>
          <w:noProof w:val="0"/>
        </w:rPr>
        <w:t>Utskottets förslag till riksdagsbeslut</w:t>
      </w:r>
      <w:bookmarkEnd w:id="6"/>
    </w:p>
    <w:p w:rsidR="00AD1390" w:rsidRPr="00BA76AF" w:rsidRDefault="00AD1390">
      <w:r w:rsidRPr="00BA76AF">
        <w:t>Med hänvisning till de motiveringar som framförs under Utskottets överv</w:t>
      </w:r>
      <w:r w:rsidRPr="00BA76AF">
        <w:t>ä</w:t>
      </w:r>
      <w:r w:rsidRPr="00BA76AF">
        <w:t>ganden föreslår utskottet att riksdagen fattar följande beslut:</w:t>
      </w:r>
    </w:p>
    <w:p w:rsidR="00AD1390" w:rsidRPr="00BA76AF" w:rsidRDefault="00AD1390">
      <w:pPr>
        <w:pStyle w:val="Frslagspunkt"/>
        <w:rPr>
          <w:noProof w:val="0"/>
        </w:rPr>
      </w:pPr>
      <w:r w:rsidRPr="00BA76AF">
        <w:rPr>
          <w:noProof w:val="0"/>
        </w:rPr>
        <w:t>1.</w:t>
      </w:r>
      <w:r w:rsidRPr="00BA76AF">
        <w:rPr>
          <w:noProof w:val="0"/>
        </w:rPr>
        <w:tab/>
        <w:t>Tolkning av nuvarande regelverk</w:t>
      </w:r>
    </w:p>
    <w:p w:rsidR="00AD1390" w:rsidRPr="00BA76AF" w:rsidRDefault="00AD1390">
      <w:pPr>
        <w:pStyle w:val="Frslagstext"/>
      </w:pPr>
      <w:r w:rsidRPr="00BA76AF">
        <w:t xml:space="preserve">Riksdagen avslår motion  2000/01:U16 yrkande 1. </w:t>
      </w:r>
      <w:bookmarkStart w:id="7" w:name="RESPARTI001"/>
      <w:bookmarkEnd w:id="7"/>
    </w:p>
    <w:p w:rsidR="00AD1390" w:rsidRPr="00BA76AF" w:rsidRDefault="00AD1390">
      <w:pPr>
        <w:pStyle w:val="Frslagspunkt"/>
        <w:rPr>
          <w:noProof w:val="0"/>
        </w:rPr>
      </w:pPr>
      <w:r w:rsidRPr="00BA76AF">
        <w:rPr>
          <w:noProof w:val="0"/>
        </w:rPr>
        <w:t>2.</w:t>
      </w:r>
      <w:r w:rsidRPr="00BA76AF">
        <w:rPr>
          <w:noProof w:val="0"/>
        </w:rPr>
        <w:tab/>
        <w:t>Ny lagstiftning för krigsmaterielexport</w:t>
      </w:r>
    </w:p>
    <w:p w:rsidR="00AD1390" w:rsidRPr="00BA76AF" w:rsidRDefault="00AD1390">
      <w:pPr>
        <w:pStyle w:val="Frslagstext"/>
      </w:pPr>
      <w:r w:rsidRPr="00BA76AF">
        <w:t xml:space="preserve">Riksdagen avslår motion  2000/01:U16 yrkande 2. </w:t>
      </w:r>
    </w:p>
    <w:p w:rsidR="00AD1390" w:rsidRPr="00BA76AF" w:rsidRDefault="00AD1390">
      <w:pPr>
        <w:pStyle w:val="Reservationshnvisning"/>
      </w:pPr>
      <w:r w:rsidRPr="00BA76AF">
        <w:t>Reservation 1 (v)</w:t>
      </w:r>
      <w:bookmarkStart w:id="8" w:name="RESPARTI002"/>
      <w:bookmarkEnd w:id="8"/>
    </w:p>
    <w:p w:rsidR="00AD1390" w:rsidRPr="00BA76AF" w:rsidRDefault="00AD1390">
      <w:pPr>
        <w:pStyle w:val="Frslagspunkt"/>
        <w:rPr>
          <w:noProof w:val="0"/>
        </w:rPr>
      </w:pPr>
      <w:r w:rsidRPr="00BA76AF">
        <w:rPr>
          <w:noProof w:val="0"/>
        </w:rPr>
        <w:t>3.</w:t>
      </w:r>
      <w:r w:rsidRPr="00BA76AF">
        <w:rPr>
          <w:noProof w:val="0"/>
        </w:rPr>
        <w:tab/>
        <w:t>Export av övrig krigsmateriel</w:t>
      </w:r>
    </w:p>
    <w:p w:rsidR="00AD1390" w:rsidRPr="00BA76AF" w:rsidRDefault="00AD1390">
      <w:pPr>
        <w:pStyle w:val="Frslagstext"/>
      </w:pPr>
      <w:r w:rsidRPr="00BA76AF">
        <w:t xml:space="preserve">Riksdagen avslår motion 2000/01:U16 yrkande 3. </w:t>
      </w:r>
    </w:p>
    <w:p w:rsidR="00AD1390" w:rsidRPr="00BA76AF" w:rsidRDefault="00AD1390">
      <w:pPr>
        <w:pStyle w:val="Reservationshnvisning"/>
      </w:pPr>
      <w:r w:rsidRPr="00BA76AF">
        <w:t>Reservation 2 (v, mp)</w:t>
      </w:r>
      <w:bookmarkStart w:id="9" w:name="RESPARTI003"/>
      <w:bookmarkEnd w:id="9"/>
    </w:p>
    <w:p w:rsidR="00AD1390" w:rsidRPr="00BA76AF" w:rsidRDefault="00AD1390">
      <w:pPr>
        <w:pStyle w:val="Frslagspunkt"/>
        <w:rPr>
          <w:noProof w:val="0"/>
        </w:rPr>
      </w:pPr>
      <w:r w:rsidRPr="00BA76AF">
        <w:rPr>
          <w:noProof w:val="0"/>
        </w:rPr>
        <w:t>4.</w:t>
      </w:r>
      <w:r w:rsidRPr="00BA76AF">
        <w:rPr>
          <w:noProof w:val="0"/>
        </w:rPr>
        <w:tab/>
        <w:t>Demokratikriteriet</w:t>
      </w:r>
    </w:p>
    <w:p w:rsidR="00AD1390" w:rsidRPr="00BA76AF" w:rsidRDefault="00AD1390">
      <w:pPr>
        <w:pStyle w:val="Frslagstext"/>
      </w:pPr>
      <w:r w:rsidRPr="00BA76AF">
        <w:t xml:space="preserve">Riksdagen avslår motion 2000/01:U16 yrkande 5 samt förklarar motion 2000/01:U408 besvarad med vad utskottet anfört. </w:t>
      </w:r>
    </w:p>
    <w:p w:rsidR="00AD1390" w:rsidRPr="00BA76AF" w:rsidRDefault="00AD1390">
      <w:pPr>
        <w:pStyle w:val="Reservationshnvisning"/>
      </w:pPr>
      <w:r w:rsidRPr="00BA76AF">
        <w:t>Reservation 3 (v, mp)</w:t>
      </w:r>
      <w:bookmarkStart w:id="10" w:name="RESPARTI004"/>
      <w:bookmarkEnd w:id="10"/>
    </w:p>
    <w:p w:rsidR="00AD1390" w:rsidRPr="00BA76AF" w:rsidRDefault="00AD1390">
      <w:pPr>
        <w:pStyle w:val="Frslagspunkt"/>
        <w:rPr>
          <w:noProof w:val="0"/>
        </w:rPr>
      </w:pPr>
      <w:r w:rsidRPr="00BA76AF">
        <w:rPr>
          <w:noProof w:val="0"/>
        </w:rPr>
        <w:t>5.</w:t>
      </w:r>
      <w:r w:rsidRPr="00BA76AF">
        <w:rPr>
          <w:noProof w:val="0"/>
        </w:rPr>
        <w:tab/>
        <w:t>Följdleveranser</w:t>
      </w:r>
    </w:p>
    <w:p w:rsidR="00AD1390" w:rsidRPr="00BA76AF" w:rsidRDefault="00AD1390">
      <w:pPr>
        <w:pStyle w:val="Frslagstext"/>
      </w:pPr>
      <w:r w:rsidRPr="00BA76AF">
        <w:t xml:space="preserve">Riksdagen avslår motion 2000/01:U16 yrkande 10 samt förklarar motion 2000/01:U16 yrkandena 11 och 12 besvarade med vad utskottet anfört. </w:t>
      </w:r>
    </w:p>
    <w:p w:rsidR="00AD1390" w:rsidRPr="00BA76AF" w:rsidRDefault="00AD1390">
      <w:pPr>
        <w:pStyle w:val="Reservationshnvisning"/>
      </w:pPr>
      <w:r w:rsidRPr="00BA76AF">
        <w:t>Reservation 4 (v, mp)</w:t>
      </w:r>
      <w:bookmarkStart w:id="11" w:name="RESPARTI005"/>
      <w:bookmarkEnd w:id="11"/>
    </w:p>
    <w:p w:rsidR="00AD1390" w:rsidRPr="00BA76AF" w:rsidRDefault="00AD1390">
      <w:pPr>
        <w:pStyle w:val="Frslagspunkt"/>
        <w:rPr>
          <w:noProof w:val="0"/>
        </w:rPr>
      </w:pPr>
      <w:r w:rsidRPr="00BA76AF">
        <w:rPr>
          <w:noProof w:val="0"/>
        </w:rPr>
        <w:t>6.</w:t>
      </w:r>
      <w:r w:rsidRPr="00BA76AF">
        <w:rPr>
          <w:noProof w:val="0"/>
        </w:rPr>
        <w:tab/>
        <w:t>EU-gemensamma regler för krigsmaterielexport</w:t>
      </w:r>
    </w:p>
    <w:p w:rsidR="00AD1390" w:rsidRPr="00BA76AF" w:rsidRDefault="00AD1390">
      <w:pPr>
        <w:pStyle w:val="Frslagstext"/>
      </w:pPr>
      <w:r w:rsidRPr="00BA76AF">
        <w:t>Riksdagen avslår motionerna 2000/01:U15 yrkandena 1 och 2 samt  2000/01:U411 yrkandena 1 och 2.</w:t>
      </w:r>
    </w:p>
    <w:p w:rsidR="00AD1390" w:rsidRPr="00BA76AF" w:rsidRDefault="00AD1390">
      <w:pPr>
        <w:pStyle w:val="Reservationshnvisning"/>
      </w:pPr>
      <w:r w:rsidRPr="00BA76AF">
        <w:t>Reservation 5 (m)</w:t>
      </w:r>
      <w:bookmarkStart w:id="12" w:name="RESPARTI006"/>
      <w:bookmarkEnd w:id="12"/>
    </w:p>
    <w:p w:rsidR="00AD1390" w:rsidRPr="00BA76AF" w:rsidRDefault="00AD1390">
      <w:pPr>
        <w:pStyle w:val="Frslagspunkt"/>
        <w:rPr>
          <w:noProof w:val="0"/>
        </w:rPr>
      </w:pPr>
      <w:r w:rsidRPr="00BA76AF">
        <w:rPr>
          <w:noProof w:val="0"/>
        </w:rPr>
        <w:t>7.</w:t>
      </w:r>
      <w:r w:rsidRPr="00BA76AF">
        <w:rPr>
          <w:noProof w:val="0"/>
        </w:rPr>
        <w:tab/>
        <w:t>Offentlig redovisning av avslagsbeslut</w:t>
      </w:r>
    </w:p>
    <w:p w:rsidR="00AD1390" w:rsidRPr="00BA76AF" w:rsidRDefault="00AD1390">
      <w:pPr>
        <w:pStyle w:val="Frslagstext"/>
      </w:pPr>
      <w:r w:rsidRPr="00BA76AF">
        <w:t xml:space="preserve">Riksdagen avslår motion 2000/01:U16 yrkande 4. </w:t>
      </w:r>
    </w:p>
    <w:p w:rsidR="00AD1390" w:rsidRPr="00BA76AF" w:rsidRDefault="00AD1390">
      <w:pPr>
        <w:pStyle w:val="Reservationshnvisning"/>
      </w:pPr>
      <w:r w:rsidRPr="00BA76AF">
        <w:t>Reservation 6 (v, mp)</w:t>
      </w:r>
      <w:bookmarkStart w:id="13" w:name="RESPARTI007"/>
      <w:bookmarkEnd w:id="13"/>
    </w:p>
    <w:p w:rsidR="00AD1390" w:rsidRPr="00BA76AF" w:rsidRDefault="00AD1390">
      <w:pPr>
        <w:pStyle w:val="Frslagspunkt"/>
        <w:rPr>
          <w:noProof w:val="0"/>
        </w:rPr>
      </w:pPr>
      <w:r w:rsidRPr="00BA76AF">
        <w:rPr>
          <w:noProof w:val="0"/>
        </w:rPr>
        <w:t>8.</w:t>
      </w:r>
      <w:r w:rsidRPr="00BA76AF">
        <w:rPr>
          <w:noProof w:val="0"/>
        </w:rPr>
        <w:tab/>
        <w:t>EU:s uppförandekod</w:t>
      </w:r>
    </w:p>
    <w:p w:rsidR="00AD1390" w:rsidRPr="00BA76AF" w:rsidRDefault="00AD1390">
      <w:pPr>
        <w:pStyle w:val="Frslagstext"/>
      </w:pPr>
      <w:r w:rsidRPr="00BA76AF">
        <w:t xml:space="preserve">Riksdagen förklarar motion 2000/01:U16 yrkande 7 besvarad med vad utskottet anfört.       </w:t>
      </w:r>
      <w:bookmarkStart w:id="14" w:name="RESPARTI008"/>
      <w:bookmarkEnd w:id="14"/>
    </w:p>
    <w:p w:rsidR="00AD1390" w:rsidRPr="00BA76AF" w:rsidRDefault="00AD1390">
      <w:pPr>
        <w:pStyle w:val="Frslagspunkt"/>
        <w:rPr>
          <w:noProof w:val="0"/>
        </w:rPr>
      </w:pPr>
      <w:r w:rsidRPr="00BA76AF">
        <w:rPr>
          <w:noProof w:val="0"/>
        </w:rPr>
        <w:t>9.</w:t>
      </w:r>
      <w:r w:rsidRPr="00BA76AF">
        <w:rPr>
          <w:noProof w:val="0"/>
        </w:rPr>
        <w:tab/>
        <w:t>Samarbete mellan svenska företag och företag i andra EU-länder</w:t>
      </w:r>
    </w:p>
    <w:p w:rsidR="00AD1390" w:rsidRPr="00BA76AF" w:rsidRDefault="00AD1390">
      <w:pPr>
        <w:pStyle w:val="Frslagstext"/>
      </w:pPr>
      <w:r w:rsidRPr="00BA76AF">
        <w:t xml:space="preserve">Riksdagen avslår motion 2000/01:U16 yrkande 8. </w:t>
      </w:r>
    </w:p>
    <w:p w:rsidR="00AD1390" w:rsidRPr="00BA76AF" w:rsidRDefault="00AD1390">
      <w:pPr>
        <w:pStyle w:val="Frslagspunkt"/>
        <w:rPr>
          <w:noProof w:val="0"/>
        </w:rPr>
      </w:pPr>
      <w:bookmarkStart w:id="15" w:name="RESPARTI009"/>
      <w:bookmarkEnd w:id="15"/>
      <w:r w:rsidRPr="00BA76AF">
        <w:rPr>
          <w:noProof w:val="0"/>
        </w:rPr>
        <w:t>10.</w:t>
      </w:r>
      <w:r w:rsidRPr="00BA76AF">
        <w:rPr>
          <w:noProof w:val="0"/>
        </w:rPr>
        <w:tab/>
        <w:t>Krigsmaterielexport till enskilda stater och områden</w:t>
      </w:r>
    </w:p>
    <w:p w:rsidR="00AD1390" w:rsidRPr="00BA76AF" w:rsidRDefault="00AD1390">
      <w:pPr>
        <w:pStyle w:val="Frslagstext"/>
      </w:pPr>
      <w:r w:rsidRPr="00BA76AF">
        <w:t>Riksdagen avslår motionerna 2000/01:U16 yrkandena 13 och 14,</w:t>
      </w:r>
    </w:p>
    <w:p w:rsidR="00AD1390" w:rsidRPr="00BA76AF" w:rsidRDefault="00AD1390">
      <w:pPr>
        <w:pStyle w:val="Frslagstext"/>
      </w:pPr>
      <w:r w:rsidRPr="00BA76AF">
        <w:t xml:space="preserve">2000/01:U616 yrkandena 1 och 2 och 2000/01:U633 yrkande 2. </w:t>
      </w:r>
      <w:bookmarkStart w:id="16" w:name="RESPARTI010"/>
      <w:bookmarkEnd w:id="16"/>
    </w:p>
    <w:p w:rsidR="00AD1390" w:rsidRPr="00BA76AF" w:rsidRDefault="00AD1390">
      <w:pPr>
        <w:pStyle w:val="Frslagspunkt"/>
        <w:rPr>
          <w:noProof w:val="0"/>
        </w:rPr>
      </w:pPr>
      <w:r w:rsidRPr="00BA76AF">
        <w:rPr>
          <w:noProof w:val="0"/>
        </w:rPr>
        <w:t>11.</w:t>
      </w:r>
      <w:r w:rsidRPr="00BA76AF">
        <w:rPr>
          <w:noProof w:val="0"/>
        </w:rPr>
        <w:tab/>
        <w:t>Klusterbomber</w:t>
      </w:r>
    </w:p>
    <w:p w:rsidR="00AD1390" w:rsidRPr="00BA76AF" w:rsidRDefault="00AD1390">
      <w:pPr>
        <w:pStyle w:val="Frslagstext"/>
      </w:pPr>
      <w:r w:rsidRPr="00BA76AF">
        <w:t>Riksdagen avslår motion 2000/01:U401 yrkande 1.</w:t>
      </w:r>
      <w:bookmarkStart w:id="17" w:name="RESPARTI011"/>
      <w:bookmarkEnd w:id="17"/>
    </w:p>
    <w:p w:rsidR="00AD1390" w:rsidRPr="00BA76AF" w:rsidRDefault="00AD1390">
      <w:pPr>
        <w:pStyle w:val="Frslagspunkt"/>
        <w:rPr>
          <w:noProof w:val="0"/>
        </w:rPr>
      </w:pPr>
      <w:r w:rsidRPr="00BA76AF">
        <w:rPr>
          <w:noProof w:val="0"/>
        </w:rPr>
        <w:t>12.</w:t>
      </w:r>
      <w:r w:rsidRPr="00BA76AF">
        <w:rPr>
          <w:noProof w:val="0"/>
        </w:rPr>
        <w:tab/>
        <w:t>Utarmat uran i ammunition</w:t>
      </w:r>
    </w:p>
    <w:p w:rsidR="00AD1390" w:rsidRPr="00BA76AF" w:rsidRDefault="00AD1390">
      <w:pPr>
        <w:pStyle w:val="Frslagstext"/>
      </w:pPr>
      <w:r w:rsidRPr="00BA76AF">
        <w:t xml:space="preserve">Riksdagen avslår motion 2000/01:U401 yrkande 2. </w:t>
      </w:r>
    </w:p>
    <w:p w:rsidR="00AD1390" w:rsidRPr="00BA76AF" w:rsidRDefault="00AD1390">
      <w:pPr>
        <w:pStyle w:val="Reservationshnvisning"/>
      </w:pPr>
      <w:r w:rsidRPr="00BA76AF">
        <w:t>Reservation 7 (v, mp)</w:t>
      </w:r>
      <w:bookmarkStart w:id="18" w:name="RESPARTI012"/>
      <w:bookmarkEnd w:id="18"/>
    </w:p>
    <w:p w:rsidR="00AD1390" w:rsidRPr="00BA76AF" w:rsidRDefault="00AD1390">
      <w:pPr>
        <w:pStyle w:val="Frslagspunkt"/>
        <w:rPr>
          <w:noProof w:val="0"/>
        </w:rPr>
      </w:pPr>
      <w:r w:rsidRPr="00BA76AF">
        <w:rPr>
          <w:noProof w:val="0"/>
        </w:rPr>
        <w:t>13.</w:t>
      </w:r>
      <w:r w:rsidRPr="00BA76AF">
        <w:rPr>
          <w:noProof w:val="0"/>
        </w:rPr>
        <w:tab/>
        <w:t>Omställningsprogram för försvarsindustrin</w:t>
      </w:r>
    </w:p>
    <w:p w:rsidR="00AD1390" w:rsidRPr="00BA76AF" w:rsidRDefault="00AD1390">
      <w:pPr>
        <w:pStyle w:val="Frslagstext"/>
      </w:pPr>
      <w:r w:rsidRPr="00BA76AF">
        <w:t xml:space="preserve">Riksdagen avslår motion 2000/01:U16 yrkandena 6 och 9. </w:t>
      </w:r>
      <w:bookmarkStart w:id="19" w:name="RESPARTI013"/>
      <w:bookmarkEnd w:id="19"/>
    </w:p>
    <w:p w:rsidR="00AD1390" w:rsidRPr="00BA76AF" w:rsidRDefault="00AD1390">
      <w:pPr>
        <w:pStyle w:val="Frslagspunkt"/>
        <w:rPr>
          <w:noProof w:val="0"/>
        </w:rPr>
      </w:pPr>
      <w:r w:rsidRPr="00BA76AF">
        <w:rPr>
          <w:noProof w:val="0"/>
        </w:rPr>
        <w:t>14.</w:t>
      </w:r>
      <w:r w:rsidRPr="00BA76AF">
        <w:rPr>
          <w:noProof w:val="0"/>
        </w:rPr>
        <w:tab/>
        <w:t>WEAG-medlemskap</w:t>
      </w:r>
    </w:p>
    <w:p w:rsidR="00AD1390" w:rsidRPr="00BA76AF" w:rsidRDefault="00AD1390">
      <w:pPr>
        <w:pStyle w:val="Frslagstext"/>
      </w:pPr>
      <w:r w:rsidRPr="00BA76AF">
        <w:t xml:space="preserve">Riksdagen avslår motion 2000/01:U402 yrkande 9. </w:t>
      </w:r>
    </w:p>
    <w:p w:rsidR="00AD1390" w:rsidRPr="00BA76AF" w:rsidRDefault="00AD1390">
      <w:pPr>
        <w:pStyle w:val="Reservationshnvisning"/>
      </w:pPr>
      <w:r w:rsidRPr="00BA76AF">
        <w:t>Reservation 8 (v, mp)</w:t>
      </w:r>
      <w:bookmarkStart w:id="20" w:name="RESPARTI014"/>
      <w:bookmarkEnd w:id="20"/>
    </w:p>
    <w:p w:rsidR="00AD1390" w:rsidRPr="00BA76AF" w:rsidRDefault="00AD1390">
      <w:pPr>
        <w:pStyle w:val="Frslagspunkt"/>
        <w:rPr>
          <w:noProof w:val="0"/>
        </w:rPr>
      </w:pPr>
      <w:r w:rsidRPr="00BA76AF">
        <w:rPr>
          <w:noProof w:val="0"/>
        </w:rPr>
        <w:t>15.</w:t>
      </w:r>
      <w:r w:rsidRPr="00BA76AF">
        <w:rPr>
          <w:noProof w:val="0"/>
        </w:rPr>
        <w:tab/>
        <w:t>Skrivelsen</w:t>
      </w:r>
    </w:p>
    <w:p w:rsidR="00AD1390" w:rsidRPr="00BA76AF" w:rsidRDefault="00AD1390">
      <w:pPr>
        <w:pStyle w:val="Frslagstext"/>
      </w:pPr>
      <w:r w:rsidRPr="00BA76AF">
        <w:t>Riksdagen lägger skrivelse 2000/01:114 Redogörelse för den svenska krigsmaterielexporten år 2000 till handlingarna.</w:t>
      </w:r>
      <w:bookmarkStart w:id="21" w:name="Nästa_Hpunkt"/>
      <w:bookmarkEnd w:id="21"/>
      <w:r w:rsidRPr="00BA76AF">
        <w:t xml:space="preserve"> </w:t>
      </w:r>
    </w:p>
    <w:p w:rsidR="00AD1390" w:rsidRPr="00BA76AF" w:rsidRDefault="00AD1390">
      <w:pPr>
        <w:pStyle w:val="Frslagstext"/>
      </w:pPr>
    </w:p>
    <w:p w:rsidR="00AD1390" w:rsidRPr="00BA76AF" w:rsidRDefault="00AD1390">
      <w:pPr>
        <w:pStyle w:val="Frslagstext"/>
      </w:pPr>
    </w:p>
    <w:p w:rsidR="00AD1390" w:rsidRPr="00BA76AF" w:rsidRDefault="00AD1390">
      <w:pPr>
        <w:pStyle w:val="Normaltindrag"/>
        <w:ind w:firstLine="0"/>
      </w:pPr>
      <w:bookmarkStart w:id="22" w:name="RESPARTI015"/>
      <w:bookmarkEnd w:id="22"/>
    </w:p>
    <w:p w:rsidR="00AD1390" w:rsidRPr="00BA76AF" w:rsidRDefault="00AD1390">
      <w:pPr>
        <w:pStyle w:val="Utskriftsdatum"/>
      </w:pPr>
      <w:r w:rsidRPr="00BA76AF">
        <w:t xml:space="preserve">Stockholm den 31 maj 2001 </w:t>
      </w:r>
    </w:p>
    <w:p w:rsidR="00AD1390" w:rsidRPr="00BA76AF" w:rsidRDefault="00AD1390">
      <w:r w:rsidRPr="00BA76AF">
        <w:t>På utrikesutskottets vägnar</w:t>
      </w:r>
    </w:p>
    <w:p w:rsidR="00AD1390" w:rsidRPr="00BA76AF" w:rsidRDefault="00AD1390">
      <w:pPr>
        <w:pStyle w:val="Ordfranden"/>
        <w:rPr>
          <w:noProof w:val="0"/>
        </w:rPr>
      </w:pPr>
      <w:bookmarkStart w:id="23" w:name="Ordförande"/>
      <w:bookmarkEnd w:id="23"/>
      <w:r w:rsidRPr="00BA76AF">
        <w:rPr>
          <w:noProof w:val="0"/>
        </w:rPr>
        <w:t xml:space="preserve">Viola Furubjelke </w:t>
      </w:r>
    </w:p>
    <w:p w:rsidR="00AD1390" w:rsidRPr="00BA76AF" w:rsidRDefault="00AD1390">
      <w:pPr>
        <w:pStyle w:val="Deltagare"/>
        <w:rPr>
          <w:noProof w:val="0"/>
        </w:rPr>
      </w:pPr>
      <w:bookmarkStart w:id="24" w:name="Deltagare"/>
      <w:bookmarkEnd w:id="24"/>
      <w:r w:rsidRPr="00BA76AF">
        <w:rPr>
          <w:noProof w:val="0"/>
        </w:rPr>
        <w:t>Följande ledamöter har deltagit i beslutet: Viola Furubjelke (s), Sören Lekberg (s), Berndt Ekholm (s), Lars Ohly (v), Holger Gustafsson (kd), Bertil Persson (m), Carina Hägg (s), Liselotte Wågö (m), Marianne Jönsson (s), Murad Artin (v), Sten Tolgfors (m), Marianne Samuelsson (mp), Karl-Göran Biörsmark (fp), Birgitta Ahlqvist (s), Karin Enström (m), Agne Hansson (c) och Rosita Runegrund (kd).</w:t>
      </w:r>
    </w:p>
    <w:p w:rsidR="00AD1390" w:rsidRPr="00BA76AF" w:rsidRDefault="00AD1390">
      <w:pPr>
        <w:sectPr w:rsidR="00000000" w:rsidRPr="00BA76A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D1390" w:rsidRPr="00BA76AF" w:rsidRDefault="00AD1390">
      <w:pPr>
        <w:pStyle w:val="Rubrik1"/>
        <w:rPr>
          <w:noProof w:val="0"/>
        </w:rPr>
      </w:pPr>
      <w:bookmarkStart w:id="25" w:name="_Toc517757080"/>
      <w:r w:rsidRPr="00BA76AF">
        <w:rPr>
          <w:noProof w:val="0"/>
        </w:rPr>
        <w:t>Redogörelse för ärendet</w:t>
      </w:r>
      <w:bookmarkEnd w:id="25"/>
    </w:p>
    <w:p w:rsidR="00AD1390" w:rsidRPr="00BA76AF" w:rsidRDefault="00AD1390">
      <w:pPr>
        <w:pStyle w:val="Rubrik2"/>
        <w:spacing w:before="0"/>
      </w:pPr>
      <w:bookmarkStart w:id="26" w:name="_Toc517757081"/>
      <w:r w:rsidRPr="00BA76AF">
        <w:t>Skrivelsens huvudsakliga innehåll</w:t>
      </w:r>
      <w:bookmarkEnd w:id="26"/>
    </w:p>
    <w:p w:rsidR="00AD1390" w:rsidRPr="00BA76AF" w:rsidRDefault="00AD1390">
      <w:pPr>
        <w:pStyle w:val="Rubrik3"/>
        <w:spacing w:before="235"/>
        <w:rPr>
          <w:noProof w:val="0"/>
        </w:rPr>
      </w:pPr>
      <w:bookmarkStart w:id="27" w:name="_Toc517757082"/>
      <w:r w:rsidRPr="00BA76AF">
        <w:rPr>
          <w:noProof w:val="0"/>
        </w:rPr>
        <w:t>Sammanfattning och bakgrund</w:t>
      </w:r>
      <w:bookmarkEnd w:id="27"/>
    </w:p>
    <w:p w:rsidR="00AD1390" w:rsidRPr="00BA76AF" w:rsidRDefault="00AD1390">
      <w:r w:rsidRPr="00BA76AF">
        <w:t>Kontrollen av krigsmaterielexporten är grundad på nationellt fastställda regler även om inslaget av internationell dialog ökat under senare år, framför allt inom ramen för EU-samarbetet. Kontrollen av produkter med dubbla använ</w:t>
      </w:r>
      <w:r w:rsidRPr="00BA76AF">
        <w:t>d</w:t>
      </w:r>
      <w:r w:rsidRPr="00BA76AF">
        <w:t xml:space="preserve">ningsområden bygger i första hand på internationellt samarbete inom ramen för särskilda överenskommelser där parterna åtar sig att i vissa situationer förhindra spridningen av de produkter som omfattas. </w:t>
      </w:r>
    </w:p>
    <w:p w:rsidR="00AD1390" w:rsidRPr="00BA76AF" w:rsidRDefault="00AD1390">
      <w:pPr>
        <w:pStyle w:val="Normaltindrag"/>
      </w:pPr>
      <w:r w:rsidRPr="00BA76AF">
        <w:t>Den 28 september 2000 trädde en ny EG-förordning (nr 1334/2000) i kraft om upprättandet av en ny gemenskapsordning för kontroll av produkter och teknik med dubbla användningsområden (EGT nr L 159, 30.6.2000). Den nya förordningen innebär att exportkontrollen inom EU på detta område ytterlig</w:t>
      </w:r>
      <w:r w:rsidRPr="00BA76AF">
        <w:t>a</w:t>
      </w:r>
      <w:r w:rsidRPr="00BA76AF">
        <w:t>re har harmoniserats och att utrymmet för och behovet av nationella särregl</w:t>
      </w:r>
      <w:r w:rsidRPr="00BA76AF">
        <w:t>e</w:t>
      </w:r>
      <w:r w:rsidRPr="00BA76AF">
        <w:t>ringar sålunda har minskat. Detta har föranlett en omfattande ändring av den svenska lagstrukturen och antagandet av en ny lag (2000:1064)</w:t>
      </w:r>
      <w:r w:rsidRPr="00BA76AF">
        <w:rPr>
          <w:b/>
        </w:rPr>
        <w:t xml:space="preserve"> </w:t>
      </w:r>
      <w:r w:rsidRPr="00BA76AF">
        <w:t>om kontroll av produkter med dubbla användningsområden samt tekniskt bistånd.</w:t>
      </w:r>
    </w:p>
    <w:p w:rsidR="00AD1390" w:rsidRPr="00BA76AF" w:rsidRDefault="00AD1390">
      <w:pPr>
        <w:pStyle w:val="Normaltindrag"/>
      </w:pPr>
      <w:r w:rsidRPr="00BA76AF">
        <w:t>På krigsmaterielområdet präglas skeendet av den europeiska försvarsi</w:t>
      </w:r>
      <w:r w:rsidRPr="00BA76AF">
        <w:t>n</w:t>
      </w:r>
      <w:r w:rsidRPr="00BA76AF">
        <w:t>dustrins rationalisering. De senaste åren har en rad gränsöverskridande sa</w:t>
      </w:r>
      <w:r w:rsidRPr="00BA76AF">
        <w:t>m</w:t>
      </w:r>
      <w:r w:rsidRPr="00BA76AF">
        <w:t>manslagningar och sama</w:t>
      </w:r>
      <w:r w:rsidRPr="00BA76AF">
        <w:t>r</w:t>
      </w:r>
      <w:r w:rsidRPr="00BA76AF">
        <w:t>beten ägt rum. Denna utveckling förväntas fortsätta.</w:t>
      </w:r>
    </w:p>
    <w:p w:rsidR="00AD1390" w:rsidRPr="00BA76AF" w:rsidRDefault="00AD1390">
      <w:pPr>
        <w:pStyle w:val="Normaltindrag"/>
      </w:pPr>
      <w:r w:rsidRPr="00BA76AF">
        <w:t>Sverige deltar aktivt i det internationella samarbetet i ett flertal internati</w:t>
      </w:r>
      <w:r w:rsidRPr="00BA76AF">
        <w:t>o</w:t>
      </w:r>
      <w:r w:rsidRPr="00BA76AF">
        <w:t>nella forum för att främja en ansvarsfull exportpolitik, effektiva exportko</w:t>
      </w:r>
      <w:r w:rsidRPr="00BA76AF">
        <w:t>n</w:t>
      </w:r>
      <w:r w:rsidRPr="00BA76AF">
        <w:t>trol</w:t>
      </w:r>
      <w:r w:rsidRPr="00BA76AF">
        <w:t>l</w:t>
      </w:r>
      <w:r w:rsidRPr="00BA76AF">
        <w:t>procedurer och ökad öppenhet på området.</w:t>
      </w:r>
    </w:p>
    <w:p w:rsidR="00AD1390" w:rsidRPr="00BA76AF" w:rsidRDefault="00AD1390">
      <w:pPr>
        <w:pStyle w:val="Rubrik3"/>
        <w:rPr>
          <w:noProof w:val="0"/>
        </w:rPr>
      </w:pPr>
      <w:bookmarkStart w:id="28" w:name="_Toc517757083"/>
      <w:r w:rsidRPr="00BA76AF">
        <w:rPr>
          <w:noProof w:val="0"/>
        </w:rPr>
        <w:t>Den svenska krigsmaterielexporten år 2000</w:t>
      </w:r>
      <w:bookmarkEnd w:id="28"/>
    </w:p>
    <w:p w:rsidR="00AD1390" w:rsidRPr="00BA76AF" w:rsidRDefault="00AD1390">
      <w:pPr>
        <w:rPr>
          <w:kern w:val="34"/>
        </w:rPr>
      </w:pPr>
      <w:r w:rsidRPr="00BA76AF">
        <w:t>I skrivelsen konstateras att exporten av krigsmateriel från Sverige är begrä</w:t>
      </w:r>
      <w:r w:rsidRPr="00BA76AF">
        <w:t>n</w:t>
      </w:r>
      <w:r w:rsidRPr="00BA76AF">
        <w:t>sad. Enstaka försäljningar av större system orsakar därför kraftiga svängnin</w:t>
      </w:r>
      <w:r w:rsidRPr="00BA76AF">
        <w:t>g</w:t>
      </w:r>
      <w:r w:rsidRPr="00BA76AF">
        <w:t>ar uppåt eller nedåt i den årliga statistiken som inte kan förknippas med någon långsiktig trend</w:t>
      </w:r>
      <w:r w:rsidRPr="00BA76AF">
        <w:rPr>
          <w:kern w:val="34"/>
          <w:sz w:val="25"/>
        </w:rPr>
        <w:t xml:space="preserve">. </w:t>
      </w:r>
    </w:p>
    <w:p w:rsidR="00AD1390" w:rsidRPr="00BA76AF" w:rsidRDefault="00AD1390">
      <w:pPr>
        <w:pStyle w:val="Normaltindrag"/>
        <w:rPr>
          <w:kern w:val="34"/>
        </w:rPr>
      </w:pPr>
      <w:r w:rsidRPr="00BA76AF">
        <w:rPr>
          <w:kern w:val="34"/>
        </w:rPr>
        <w:t xml:space="preserve">Värdet av den totala fakturerade försäljningen av krigsmateriel (inom och utom riket) under år 2000 uppgick till 11 107,8 miljoner kronor, motsvarande en minskning med ca 1 % jämfört med år 1999. Värdet av exportleveranserna av krigsmateriel under år 2000 var 4 371 miljoner kronor, en ökning med </w:t>
      </w:r>
      <w:r w:rsidRPr="00BA76AF">
        <w:rPr>
          <w:kern w:val="34"/>
        </w:rPr>
        <w:br/>
        <w:t xml:space="preserve">19,6 % jämfört med föregående år räknat i löpande priser. Exporten svarade således för drygt 39 % av försvarsindustrins totala fakturerade försäljning av krigsmateriel under året. </w:t>
      </w:r>
      <w:r w:rsidRPr="00BA76AF">
        <w:rPr>
          <w:spacing w:val="-3"/>
          <w:kern w:val="1"/>
        </w:rPr>
        <w:t>Krigsmaterielexportens andel av den totala varue</w:t>
      </w:r>
      <w:r w:rsidRPr="00BA76AF">
        <w:rPr>
          <w:spacing w:val="-3"/>
          <w:kern w:val="1"/>
        </w:rPr>
        <w:t>x</w:t>
      </w:r>
      <w:r w:rsidRPr="00BA76AF">
        <w:rPr>
          <w:spacing w:val="-3"/>
          <w:kern w:val="1"/>
        </w:rPr>
        <w:t xml:space="preserve">porten har under år 2000 ökat från 0,52 % till 0,55 %. </w:t>
      </w:r>
    </w:p>
    <w:p w:rsidR="00AD1390" w:rsidRPr="00BA76AF" w:rsidRDefault="00AD1390">
      <w:pPr>
        <w:pStyle w:val="Normaltindrag"/>
      </w:pPr>
      <w:r w:rsidRPr="00BA76AF">
        <w:t xml:space="preserve">Värdet av de utförseltillstånd som beviljats har under 2000 minskat med </w:t>
      </w:r>
      <w:r w:rsidRPr="00BA76AF">
        <w:br/>
        <w:t>35 % från föregående års 7 153 miljoner kronor till årets 4 640 miljoner kr</w:t>
      </w:r>
      <w:r w:rsidRPr="00BA76AF">
        <w:t>o</w:t>
      </w:r>
      <w:r w:rsidRPr="00BA76AF">
        <w:t>nor. Denna minskning har uteslutande skett avseende materiel som klassas som övrig krigsmateriel (ÖK). Jämfört med 1999 har utförseltillstånden i ÖK-kategorin under 2000 minskat med knappt 63 %. Beviljade utförseltillstånd avseende krigsmateriel för strid (KS) har i stället ökat med knappt 119 % från 1 082 miljoner kronor år 1999 till 2 369 miljoner kronor 2000.</w:t>
      </w:r>
    </w:p>
    <w:p w:rsidR="00AD1390" w:rsidRPr="00BA76AF" w:rsidRDefault="00AD1390">
      <w:pPr>
        <w:pStyle w:val="Rubrik3"/>
        <w:rPr>
          <w:noProof w:val="0"/>
          <w:snapToGrid w:val="0"/>
          <w:lang w:eastAsia="sv-SE"/>
        </w:rPr>
      </w:pPr>
      <w:bookmarkStart w:id="29" w:name="_Toc517757084"/>
      <w:r w:rsidRPr="00BA76AF">
        <w:rPr>
          <w:noProof w:val="0"/>
          <w:snapToGrid w:val="0"/>
          <w:lang w:eastAsia="sv-SE"/>
        </w:rPr>
        <w:t>Lagen om krigsmateriel</w:t>
      </w:r>
      <w:bookmarkEnd w:id="29"/>
    </w:p>
    <w:p w:rsidR="00AD1390" w:rsidRPr="00BA76AF" w:rsidRDefault="00AD1390">
      <w:pPr>
        <w:rPr>
          <w:snapToGrid w:val="0"/>
          <w:lang w:eastAsia="sv-SE"/>
        </w:rPr>
      </w:pPr>
      <w:r w:rsidRPr="00BA76AF">
        <w:rPr>
          <w:snapToGrid w:val="0"/>
          <w:lang w:eastAsia="sv-SE"/>
        </w:rPr>
        <w:t>Tillverkning och utförsel av krigsmateriel regleras genom lagen (1992:1300) om krigsmateriel (ändrad senast i 2000:1248) och förordningen (1992:1303) om krigsmateriel (ändrad senast i 2000:64). Båda författningarna trädde i kraft den 1 januari 1993 och ersatte lagen (1983:1034) om kontroll över til</w:t>
      </w:r>
      <w:r w:rsidRPr="00BA76AF">
        <w:rPr>
          <w:snapToGrid w:val="0"/>
          <w:lang w:eastAsia="sv-SE"/>
        </w:rPr>
        <w:t>l</w:t>
      </w:r>
      <w:r w:rsidRPr="00BA76AF">
        <w:rPr>
          <w:snapToGrid w:val="0"/>
          <w:lang w:eastAsia="sv-SE"/>
        </w:rPr>
        <w:t>verkningen av krigsmateriel, m.m. och lagen (1988:558) om förbud mot u</w:t>
      </w:r>
      <w:r w:rsidRPr="00BA76AF">
        <w:rPr>
          <w:snapToGrid w:val="0"/>
          <w:lang w:eastAsia="sv-SE"/>
        </w:rPr>
        <w:t>t</w:t>
      </w:r>
      <w:r w:rsidRPr="00BA76AF">
        <w:rPr>
          <w:snapToGrid w:val="0"/>
          <w:lang w:eastAsia="sv-SE"/>
        </w:rPr>
        <w:t xml:space="preserve">försel av krigsmateriel, m.m. med tillhörande förordningar. </w:t>
      </w:r>
    </w:p>
    <w:p w:rsidR="00AD1390" w:rsidRPr="00BA76AF" w:rsidRDefault="00AD1390">
      <w:pPr>
        <w:pStyle w:val="Normaltindrag"/>
        <w:rPr>
          <w:snapToGrid w:val="0"/>
          <w:lang w:eastAsia="sv-SE"/>
        </w:rPr>
      </w:pPr>
      <w:r w:rsidRPr="00BA76AF">
        <w:rPr>
          <w:snapToGrid w:val="0"/>
          <w:lang w:eastAsia="sv-SE"/>
        </w:rPr>
        <w:t>Den nuvarande lagen bygger i allt väsentligt på den tidigare lagstiftningen liksom på tidigare praxis. Jämfört med denna innehåller den emellertid en vidgning av krigsmaterielbegreppet samt förenklingar, förtydliganden och moderniseringar av de bestämmelser som gäller för kontrollen över tillver</w:t>
      </w:r>
      <w:r w:rsidRPr="00BA76AF">
        <w:rPr>
          <w:snapToGrid w:val="0"/>
          <w:lang w:eastAsia="sv-SE"/>
        </w:rPr>
        <w:t>k</w:t>
      </w:r>
      <w:r w:rsidRPr="00BA76AF">
        <w:rPr>
          <w:snapToGrid w:val="0"/>
          <w:lang w:eastAsia="sv-SE"/>
        </w:rPr>
        <w:t>ning och för utlandssamverkan avseende krigsmateriel. Numer omfattar ko</w:t>
      </w:r>
      <w:r w:rsidRPr="00BA76AF">
        <w:rPr>
          <w:snapToGrid w:val="0"/>
          <w:lang w:eastAsia="sv-SE"/>
        </w:rPr>
        <w:t>n</w:t>
      </w:r>
      <w:r w:rsidRPr="00BA76AF">
        <w:rPr>
          <w:snapToGrid w:val="0"/>
          <w:lang w:eastAsia="sv-SE"/>
        </w:rPr>
        <w:t xml:space="preserve">trollen även gemensam utveckling och tillverkning av krigsmateriel. </w:t>
      </w:r>
    </w:p>
    <w:p w:rsidR="00AD1390" w:rsidRPr="00BA76AF" w:rsidRDefault="00AD1390">
      <w:pPr>
        <w:pStyle w:val="Normaltindrag"/>
        <w:rPr>
          <w:snapToGrid w:val="0"/>
          <w:lang w:eastAsia="sv-SE"/>
        </w:rPr>
      </w:pPr>
      <w:r w:rsidRPr="00BA76AF">
        <w:rPr>
          <w:snapToGrid w:val="0"/>
          <w:lang w:eastAsia="sv-SE"/>
        </w:rPr>
        <w:t>Krigsmateriellagen föreskriver att krigsmateriel inte får tillverkas utan til</w:t>
      </w:r>
      <w:r w:rsidRPr="00BA76AF">
        <w:rPr>
          <w:snapToGrid w:val="0"/>
          <w:lang w:eastAsia="sv-SE"/>
        </w:rPr>
        <w:t>l</w:t>
      </w:r>
      <w:r w:rsidRPr="00BA76AF">
        <w:rPr>
          <w:snapToGrid w:val="0"/>
          <w:lang w:eastAsia="sv-SE"/>
        </w:rPr>
        <w:t>stånd. Även all försvarsindustriell utlandssamverkan förutsätter tillstånd. Med utlandssamverkan förstås exportförsäljning eller annat tillhandahållande (bl.a. överl</w:t>
      </w:r>
      <w:r w:rsidRPr="00BA76AF">
        <w:rPr>
          <w:snapToGrid w:val="0"/>
          <w:lang w:eastAsia="sv-SE"/>
        </w:rPr>
        <w:t>å</w:t>
      </w:r>
      <w:r w:rsidRPr="00BA76AF">
        <w:rPr>
          <w:snapToGrid w:val="0"/>
          <w:lang w:eastAsia="sv-SE"/>
        </w:rPr>
        <w:t>telse eller förmedling) av krigsmateriel.</w:t>
      </w:r>
    </w:p>
    <w:p w:rsidR="00AD1390" w:rsidRPr="00BA76AF" w:rsidRDefault="00AD1390">
      <w:pPr>
        <w:pStyle w:val="Rubrik3"/>
        <w:rPr>
          <w:noProof w:val="0"/>
          <w:snapToGrid w:val="0"/>
          <w:lang w:eastAsia="sv-SE"/>
        </w:rPr>
      </w:pPr>
      <w:bookmarkStart w:id="30" w:name="_Toc517757085"/>
      <w:r w:rsidRPr="00BA76AF">
        <w:rPr>
          <w:noProof w:val="0"/>
          <w:snapToGrid w:val="0"/>
          <w:lang w:eastAsia="sv-SE"/>
        </w:rPr>
        <w:t>Riktlinjerna för krigsmaterielexport</w:t>
      </w:r>
      <w:bookmarkEnd w:id="30"/>
    </w:p>
    <w:p w:rsidR="00AD1390" w:rsidRPr="00BA76AF" w:rsidRDefault="00AD1390">
      <w:r w:rsidRPr="00BA76AF">
        <w:rPr>
          <w:snapToGrid w:val="0"/>
          <w:lang w:eastAsia="sv-SE"/>
        </w:rPr>
        <w:t>Enligt 1 § andra stycket lagen (1992:1300) om krigsmateriel får tillstånd enligt lagen lämnas endast om det finns säkerhets- eller försvarspolitiska skäl för det och det inte strider mot Sveriges utrikespolitik. De närmare principe</w:t>
      </w:r>
      <w:r w:rsidRPr="00BA76AF">
        <w:rPr>
          <w:snapToGrid w:val="0"/>
          <w:lang w:eastAsia="sv-SE"/>
        </w:rPr>
        <w:t>r</w:t>
      </w:r>
      <w:r w:rsidRPr="00BA76AF">
        <w:rPr>
          <w:snapToGrid w:val="0"/>
          <w:lang w:eastAsia="sv-SE"/>
        </w:rPr>
        <w:t>na för prövningen har lagts fast i regeringens praxis och har kommit till u</w:t>
      </w:r>
      <w:r w:rsidRPr="00BA76AF">
        <w:rPr>
          <w:snapToGrid w:val="0"/>
          <w:lang w:eastAsia="sv-SE"/>
        </w:rPr>
        <w:t>t</w:t>
      </w:r>
      <w:r w:rsidRPr="00BA76AF">
        <w:rPr>
          <w:snapToGrid w:val="0"/>
          <w:lang w:eastAsia="sv-SE"/>
        </w:rPr>
        <w:t>tryck i regeringens riktlinjer för krigsmaterielexport och annan utlandssa</w:t>
      </w:r>
      <w:r w:rsidRPr="00BA76AF">
        <w:rPr>
          <w:snapToGrid w:val="0"/>
          <w:lang w:eastAsia="sv-SE"/>
        </w:rPr>
        <w:t>m</w:t>
      </w:r>
      <w:r w:rsidRPr="00BA76AF">
        <w:rPr>
          <w:snapToGrid w:val="0"/>
          <w:lang w:eastAsia="sv-SE"/>
        </w:rPr>
        <w:t>verkan som riksdagen också ställt sig bakom (jfr prop. 1991/92:174 s. 41 f., prop. 1995/96:31 s. 23 f. och bet. 1992/93:UU1).</w:t>
      </w:r>
    </w:p>
    <w:p w:rsidR="00AD1390" w:rsidRPr="00BA76AF" w:rsidRDefault="00AD1390">
      <w:pPr>
        <w:pStyle w:val="Normaltindrag"/>
        <w:rPr>
          <w:snapToGrid w:val="0"/>
          <w:lang w:eastAsia="sv-SE"/>
        </w:rPr>
      </w:pPr>
      <w:r w:rsidRPr="00BA76AF">
        <w:rPr>
          <w:snapToGrid w:val="0"/>
          <w:lang w:eastAsia="sv-SE"/>
        </w:rPr>
        <w:t>Riktlinjerna är vägledande för Inspektionen för strategiska produkter (ISP) vid prövningen av ärenden om tillstånd enligt lagen och förordningen om krig</w:t>
      </w:r>
      <w:r w:rsidRPr="00BA76AF">
        <w:rPr>
          <w:snapToGrid w:val="0"/>
          <w:lang w:eastAsia="sv-SE"/>
        </w:rPr>
        <w:t>s</w:t>
      </w:r>
      <w:r w:rsidRPr="00BA76AF">
        <w:rPr>
          <w:snapToGrid w:val="0"/>
          <w:lang w:eastAsia="sv-SE"/>
        </w:rPr>
        <w:t>materiel.</w:t>
      </w:r>
    </w:p>
    <w:p w:rsidR="00AD1390" w:rsidRPr="00BA76AF" w:rsidRDefault="00AD1390">
      <w:pPr>
        <w:pStyle w:val="Normaltindrag"/>
        <w:rPr>
          <w:snapToGrid w:val="0"/>
          <w:lang w:eastAsia="sv-SE"/>
        </w:rPr>
      </w:pPr>
      <w:r w:rsidRPr="00BA76AF">
        <w:rPr>
          <w:snapToGrid w:val="0"/>
          <w:lang w:eastAsia="sv-SE"/>
        </w:rPr>
        <w:t>Riktlinjerna är försedda med två övergripande kriterier för när tillstånd e</w:t>
      </w:r>
      <w:r w:rsidRPr="00BA76AF">
        <w:rPr>
          <w:snapToGrid w:val="0"/>
          <w:lang w:eastAsia="sv-SE"/>
        </w:rPr>
        <w:t>n</w:t>
      </w:r>
      <w:r w:rsidRPr="00BA76AF">
        <w:rPr>
          <w:snapToGrid w:val="0"/>
          <w:lang w:eastAsia="sv-SE"/>
        </w:rPr>
        <w:t xml:space="preserve">ligt lagen kan lämnas, nämligen dels att utlandssamverkan är erforderlig för att tillgodose det svenska försvarets behov av materiel eller kunnande eller i övrigt är säkerhetspolitiskt önskvärd, dels att samverkan inte står i strid med principerna och målen för Sveriges utrikespolitik. </w:t>
      </w:r>
    </w:p>
    <w:p w:rsidR="00AD1390" w:rsidRPr="00BA76AF" w:rsidRDefault="00AD1390">
      <w:pPr>
        <w:pStyle w:val="Normaltindrag"/>
        <w:rPr>
          <w:snapToGrid w:val="0"/>
          <w:lang w:eastAsia="sv-SE"/>
        </w:rPr>
      </w:pPr>
      <w:r w:rsidRPr="00BA76AF">
        <w:rPr>
          <w:snapToGrid w:val="0"/>
          <w:lang w:eastAsia="sv-SE"/>
        </w:rPr>
        <w:t>I riktlinjerna preciseras också de faktorer som bör beaktas i samband med prövningen av ett enskilt ärende. Ett grundkrav vid prövningen av ett enskilt ärende är att alla för ärendet betydelsefulla omständigheter skall beak</w:t>
      </w:r>
      <w:r w:rsidRPr="00BA76AF">
        <w:rPr>
          <w:snapToGrid w:val="0"/>
          <w:lang w:eastAsia="sv-SE"/>
        </w:rPr>
        <w:t xml:space="preserve">tas, oavsett om de uttryckligen anges i riktlinjerna eller ej. </w:t>
      </w:r>
    </w:p>
    <w:p w:rsidR="00AD1390" w:rsidRPr="00BA76AF" w:rsidRDefault="00AD1390">
      <w:pPr>
        <w:pStyle w:val="Normaltindrag"/>
      </w:pPr>
      <w:r w:rsidRPr="00BA76AF">
        <w:rPr>
          <w:snapToGrid w:val="0"/>
          <w:lang w:eastAsia="sv-SE"/>
        </w:rPr>
        <w:t>Riktlinjerna framhåller särskilt den vikt som vid den utrikespolitiska b</w:t>
      </w:r>
      <w:r w:rsidRPr="00BA76AF">
        <w:rPr>
          <w:snapToGrid w:val="0"/>
          <w:lang w:eastAsia="sv-SE"/>
        </w:rPr>
        <w:t>e</w:t>
      </w:r>
      <w:r w:rsidRPr="00BA76AF">
        <w:rPr>
          <w:snapToGrid w:val="0"/>
          <w:lang w:eastAsia="sv-SE"/>
        </w:rPr>
        <w:t>dömningen av varje utförselärende skall fästas vid respekten för mänskliga rättigheter i mottagarlandet. Situationen i mottagarlandet vad gäller mänskliga rättigheter skall alltid vägas in även i de fall då det är fråga om utförsel av materiel som i sig inte kan användas för att kränka mäns</w:t>
      </w:r>
      <w:r w:rsidRPr="00BA76AF">
        <w:rPr>
          <w:snapToGrid w:val="0"/>
          <w:lang w:eastAsia="sv-SE"/>
        </w:rPr>
        <w:t>k</w:t>
      </w:r>
      <w:r w:rsidRPr="00BA76AF">
        <w:rPr>
          <w:snapToGrid w:val="0"/>
          <w:lang w:eastAsia="sv-SE"/>
        </w:rPr>
        <w:t>liga rättigheter.</w:t>
      </w:r>
    </w:p>
    <w:p w:rsidR="00AD1390" w:rsidRPr="00BA76AF" w:rsidRDefault="00AD1390">
      <w:pPr>
        <w:pStyle w:val="Normaltindrag"/>
      </w:pPr>
      <w:r w:rsidRPr="00BA76AF">
        <w:rPr>
          <w:snapToGrid w:val="0"/>
          <w:lang w:eastAsia="sv-SE"/>
        </w:rPr>
        <w:t xml:space="preserve">Riktlinjerna anger tre typer av </w:t>
      </w:r>
      <w:r w:rsidRPr="00BA76AF">
        <w:rPr>
          <w:i/>
          <w:snapToGrid w:val="0"/>
          <w:lang w:eastAsia="sv-SE"/>
        </w:rPr>
        <w:t xml:space="preserve">ovillkorliga hinder </w:t>
      </w:r>
      <w:r w:rsidRPr="00BA76AF">
        <w:rPr>
          <w:snapToGrid w:val="0"/>
          <w:lang w:eastAsia="sv-SE"/>
        </w:rPr>
        <w:t>som, om de inträffar, a</w:t>
      </w:r>
      <w:r w:rsidRPr="00BA76AF">
        <w:rPr>
          <w:snapToGrid w:val="0"/>
          <w:lang w:eastAsia="sv-SE"/>
        </w:rPr>
        <w:t>n</w:t>
      </w:r>
      <w:r w:rsidRPr="00BA76AF">
        <w:rPr>
          <w:snapToGrid w:val="0"/>
          <w:lang w:eastAsia="sv-SE"/>
        </w:rPr>
        <w:t>ses omöjliggöra export. De tre är: sanktion beslutad av FN:s säkerhetsråd,</w:t>
      </w:r>
      <w:r w:rsidRPr="00BA76AF">
        <w:t xml:space="preserve"> </w:t>
      </w:r>
      <w:r w:rsidRPr="00BA76AF">
        <w:rPr>
          <w:snapToGrid w:val="0"/>
          <w:lang w:eastAsia="sv-SE"/>
        </w:rPr>
        <w:t>internationella överenskommelser som Sverige biträtt (t.ex. EU-sanktioner) samt exportstopp som påbjuds enligt de folkrättsliga reglerna om export från neutral stat under krig.</w:t>
      </w:r>
    </w:p>
    <w:p w:rsidR="00AD1390" w:rsidRPr="00BA76AF" w:rsidRDefault="00AD1390">
      <w:pPr>
        <w:pStyle w:val="Rubrik3"/>
        <w:rPr>
          <w:noProof w:val="0"/>
          <w:snapToGrid w:val="0"/>
          <w:lang w:eastAsia="sv-SE"/>
        </w:rPr>
      </w:pPr>
      <w:bookmarkStart w:id="31" w:name="_Toc517757086"/>
      <w:r w:rsidRPr="00BA76AF">
        <w:rPr>
          <w:noProof w:val="0"/>
          <w:snapToGrid w:val="0"/>
          <w:lang w:eastAsia="sv-SE"/>
        </w:rPr>
        <w:t>Inspektionen för strategiska produkter</w:t>
      </w:r>
      <w:bookmarkEnd w:id="31"/>
    </w:p>
    <w:p w:rsidR="00AD1390" w:rsidRPr="00BA76AF" w:rsidRDefault="00AD1390">
      <w:pPr>
        <w:rPr>
          <w:snapToGrid w:val="0"/>
          <w:lang w:eastAsia="sv-SE"/>
        </w:rPr>
      </w:pPr>
      <w:r w:rsidRPr="00BA76AF">
        <w:rPr>
          <w:snapToGrid w:val="0"/>
          <w:lang w:eastAsia="sv-SE"/>
        </w:rPr>
        <w:t>Inspektionen för strategiska produkter (ISP) inrättades den 1 februari 1996, med ansvar för den kontroll som föreskrivs i lagen (1992:1300) om krigsm</w:t>
      </w:r>
      <w:r w:rsidRPr="00BA76AF">
        <w:rPr>
          <w:snapToGrid w:val="0"/>
          <w:lang w:eastAsia="sv-SE"/>
        </w:rPr>
        <w:t>a</w:t>
      </w:r>
      <w:r w:rsidRPr="00BA76AF">
        <w:rPr>
          <w:snapToGrid w:val="0"/>
          <w:lang w:eastAsia="sv-SE"/>
        </w:rPr>
        <w:t>teriel och lagen (2000:1064) om kontroll av produkter med dubbla använ</w:t>
      </w:r>
      <w:r w:rsidRPr="00BA76AF">
        <w:rPr>
          <w:snapToGrid w:val="0"/>
          <w:lang w:eastAsia="sv-SE"/>
        </w:rPr>
        <w:t>d</w:t>
      </w:r>
      <w:r w:rsidRPr="00BA76AF">
        <w:rPr>
          <w:snapToGrid w:val="0"/>
          <w:lang w:eastAsia="sv-SE"/>
        </w:rPr>
        <w:t>ningsområden och av tekniskt bistånd, med tillhörande förordningar. Inspe</w:t>
      </w:r>
      <w:r w:rsidRPr="00BA76AF">
        <w:rPr>
          <w:snapToGrid w:val="0"/>
          <w:lang w:eastAsia="sv-SE"/>
        </w:rPr>
        <w:t>k</w:t>
      </w:r>
      <w:r w:rsidRPr="00BA76AF">
        <w:rPr>
          <w:snapToGrid w:val="0"/>
          <w:lang w:eastAsia="sv-SE"/>
        </w:rPr>
        <w:t>tionen övertog därmed ansvaret för merparten av de ärenden som tidigare beslutades av regeringen efter beredning i Krigsmaterielinspektionen (KMI) och den enhet inom Utrikesdepartementet som svarade för strategisk expor</w:t>
      </w:r>
      <w:r w:rsidRPr="00BA76AF">
        <w:rPr>
          <w:snapToGrid w:val="0"/>
          <w:lang w:eastAsia="sv-SE"/>
        </w:rPr>
        <w:t>t</w:t>
      </w:r>
      <w:r w:rsidRPr="00BA76AF">
        <w:rPr>
          <w:snapToGrid w:val="0"/>
          <w:lang w:eastAsia="sv-SE"/>
        </w:rPr>
        <w:t>kontroll. Sedermera har ISP även utsetts att vara nationell myndighet inom ramen för FN:s konvention om förbud mot kemiska vapen (CWC). ISP ansv</w:t>
      </w:r>
      <w:r w:rsidRPr="00BA76AF">
        <w:rPr>
          <w:snapToGrid w:val="0"/>
          <w:lang w:eastAsia="sv-SE"/>
        </w:rPr>
        <w:t>a</w:t>
      </w:r>
      <w:r w:rsidRPr="00BA76AF">
        <w:rPr>
          <w:snapToGrid w:val="0"/>
          <w:lang w:eastAsia="sv-SE"/>
        </w:rPr>
        <w:t>r</w:t>
      </w:r>
      <w:r w:rsidRPr="00BA76AF">
        <w:rPr>
          <w:snapToGrid w:val="0"/>
          <w:lang w:eastAsia="sv-SE"/>
        </w:rPr>
        <w:t xml:space="preserve">ar således för tillstånds- och utförselfrågor avseende såväl krigsmateriel som produkter med både civil och militär användning (produkter med dubbla användningsområden eller </w:t>
      </w:r>
      <w:r w:rsidRPr="00BA76AF">
        <w:rPr>
          <w:i/>
          <w:snapToGrid w:val="0"/>
          <w:lang w:eastAsia="sv-SE"/>
        </w:rPr>
        <w:t>dual use</w:t>
      </w:r>
      <w:r w:rsidRPr="00BA76AF">
        <w:rPr>
          <w:snapToGrid w:val="0"/>
          <w:lang w:eastAsia="sv-SE"/>
        </w:rPr>
        <w:t>-produkter).</w:t>
      </w:r>
    </w:p>
    <w:p w:rsidR="00AD1390" w:rsidRPr="00BA76AF" w:rsidRDefault="00AD1390">
      <w:pPr>
        <w:pStyle w:val="Rubrik3"/>
        <w:rPr>
          <w:noProof w:val="0"/>
          <w:snapToGrid w:val="0"/>
          <w:lang w:eastAsia="sv-SE"/>
        </w:rPr>
      </w:pPr>
      <w:bookmarkStart w:id="32" w:name="_Toc517757087"/>
      <w:r w:rsidRPr="00BA76AF">
        <w:rPr>
          <w:noProof w:val="0"/>
          <w:snapToGrid w:val="0"/>
          <w:lang w:eastAsia="sv-SE"/>
        </w:rPr>
        <w:t>Exportkontrollrådet (EKR)</w:t>
      </w:r>
      <w:bookmarkEnd w:id="32"/>
    </w:p>
    <w:p w:rsidR="00AD1390" w:rsidRPr="00BA76AF" w:rsidRDefault="00AD1390">
      <w:r w:rsidRPr="00BA76AF">
        <w:rPr>
          <w:snapToGrid w:val="0"/>
          <w:lang w:eastAsia="sv-SE"/>
        </w:rPr>
        <w:t>Enligt 10 kap. 6 § regeringsformen skall regeringen i utrikesärenden av större vikt om möjligt överlägga med Utrikesnämnden före avgörandet. Vissa utfö</w:t>
      </w:r>
      <w:r w:rsidRPr="00BA76AF">
        <w:rPr>
          <w:snapToGrid w:val="0"/>
          <w:lang w:eastAsia="sv-SE"/>
        </w:rPr>
        <w:t>r</w:t>
      </w:r>
      <w:r w:rsidRPr="00BA76AF">
        <w:rPr>
          <w:snapToGrid w:val="0"/>
          <w:lang w:eastAsia="sv-SE"/>
        </w:rPr>
        <w:t>selärenden som rör krigsmateriel är av sådan art att överläggning med näm</w:t>
      </w:r>
      <w:r w:rsidRPr="00BA76AF">
        <w:rPr>
          <w:snapToGrid w:val="0"/>
          <w:lang w:eastAsia="sv-SE"/>
        </w:rPr>
        <w:t>n</w:t>
      </w:r>
      <w:r w:rsidRPr="00BA76AF">
        <w:rPr>
          <w:snapToGrid w:val="0"/>
          <w:lang w:eastAsia="sv-SE"/>
        </w:rPr>
        <w:t>den är påkallad. Det har emellertid bedömts önskvärt att ge även andra e</w:t>
      </w:r>
      <w:r w:rsidRPr="00BA76AF">
        <w:rPr>
          <w:snapToGrid w:val="0"/>
          <w:lang w:eastAsia="sv-SE"/>
        </w:rPr>
        <w:t>n</w:t>
      </w:r>
      <w:r w:rsidRPr="00BA76AF">
        <w:rPr>
          <w:snapToGrid w:val="0"/>
          <w:lang w:eastAsia="sv-SE"/>
        </w:rPr>
        <w:t>skilda utförselärenden av principiell vikt en bredare politisk förankring. Rik</w:t>
      </w:r>
      <w:r w:rsidRPr="00BA76AF">
        <w:rPr>
          <w:snapToGrid w:val="0"/>
          <w:lang w:eastAsia="sv-SE"/>
        </w:rPr>
        <w:t>s</w:t>
      </w:r>
      <w:r w:rsidRPr="00BA76AF">
        <w:rPr>
          <w:snapToGrid w:val="0"/>
          <w:lang w:eastAsia="sv-SE"/>
        </w:rPr>
        <w:t>dagen beslutade därför år 1984 på grundval av proposition 1984/85:82 om ökad insyn och samråd i frågor som rör krigsmaterielexport att en rådgivande nämnd i krigsmaterielfrågor skulle inrättas. Nämnden ombildades den 1 fe</w:t>
      </w:r>
      <w:r w:rsidRPr="00BA76AF">
        <w:rPr>
          <w:snapToGrid w:val="0"/>
          <w:lang w:eastAsia="sv-SE"/>
        </w:rPr>
        <w:t>b</w:t>
      </w:r>
      <w:r w:rsidRPr="00BA76AF">
        <w:rPr>
          <w:snapToGrid w:val="0"/>
          <w:lang w:eastAsia="sv-SE"/>
        </w:rPr>
        <w:t>ruari 1996 till Exportkontrollrådet i samband med tillskapandet</w:t>
      </w:r>
      <w:r w:rsidRPr="00BA76AF">
        <w:rPr>
          <w:snapToGrid w:val="0"/>
          <w:lang w:eastAsia="sv-SE"/>
        </w:rPr>
        <w:t xml:space="preserve"> av Inspekti</w:t>
      </w:r>
      <w:r w:rsidRPr="00BA76AF">
        <w:rPr>
          <w:snapToGrid w:val="0"/>
          <w:lang w:eastAsia="sv-SE"/>
        </w:rPr>
        <w:t>o</w:t>
      </w:r>
      <w:r w:rsidRPr="00BA76AF">
        <w:rPr>
          <w:snapToGrid w:val="0"/>
          <w:lang w:eastAsia="sv-SE"/>
        </w:rPr>
        <w:t>nen för strategiska produkter (ISP). Samtidigt breddades dess sammansättning för att återspegla den bredare sammansättning som Utrikesnämnden i dag har. I Exportkontrollrådet är därför samtliga riksdagspartier representerade. Rådet har tio ledamöter. En aktuell lista på rådets ledamöter finns på ISP:s webbplats (</w:t>
      </w:r>
      <w:bookmarkStart w:id="33" w:name="_Hlt516026386"/>
      <w:r w:rsidRPr="00BA76AF">
        <w:t>w</w:t>
      </w:r>
      <w:bookmarkEnd w:id="33"/>
      <w:r w:rsidRPr="00BA76AF">
        <w:t xml:space="preserve">ww.isp.se </w:t>
      </w:r>
      <w:r w:rsidRPr="00BA76AF">
        <w:rPr>
          <w:snapToGrid w:val="0"/>
          <w:lang w:eastAsia="sv-SE"/>
        </w:rPr>
        <w:t>).</w:t>
      </w:r>
    </w:p>
    <w:p w:rsidR="00AD1390" w:rsidRPr="00BA76AF" w:rsidRDefault="00AD1390">
      <w:pPr>
        <w:pStyle w:val="Rubrik3"/>
        <w:rPr>
          <w:noProof w:val="0"/>
          <w:snapToGrid w:val="0"/>
          <w:lang w:eastAsia="sv-SE"/>
        </w:rPr>
      </w:pPr>
      <w:bookmarkStart w:id="34" w:name="_Toc517757088"/>
      <w:r w:rsidRPr="00BA76AF">
        <w:rPr>
          <w:noProof w:val="0"/>
          <w:snapToGrid w:val="0"/>
          <w:lang w:eastAsia="sv-SE"/>
        </w:rPr>
        <w:t>Informationsverksamhet avseende e</w:t>
      </w:r>
      <w:r w:rsidRPr="00BA76AF">
        <w:rPr>
          <w:noProof w:val="0"/>
          <w:snapToGrid w:val="0"/>
          <w:lang w:eastAsia="sv-SE"/>
        </w:rPr>
        <w:t>x</w:t>
      </w:r>
      <w:r w:rsidRPr="00BA76AF">
        <w:rPr>
          <w:noProof w:val="0"/>
          <w:snapToGrid w:val="0"/>
          <w:lang w:eastAsia="sv-SE"/>
        </w:rPr>
        <w:t>portkontroll</w:t>
      </w:r>
      <w:bookmarkEnd w:id="34"/>
    </w:p>
    <w:p w:rsidR="00AD1390" w:rsidRPr="00BA76AF" w:rsidRDefault="00AD1390">
      <w:r w:rsidRPr="00BA76AF">
        <w:rPr>
          <w:snapToGrid w:val="0"/>
          <w:lang w:eastAsia="sv-SE"/>
        </w:rPr>
        <w:t>Sverige verkar internationellt för en ökad öppenhet kring handeln med krig</w:t>
      </w:r>
      <w:r w:rsidRPr="00BA76AF">
        <w:rPr>
          <w:snapToGrid w:val="0"/>
          <w:lang w:eastAsia="sv-SE"/>
        </w:rPr>
        <w:t>s</w:t>
      </w:r>
      <w:r w:rsidRPr="00BA76AF">
        <w:rPr>
          <w:snapToGrid w:val="0"/>
          <w:lang w:eastAsia="sv-SE"/>
        </w:rPr>
        <w:t xml:space="preserve">materiel. Även nationellt görs ansträngningar för att sprida kunskap inom detta område. Regeringens offentligt redovisade årliga skrivelse om den svenska exporten är ett led i regeringens ansträngningar för ökad öppenhet. Den årliga skrivelsen publiceras på svenska och engelska och finns tillgänglig på webbplatserna </w:t>
      </w:r>
      <w:r w:rsidRPr="00BA76AF">
        <w:t>ww</w:t>
      </w:r>
      <w:bookmarkStart w:id="35" w:name="_Hlt512154073"/>
      <w:r w:rsidRPr="00BA76AF">
        <w:t>w</w:t>
      </w:r>
      <w:bookmarkEnd w:id="35"/>
      <w:r w:rsidRPr="00BA76AF">
        <w:t>.ud.se</w:t>
      </w:r>
      <w:r w:rsidRPr="00BA76AF">
        <w:rPr>
          <w:snapToGrid w:val="0"/>
          <w:lang w:eastAsia="sv-SE"/>
        </w:rPr>
        <w:t xml:space="preserve">, </w:t>
      </w:r>
      <w:r w:rsidRPr="00BA76AF">
        <w:t>www.lagrummet.gov.se</w:t>
      </w:r>
      <w:r w:rsidRPr="00BA76AF">
        <w:rPr>
          <w:snapToGrid w:val="0"/>
          <w:lang w:eastAsia="sv-SE"/>
        </w:rPr>
        <w:t xml:space="preserve">, </w:t>
      </w:r>
      <w:r w:rsidRPr="00BA76AF">
        <w:t>www.regeringen.se</w:t>
      </w:r>
      <w:r w:rsidRPr="00BA76AF">
        <w:rPr>
          <w:i/>
          <w:snapToGrid w:val="0"/>
          <w:lang w:eastAsia="sv-SE"/>
        </w:rPr>
        <w:t xml:space="preserve"> </w:t>
      </w:r>
      <w:r w:rsidRPr="00BA76AF">
        <w:rPr>
          <w:snapToGrid w:val="0"/>
          <w:lang w:eastAsia="sv-SE"/>
        </w:rPr>
        <w:t xml:space="preserve">samt i Rixlex </w:t>
      </w:r>
      <w:r w:rsidRPr="00BA76AF">
        <w:rPr>
          <w:i/>
          <w:snapToGrid w:val="0"/>
          <w:lang w:eastAsia="sv-SE"/>
        </w:rPr>
        <w:t>(</w:t>
      </w:r>
      <w:r w:rsidRPr="00BA76AF">
        <w:t>www.riksdagen.se</w:t>
      </w:r>
      <w:r w:rsidRPr="00BA76AF">
        <w:rPr>
          <w:snapToGrid w:val="0"/>
          <w:lang w:eastAsia="sv-SE"/>
        </w:rPr>
        <w:t>). För att främja informationstillgången på detta område internationellt har Sverige bidragit ekonomiskt till S</w:t>
      </w:r>
      <w:r w:rsidRPr="00BA76AF">
        <w:rPr>
          <w:snapToGrid w:val="0"/>
          <w:lang w:eastAsia="sv-SE"/>
        </w:rPr>
        <w:t xml:space="preserve">IPRI:s internetdatabas </w:t>
      </w:r>
      <w:r w:rsidRPr="00BA76AF">
        <w:rPr>
          <w:i/>
          <w:snapToGrid w:val="0"/>
          <w:lang w:eastAsia="sv-SE"/>
        </w:rPr>
        <w:t>(</w:t>
      </w:r>
      <w:r w:rsidRPr="00BA76AF">
        <w:t>www.sipri.se</w:t>
      </w:r>
      <w:r w:rsidRPr="00BA76AF">
        <w:rPr>
          <w:snapToGrid w:val="0"/>
          <w:lang w:eastAsia="sv-SE"/>
        </w:rPr>
        <w:t>) som innehåller information om nationella och internationella exportkontrollsystem samt viss statistik över innehav och export.</w:t>
      </w:r>
    </w:p>
    <w:p w:rsidR="00AD1390" w:rsidRPr="00BA76AF" w:rsidRDefault="00AD1390">
      <w:pPr>
        <w:pStyle w:val="Rubrik3"/>
        <w:rPr>
          <w:noProof w:val="0"/>
          <w:snapToGrid w:val="0"/>
          <w:lang w:eastAsia="sv-SE"/>
        </w:rPr>
      </w:pPr>
      <w:bookmarkStart w:id="36" w:name="_Toc517757089"/>
      <w:r w:rsidRPr="00BA76AF">
        <w:rPr>
          <w:noProof w:val="0"/>
          <w:snapToGrid w:val="0"/>
          <w:lang w:eastAsia="sv-SE"/>
        </w:rPr>
        <w:t>FN-registret och annan internationell rapportering om vapenöverföringar</w:t>
      </w:r>
      <w:bookmarkEnd w:id="36"/>
    </w:p>
    <w:p w:rsidR="00AD1390" w:rsidRPr="00BA76AF" w:rsidRDefault="00AD1390">
      <w:pPr>
        <w:rPr>
          <w:snapToGrid w:val="0"/>
          <w:lang w:eastAsia="sv-SE"/>
        </w:rPr>
      </w:pPr>
      <w:r w:rsidRPr="00BA76AF">
        <w:rPr>
          <w:snapToGrid w:val="0"/>
          <w:lang w:eastAsia="sv-SE"/>
        </w:rPr>
        <w:t>Förenta nationernas generalförsamling antog i december 1991 en resolution som anmodar medlemsländerna att årligen till ett register över konventionella vapen redovisa såväl sin import som sin export av tyngre konventionella vapen. Handeln med följande sju vapenkategorier rapporteras: stridsvagnar, pansrade stridsfordon, grovt artilleri, stridsflygplan, attackhelikoptrar, strid</w:t>
      </w:r>
      <w:r w:rsidRPr="00BA76AF">
        <w:rPr>
          <w:snapToGrid w:val="0"/>
          <w:lang w:eastAsia="sv-SE"/>
        </w:rPr>
        <w:t>s</w:t>
      </w:r>
      <w:r w:rsidRPr="00BA76AF">
        <w:rPr>
          <w:snapToGrid w:val="0"/>
          <w:lang w:eastAsia="sv-SE"/>
        </w:rPr>
        <w:t xml:space="preserve">fartyg och robotar/robotlavetter. </w:t>
      </w:r>
    </w:p>
    <w:p w:rsidR="00AD1390" w:rsidRPr="00BA76AF" w:rsidRDefault="00AD1390">
      <w:pPr>
        <w:pStyle w:val="Normaltindrag"/>
      </w:pPr>
      <w:r w:rsidRPr="00BA76AF">
        <w:rPr>
          <w:snapToGrid w:val="0"/>
          <w:lang w:eastAsia="sv-SE"/>
        </w:rPr>
        <w:t>I samråd med försvarets myndigheter och Inspektionen för strategiska pr</w:t>
      </w:r>
      <w:r w:rsidRPr="00BA76AF">
        <w:rPr>
          <w:snapToGrid w:val="0"/>
          <w:lang w:eastAsia="sv-SE"/>
        </w:rPr>
        <w:t>o</w:t>
      </w:r>
      <w:r w:rsidRPr="00BA76AF">
        <w:rPr>
          <w:snapToGrid w:val="0"/>
          <w:lang w:eastAsia="sv-SE"/>
        </w:rPr>
        <w:t>dukter (ISP) sammanställer Utrikesdepartementet aktuella uppgifter som i enlighet med den ovannämnda resol</w:t>
      </w:r>
      <w:r w:rsidRPr="00BA76AF">
        <w:rPr>
          <w:snapToGrid w:val="0"/>
          <w:lang w:eastAsia="sv-SE"/>
        </w:rPr>
        <w:t>u</w:t>
      </w:r>
      <w:r w:rsidRPr="00BA76AF">
        <w:rPr>
          <w:snapToGrid w:val="0"/>
          <w:lang w:eastAsia="sv-SE"/>
        </w:rPr>
        <w:t>tionen överlämnas till FN.</w:t>
      </w:r>
    </w:p>
    <w:p w:rsidR="00AD1390" w:rsidRPr="00BA76AF" w:rsidRDefault="00AD1390">
      <w:pPr>
        <w:pStyle w:val="Normaltindrag"/>
      </w:pPr>
      <w:r w:rsidRPr="00BA76AF">
        <w:rPr>
          <w:snapToGrid w:val="0"/>
          <w:lang w:eastAsia="sv-SE"/>
        </w:rPr>
        <w:t>Sverige verkar på olika sätt för ökad rapportering till FN-registret och för större öppenhet om transfereringar av krigsmateriel. Dessa ansträngningar ingår som ett led i Sveriges strävan att öka den allmänna öppenheten på detta område för att därmed öka förtroendet länder emellan och förbättra inform</w:t>
      </w:r>
      <w:r w:rsidRPr="00BA76AF">
        <w:rPr>
          <w:snapToGrid w:val="0"/>
          <w:lang w:eastAsia="sv-SE"/>
        </w:rPr>
        <w:t>a</w:t>
      </w:r>
      <w:r w:rsidRPr="00BA76AF">
        <w:rPr>
          <w:snapToGrid w:val="0"/>
          <w:lang w:eastAsia="sv-SE"/>
        </w:rPr>
        <w:t>tionsunderlaget för en ansvarsfull exportkontroll. Samråd om rapporteringen till FN-registret sker sedan 1995 med övriga medlemmar av EU.</w:t>
      </w:r>
    </w:p>
    <w:p w:rsidR="00AD1390" w:rsidRPr="00BA76AF" w:rsidRDefault="00AD1390">
      <w:pPr>
        <w:pStyle w:val="Normaltindrag"/>
      </w:pPr>
      <w:r w:rsidRPr="00BA76AF">
        <w:rPr>
          <w:snapToGrid w:val="0"/>
          <w:lang w:eastAsia="sv-SE"/>
        </w:rPr>
        <w:t>Krigsmaterielområdet har identifierats som ett lämpligt område för sama</w:t>
      </w:r>
      <w:r w:rsidRPr="00BA76AF">
        <w:rPr>
          <w:snapToGrid w:val="0"/>
          <w:lang w:eastAsia="sv-SE"/>
        </w:rPr>
        <w:t>r</w:t>
      </w:r>
      <w:r w:rsidRPr="00BA76AF">
        <w:rPr>
          <w:snapToGrid w:val="0"/>
          <w:lang w:eastAsia="sv-SE"/>
        </w:rPr>
        <w:t xml:space="preserve">bete inom ramen för EU:s andra pelare.  I rådsarbetsgruppen COARM, </w:t>
      </w:r>
      <w:r w:rsidRPr="00BA76AF">
        <w:rPr>
          <w:snapToGrid w:val="0"/>
          <w:lang w:eastAsia="sv-SE"/>
        </w:rPr>
        <w:br/>
        <w:t>Council Working Group on Conventional Arms Exports, diskuterar de femton medlemsstaterna regelbundet olika frågor med anknytning till handeln med krigsmateriel. Utöver denna arbetsgrupp finns även ad hoc-gruppen POL- ARM (ad hoc Working Party on a European Armaments Policy), som är inriktad på frågan om vilka behov av förändringar i nationella regelverk och EU-regler som omstruktureringen av europeisk försvarsindustri ger upphov till.</w:t>
      </w:r>
    </w:p>
    <w:p w:rsidR="00AD1390" w:rsidRPr="00BA76AF" w:rsidRDefault="00AD1390">
      <w:r w:rsidRPr="00BA76AF">
        <w:rPr>
          <w:snapToGrid w:val="0"/>
          <w:lang w:eastAsia="sv-SE"/>
        </w:rPr>
        <w:t>I ju</w:t>
      </w:r>
      <w:r w:rsidRPr="00BA76AF">
        <w:rPr>
          <w:snapToGrid w:val="0"/>
          <w:lang w:eastAsia="sv-SE"/>
        </w:rPr>
        <w:t>ni 1998 antog EU:s ministerråd en gemensam uppförandekod för vapen- export. I koden anges ett antal kriterier som tillämpas vid den nationella prövningen av exportansökningar. Dessa kriterier överensstämmer i allt v</w:t>
      </w:r>
      <w:r w:rsidRPr="00BA76AF">
        <w:rPr>
          <w:snapToGrid w:val="0"/>
          <w:lang w:eastAsia="sv-SE"/>
        </w:rPr>
        <w:t>ä</w:t>
      </w:r>
      <w:r w:rsidRPr="00BA76AF">
        <w:rPr>
          <w:snapToGrid w:val="0"/>
          <w:lang w:eastAsia="sv-SE"/>
        </w:rPr>
        <w:t>sentligt med de svenska riktlinjerna för krigsmaterielexport. Varje medlem</w:t>
      </w:r>
      <w:r w:rsidRPr="00BA76AF">
        <w:rPr>
          <w:snapToGrid w:val="0"/>
          <w:lang w:eastAsia="sv-SE"/>
        </w:rPr>
        <w:t>s</w:t>
      </w:r>
      <w:r w:rsidRPr="00BA76AF">
        <w:rPr>
          <w:snapToGrid w:val="0"/>
          <w:lang w:eastAsia="sv-SE"/>
        </w:rPr>
        <w:t>stat upprättar också en rapport över sin export av krigsmateriel samt om ti</w:t>
      </w:r>
      <w:r w:rsidRPr="00BA76AF">
        <w:rPr>
          <w:snapToGrid w:val="0"/>
          <w:lang w:eastAsia="sv-SE"/>
        </w:rPr>
        <w:t>l</w:t>
      </w:r>
      <w:r w:rsidRPr="00BA76AF">
        <w:rPr>
          <w:snapToGrid w:val="0"/>
          <w:lang w:eastAsia="sv-SE"/>
        </w:rPr>
        <w:t>lämpning av koden för året som gått. Rapporterna sammanställs av ordföra</w:t>
      </w:r>
      <w:r w:rsidRPr="00BA76AF">
        <w:rPr>
          <w:snapToGrid w:val="0"/>
          <w:lang w:eastAsia="sv-SE"/>
        </w:rPr>
        <w:t>n</w:t>
      </w:r>
      <w:r w:rsidRPr="00BA76AF">
        <w:rPr>
          <w:snapToGrid w:val="0"/>
          <w:lang w:eastAsia="sv-SE"/>
        </w:rPr>
        <w:t>deskapet och diskuteras vid ett årligt möte i COARM. I samband med mötet</w:t>
      </w:r>
      <w:r w:rsidRPr="00BA76AF">
        <w:rPr>
          <w:snapToGrid w:val="0"/>
          <w:lang w:eastAsia="sv-SE"/>
        </w:rPr>
        <w:t xml:space="preserve"> utvärderas uppförandekodens effekter och eventuella förbättringar av koden diskuteras. Därefter sammanställs en slutlig rapport som antas av ministerr</w:t>
      </w:r>
      <w:r w:rsidRPr="00BA76AF">
        <w:rPr>
          <w:snapToGrid w:val="0"/>
          <w:lang w:eastAsia="sv-SE"/>
        </w:rPr>
        <w:t>å</w:t>
      </w:r>
      <w:r w:rsidRPr="00BA76AF">
        <w:rPr>
          <w:snapToGrid w:val="0"/>
          <w:lang w:eastAsia="sv-SE"/>
        </w:rPr>
        <w:t>det.</w:t>
      </w:r>
      <w:r w:rsidRPr="00BA76AF">
        <w:t xml:space="preserve"> I linje med svenska målsättningar offentliggjordes årets, liksom föreg</w:t>
      </w:r>
      <w:r w:rsidRPr="00BA76AF">
        <w:t>å</w:t>
      </w:r>
      <w:r w:rsidRPr="00BA76AF">
        <w:t>ende års rapport i EGT (Europeiska gemenskapernas officiella ti</w:t>
      </w:r>
      <w:r w:rsidRPr="00BA76AF">
        <w:t>d</w:t>
      </w:r>
      <w:r w:rsidRPr="00BA76AF">
        <w:t>ning).</w:t>
      </w:r>
    </w:p>
    <w:p w:rsidR="00AD1390" w:rsidRPr="00BA76AF" w:rsidRDefault="00AD1390">
      <w:pPr>
        <w:pStyle w:val="Normaltindrag"/>
      </w:pPr>
      <w:r w:rsidRPr="00BA76AF">
        <w:rPr>
          <w:snapToGrid w:val="0"/>
          <w:lang w:eastAsia="sv-SE"/>
        </w:rPr>
        <w:t>EU:s medlemsstater iakttar fullt ut FN:s säkerhetsråds bindande beslut om vapenembargon. Säkerhetsrådets rekommendationer om restriktivitet har inte samma bindande karaktär och övervägs från fall till fall. Inom r</w:t>
      </w:r>
      <w:r w:rsidRPr="00BA76AF">
        <w:rPr>
          <w:snapToGrid w:val="0"/>
          <w:lang w:eastAsia="sv-SE"/>
        </w:rPr>
        <w:t>amen för den gemensamma utrikes- och säkerhetspolitiken i EU beslutas med enhällighet om vissa vapenembargon som går utöver vad FN:s säkerhetsråd föreskrivit genom beslut. Dessa får ses som ett utslag av medlemsstaternas vilja att re</w:t>
      </w:r>
      <w:r w:rsidRPr="00BA76AF">
        <w:rPr>
          <w:snapToGrid w:val="0"/>
          <w:lang w:eastAsia="sv-SE"/>
        </w:rPr>
        <w:t>a</w:t>
      </w:r>
      <w:r w:rsidRPr="00BA76AF">
        <w:rPr>
          <w:snapToGrid w:val="0"/>
          <w:lang w:eastAsia="sv-SE"/>
        </w:rPr>
        <w:t>gera gemensamt i olika säkerhetspolitiska frågestäl</w:t>
      </w:r>
      <w:r w:rsidRPr="00BA76AF">
        <w:rPr>
          <w:snapToGrid w:val="0"/>
          <w:lang w:eastAsia="sv-SE"/>
        </w:rPr>
        <w:t>l</w:t>
      </w:r>
      <w:r w:rsidRPr="00BA76AF">
        <w:rPr>
          <w:snapToGrid w:val="0"/>
          <w:lang w:eastAsia="sv-SE"/>
        </w:rPr>
        <w:t>ningar.</w:t>
      </w:r>
    </w:p>
    <w:p w:rsidR="00AD1390" w:rsidRPr="00BA76AF" w:rsidRDefault="00AD1390">
      <w:pPr>
        <w:pStyle w:val="Normaltindrag"/>
      </w:pPr>
      <w:r w:rsidRPr="00BA76AF">
        <w:rPr>
          <w:snapToGrid w:val="0"/>
          <w:lang w:eastAsia="sv-SE"/>
        </w:rPr>
        <w:t>Sverige verkar inom EU och internationellt för att varje land skall bedriva en ansvarsfull exportpolitik på grundval av heltäckande lagar och regler, effektiva kontrollsystem och upprätthålla en väl fungerande administ</w:t>
      </w:r>
      <w:r w:rsidRPr="00BA76AF">
        <w:rPr>
          <w:snapToGrid w:val="0"/>
          <w:lang w:eastAsia="sv-SE"/>
        </w:rPr>
        <w:t>ration som kontrollerar tillverkare, köpare och säljare, agenter och mellanhä</w:t>
      </w:r>
      <w:r w:rsidRPr="00BA76AF">
        <w:rPr>
          <w:snapToGrid w:val="0"/>
          <w:lang w:eastAsia="sv-SE"/>
        </w:rPr>
        <w:t>n</w:t>
      </w:r>
      <w:r w:rsidRPr="00BA76AF">
        <w:rPr>
          <w:snapToGrid w:val="0"/>
          <w:lang w:eastAsia="sv-SE"/>
        </w:rPr>
        <w:t>der.</w:t>
      </w:r>
    </w:p>
    <w:p w:rsidR="00AD1390" w:rsidRPr="00BA76AF" w:rsidRDefault="00AD1390">
      <w:pPr>
        <w:pStyle w:val="Normaltindrag"/>
      </w:pPr>
      <w:r w:rsidRPr="00BA76AF">
        <w:rPr>
          <w:snapToGrid w:val="0"/>
          <w:lang w:eastAsia="sv-SE"/>
        </w:rPr>
        <w:t>Det har sedan ett antal år stått klart för statsmakterna att svensk försvarsi</w:t>
      </w:r>
      <w:r w:rsidRPr="00BA76AF">
        <w:rPr>
          <w:snapToGrid w:val="0"/>
          <w:lang w:eastAsia="sv-SE"/>
        </w:rPr>
        <w:t>n</w:t>
      </w:r>
      <w:r w:rsidRPr="00BA76AF">
        <w:rPr>
          <w:snapToGrid w:val="0"/>
          <w:lang w:eastAsia="sv-SE"/>
        </w:rPr>
        <w:t>dustris framtida industriella förmåga och kapacitet till väsentlig del kommer att baseras på ömsesidiga industriella internationella beroenden och på det växande mellanstatliga samarbetet som är en följd av försvarsindustrins inte</w:t>
      </w:r>
      <w:r w:rsidRPr="00BA76AF">
        <w:rPr>
          <w:snapToGrid w:val="0"/>
          <w:lang w:eastAsia="sv-SE"/>
        </w:rPr>
        <w:t>r</w:t>
      </w:r>
      <w:r w:rsidRPr="00BA76AF">
        <w:rPr>
          <w:snapToGrid w:val="0"/>
          <w:lang w:eastAsia="sv-SE"/>
        </w:rPr>
        <w:t>nationalisering. Denna avgör indirekt vilken industrikapacitet Sverige for</w:t>
      </w:r>
      <w:r w:rsidRPr="00BA76AF">
        <w:rPr>
          <w:snapToGrid w:val="0"/>
          <w:lang w:eastAsia="sv-SE"/>
        </w:rPr>
        <w:t>t</w:t>
      </w:r>
      <w:r w:rsidRPr="00BA76AF">
        <w:rPr>
          <w:snapToGrid w:val="0"/>
          <w:lang w:eastAsia="sv-SE"/>
        </w:rPr>
        <w:t>sättningsvis kommer att ha, vilket i sin tur påverkar materielförsörjningen av det svenska försvaret. En säker materielförsörjning är nödvändig för att up</w:t>
      </w:r>
      <w:r w:rsidRPr="00BA76AF">
        <w:rPr>
          <w:snapToGrid w:val="0"/>
          <w:lang w:eastAsia="sv-SE"/>
        </w:rPr>
        <w:t>p</w:t>
      </w:r>
      <w:r w:rsidRPr="00BA76AF">
        <w:rPr>
          <w:snapToGrid w:val="0"/>
          <w:lang w:eastAsia="sv-SE"/>
        </w:rPr>
        <w:t>rätthålla trovärdigheten för försvarets förmåga at</w:t>
      </w:r>
      <w:r w:rsidRPr="00BA76AF">
        <w:rPr>
          <w:snapToGrid w:val="0"/>
          <w:lang w:eastAsia="sv-SE"/>
        </w:rPr>
        <w:t>t kunna anpassas. För ett militärt alliansfritt land som Sverige är det ett vitalt säkerhetspolitiskt intresse att omvärlden har tilltro till denna anpassningsförmåga. Regeringens bedö</w:t>
      </w:r>
      <w:r w:rsidRPr="00BA76AF">
        <w:rPr>
          <w:snapToGrid w:val="0"/>
          <w:lang w:eastAsia="sv-SE"/>
        </w:rPr>
        <w:t>m</w:t>
      </w:r>
      <w:r w:rsidRPr="00BA76AF">
        <w:rPr>
          <w:snapToGrid w:val="0"/>
          <w:lang w:eastAsia="sv-SE"/>
        </w:rPr>
        <w:t>ning är att Sverige, genom att fortsatt delta i det internationella samarbetet på försvarsmaterielområdet, säkrar Sveriges långsiktiga utrikes-, säkerhets- och fö</w:t>
      </w:r>
      <w:r w:rsidRPr="00BA76AF">
        <w:rPr>
          <w:snapToGrid w:val="0"/>
          <w:lang w:eastAsia="sv-SE"/>
        </w:rPr>
        <w:t>r</w:t>
      </w:r>
      <w:r w:rsidRPr="00BA76AF">
        <w:rPr>
          <w:snapToGrid w:val="0"/>
          <w:lang w:eastAsia="sv-SE"/>
        </w:rPr>
        <w:t>svarspolitiska intressen.</w:t>
      </w:r>
    </w:p>
    <w:p w:rsidR="00AD1390" w:rsidRPr="00BA76AF" w:rsidRDefault="00AD1390">
      <w:pPr>
        <w:pStyle w:val="Normaltindrag"/>
        <w:rPr>
          <w:snapToGrid w:val="0"/>
          <w:lang w:eastAsia="sv-SE"/>
        </w:rPr>
      </w:pPr>
      <w:r w:rsidRPr="00BA76AF">
        <w:rPr>
          <w:snapToGrid w:val="0"/>
          <w:lang w:eastAsia="sv-SE"/>
        </w:rPr>
        <w:t>För att svensk försvarsindustri skall kunna hävda sig i omstrukturering</w:t>
      </w:r>
      <w:r w:rsidRPr="00BA76AF">
        <w:rPr>
          <w:snapToGrid w:val="0"/>
          <w:lang w:eastAsia="sv-SE"/>
        </w:rPr>
        <w:t>s</w:t>
      </w:r>
      <w:r w:rsidRPr="00BA76AF">
        <w:rPr>
          <w:snapToGrid w:val="0"/>
          <w:lang w:eastAsia="sv-SE"/>
        </w:rPr>
        <w:t>processen och önskvärda samarbeten uppnås, fordras att företagen har kvalif</w:t>
      </w:r>
      <w:r w:rsidRPr="00BA76AF">
        <w:rPr>
          <w:snapToGrid w:val="0"/>
          <w:lang w:eastAsia="sv-SE"/>
        </w:rPr>
        <w:t>i</w:t>
      </w:r>
      <w:r w:rsidRPr="00BA76AF">
        <w:rPr>
          <w:snapToGrid w:val="0"/>
          <w:lang w:eastAsia="sv-SE"/>
        </w:rPr>
        <w:t>cerad teknisk kompetens som kan attrahera beställningar på materielområdet. I 1996 års försvarsbeslut konstaterades att krigsmaterielexporten var av for</w:t>
      </w:r>
      <w:r w:rsidRPr="00BA76AF">
        <w:rPr>
          <w:snapToGrid w:val="0"/>
          <w:lang w:eastAsia="sv-SE"/>
        </w:rPr>
        <w:t>t</w:t>
      </w:r>
      <w:r w:rsidRPr="00BA76AF">
        <w:rPr>
          <w:snapToGrid w:val="0"/>
          <w:lang w:eastAsia="sv-SE"/>
        </w:rPr>
        <w:t>satt försvarspolitisk vikt och att det därför var önskvärt att regeringen och svenska myndigheter på ett mer aktivt och strukturerat sätt stöttade fö</w:t>
      </w:r>
      <w:r w:rsidRPr="00BA76AF">
        <w:rPr>
          <w:snapToGrid w:val="0"/>
          <w:lang w:eastAsia="sv-SE"/>
        </w:rPr>
        <w:t>r</w:t>
      </w:r>
      <w:r w:rsidRPr="00BA76AF">
        <w:rPr>
          <w:snapToGrid w:val="0"/>
          <w:lang w:eastAsia="sv-SE"/>
        </w:rPr>
        <w:t>svarsindustrins exportansträngningar i större materielprojekt, under förutsät</w:t>
      </w:r>
      <w:r w:rsidRPr="00BA76AF">
        <w:rPr>
          <w:snapToGrid w:val="0"/>
          <w:lang w:eastAsia="sv-SE"/>
        </w:rPr>
        <w:t>t</w:t>
      </w:r>
      <w:r w:rsidRPr="00BA76AF">
        <w:rPr>
          <w:snapToGrid w:val="0"/>
          <w:lang w:eastAsia="sv-SE"/>
        </w:rPr>
        <w:t>ning att exportansträngningarna stod i överensstämmels</w:t>
      </w:r>
      <w:r w:rsidRPr="00BA76AF">
        <w:rPr>
          <w:snapToGrid w:val="0"/>
          <w:lang w:eastAsia="sv-SE"/>
        </w:rPr>
        <w:t>e med riktlinjerna för krigsmaterielexport.</w:t>
      </w:r>
    </w:p>
    <w:p w:rsidR="00AD1390" w:rsidRPr="00BA76AF" w:rsidRDefault="00AD1390">
      <w:pPr>
        <w:pStyle w:val="Normaltindrag"/>
      </w:pPr>
      <w:r w:rsidRPr="00BA76AF">
        <w:rPr>
          <w:snapToGrid w:val="0"/>
          <w:lang w:eastAsia="sv-SE"/>
        </w:rPr>
        <w:t>Enligt uppgifter från SIPRI fortsatte överföringarna av tyngre konventi</w:t>
      </w:r>
      <w:r w:rsidRPr="00BA76AF">
        <w:rPr>
          <w:snapToGrid w:val="0"/>
          <w:lang w:eastAsia="sv-SE"/>
        </w:rPr>
        <w:t>o</w:t>
      </w:r>
      <w:r w:rsidRPr="00BA76AF">
        <w:rPr>
          <w:snapToGrid w:val="0"/>
          <w:lang w:eastAsia="sv-SE"/>
        </w:rPr>
        <w:t>nella vapen att minska under år 2000. I fasta priser minskade överföringarna med 26,5 % år 2000 jämfört med föregående år. Enligt SIPRI ligger Sverige under perioden 1996–2000 på femtonde plats med 0,56 % av världens totala export av s.k. tyngre konventionella vapen. Under denna period uppgick den totala exporten i världen till 104 252 mrd dollar i 1990 års priser. Största exportland är USA som under samma tid svarade för ca 47 %, närmast följt av Ryssland (15 %), Frankrike (10 %), Storbritannien (7 %) och</w:t>
      </w:r>
      <w:r w:rsidRPr="00BA76AF">
        <w:rPr>
          <w:snapToGrid w:val="0"/>
          <w:lang w:eastAsia="sv-SE"/>
        </w:rPr>
        <w:t xml:space="preserve"> Tyskland </w:t>
      </w:r>
      <w:r w:rsidRPr="00BA76AF">
        <w:rPr>
          <w:snapToGrid w:val="0"/>
          <w:lang w:eastAsia="sv-SE"/>
        </w:rPr>
        <w:br/>
        <w:t>(5 %).</w:t>
      </w:r>
    </w:p>
    <w:p w:rsidR="00AD1390" w:rsidRPr="00BA76AF" w:rsidRDefault="00AD1390">
      <w:pPr>
        <w:pStyle w:val="Rubrik3"/>
        <w:rPr>
          <w:noProof w:val="0"/>
        </w:rPr>
      </w:pPr>
      <w:bookmarkStart w:id="37" w:name="_Toc517757090"/>
      <w:r w:rsidRPr="00BA76AF">
        <w:rPr>
          <w:noProof w:val="0"/>
        </w:rPr>
        <w:t>Exportkontroll av produkter med dubbla användningsområden</w:t>
      </w:r>
      <w:bookmarkEnd w:id="37"/>
    </w:p>
    <w:p w:rsidR="00AD1390" w:rsidRPr="00BA76AF" w:rsidRDefault="00AD1390">
      <w:pPr>
        <w:spacing w:before="125"/>
      </w:pPr>
      <w:r w:rsidRPr="00BA76AF">
        <w:rPr>
          <w:snapToGrid w:val="0"/>
          <w:lang w:eastAsia="sv-SE"/>
        </w:rPr>
        <w:t>I syfte att underlätta det internationella samarbetet för icke-spridning av mas</w:t>
      </w:r>
      <w:r w:rsidRPr="00BA76AF">
        <w:rPr>
          <w:snapToGrid w:val="0"/>
          <w:lang w:eastAsia="sv-SE"/>
        </w:rPr>
        <w:t>s</w:t>
      </w:r>
      <w:r w:rsidRPr="00BA76AF">
        <w:rPr>
          <w:snapToGrid w:val="0"/>
          <w:lang w:eastAsia="sv-SE"/>
        </w:rPr>
        <w:t>förstörelsevapen har ett trettiotal länder slutit sig samman i ett antal multilat</w:t>
      </w:r>
      <w:r w:rsidRPr="00BA76AF">
        <w:rPr>
          <w:snapToGrid w:val="0"/>
          <w:lang w:eastAsia="sv-SE"/>
        </w:rPr>
        <w:t>e</w:t>
      </w:r>
      <w:r w:rsidRPr="00BA76AF">
        <w:rPr>
          <w:snapToGrid w:val="0"/>
          <w:lang w:eastAsia="sv-SE"/>
        </w:rPr>
        <w:t>rala exportkontrollarrangemang: Zanggerkommittén (ZC), Nuclear Suppliers Group (NSG), Australiengruppen (AG), Missilteknologikontrollregimen (MTCR) samt Wassenaararrangemanget (WA). Syftet med arrangemangen är att mellan medlemmarna främja informationsutbyte angående spridningsri</w:t>
      </w:r>
      <w:r w:rsidRPr="00BA76AF">
        <w:rPr>
          <w:snapToGrid w:val="0"/>
          <w:lang w:eastAsia="sv-SE"/>
        </w:rPr>
        <w:t>s</w:t>
      </w:r>
      <w:r w:rsidRPr="00BA76AF">
        <w:rPr>
          <w:snapToGrid w:val="0"/>
          <w:lang w:eastAsia="sv-SE"/>
        </w:rPr>
        <w:t>ker samt att identifiera varor och teknologier som kan användas för framstäl</w:t>
      </w:r>
      <w:r w:rsidRPr="00BA76AF">
        <w:rPr>
          <w:snapToGrid w:val="0"/>
          <w:lang w:eastAsia="sv-SE"/>
        </w:rPr>
        <w:t>l</w:t>
      </w:r>
      <w:r w:rsidRPr="00BA76AF">
        <w:rPr>
          <w:snapToGrid w:val="0"/>
          <w:lang w:eastAsia="sv-SE"/>
        </w:rPr>
        <w:t>ning av massförstörelsevapen och vars utförsel således bör kontrolleras</w:t>
      </w:r>
      <w:r w:rsidRPr="00BA76AF">
        <w:rPr>
          <w:snapToGrid w:val="0"/>
          <w:lang w:eastAsia="sv-SE"/>
        </w:rPr>
        <w:t xml:space="preserve"> på ett samordnat sätt. Rent allmänt kan sägas att en betydande del av arbetet inom dessa arrangemang syftar till att hålla produktlistorna aktuella i ljuset av den teknologiska utvecklingen. Exportkontrollarrangemangen skiljer sig dock från de ovannämnda konventionerna i det att de inte är baserade på några fol</w:t>
      </w:r>
      <w:r w:rsidRPr="00BA76AF">
        <w:rPr>
          <w:snapToGrid w:val="0"/>
          <w:lang w:eastAsia="sv-SE"/>
        </w:rPr>
        <w:t>k</w:t>
      </w:r>
      <w:r w:rsidRPr="00BA76AF">
        <w:rPr>
          <w:snapToGrid w:val="0"/>
          <w:lang w:eastAsia="sv-SE"/>
        </w:rPr>
        <w:t>rättsligt bindande avtal. Grunden för samarbetet i de multilaterala arrang</w:t>
      </w:r>
      <w:r w:rsidRPr="00BA76AF">
        <w:rPr>
          <w:snapToGrid w:val="0"/>
          <w:lang w:eastAsia="sv-SE"/>
        </w:rPr>
        <w:t>e</w:t>
      </w:r>
      <w:r w:rsidRPr="00BA76AF">
        <w:rPr>
          <w:snapToGrid w:val="0"/>
          <w:lang w:eastAsia="sv-SE"/>
        </w:rPr>
        <w:t>mangen står snarare att finna i nationell lagstiftning som möjliggör expor</w:t>
      </w:r>
      <w:r w:rsidRPr="00BA76AF">
        <w:rPr>
          <w:snapToGrid w:val="0"/>
          <w:lang w:eastAsia="sv-SE"/>
        </w:rPr>
        <w:t>t</w:t>
      </w:r>
      <w:r w:rsidRPr="00BA76AF">
        <w:rPr>
          <w:snapToGrid w:val="0"/>
          <w:lang w:eastAsia="sv-SE"/>
        </w:rPr>
        <w:t>kontroll över de varor och teknologier som har i</w:t>
      </w:r>
      <w:r w:rsidRPr="00BA76AF">
        <w:rPr>
          <w:snapToGrid w:val="0"/>
          <w:lang w:eastAsia="sv-SE"/>
        </w:rPr>
        <w:t>dentifierats såsom strategiska produkter. Ett deltagande i dessa exportkontrollarrangemang kan således ses som en åtgärd som underlättar uppfyllandet av de folkrättsliga förpliktelserna enligt ovan angivna konventioner om att inte direkt eller indirekt bistå en annan stat när det gäller anskaffning av massförstöre</w:t>
      </w:r>
      <w:r w:rsidRPr="00BA76AF">
        <w:rPr>
          <w:snapToGrid w:val="0"/>
          <w:lang w:eastAsia="sv-SE"/>
        </w:rPr>
        <w:t>l</w:t>
      </w:r>
      <w:r w:rsidRPr="00BA76AF">
        <w:rPr>
          <w:snapToGrid w:val="0"/>
          <w:lang w:eastAsia="sv-SE"/>
        </w:rPr>
        <w:t>sevapen.</w:t>
      </w:r>
      <w:r w:rsidRPr="00BA76AF">
        <w:t xml:space="preserve"> </w:t>
      </w:r>
    </w:p>
    <w:p w:rsidR="00AD1390" w:rsidRPr="00BA76AF" w:rsidRDefault="00AD1390">
      <w:pPr>
        <w:pStyle w:val="Normaltindrag"/>
        <w:rPr>
          <w:snapToGrid w:val="0"/>
          <w:lang w:eastAsia="sv-SE"/>
        </w:rPr>
      </w:pPr>
      <w:r w:rsidRPr="00BA76AF">
        <w:rPr>
          <w:snapToGrid w:val="0"/>
          <w:lang w:eastAsia="sv-SE"/>
        </w:rPr>
        <w:t>Europeiska unionens råd antog den 22 juni 2000 en ny rådsförordning, (EG) nr 1334/2000 om upprättandet av en ny gemenskapsordning för kontroll av produkter och teknik med dubbla användni</w:t>
      </w:r>
      <w:r w:rsidRPr="00BA76AF">
        <w:rPr>
          <w:snapToGrid w:val="0"/>
          <w:lang w:eastAsia="sv-SE"/>
        </w:rPr>
        <w:t>ngsområden (EGT nr L 159, 30.6.2000 s. 1) Den nya förordningen trädde i kraft den 28 september 2000. Förordningen är juridiskt bindande för Sverige. Den nya förordningen innebär att utrymmet för och behovet av nationell särreglering ytterligare minskar. Syftet har varit att så långt möjligt etablera fri rörlighet för kontrollerade produkter inom den inre marknaden samtidigt som de olika nationella sy-</w:t>
      </w:r>
      <w:r w:rsidRPr="00BA76AF">
        <w:rPr>
          <w:snapToGrid w:val="0"/>
          <w:lang w:eastAsia="sv-SE"/>
        </w:rPr>
        <w:br/>
        <w:t>stemen för kontroll av e</w:t>
      </w:r>
      <w:r w:rsidRPr="00BA76AF">
        <w:rPr>
          <w:snapToGrid w:val="0"/>
          <w:lang w:eastAsia="sv-SE"/>
        </w:rPr>
        <w:t>x</w:t>
      </w:r>
      <w:r w:rsidRPr="00BA76AF">
        <w:rPr>
          <w:snapToGrid w:val="0"/>
          <w:lang w:eastAsia="sv-SE"/>
        </w:rPr>
        <w:t>port till tredje land stärks och harmoniseras.</w:t>
      </w:r>
    </w:p>
    <w:p w:rsidR="00AD1390" w:rsidRPr="00BA76AF" w:rsidRDefault="00AD1390">
      <w:pPr>
        <w:pStyle w:val="Normaltindrag"/>
        <w:rPr>
          <w:snapToGrid w:val="0"/>
          <w:lang w:eastAsia="sv-SE"/>
        </w:rPr>
      </w:pPr>
      <w:r w:rsidRPr="00BA76AF">
        <w:rPr>
          <w:snapToGrid w:val="0"/>
          <w:lang w:eastAsia="sv-SE"/>
        </w:rPr>
        <w:t>Förordningen förenar medlemsstatern</w:t>
      </w:r>
      <w:r w:rsidRPr="00BA76AF">
        <w:rPr>
          <w:snapToGrid w:val="0"/>
          <w:lang w:eastAsia="sv-SE"/>
        </w:rPr>
        <w:t>as åtaganden inom ramen för de multilaterala exportkontrollarrangemangen med friast möjliga handel inom den inre marknaden. Utvecklingen inom arrangemangen (NSG, MTCR, AG och WA) beaktas genom kontinuerliga ändringar och uppdateringar av var</w:t>
      </w:r>
      <w:r w:rsidRPr="00BA76AF">
        <w:rPr>
          <w:snapToGrid w:val="0"/>
          <w:lang w:eastAsia="sv-SE"/>
        </w:rPr>
        <w:t>u</w:t>
      </w:r>
      <w:r w:rsidRPr="00BA76AF">
        <w:rPr>
          <w:snapToGrid w:val="0"/>
          <w:lang w:eastAsia="sv-SE"/>
        </w:rPr>
        <w:t xml:space="preserve">listorna till förordningen. </w:t>
      </w:r>
    </w:p>
    <w:p w:rsidR="00AD1390" w:rsidRPr="00BA76AF" w:rsidRDefault="00AD1390">
      <w:pPr>
        <w:pStyle w:val="Normaltindrag"/>
      </w:pPr>
      <w:r w:rsidRPr="00BA76AF">
        <w:t>En annan nyhet i den nya förordningen är att det finns ett uttryckligt til</w:t>
      </w:r>
      <w:r w:rsidRPr="00BA76AF">
        <w:t>l</w:t>
      </w:r>
      <w:r w:rsidRPr="00BA76AF">
        <w:t>ståndskrav för programvara och teknik som även gäller överföring på elektr</w:t>
      </w:r>
      <w:r w:rsidRPr="00BA76AF">
        <w:t>o</w:t>
      </w:r>
      <w:r w:rsidRPr="00BA76AF">
        <w:t>nisk väg via exempelvis persondator, telefax och telefon till destinationer utanför EG.</w:t>
      </w:r>
      <w:r w:rsidRPr="00BA76AF">
        <w:rPr>
          <w:color w:val="000000"/>
        </w:rPr>
        <w:t xml:space="preserve"> Ytterligare ett resultat av </w:t>
      </w:r>
      <w:r w:rsidRPr="00BA76AF">
        <w:t>arbetet med den nya förordningen är att även tekniskt bistånd bringats under kontroll. Med tekniskt bistånd avses allt tekniskt stöd som har samband med reparation, utveckling, tillverkning, montering, testning, underhåll eller någon annan teknisk tjänst och som kan anta sådana former som utbildning, överföring av kuns</w:t>
      </w:r>
      <w:r w:rsidRPr="00BA76AF">
        <w:t>kaper och färdigheter eller konsulttjänster.</w:t>
      </w:r>
    </w:p>
    <w:p w:rsidR="00AD1390" w:rsidRPr="00BA76AF" w:rsidRDefault="00AD1390">
      <w:pPr>
        <w:pStyle w:val="Normaltindrag"/>
        <w:rPr>
          <w:snapToGrid w:val="0"/>
          <w:lang w:eastAsia="sv-SE"/>
        </w:rPr>
      </w:pPr>
      <w:r w:rsidRPr="00BA76AF">
        <w:rPr>
          <w:snapToGrid w:val="0"/>
          <w:lang w:eastAsia="sv-SE"/>
        </w:rPr>
        <w:t>Rådsförordningen kompletteras av lagen (2000:1064) om kontroll av pr</w:t>
      </w:r>
      <w:r w:rsidRPr="00BA76AF">
        <w:rPr>
          <w:snapToGrid w:val="0"/>
          <w:lang w:eastAsia="sv-SE"/>
        </w:rPr>
        <w:t>o</w:t>
      </w:r>
      <w:r w:rsidRPr="00BA76AF">
        <w:rPr>
          <w:snapToGrid w:val="0"/>
          <w:lang w:eastAsia="sv-SE"/>
        </w:rPr>
        <w:t>dukter med dubbla användningsområden och av tekniskt bistånd, samt av tillhörande förordning (2000:1217). Båda författningarna trädde i kraft den 1 j</w:t>
      </w:r>
      <w:r w:rsidRPr="00BA76AF">
        <w:rPr>
          <w:snapToGrid w:val="0"/>
          <w:lang w:eastAsia="sv-SE"/>
        </w:rPr>
        <w:t>a</w:t>
      </w:r>
      <w:r w:rsidRPr="00BA76AF">
        <w:rPr>
          <w:snapToGrid w:val="0"/>
          <w:lang w:eastAsia="sv-SE"/>
        </w:rPr>
        <w:t>nuari 2001.</w:t>
      </w:r>
    </w:p>
    <w:p w:rsidR="00AD1390" w:rsidRPr="00BA76AF" w:rsidRDefault="00AD1390">
      <w:pPr>
        <w:pStyle w:val="Normaltindrag"/>
        <w:rPr>
          <w:snapToGrid w:val="0"/>
          <w:lang w:eastAsia="sv-SE"/>
        </w:rPr>
      </w:pPr>
      <w:r w:rsidRPr="00BA76AF">
        <w:rPr>
          <w:snapToGrid w:val="0"/>
          <w:lang w:eastAsia="sv-SE"/>
        </w:rPr>
        <w:t>Enligt artikel 6 i den nya förordningen införs ett generellt gemenskapstil</w:t>
      </w:r>
      <w:r w:rsidRPr="00BA76AF">
        <w:rPr>
          <w:snapToGrid w:val="0"/>
          <w:lang w:eastAsia="sv-SE"/>
        </w:rPr>
        <w:t>l</w:t>
      </w:r>
      <w:r w:rsidRPr="00BA76AF">
        <w:rPr>
          <w:snapToGrid w:val="0"/>
          <w:lang w:eastAsia="sv-SE"/>
        </w:rPr>
        <w:t>stånd för export av vissa produkter till vissa tredje länder. Generella tillstånd lämnades emellertid på nationell nivå redan innan den nya EG-förordningens ikraftträdande. Gemenskapstillståndet får ses som ett viktigt led i strävan att ytterligare harmonisera den gemensamma exportkontrollen. Den nya til</w:t>
      </w:r>
      <w:r w:rsidRPr="00BA76AF">
        <w:rPr>
          <w:snapToGrid w:val="0"/>
          <w:lang w:eastAsia="sv-SE"/>
        </w:rPr>
        <w:t>l</w:t>
      </w:r>
      <w:r w:rsidRPr="00BA76AF">
        <w:rPr>
          <w:snapToGrid w:val="0"/>
          <w:lang w:eastAsia="sv-SE"/>
        </w:rPr>
        <w:t>ståndstypen förenklar för de exporterande företagen genom att ett och samma tillstånd kan åberopas oavsett var utförseln från EU äger rum. Det nya g</w:t>
      </w:r>
      <w:r w:rsidRPr="00BA76AF">
        <w:rPr>
          <w:snapToGrid w:val="0"/>
          <w:lang w:eastAsia="sv-SE"/>
        </w:rPr>
        <w:t>e</w:t>
      </w:r>
      <w:r w:rsidRPr="00BA76AF">
        <w:rPr>
          <w:snapToGrid w:val="0"/>
          <w:lang w:eastAsia="sv-SE"/>
        </w:rPr>
        <w:t>menskapstillståndet är samtidigt ett uttryck för den sam</w:t>
      </w:r>
      <w:r w:rsidRPr="00BA76AF">
        <w:rPr>
          <w:snapToGrid w:val="0"/>
          <w:lang w:eastAsia="sv-SE"/>
        </w:rPr>
        <w:t xml:space="preserve">stämmighet som råder mellan medlemsstaterna beträffande export till vissa tredje länder. </w:t>
      </w:r>
    </w:p>
    <w:p w:rsidR="00AD1390" w:rsidRPr="00BA76AF" w:rsidRDefault="00AD1390">
      <w:pPr>
        <w:pStyle w:val="Normaltindrag"/>
      </w:pPr>
      <w:r w:rsidRPr="00BA76AF">
        <w:rPr>
          <w:snapToGrid w:val="0"/>
          <w:lang w:eastAsia="sv-SE"/>
        </w:rPr>
        <w:t>En annan förändring står att finna i grunden för tillståndsgivningen. Till skillnad från tidigare, då prövningen av tillståndsärenden utgick ifrån nati</w:t>
      </w:r>
      <w:r w:rsidRPr="00BA76AF">
        <w:rPr>
          <w:snapToGrid w:val="0"/>
          <w:lang w:eastAsia="sv-SE"/>
        </w:rPr>
        <w:t>o</w:t>
      </w:r>
      <w:r w:rsidRPr="00BA76AF">
        <w:rPr>
          <w:snapToGrid w:val="0"/>
          <w:lang w:eastAsia="sv-SE"/>
        </w:rPr>
        <w:t>nella kriterier, inkluderar den nya rådsförordningens artikel 8 gemensamma kriterier som medlemsstaterna har att beakta vid sin prövning. Kriterierna avviker inte från dem som tidigare användes i Sverige, men liksom geme</w:t>
      </w:r>
      <w:r w:rsidRPr="00BA76AF">
        <w:rPr>
          <w:snapToGrid w:val="0"/>
          <w:lang w:eastAsia="sv-SE"/>
        </w:rPr>
        <w:t>n</w:t>
      </w:r>
      <w:r w:rsidRPr="00BA76AF">
        <w:rPr>
          <w:snapToGrid w:val="0"/>
          <w:lang w:eastAsia="sv-SE"/>
        </w:rPr>
        <w:t>skapstillståndet är en gemensam kriterieuppsättning ytterligare ett steg mot en mer harmoniserad politik på detta område och en stabilare exportkontroll i EU som helhet.</w:t>
      </w:r>
    </w:p>
    <w:p w:rsidR="00AD1390" w:rsidRPr="00BA76AF" w:rsidRDefault="00AD1390">
      <w:pPr>
        <w:pStyle w:val="Normaltindrag"/>
      </w:pPr>
      <w:r w:rsidRPr="00BA76AF">
        <w:rPr>
          <w:snapToGrid w:val="0"/>
          <w:lang w:eastAsia="sv-SE"/>
        </w:rPr>
        <w:t>Det har varit en svensk ambition att de rutiner som tillämpas i exportko</w:t>
      </w:r>
      <w:r w:rsidRPr="00BA76AF">
        <w:rPr>
          <w:snapToGrid w:val="0"/>
          <w:lang w:eastAsia="sv-SE"/>
        </w:rPr>
        <w:t>n</w:t>
      </w:r>
      <w:r w:rsidRPr="00BA76AF">
        <w:rPr>
          <w:snapToGrid w:val="0"/>
          <w:lang w:eastAsia="sv-SE"/>
        </w:rPr>
        <w:t>trollen skall vara rationella och effektiva, för att förenkla för såväl expor</w:t>
      </w:r>
      <w:r w:rsidRPr="00BA76AF">
        <w:rPr>
          <w:snapToGrid w:val="0"/>
          <w:lang w:eastAsia="sv-SE"/>
        </w:rPr>
        <w:t>t</w:t>
      </w:r>
      <w:r w:rsidRPr="00BA76AF">
        <w:rPr>
          <w:snapToGrid w:val="0"/>
          <w:lang w:eastAsia="sv-SE"/>
        </w:rPr>
        <w:t>kontrollerande myndigheter som för de exporterande företagen. Ett fra</w:t>
      </w:r>
      <w:r w:rsidRPr="00BA76AF">
        <w:rPr>
          <w:snapToGrid w:val="0"/>
          <w:lang w:eastAsia="sv-SE"/>
        </w:rPr>
        <w:t>m</w:t>
      </w:r>
      <w:r w:rsidRPr="00BA76AF">
        <w:rPr>
          <w:snapToGrid w:val="0"/>
          <w:lang w:eastAsia="sv-SE"/>
        </w:rPr>
        <w:t>gångsrikt arbete i detta avseende kan medföra att exportföretagen också e</w:t>
      </w:r>
      <w:r w:rsidRPr="00BA76AF">
        <w:rPr>
          <w:snapToGrid w:val="0"/>
          <w:lang w:eastAsia="sv-SE"/>
        </w:rPr>
        <w:t>r</w:t>
      </w:r>
      <w:r w:rsidRPr="00BA76AF">
        <w:rPr>
          <w:snapToGrid w:val="0"/>
          <w:lang w:eastAsia="sv-SE"/>
        </w:rPr>
        <w:t>håller en fördel i förhållande till konkurrenter från länder där proceduren tar längre tid. Initiativ som syftar till att uppfylla denna målsättning tas löpande av såväl reg</w:t>
      </w:r>
      <w:r w:rsidRPr="00BA76AF">
        <w:rPr>
          <w:snapToGrid w:val="0"/>
          <w:lang w:eastAsia="sv-SE"/>
        </w:rPr>
        <w:t>e</w:t>
      </w:r>
      <w:r w:rsidRPr="00BA76AF">
        <w:rPr>
          <w:snapToGrid w:val="0"/>
          <w:lang w:eastAsia="sv-SE"/>
        </w:rPr>
        <w:t>ringen som ISP.</w:t>
      </w:r>
    </w:p>
    <w:p w:rsidR="00AD1390" w:rsidRPr="00BA76AF" w:rsidRDefault="00AD1390">
      <w:pPr>
        <w:pStyle w:val="Rubrik3"/>
        <w:rPr>
          <w:noProof w:val="0"/>
        </w:rPr>
      </w:pPr>
      <w:bookmarkStart w:id="38" w:name="_Toc517757091"/>
      <w:r w:rsidRPr="00BA76AF">
        <w:rPr>
          <w:noProof w:val="0"/>
        </w:rPr>
        <w:t>Svensk krigsmaterielexport år 2000</w:t>
      </w:r>
      <w:bookmarkEnd w:id="38"/>
    </w:p>
    <w:p w:rsidR="00AD1390" w:rsidRPr="00BA76AF" w:rsidRDefault="00AD1390">
      <w:r w:rsidRPr="00BA76AF">
        <w:t>Inspektionen för strategiska produkter (ISP) följer kontinuerligt marknadsf</w:t>
      </w:r>
      <w:r w:rsidRPr="00BA76AF">
        <w:t>ö</w:t>
      </w:r>
      <w:r w:rsidRPr="00BA76AF">
        <w:t>ring och export av krigsmateriel från Sverige. De företag (jämte s.k. handla</w:t>
      </w:r>
      <w:r w:rsidRPr="00BA76AF">
        <w:t>d</w:t>
      </w:r>
      <w:r w:rsidRPr="00BA76AF">
        <w:t>dare) som har tillstånd att bedriva verksamhet på krigsmaterielområdet – för närvarande omkring 120, varav ca 40 är aktiva som exportörer – är skyldiga att lämna redovisningar i olika hänseenden till ISP. I proposition 1984/85:82 om ökad insyn och samråd i frågor som rör krigsmaterielexport uttalade reg</w:t>
      </w:r>
      <w:r w:rsidRPr="00BA76AF">
        <w:t>e</w:t>
      </w:r>
      <w:r w:rsidRPr="00BA76AF">
        <w:t>ringen sin avsikt att varje år lämna riksdagen en redogörelse för den svenska krigsmaterielexporten. Föreliggande redogörelse avs</w:t>
      </w:r>
      <w:r w:rsidRPr="00BA76AF">
        <w:t>er den svenska krigsm</w:t>
      </w:r>
      <w:r w:rsidRPr="00BA76AF">
        <w:t>a</w:t>
      </w:r>
      <w:r w:rsidRPr="00BA76AF">
        <w:t>terielexporten år 2000.</w:t>
      </w:r>
    </w:p>
    <w:p w:rsidR="00AD1390" w:rsidRPr="00BA76AF" w:rsidRDefault="00AD1390">
      <w:pPr>
        <w:pStyle w:val="Rubrik3"/>
        <w:rPr>
          <w:noProof w:val="0"/>
        </w:rPr>
      </w:pPr>
      <w:bookmarkStart w:id="39" w:name="_Toc517757092"/>
      <w:r w:rsidRPr="00BA76AF">
        <w:rPr>
          <w:noProof w:val="0"/>
        </w:rPr>
        <w:t>Beviljade utförseltillstånd</w:t>
      </w:r>
      <w:bookmarkEnd w:id="39"/>
    </w:p>
    <w:p w:rsidR="00AD1390" w:rsidRPr="00BA76AF" w:rsidRDefault="00AD1390">
      <w:pPr>
        <w:rPr>
          <w:snapToGrid w:val="0"/>
          <w:lang w:eastAsia="sv-SE"/>
        </w:rPr>
      </w:pPr>
      <w:r w:rsidRPr="00BA76AF">
        <w:rPr>
          <w:snapToGrid w:val="0"/>
          <w:lang w:eastAsia="sv-SE"/>
        </w:rPr>
        <w:t>Från och med 1993 redovisas värdet av beviljade utförseltillstånd uppdelat på de två underkategorierna krigsmateriel för strid (KS) och övrig krigsmateriel (ÖK). Den senare kategorin omfattar i huvudsak materiel som tidigare inte stod under kontroll alls. En konsekvens av denna breddning av krigs-materielbegreppet är att statistiken därefter omfattar även materiel som tidig</w:t>
      </w:r>
      <w:r w:rsidRPr="00BA76AF">
        <w:rPr>
          <w:snapToGrid w:val="0"/>
          <w:lang w:eastAsia="sv-SE"/>
        </w:rPr>
        <w:t>a</w:t>
      </w:r>
      <w:r w:rsidRPr="00BA76AF">
        <w:rPr>
          <w:snapToGrid w:val="0"/>
          <w:lang w:eastAsia="sv-SE"/>
        </w:rPr>
        <w:t>re inte kontrollerades. I statistiken återfinns numer även viss utförsel för civil eller delvis civil användning, vilket inte var aktuellt med det tidigare krig</w:t>
      </w:r>
      <w:r w:rsidRPr="00BA76AF">
        <w:rPr>
          <w:snapToGrid w:val="0"/>
          <w:lang w:eastAsia="sv-SE"/>
        </w:rPr>
        <w:t>s</w:t>
      </w:r>
      <w:r w:rsidRPr="00BA76AF">
        <w:rPr>
          <w:snapToGrid w:val="0"/>
          <w:lang w:eastAsia="sv-SE"/>
        </w:rPr>
        <w:t>materielbegreppet. Det är värt att notera att det i skrivelsens bilaga 1 återfinns en precisering av vilka länder som beviljats tillstånd, antalet tillstånd, om det handlar om krigsmateriel för strid eller övrig krigsmateriel samt vilka mater</w:t>
      </w:r>
      <w:r w:rsidRPr="00BA76AF">
        <w:rPr>
          <w:snapToGrid w:val="0"/>
          <w:lang w:eastAsia="sv-SE"/>
        </w:rPr>
        <w:t>i</w:t>
      </w:r>
      <w:r w:rsidRPr="00BA76AF">
        <w:rPr>
          <w:snapToGrid w:val="0"/>
          <w:lang w:eastAsia="sv-SE"/>
        </w:rPr>
        <w:t>elkategorier av KS och ÖK som det handlar om. I tidigare skrivelser har dessa detaljerade up</w:t>
      </w:r>
      <w:r w:rsidRPr="00BA76AF">
        <w:rPr>
          <w:snapToGrid w:val="0"/>
          <w:lang w:eastAsia="sv-SE"/>
        </w:rPr>
        <w:t>p</w:t>
      </w:r>
      <w:r w:rsidRPr="00BA76AF">
        <w:rPr>
          <w:snapToGrid w:val="0"/>
          <w:lang w:eastAsia="sv-SE"/>
        </w:rPr>
        <w:t>gifter inte re</w:t>
      </w:r>
      <w:r w:rsidRPr="00BA76AF">
        <w:rPr>
          <w:snapToGrid w:val="0"/>
          <w:lang w:eastAsia="sv-SE"/>
        </w:rPr>
        <w:t>dovisats.</w:t>
      </w:r>
    </w:p>
    <w:p w:rsidR="00AD1390" w:rsidRPr="00BA76AF" w:rsidRDefault="00AD1390">
      <w:pPr>
        <w:pStyle w:val="Normaltindrag"/>
        <w:rPr>
          <w:snapToGrid w:val="0"/>
          <w:lang w:eastAsia="sv-SE"/>
        </w:rPr>
      </w:pPr>
      <w:r w:rsidRPr="00BA76AF">
        <w:rPr>
          <w:snapToGrid w:val="0"/>
          <w:lang w:eastAsia="sv-SE"/>
        </w:rPr>
        <w:t>I förhållande till år 1999, då värdet av beviljade utförseltillstånd för e</w:t>
      </w:r>
      <w:r w:rsidRPr="00BA76AF">
        <w:rPr>
          <w:snapToGrid w:val="0"/>
          <w:lang w:eastAsia="sv-SE"/>
        </w:rPr>
        <w:t>x</w:t>
      </w:r>
      <w:r w:rsidRPr="00BA76AF">
        <w:rPr>
          <w:snapToGrid w:val="0"/>
          <w:lang w:eastAsia="sv-SE"/>
        </w:rPr>
        <w:t>portförsäljning var exceptionellt högt, minskade värdet år 2000 med ca 35,1%. Värdet för år 2000 (4,64 mdkr) ligger mycket nära genomsnittet för den redovisade tolvårsperioden. Samtidigt uppvisar årets siffror en förskju</w:t>
      </w:r>
      <w:r w:rsidRPr="00BA76AF">
        <w:rPr>
          <w:snapToGrid w:val="0"/>
          <w:lang w:eastAsia="sv-SE"/>
        </w:rPr>
        <w:t>t</w:t>
      </w:r>
      <w:r w:rsidRPr="00BA76AF">
        <w:rPr>
          <w:snapToGrid w:val="0"/>
          <w:lang w:eastAsia="sv-SE"/>
        </w:rPr>
        <w:t>ning från övrig krigsmateriel (ÖK), som minskade med 63 %, till krigsmater</w:t>
      </w:r>
      <w:r w:rsidRPr="00BA76AF">
        <w:rPr>
          <w:snapToGrid w:val="0"/>
          <w:lang w:eastAsia="sv-SE"/>
        </w:rPr>
        <w:t>i</w:t>
      </w:r>
      <w:r w:rsidRPr="00BA76AF">
        <w:rPr>
          <w:snapToGrid w:val="0"/>
          <w:lang w:eastAsia="sv-SE"/>
        </w:rPr>
        <w:t xml:space="preserve">el för strid (KS), som ökade med 119 %. Eftersom 1999 karakteriserades av en kraftig övervikt för ÖK har förskjutningen lett till att de två kategorierna år 2000 hamnat i balans, värdemässigt. </w:t>
      </w:r>
    </w:p>
    <w:p w:rsidR="00AD1390" w:rsidRPr="00BA76AF" w:rsidRDefault="00AD1390">
      <w:pPr>
        <w:pStyle w:val="Normaltindrag"/>
      </w:pPr>
      <w:r w:rsidRPr="00BA76AF">
        <w:t>Utförseltillstånden f</w:t>
      </w:r>
      <w:r w:rsidRPr="00BA76AF">
        <w:t>ör exportförsäljning avser å ena sidan många små transaktioner gällande exempelvis reservdelar eller ammunition, och å andra sidan ett begränsat antal mycket omfattande transaktioner av stora system som levereras över flera år. Större affärer, som inte nödvändigtvis uppträder varje år, kan påverka ett enskilt års resultat påtagligt. Som framgår av tabell 1 nedan uppvisar statistiken över beviljade utförseltillstånd avsevärda skillnader från år till år. Dessa variationer har dock en begränsad inverkan på omf</w:t>
      </w:r>
      <w:r w:rsidRPr="00BA76AF">
        <w:t>at</w:t>
      </w:r>
      <w:r w:rsidRPr="00BA76AF">
        <w:t>t</w:t>
      </w:r>
      <w:r w:rsidRPr="00BA76AF">
        <w:t>ningen av den faktiska exporten av svensk krigsmateriel, eftersom den utfö</w:t>
      </w:r>
      <w:r w:rsidRPr="00BA76AF">
        <w:t>r</w:t>
      </w:r>
      <w:r w:rsidRPr="00BA76AF">
        <w:t>sel som sammanhänger med ett stort utförseltillstånd normalt sprids ut över flera år. Det är inte möjligt att med någon precision förutsäga hur en ökning av utförseltillstånden kommer att återspeglas i den faktiska exporten efterfö</w:t>
      </w:r>
      <w:r w:rsidRPr="00BA76AF">
        <w:t>l</w:t>
      </w:r>
      <w:r w:rsidRPr="00BA76AF">
        <w:t>jande år, eftersom detta sammanhänger med tillverknings- och leveransplaner, som kan skilja sig åt betydligt inte bara mellan olika materielslag utan också variera från kontrakt till kontrakt</w:t>
      </w:r>
      <w:r w:rsidRPr="00BA76AF">
        <w:rPr>
          <w:snapToGrid w:val="0"/>
          <w:lang w:eastAsia="sv-SE"/>
        </w:rPr>
        <w:t>.</w:t>
      </w:r>
    </w:p>
    <w:p w:rsidR="00AD1390" w:rsidRPr="00BA76AF" w:rsidRDefault="00AD1390">
      <w:pPr>
        <w:pStyle w:val="Tabellrubrik"/>
      </w:pPr>
      <w:r w:rsidRPr="00BA76AF">
        <w:t>Tabell 1.</w:t>
      </w:r>
      <w:r w:rsidRPr="00BA76AF">
        <w:t xml:space="preserve"> Beviljade utförseltillstånd för försäljning under åren 1991–1999 i löpande priser</w:t>
      </w:r>
    </w:p>
    <w:p w:rsidR="00AD1390" w:rsidRPr="00BA76AF" w:rsidRDefault="00AD1390">
      <w:pPr>
        <w:pStyle w:val="Normaltindrag"/>
      </w:pPr>
    </w:p>
    <w:tbl>
      <w:tblPr>
        <w:tblW w:w="0" w:type="auto"/>
        <w:tblInd w:w="-108" w:type="dxa"/>
        <w:tblLayout w:type="fixed"/>
        <w:tblLook w:val="0000" w:firstRow="0" w:lastRow="0" w:firstColumn="0" w:lastColumn="0" w:noHBand="0" w:noVBand="0"/>
      </w:tblPr>
      <w:tblGrid>
        <w:gridCol w:w="868"/>
        <w:gridCol w:w="868"/>
        <w:gridCol w:w="868"/>
        <w:gridCol w:w="861"/>
        <w:gridCol w:w="7"/>
        <w:gridCol w:w="868"/>
        <w:gridCol w:w="868"/>
        <w:gridCol w:w="868"/>
      </w:tblGrid>
      <w:tr w:rsidR="00000000" w:rsidRPr="00BA76AF">
        <w:tblPrEx>
          <w:tblCellMar>
            <w:top w:w="0" w:type="dxa"/>
            <w:bottom w:w="0" w:type="dxa"/>
          </w:tblCellMar>
        </w:tblPrEx>
        <w:tc>
          <w:tcPr>
            <w:tcW w:w="868" w:type="dxa"/>
            <w:tcBorders>
              <w:top w:val="single" w:sz="4" w:space="0" w:color="auto"/>
              <w:bottom w:val="single" w:sz="4" w:space="0" w:color="auto"/>
            </w:tcBorders>
          </w:tcPr>
          <w:p w:rsidR="00AD1390" w:rsidRPr="00BA76AF" w:rsidRDefault="00AD1390">
            <w:pPr>
              <w:pStyle w:val="Tabelltext"/>
            </w:pPr>
            <w:r w:rsidRPr="00BA76AF">
              <w:t>År</w:t>
            </w:r>
          </w:p>
        </w:tc>
        <w:tc>
          <w:tcPr>
            <w:tcW w:w="2597" w:type="dxa"/>
            <w:gridSpan w:val="3"/>
            <w:tcBorders>
              <w:top w:val="single" w:sz="4" w:space="0" w:color="auto"/>
              <w:bottom w:val="single" w:sz="4" w:space="0" w:color="auto"/>
            </w:tcBorders>
          </w:tcPr>
          <w:p w:rsidR="00AD1390" w:rsidRPr="00BA76AF" w:rsidRDefault="00AD1390">
            <w:pPr>
              <w:pStyle w:val="Tabelltext"/>
            </w:pPr>
            <w:r w:rsidRPr="00BA76AF">
              <w:t>Värde i löpande priser, mkr</w:t>
            </w:r>
          </w:p>
        </w:tc>
        <w:tc>
          <w:tcPr>
            <w:tcW w:w="2608" w:type="dxa"/>
            <w:gridSpan w:val="4"/>
            <w:tcBorders>
              <w:top w:val="single" w:sz="4" w:space="0" w:color="auto"/>
              <w:bottom w:val="single" w:sz="4" w:space="0" w:color="auto"/>
            </w:tcBorders>
          </w:tcPr>
          <w:p w:rsidR="00AD1390" w:rsidRPr="00BA76AF" w:rsidRDefault="00AD1390">
            <w:pPr>
              <w:pStyle w:val="Tabelltext"/>
            </w:pPr>
            <w:r w:rsidRPr="00BA76AF">
              <w:t>Förändring i %</w:t>
            </w:r>
          </w:p>
        </w:tc>
      </w:tr>
      <w:tr w:rsidR="00000000" w:rsidRPr="00BA76AF">
        <w:tblPrEx>
          <w:tblCellMar>
            <w:top w:w="0" w:type="dxa"/>
            <w:bottom w:w="0" w:type="dxa"/>
          </w:tblCellMar>
        </w:tblPrEx>
        <w:tc>
          <w:tcPr>
            <w:tcW w:w="868" w:type="dxa"/>
            <w:tcBorders>
              <w:bottom w:val="single" w:sz="4" w:space="0" w:color="auto"/>
            </w:tcBorders>
          </w:tcPr>
          <w:p w:rsidR="00AD1390" w:rsidRPr="00BA76AF" w:rsidRDefault="00AD1390">
            <w:pPr>
              <w:pStyle w:val="Tabelltext"/>
            </w:pPr>
          </w:p>
        </w:tc>
        <w:tc>
          <w:tcPr>
            <w:tcW w:w="868" w:type="dxa"/>
            <w:tcBorders>
              <w:bottom w:val="single" w:sz="4" w:space="0" w:color="auto"/>
            </w:tcBorders>
          </w:tcPr>
          <w:p w:rsidR="00AD1390" w:rsidRPr="00BA76AF" w:rsidRDefault="00AD1390">
            <w:pPr>
              <w:pStyle w:val="Tabelltext"/>
              <w:jc w:val="right"/>
            </w:pPr>
            <w:r w:rsidRPr="00BA76AF">
              <w:t>Totalt</w:t>
            </w:r>
          </w:p>
        </w:tc>
        <w:tc>
          <w:tcPr>
            <w:tcW w:w="868" w:type="dxa"/>
            <w:tcBorders>
              <w:bottom w:val="single" w:sz="4" w:space="0" w:color="auto"/>
            </w:tcBorders>
          </w:tcPr>
          <w:p w:rsidR="00AD1390" w:rsidRPr="00BA76AF" w:rsidRDefault="00AD1390">
            <w:pPr>
              <w:pStyle w:val="Tabelltext"/>
              <w:jc w:val="right"/>
            </w:pPr>
            <w:r w:rsidRPr="00BA76AF">
              <w:t>KS</w:t>
            </w:r>
          </w:p>
        </w:tc>
        <w:tc>
          <w:tcPr>
            <w:tcW w:w="868" w:type="dxa"/>
            <w:gridSpan w:val="2"/>
            <w:tcBorders>
              <w:bottom w:val="single" w:sz="4" w:space="0" w:color="auto"/>
            </w:tcBorders>
          </w:tcPr>
          <w:p w:rsidR="00AD1390" w:rsidRPr="00BA76AF" w:rsidRDefault="00AD1390">
            <w:pPr>
              <w:pStyle w:val="Tabelltext"/>
              <w:jc w:val="right"/>
            </w:pPr>
            <w:r w:rsidRPr="00BA76AF">
              <w:t>ÖK</w:t>
            </w:r>
          </w:p>
        </w:tc>
        <w:tc>
          <w:tcPr>
            <w:tcW w:w="868" w:type="dxa"/>
            <w:tcBorders>
              <w:bottom w:val="single" w:sz="4" w:space="0" w:color="auto"/>
            </w:tcBorders>
          </w:tcPr>
          <w:p w:rsidR="00AD1390" w:rsidRPr="00BA76AF" w:rsidRDefault="00AD1390">
            <w:pPr>
              <w:pStyle w:val="Tabelltext"/>
              <w:jc w:val="right"/>
            </w:pPr>
            <w:r w:rsidRPr="00BA76AF">
              <w:t>Totalt</w:t>
            </w:r>
          </w:p>
        </w:tc>
        <w:tc>
          <w:tcPr>
            <w:tcW w:w="868" w:type="dxa"/>
            <w:tcBorders>
              <w:bottom w:val="single" w:sz="4" w:space="0" w:color="auto"/>
            </w:tcBorders>
          </w:tcPr>
          <w:p w:rsidR="00AD1390" w:rsidRPr="00BA76AF" w:rsidRDefault="00AD1390">
            <w:pPr>
              <w:pStyle w:val="Tabelltext"/>
              <w:jc w:val="right"/>
            </w:pPr>
            <w:r w:rsidRPr="00BA76AF">
              <w:t>KS</w:t>
            </w:r>
          </w:p>
        </w:tc>
        <w:tc>
          <w:tcPr>
            <w:tcW w:w="868" w:type="dxa"/>
            <w:tcBorders>
              <w:bottom w:val="single" w:sz="4" w:space="0" w:color="auto"/>
            </w:tcBorders>
          </w:tcPr>
          <w:p w:rsidR="00AD1390" w:rsidRPr="00BA76AF" w:rsidRDefault="00AD1390">
            <w:pPr>
              <w:pStyle w:val="Tabelltext"/>
              <w:jc w:val="right"/>
            </w:pPr>
            <w:r w:rsidRPr="00BA76AF">
              <w:t>ÖK</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1989</w:t>
            </w:r>
          </w:p>
        </w:tc>
        <w:tc>
          <w:tcPr>
            <w:tcW w:w="868" w:type="dxa"/>
          </w:tcPr>
          <w:p w:rsidR="00AD1390" w:rsidRPr="00BA76AF" w:rsidRDefault="00AD1390">
            <w:pPr>
              <w:pStyle w:val="Tabelltextsiffror"/>
            </w:pPr>
            <w:r w:rsidRPr="00BA76AF">
              <w:t>7 245</w:t>
            </w:r>
          </w:p>
        </w:tc>
        <w:tc>
          <w:tcPr>
            <w:tcW w:w="868" w:type="dxa"/>
          </w:tcPr>
          <w:p w:rsidR="00AD1390" w:rsidRPr="00BA76AF" w:rsidRDefault="00AD1390">
            <w:pPr>
              <w:pStyle w:val="Tabelltextsiffror"/>
            </w:pPr>
            <w:r w:rsidRPr="00BA76AF">
              <w:t>-</w:t>
            </w:r>
          </w:p>
        </w:tc>
        <w:tc>
          <w:tcPr>
            <w:tcW w:w="868" w:type="dxa"/>
            <w:gridSpan w:val="2"/>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+13,2</w:t>
            </w:r>
          </w:p>
        </w:tc>
        <w:tc>
          <w:tcPr>
            <w:tcW w:w="868" w:type="dxa"/>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1990</w:t>
            </w:r>
          </w:p>
        </w:tc>
        <w:tc>
          <w:tcPr>
            <w:tcW w:w="868" w:type="dxa"/>
          </w:tcPr>
          <w:p w:rsidR="00AD1390" w:rsidRPr="00BA76AF" w:rsidRDefault="00AD1390">
            <w:pPr>
              <w:pStyle w:val="Tabelltextsiffror"/>
            </w:pPr>
            <w:r w:rsidRPr="00BA76AF">
              <w:t>2 869</w:t>
            </w:r>
          </w:p>
        </w:tc>
        <w:tc>
          <w:tcPr>
            <w:tcW w:w="868" w:type="dxa"/>
          </w:tcPr>
          <w:p w:rsidR="00AD1390" w:rsidRPr="00BA76AF" w:rsidRDefault="00AD1390">
            <w:pPr>
              <w:pStyle w:val="Tabelltextsiffror"/>
            </w:pPr>
            <w:r w:rsidRPr="00BA76AF">
              <w:t>-</w:t>
            </w:r>
          </w:p>
        </w:tc>
        <w:tc>
          <w:tcPr>
            <w:tcW w:w="868" w:type="dxa"/>
            <w:gridSpan w:val="2"/>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-60,4</w:t>
            </w:r>
          </w:p>
        </w:tc>
        <w:tc>
          <w:tcPr>
            <w:tcW w:w="868" w:type="dxa"/>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1991</w:t>
            </w:r>
          </w:p>
        </w:tc>
        <w:tc>
          <w:tcPr>
            <w:tcW w:w="868" w:type="dxa"/>
          </w:tcPr>
          <w:p w:rsidR="00AD1390" w:rsidRPr="00BA76AF" w:rsidRDefault="00AD1390">
            <w:pPr>
              <w:pStyle w:val="Tabelltextsiffror"/>
            </w:pPr>
            <w:r w:rsidRPr="00BA76AF">
              <w:t>2 487</w:t>
            </w:r>
          </w:p>
        </w:tc>
        <w:tc>
          <w:tcPr>
            <w:tcW w:w="868" w:type="dxa"/>
          </w:tcPr>
          <w:p w:rsidR="00AD1390" w:rsidRPr="00BA76AF" w:rsidRDefault="00AD1390">
            <w:pPr>
              <w:pStyle w:val="Tabelltextsiffror"/>
            </w:pPr>
            <w:r w:rsidRPr="00BA76AF">
              <w:t>-</w:t>
            </w:r>
          </w:p>
        </w:tc>
        <w:tc>
          <w:tcPr>
            <w:tcW w:w="868" w:type="dxa"/>
            <w:gridSpan w:val="2"/>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-13,3</w:t>
            </w:r>
          </w:p>
        </w:tc>
        <w:tc>
          <w:tcPr>
            <w:tcW w:w="868" w:type="dxa"/>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1992</w:t>
            </w:r>
          </w:p>
        </w:tc>
        <w:tc>
          <w:tcPr>
            <w:tcW w:w="868" w:type="dxa"/>
          </w:tcPr>
          <w:p w:rsidR="00AD1390" w:rsidRPr="00BA76AF" w:rsidRDefault="00AD1390">
            <w:pPr>
              <w:pStyle w:val="Tabelltextsiffror"/>
            </w:pPr>
            <w:r w:rsidRPr="00BA76AF">
              <w:t>2 992</w:t>
            </w:r>
          </w:p>
        </w:tc>
        <w:tc>
          <w:tcPr>
            <w:tcW w:w="868" w:type="dxa"/>
          </w:tcPr>
          <w:p w:rsidR="00AD1390" w:rsidRPr="00BA76AF" w:rsidRDefault="00AD1390">
            <w:pPr>
              <w:pStyle w:val="Tabelltextsiffror"/>
            </w:pPr>
            <w:r w:rsidRPr="00BA76AF">
              <w:t>-</w:t>
            </w:r>
          </w:p>
        </w:tc>
        <w:tc>
          <w:tcPr>
            <w:tcW w:w="868" w:type="dxa"/>
            <w:gridSpan w:val="2"/>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+20,3</w:t>
            </w:r>
          </w:p>
        </w:tc>
        <w:tc>
          <w:tcPr>
            <w:tcW w:w="868" w:type="dxa"/>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1993</w:t>
            </w:r>
          </w:p>
        </w:tc>
        <w:tc>
          <w:tcPr>
            <w:tcW w:w="868" w:type="dxa"/>
          </w:tcPr>
          <w:p w:rsidR="00AD1390" w:rsidRPr="00BA76AF" w:rsidRDefault="00AD1390">
            <w:pPr>
              <w:pStyle w:val="Tabelltextsiffror"/>
            </w:pPr>
            <w:r w:rsidRPr="00BA76AF">
              <w:t>6 106</w:t>
            </w:r>
          </w:p>
        </w:tc>
        <w:tc>
          <w:tcPr>
            <w:tcW w:w="868" w:type="dxa"/>
          </w:tcPr>
          <w:p w:rsidR="00AD1390" w:rsidRPr="00BA76AF" w:rsidRDefault="00AD1390">
            <w:pPr>
              <w:pStyle w:val="Tabelltextsiffror"/>
            </w:pPr>
            <w:r w:rsidRPr="00BA76AF">
              <w:t>1 942</w:t>
            </w:r>
          </w:p>
        </w:tc>
        <w:tc>
          <w:tcPr>
            <w:tcW w:w="868" w:type="dxa"/>
            <w:gridSpan w:val="2"/>
          </w:tcPr>
          <w:p w:rsidR="00AD1390" w:rsidRPr="00BA76AF" w:rsidRDefault="00AD1390">
            <w:pPr>
              <w:pStyle w:val="Tabelltextsiffror"/>
            </w:pPr>
            <w:r w:rsidRPr="00BA76AF">
              <w:t>4 164</w:t>
            </w:r>
          </w:p>
        </w:tc>
        <w:tc>
          <w:tcPr>
            <w:tcW w:w="868" w:type="dxa"/>
          </w:tcPr>
          <w:p w:rsidR="00AD1390" w:rsidRPr="00BA76AF" w:rsidRDefault="00AD1390">
            <w:pPr>
              <w:pStyle w:val="Tabelltextsiffror"/>
            </w:pPr>
            <w:r w:rsidRPr="00BA76AF">
              <w:t>+104,1</w:t>
            </w:r>
          </w:p>
        </w:tc>
        <w:tc>
          <w:tcPr>
            <w:tcW w:w="868" w:type="dxa"/>
          </w:tcPr>
          <w:p w:rsidR="00AD1390" w:rsidRPr="00BA76AF" w:rsidRDefault="00AD1390">
            <w:pPr>
              <w:pStyle w:val="Tabelltextsiffror"/>
            </w:pPr>
            <w:r w:rsidRPr="00BA76AF">
              <w:t>-</w:t>
            </w:r>
          </w:p>
        </w:tc>
        <w:tc>
          <w:tcPr>
            <w:tcW w:w="868" w:type="dxa"/>
          </w:tcPr>
          <w:p w:rsidR="00AD1390" w:rsidRPr="00BA76AF" w:rsidRDefault="00AD1390">
            <w:pPr>
              <w:pStyle w:val="Tabelltextsiffror"/>
            </w:pPr>
            <w:r w:rsidRPr="00BA76AF">
              <w:t>-</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1994</w:t>
            </w:r>
          </w:p>
        </w:tc>
        <w:tc>
          <w:tcPr>
            <w:tcW w:w="868" w:type="dxa"/>
          </w:tcPr>
          <w:p w:rsidR="00AD1390" w:rsidRPr="00BA76AF" w:rsidRDefault="00AD1390">
            <w:pPr>
              <w:pStyle w:val="Tabelltextsiffror"/>
            </w:pPr>
            <w:r w:rsidRPr="00BA76AF">
              <w:t>4 268</w:t>
            </w:r>
          </w:p>
        </w:tc>
        <w:tc>
          <w:tcPr>
            <w:tcW w:w="868" w:type="dxa"/>
          </w:tcPr>
          <w:p w:rsidR="00AD1390" w:rsidRPr="00BA76AF" w:rsidRDefault="00AD1390">
            <w:pPr>
              <w:pStyle w:val="Tabelltextsiffror"/>
            </w:pPr>
            <w:r w:rsidRPr="00BA76AF">
              <w:t>1 991</w:t>
            </w:r>
          </w:p>
        </w:tc>
        <w:tc>
          <w:tcPr>
            <w:tcW w:w="868" w:type="dxa"/>
            <w:gridSpan w:val="2"/>
          </w:tcPr>
          <w:p w:rsidR="00AD1390" w:rsidRPr="00BA76AF" w:rsidRDefault="00AD1390">
            <w:pPr>
              <w:pStyle w:val="Tabelltextsiffror"/>
            </w:pPr>
            <w:r w:rsidRPr="00BA76AF">
              <w:t>2 277</w:t>
            </w:r>
          </w:p>
        </w:tc>
        <w:tc>
          <w:tcPr>
            <w:tcW w:w="868" w:type="dxa"/>
          </w:tcPr>
          <w:p w:rsidR="00AD1390" w:rsidRPr="00BA76AF" w:rsidRDefault="00AD1390">
            <w:pPr>
              <w:pStyle w:val="Tabelltextsiffror"/>
            </w:pPr>
            <w:r w:rsidRPr="00BA76AF">
              <w:t>-30,1</w:t>
            </w:r>
          </w:p>
        </w:tc>
        <w:tc>
          <w:tcPr>
            <w:tcW w:w="868" w:type="dxa"/>
          </w:tcPr>
          <w:p w:rsidR="00AD1390" w:rsidRPr="00BA76AF" w:rsidRDefault="00AD1390">
            <w:pPr>
              <w:pStyle w:val="Tabelltextsiffror"/>
            </w:pPr>
            <w:r w:rsidRPr="00BA76AF">
              <w:t>+2,5</w:t>
            </w:r>
          </w:p>
        </w:tc>
        <w:tc>
          <w:tcPr>
            <w:tcW w:w="868" w:type="dxa"/>
          </w:tcPr>
          <w:p w:rsidR="00AD1390" w:rsidRPr="00BA76AF" w:rsidRDefault="00AD1390">
            <w:pPr>
              <w:pStyle w:val="Tabelltextsiffror"/>
            </w:pPr>
            <w:r w:rsidRPr="00BA76AF">
              <w:t>-45,3</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1995</w:t>
            </w:r>
          </w:p>
        </w:tc>
        <w:tc>
          <w:tcPr>
            <w:tcW w:w="868" w:type="dxa"/>
          </w:tcPr>
          <w:p w:rsidR="00AD1390" w:rsidRPr="00BA76AF" w:rsidRDefault="00AD1390">
            <w:pPr>
              <w:pStyle w:val="Tabelltextsiffror"/>
            </w:pPr>
            <w:r w:rsidRPr="00BA76AF">
              <w:t>6 543</w:t>
            </w:r>
          </w:p>
        </w:tc>
        <w:tc>
          <w:tcPr>
            <w:tcW w:w="868" w:type="dxa"/>
          </w:tcPr>
          <w:p w:rsidR="00AD1390" w:rsidRPr="00BA76AF" w:rsidRDefault="00AD1390">
            <w:pPr>
              <w:pStyle w:val="Tabelltextsiffror"/>
            </w:pPr>
            <w:r w:rsidRPr="00BA76AF">
              <w:t>2 011</w:t>
            </w:r>
          </w:p>
        </w:tc>
        <w:tc>
          <w:tcPr>
            <w:tcW w:w="868" w:type="dxa"/>
            <w:gridSpan w:val="2"/>
          </w:tcPr>
          <w:p w:rsidR="00AD1390" w:rsidRPr="00BA76AF" w:rsidRDefault="00AD1390">
            <w:pPr>
              <w:pStyle w:val="Tabelltextsiffror"/>
            </w:pPr>
            <w:r w:rsidRPr="00BA76AF">
              <w:t>4 532</w:t>
            </w:r>
          </w:p>
        </w:tc>
        <w:tc>
          <w:tcPr>
            <w:tcW w:w="868" w:type="dxa"/>
          </w:tcPr>
          <w:p w:rsidR="00AD1390" w:rsidRPr="00BA76AF" w:rsidRDefault="00AD1390">
            <w:pPr>
              <w:pStyle w:val="Tabelltextsiffror"/>
            </w:pPr>
            <w:r w:rsidRPr="00BA76AF">
              <w:t>+53,3</w:t>
            </w:r>
          </w:p>
        </w:tc>
        <w:tc>
          <w:tcPr>
            <w:tcW w:w="868" w:type="dxa"/>
          </w:tcPr>
          <w:p w:rsidR="00AD1390" w:rsidRPr="00BA76AF" w:rsidRDefault="00AD1390">
            <w:pPr>
              <w:pStyle w:val="Tabelltextsiffror"/>
            </w:pPr>
            <w:r w:rsidRPr="00BA76AF">
              <w:t>+1,0</w:t>
            </w:r>
          </w:p>
        </w:tc>
        <w:tc>
          <w:tcPr>
            <w:tcW w:w="868" w:type="dxa"/>
          </w:tcPr>
          <w:p w:rsidR="00AD1390" w:rsidRPr="00BA76AF" w:rsidRDefault="00AD1390">
            <w:pPr>
              <w:pStyle w:val="Tabelltextsiffror"/>
            </w:pPr>
            <w:r w:rsidRPr="00BA76AF">
              <w:t>+99,0</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1996</w:t>
            </w:r>
          </w:p>
        </w:tc>
        <w:tc>
          <w:tcPr>
            <w:tcW w:w="868" w:type="dxa"/>
          </w:tcPr>
          <w:p w:rsidR="00AD1390" w:rsidRPr="00BA76AF" w:rsidRDefault="00AD1390">
            <w:pPr>
              <w:pStyle w:val="Tabelltextsiffror"/>
            </w:pPr>
            <w:r w:rsidRPr="00BA76AF">
              <w:t>2 859</w:t>
            </w:r>
          </w:p>
        </w:tc>
        <w:tc>
          <w:tcPr>
            <w:tcW w:w="868" w:type="dxa"/>
          </w:tcPr>
          <w:p w:rsidR="00AD1390" w:rsidRPr="00BA76AF" w:rsidRDefault="00AD1390">
            <w:pPr>
              <w:pStyle w:val="Tabelltextsiffror"/>
            </w:pPr>
            <w:r w:rsidRPr="00BA76AF">
              <w:t xml:space="preserve">   662</w:t>
            </w:r>
          </w:p>
        </w:tc>
        <w:tc>
          <w:tcPr>
            <w:tcW w:w="868" w:type="dxa"/>
            <w:gridSpan w:val="2"/>
          </w:tcPr>
          <w:p w:rsidR="00AD1390" w:rsidRPr="00BA76AF" w:rsidRDefault="00AD1390">
            <w:pPr>
              <w:pStyle w:val="Tabelltextsiffror"/>
            </w:pPr>
            <w:r w:rsidRPr="00BA76AF">
              <w:t>2 197</w:t>
            </w:r>
          </w:p>
        </w:tc>
        <w:tc>
          <w:tcPr>
            <w:tcW w:w="868" w:type="dxa"/>
          </w:tcPr>
          <w:p w:rsidR="00AD1390" w:rsidRPr="00BA76AF" w:rsidRDefault="00AD1390">
            <w:pPr>
              <w:pStyle w:val="Tabelltextsiffror"/>
            </w:pPr>
            <w:r w:rsidRPr="00BA76AF">
              <w:t>-56,3</w:t>
            </w:r>
          </w:p>
        </w:tc>
        <w:tc>
          <w:tcPr>
            <w:tcW w:w="868" w:type="dxa"/>
          </w:tcPr>
          <w:p w:rsidR="00AD1390" w:rsidRPr="00BA76AF" w:rsidRDefault="00AD1390">
            <w:pPr>
              <w:pStyle w:val="Tabelltextsiffror"/>
            </w:pPr>
            <w:r w:rsidRPr="00BA76AF">
              <w:t>-67,1</w:t>
            </w:r>
          </w:p>
        </w:tc>
        <w:tc>
          <w:tcPr>
            <w:tcW w:w="868" w:type="dxa"/>
          </w:tcPr>
          <w:p w:rsidR="00AD1390" w:rsidRPr="00BA76AF" w:rsidRDefault="00AD1390">
            <w:pPr>
              <w:pStyle w:val="Tabelltextsiffror"/>
            </w:pPr>
            <w:r w:rsidRPr="00BA76AF">
              <w:t>-51,5</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1997</w:t>
            </w:r>
          </w:p>
        </w:tc>
        <w:tc>
          <w:tcPr>
            <w:tcW w:w="868" w:type="dxa"/>
          </w:tcPr>
          <w:p w:rsidR="00AD1390" w:rsidRPr="00BA76AF" w:rsidRDefault="00AD1390">
            <w:pPr>
              <w:pStyle w:val="Tabelltextsiffror"/>
            </w:pPr>
            <w:r w:rsidRPr="00BA76AF">
              <w:t>5 061</w:t>
            </w:r>
          </w:p>
        </w:tc>
        <w:tc>
          <w:tcPr>
            <w:tcW w:w="868" w:type="dxa"/>
          </w:tcPr>
          <w:p w:rsidR="00AD1390" w:rsidRPr="00BA76AF" w:rsidRDefault="00AD1390">
            <w:pPr>
              <w:pStyle w:val="Tabelltextsiffror"/>
            </w:pPr>
            <w:r w:rsidRPr="00BA76AF">
              <w:t>2 481</w:t>
            </w:r>
          </w:p>
        </w:tc>
        <w:tc>
          <w:tcPr>
            <w:tcW w:w="868" w:type="dxa"/>
            <w:gridSpan w:val="2"/>
          </w:tcPr>
          <w:p w:rsidR="00AD1390" w:rsidRPr="00BA76AF" w:rsidRDefault="00AD1390">
            <w:pPr>
              <w:pStyle w:val="Tabelltextsiffror"/>
            </w:pPr>
            <w:r w:rsidRPr="00BA76AF">
              <w:t>2 580</w:t>
            </w:r>
          </w:p>
        </w:tc>
        <w:tc>
          <w:tcPr>
            <w:tcW w:w="868" w:type="dxa"/>
          </w:tcPr>
          <w:p w:rsidR="00AD1390" w:rsidRPr="00BA76AF" w:rsidRDefault="00AD1390">
            <w:pPr>
              <w:pStyle w:val="Tabelltextsiffror"/>
            </w:pPr>
            <w:r w:rsidRPr="00BA76AF">
              <w:t>+77,0</w:t>
            </w:r>
          </w:p>
        </w:tc>
        <w:tc>
          <w:tcPr>
            <w:tcW w:w="868" w:type="dxa"/>
          </w:tcPr>
          <w:p w:rsidR="00AD1390" w:rsidRPr="00BA76AF" w:rsidRDefault="00AD1390">
            <w:pPr>
              <w:pStyle w:val="Tabelltextsiffror"/>
            </w:pPr>
            <w:r w:rsidRPr="00BA76AF">
              <w:t>+274,8</w:t>
            </w:r>
          </w:p>
        </w:tc>
        <w:tc>
          <w:tcPr>
            <w:tcW w:w="868" w:type="dxa"/>
          </w:tcPr>
          <w:p w:rsidR="00AD1390" w:rsidRPr="00BA76AF" w:rsidRDefault="00AD1390">
            <w:pPr>
              <w:pStyle w:val="Tabelltextsiffror"/>
            </w:pPr>
            <w:r w:rsidRPr="00BA76AF">
              <w:t>+17,4</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1998</w:t>
            </w:r>
          </w:p>
        </w:tc>
        <w:tc>
          <w:tcPr>
            <w:tcW w:w="868" w:type="dxa"/>
          </w:tcPr>
          <w:p w:rsidR="00AD1390" w:rsidRPr="00BA76AF" w:rsidRDefault="00AD1390">
            <w:pPr>
              <w:pStyle w:val="Tabelltextsiffror"/>
            </w:pPr>
            <w:r w:rsidRPr="00BA76AF">
              <w:t>3 273</w:t>
            </w:r>
          </w:p>
        </w:tc>
        <w:tc>
          <w:tcPr>
            <w:tcW w:w="868" w:type="dxa"/>
          </w:tcPr>
          <w:p w:rsidR="00AD1390" w:rsidRPr="00BA76AF" w:rsidRDefault="00AD1390">
            <w:pPr>
              <w:pStyle w:val="Tabelltextsiffror"/>
            </w:pPr>
            <w:r w:rsidRPr="00BA76AF">
              <w:t>1 449</w:t>
            </w:r>
          </w:p>
        </w:tc>
        <w:tc>
          <w:tcPr>
            <w:tcW w:w="868" w:type="dxa"/>
            <w:gridSpan w:val="2"/>
          </w:tcPr>
          <w:p w:rsidR="00AD1390" w:rsidRPr="00BA76AF" w:rsidRDefault="00AD1390">
            <w:pPr>
              <w:pStyle w:val="Tabelltextsiffror"/>
            </w:pPr>
            <w:r w:rsidRPr="00BA76AF">
              <w:t>1 824</w:t>
            </w:r>
          </w:p>
        </w:tc>
        <w:tc>
          <w:tcPr>
            <w:tcW w:w="868" w:type="dxa"/>
          </w:tcPr>
          <w:p w:rsidR="00AD1390" w:rsidRPr="00BA76AF" w:rsidRDefault="00AD1390">
            <w:pPr>
              <w:pStyle w:val="Tabelltextsiffror"/>
            </w:pPr>
            <w:r w:rsidRPr="00BA76AF">
              <w:t>-35,3</w:t>
            </w:r>
          </w:p>
        </w:tc>
        <w:tc>
          <w:tcPr>
            <w:tcW w:w="868" w:type="dxa"/>
          </w:tcPr>
          <w:p w:rsidR="00AD1390" w:rsidRPr="00BA76AF" w:rsidRDefault="00AD1390">
            <w:pPr>
              <w:pStyle w:val="Tabelltextsiffror"/>
            </w:pPr>
            <w:r w:rsidRPr="00BA76AF">
              <w:t>-41,6</w:t>
            </w:r>
          </w:p>
        </w:tc>
        <w:tc>
          <w:tcPr>
            <w:tcW w:w="868" w:type="dxa"/>
          </w:tcPr>
          <w:p w:rsidR="00AD1390" w:rsidRPr="00BA76AF" w:rsidRDefault="00AD1390">
            <w:pPr>
              <w:pStyle w:val="Tabelltextsiffror"/>
            </w:pPr>
            <w:r w:rsidRPr="00BA76AF">
              <w:t>-29,3</w:t>
            </w:r>
          </w:p>
        </w:tc>
      </w:tr>
      <w:tr w:rsidR="00000000" w:rsidRPr="00BA76AF">
        <w:tblPrEx>
          <w:tblCellMar>
            <w:top w:w="0" w:type="dxa"/>
            <w:bottom w:w="0" w:type="dxa"/>
          </w:tblCellMar>
        </w:tblPrEx>
        <w:tc>
          <w:tcPr>
            <w:tcW w:w="868" w:type="dxa"/>
          </w:tcPr>
          <w:p w:rsidR="00AD1390" w:rsidRPr="00BA76AF" w:rsidRDefault="00AD1390">
            <w:pPr>
              <w:pStyle w:val="Tabelltextsiffror"/>
              <w:jc w:val="left"/>
            </w:pPr>
            <w:r w:rsidRPr="00BA76AF">
              <w:t>1999</w:t>
            </w:r>
          </w:p>
        </w:tc>
        <w:tc>
          <w:tcPr>
            <w:tcW w:w="868" w:type="dxa"/>
          </w:tcPr>
          <w:p w:rsidR="00AD1390" w:rsidRPr="00BA76AF" w:rsidRDefault="00AD1390">
            <w:pPr>
              <w:pStyle w:val="Tabelltextsiffror"/>
            </w:pPr>
            <w:r w:rsidRPr="00BA76AF">
              <w:t>7 153</w:t>
            </w:r>
          </w:p>
        </w:tc>
        <w:tc>
          <w:tcPr>
            <w:tcW w:w="868" w:type="dxa"/>
          </w:tcPr>
          <w:p w:rsidR="00AD1390" w:rsidRPr="00BA76AF" w:rsidRDefault="00AD1390">
            <w:pPr>
              <w:pStyle w:val="Tabelltextsiffror"/>
            </w:pPr>
            <w:r w:rsidRPr="00BA76AF">
              <w:t>1 082</w:t>
            </w:r>
          </w:p>
        </w:tc>
        <w:tc>
          <w:tcPr>
            <w:tcW w:w="868" w:type="dxa"/>
            <w:gridSpan w:val="2"/>
          </w:tcPr>
          <w:p w:rsidR="00AD1390" w:rsidRPr="00BA76AF" w:rsidRDefault="00AD1390">
            <w:pPr>
              <w:pStyle w:val="Tabelltextsiffror"/>
            </w:pPr>
            <w:r w:rsidRPr="00BA76AF">
              <w:t>6 071</w:t>
            </w:r>
          </w:p>
        </w:tc>
        <w:tc>
          <w:tcPr>
            <w:tcW w:w="868" w:type="dxa"/>
          </w:tcPr>
          <w:p w:rsidR="00AD1390" w:rsidRPr="00BA76AF" w:rsidRDefault="00AD1390">
            <w:pPr>
              <w:pStyle w:val="Tabelltextsiffror"/>
            </w:pPr>
            <w:r w:rsidRPr="00BA76AF">
              <w:t>+118,5</w:t>
            </w:r>
          </w:p>
        </w:tc>
        <w:tc>
          <w:tcPr>
            <w:tcW w:w="868" w:type="dxa"/>
          </w:tcPr>
          <w:p w:rsidR="00AD1390" w:rsidRPr="00BA76AF" w:rsidRDefault="00AD1390">
            <w:pPr>
              <w:pStyle w:val="Tabelltextsiffror"/>
            </w:pPr>
            <w:r w:rsidRPr="00BA76AF">
              <w:t>-25,3</w:t>
            </w:r>
          </w:p>
        </w:tc>
        <w:tc>
          <w:tcPr>
            <w:tcW w:w="868" w:type="dxa"/>
          </w:tcPr>
          <w:p w:rsidR="00AD1390" w:rsidRPr="00BA76AF" w:rsidRDefault="00AD1390">
            <w:pPr>
              <w:pStyle w:val="Tabelltextsiffror"/>
            </w:pPr>
            <w:r w:rsidRPr="00BA76AF">
              <w:t>+232,8</w:t>
            </w:r>
          </w:p>
        </w:tc>
      </w:tr>
      <w:tr w:rsidR="00000000" w:rsidRPr="00BA76AF">
        <w:tblPrEx>
          <w:tblCellMar>
            <w:top w:w="0" w:type="dxa"/>
            <w:bottom w:w="0" w:type="dxa"/>
          </w:tblCellMar>
        </w:tblPrEx>
        <w:tc>
          <w:tcPr>
            <w:tcW w:w="868" w:type="dxa"/>
            <w:tcBorders>
              <w:bottom w:val="single" w:sz="4" w:space="0" w:color="auto"/>
            </w:tcBorders>
          </w:tcPr>
          <w:p w:rsidR="00AD1390" w:rsidRPr="00BA76AF" w:rsidRDefault="00AD1390">
            <w:pPr>
              <w:pStyle w:val="Tabelltextsiffror"/>
              <w:jc w:val="left"/>
            </w:pPr>
            <w:r w:rsidRPr="00BA76AF">
              <w:t>2000</w:t>
            </w:r>
          </w:p>
        </w:tc>
        <w:tc>
          <w:tcPr>
            <w:tcW w:w="868" w:type="dxa"/>
            <w:tcBorders>
              <w:bottom w:val="single" w:sz="4" w:space="0" w:color="auto"/>
            </w:tcBorders>
          </w:tcPr>
          <w:p w:rsidR="00AD1390" w:rsidRPr="00BA76AF" w:rsidRDefault="00AD1390">
            <w:pPr>
              <w:pStyle w:val="Tabelltextsiffror"/>
            </w:pPr>
            <w:r w:rsidRPr="00BA76AF">
              <w:t>4 640</w:t>
            </w:r>
          </w:p>
        </w:tc>
        <w:tc>
          <w:tcPr>
            <w:tcW w:w="868" w:type="dxa"/>
            <w:tcBorders>
              <w:bottom w:val="single" w:sz="4" w:space="0" w:color="auto"/>
            </w:tcBorders>
          </w:tcPr>
          <w:p w:rsidR="00AD1390" w:rsidRPr="00BA76AF" w:rsidRDefault="00AD1390">
            <w:pPr>
              <w:pStyle w:val="Tabelltextsiffror"/>
            </w:pPr>
            <w:r w:rsidRPr="00BA76AF">
              <w:t>2 369</w:t>
            </w:r>
          </w:p>
        </w:tc>
        <w:tc>
          <w:tcPr>
            <w:tcW w:w="868" w:type="dxa"/>
            <w:gridSpan w:val="2"/>
            <w:tcBorders>
              <w:bottom w:val="single" w:sz="4" w:space="0" w:color="auto"/>
            </w:tcBorders>
          </w:tcPr>
          <w:p w:rsidR="00AD1390" w:rsidRPr="00BA76AF" w:rsidRDefault="00AD1390">
            <w:pPr>
              <w:pStyle w:val="Tabelltextsiffror"/>
            </w:pPr>
            <w:r w:rsidRPr="00BA76AF">
              <w:t>2 271</w:t>
            </w:r>
          </w:p>
        </w:tc>
        <w:tc>
          <w:tcPr>
            <w:tcW w:w="868" w:type="dxa"/>
            <w:tcBorders>
              <w:bottom w:val="single" w:sz="4" w:space="0" w:color="auto"/>
            </w:tcBorders>
          </w:tcPr>
          <w:p w:rsidR="00AD1390" w:rsidRPr="00BA76AF" w:rsidRDefault="00AD1390">
            <w:pPr>
              <w:pStyle w:val="Tabelltextsiffror"/>
            </w:pPr>
            <w:r w:rsidRPr="00BA76AF">
              <w:t>-35,1</w:t>
            </w:r>
          </w:p>
        </w:tc>
        <w:tc>
          <w:tcPr>
            <w:tcW w:w="868" w:type="dxa"/>
            <w:tcBorders>
              <w:bottom w:val="single" w:sz="4" w:space="0" w:color="auto"/>
            </w:tcBorders>
          </w:tcPr>
          <w:p w:rsidR="00AD1390" w:rsidRPr="00BA76AF" w:rsidRDefault="00AD1390">
            <w:pPr>
              <w:pStyle w:val="Tabelltextsiffror"/>
            </w:pPr>
            <w:r w:rsidRPr="00BA76AF">
              <w:t>+118,9</w:t>
            </w:r>
          </w:p>
        </w:tc>
        <w:tc>
          <w:tcPr>
            <w:tcW w:w="868" w:type="dxa"/>
            <w:tcBorders>
              <w:bottom w:val="single" w:sz="4" w:space="0" w:color="auto"/>
            </w:tcBorders>
          </w:tcPr>
          <w:p w:rsidR="00AD1390" w:rsidRPr="00BA76AF" w:rsidRDefault="00AD1390">
            <w:pPr>
              <w:pStyle w:val="Tabelltextsiffror"/>
            </w:pPr>
            <w:r w:rsidRPr="00BA76AF">
              <w:t>-62,6</w:t>
            </w:r>
          </w:p>
        </w:tc>
      </w:tr>
    </w:tbl>
    <w:p w:rsidR="00AD1390" w:rsidRPr="00BA76AF" w:rsidRDefault="00AD1390">
      <w:pPr>
        <w:pStyle w:val="Rubrik3"/>
        <w:rPr>
          <w:noProof w:val="0"/>
        </w:rPr>
      </w:pPr>
      <w:bookmarkStart w:id="40" w:name="_Toc517757093"/>
      <w:r w:rsidRPr="00BA76AF">
        <w:rPr>
          <w:noProof w:val="0"/>
        </w:rPr>
        <w:t>Faktiska leveranser</w:t>
      </w:r>
      <w:bookmarkEnd w:id="40"/>
    </w:p>
    <w:p w:rsidR="00AD1390" w:rsidRPr="00BA76AF" w:rsidRDefault="00AD1390">
      <w:pPr>
        <w:rPr>
          <w:kern w:val="1"/>
        </w:rPr>
      </w:pPr>
      <w:r w:rsidRPr="00BA76AF">
        <w:rPr>
          <w:kern w:val="1"/>
        </w:rPr>
        <w:t>Inspektionen för strategiska produkters utförselstatistik grundar sig på expor</w:t>
      </w:r>
      <w:r w:rsidRPr="00BA76AF">
        <w:rPr>
          <w:kern w:val="1"/>
        </w:rPr>
        <w:t>t</w:t>
      </w:r>
      <w:r w:rsidRPr="00BA76AF">
        <w:rPr>
          <w:kern w:val="1"/>
        </w:rPr>
        <w:t xml:space="preserve">företagens lagstadgade redovisning av det fakturerade värdet av levererad materiel. Som framgår av tabell 2 nedan ökade den svenska exporten av krigsmateriel år 2000 med 19,6 % i förhållande till 1999 räknat i löpande priser. Ökningen i utförseln av övrig krigsmateriel (ÖK) var påtagligt större än ökningen vad gäller krigsmateriel för strid (KS): 28,4 %, jämfört med </w:t>
      </w:r>
      <w:r w:rsidRPr="00BA76AF">
        <w:rPr>
          <w:kern w:val="1"/>
        </w:rPr>
        <w:br/>
        <w:t>12,0 %. Krigsmaterielexportens andel av den totala varuexporten ökade oc</w:t>
      </w:r>
      <w:r w:rsidRPr="00BA76AF">
        <w:rPr>
          <w:kern w:val="1"/>
        </w:rPr>
        <w:t>k</w:t>
      </w:r>
      <w:r w:rsidRPr="00BA76AF">
        <w:rPr>
          <w:kern w:val="1"/>
        </w:rPr>
        <w:t>så, från 0,52 % till 0,55 %.</w:t>
      </w:r>
    </w:p>
    <w:p w:rsidR="00AD1390" w:rsidRPr="00BA76AF" w:rsidRDefault="00AD1390">
      <w:pPr>
        <w:pStyle w:val="Normaltindrag"/>
        <w:rPr>
          <w:kern w:val="1"/>
        </w:rPr>
      </w:pPr>
      <w:r w:rsidRPr="00BA76AF">
        <w:rPr>
          <w:kern w:val="1"/>
        </w:rPr>
        <w:t>Förändringar från ett år till ett annat</w:t>
      </w:r>
      <w:r w:rsidRPr="00BA76AF">
        <w:rPr>
          <w:kern w:val="1"/>
        </w:rPr>
        <w:t xml:space="preserve"> i den statistik som redovisas ovan ger i sig inte underlag för en mer långsiktig bedömning av utvecklingstendenser. En enstaka större leverans ett år kan medföra kraftiga utslag i statistiken. Utvecklingen på exportmarknaderna har under den senaste tioårsperioden präglats av det kalla krigets slut, vilket medfört att många försvarsmakter skurit ned sina försvarsmaterielanslag. Den effekt som exportmarknadernas tillbakagång har haft på svensk krigsmaterielexport har delvis maskerats genom den breddning av k</w:t>
      </w:r>
      <w:r w:rsidRPr="00BA76AF">
        <w:rPr>
          <w:kern w:val="1"/>
        </w:rPr>
        <w:t>rigsmaterielbegreppet som ägde rum år 1993, och som innebar att många nya materielslag för första gången medtogs i utförsel</w:t>
      </w:r>
      <w:r w:rsidRPr="00BA76AF">
        <w:rPr>
          <w:kern w:val="1"/>
        </w:rPr>
        <w:softHyphen/>
        <w:t>statistiken.</w:t>
      </w:r>
    </w:p>
    <w:p w:rsidR="00AD1390" w:rsidRPr="00BA76AF" w:rsidRDefault="00AD1390">
      <w:pPr>
        <w:pStyle w:val="Tabellrubrik"/>
      </w:pPr>
      <w:r w:rsidRPr="00BA76AF">
        <w:t>Tabell 2. Värdet av svensk krigsmaterielexport under åren 1989–1999 i löpa</w:t>
      </w:r>
      <w:r w:rsidRPr="00BA76AF">
        <w:t>n</w:t>
      </w:r>
      <w:r w:rsidRPr="00BA76AF">
        <w:t>de priser</w:t>
      </w:r>
    </w:p>
    <w:p w:rsidR="00AD1390" w:rsidRPr="00BA76AF" w:rsidRDefault="00AD1390">
      <w:pPr>
        <w:pStyle w:val="Tabelltext"/>
      </w:pPr>
    </w:p>
    <w:tbl>
      <w:tblPr>
        <w:tblW w:w="0" w:type="auto"/>
        <w:tblInd w:w="-108" w:type="dxa"/>
        <w:tblLayout w:type="fixed"/>
        <w:tblLook w:val="0000" w:firstRow="0" w:lastRow="0" w:firstColumn="0" w:lastColumn="0" w:noHBand="0" w:noVBand="0"/>
      </w:tblPr>
      <w:tblGrid>
        <w:gridCol w:w="646"/>
        <w:gridCol w:w="845"/>
        <w:gridCol w:w="615"/>
        <w:gridCol w:w="692"/>
        <w:gridCol w:w="668"/>
        <w:gridCol w:w="670"/>
        <w:gridCol w:w="702"/>
        <w:gridCol w:w="668"/>
        <w:gridCol w:w="660"/>
        <w:gridCol w:w="7"/>
      </w:tblGrid>
      <w:tr w:rsidR="00000000" w:rsidRPr="00BA76AF">
        <w:tblPrEx>
          <w:tblCellMar>
            <w:top w:w="0" w:type="dxa"/>
            <w:bottom w:w="0" w:type="dxa"/>
          </w:tblCellMar>
        </w:tblPrEx>
        <w:trPr>
          <w:gridAfter w:val="1"/>
          <w:wAfter w:w="7" w:type="dxa"/>
          <w:cantSplit/>
          <w:trHeight w:val="335"/>
        </w:trPr>
        <w:tc>
          <w:tcPr>
            <w:tcW w:w="646" w:type="dxa"/>
            <w:tcBorders>
              <w:top w:val="single" w:sz="4" w:space="0" w:color="auto"/>
            </w:tcBorders>
          </w:tcPr>
          <w:p w:rsidR="00AD1390" w:rsidRPr="00BA76AF" w:rsidRDefault="00AD1390">
            <w:pPr>
              <w:pStyle w:val="Tabelltext"/>
            </w:pPr>
            <w:r w:rsidRPr="00BA76AF">
              <w:t>År</w:t>
            </w:r>
          </w:p>
        </w:tc>
        <w:tc>
          <w:tcPr>
            <w:tcW w:w="845" w:type="dxa"/>
            <w:vMerge w:val="restart"/>
            <w:tcBorders>
              <w:top w:val="single" w:sz="4" w:space="0" w:color="auto"/>
              <w:bottom w:val="single" w:sz="4" w:space="0" w:color="auto"/>
            </w:tcBorders>
          </w:tcPr>
          <w:p w:rsidR="00AD1390" w:rsidRPr="00BA76AF" w:rsidRDefault="00AD1390">
            <w:pPr>
              <w:pStyle w:val="Tabelltext"/>
              <w:rPr>
                <w:kern w:val="1"/>
              </w:rPr>
            </w:pPr>
            <w:r w:rsidRPr="00BA76AF">
              <w:rPr>
                <w:kern w:val="1"/>
              </w:rPr>
              <w:t>Sveriges totala varue</w:t>
            </w:r>
            <w:r w:rsidRPr="00BA76AF">
              <w:rPr>
                <w:kern w:val="1"/>
              </w:rPr>
              <w:t>x</w:t>
            </w:r>
            <w:r w:rsidRPr="00BA76AF">
              <w:rPr>
                <w:kern w:val="1"/>
              </w:rPr>
              <w:t>port (löpande priser) mnkr</w:t>
            </w:r>
          </w:p>
        </w:tc>
        <w:tc>
          <w:tcPr>
            <w:tcW w:w="4672" w:type="dxa"/>
            <w:gridSpan w:val="7"/>
            <w:tcBorders>
              <w:top w:val="single" w:sz="4" w:space="0" w:color="auto"/>
              <w:bottom w:val="single" w:sz="4" w:space="0" w:color="auto"/>
            </w:tcBorders>
          </w:tcPr>
          <w:p w:rsidR="00AD1390" w:rsidRPr="00BA76AF" w:rsidRDefault="00AD1390">
            <w:pPr>
              <w:pStyle w:val="Tabelltext"/>
              <w:rPr>
                <w:kern w:val="1"/>
              </w:rPr>
            </w:pPr>
            <w:r w:rsidRPr="00BA76AF">
              <w:rPr>
                <w:kern w:val="1"/>
              </w:rPr>
              <w:t>Krigsmaterielexport</w:t>
            </w:r>
          </w:p>
        </w:tc>
      </w:tr>
      <w:tr w:rsidR="00000000" w:rsidRPr="00BA76AF">
        <w:tblPrEx>
          <w:tblCellMar>
            <w:top w:w="0" w:type="dxa"/>
            <w:bottom w:w="0" w:type="dxa"/>
          </w:tblCellMar>
        </w:tblPrEx>
        <w:trPr>
          <w:gridAfter w:val="1"/>
          <w:wAfter w:w="4" w:type="dxa"/>
          <w:cantSplit/>
        </w:trPr>
        <w:tc>
          <w:tcPr>
            <w:tcW w:w="646" w:type="dxa"/>
          </w:tcPr>
          <w:p w:rsidR="00AD1390" w:rsidRPr="00BA76AF" w:rsidRDefault="00AD1390">
            <w:pPr>
              <w:pStyle w:val="Tabelltextsiffror"/>
            </w:pPr>
          </w:p>
        </w:tc>
        <w:tc>
          <w:tcPr>
            <w:tcW w:w="845" w:type="dxa"/>
            <w:vMerge/>
          </w:tcPr>
          <w:p w:rsidR="00AD1390" w:rsidRPr="00BA76AF" w:rsidRDefault="00AD1390">
            <w:pPr>
              <w:pStyle w:val="Tabelltext"/>
              <w:rPr>
                <w:kern w:val="1"/>
              </w:rPr>
            </w:pPr>
          </w:p>
        </w:tc>
        <w:tc>
          <w:tcPr>
            <w:tcW w:w="615" w:type="dxa"/>
          </w:tcPr>
          <w:p w:rsidR="00AD1390" w:rsidRPr="00BA76AF" w:rsidRDefault="00AD1390">
            <w:pPr>
              <w:pStyle w:val="Tabelltext"/>
              <w:rPr>
                <w:kern w:val="1"/>
              </w:rPr>
            </w:pPr>
            <w:r w:rsidRPr="00BA76AF">
              <w:rPr>
                <w:kern w:val="1"/>
              </w:rPr>
              <w:t>Andel av var</w:t>
            </w:r>
            <w:r w:rsidRPr="00BA76AF">
              <w:rPr>
                <w:kern w:val="1"/>
              </w:rPr>
              <w:t>u</w:t>
            </w:r>
            <w:r w:rsidRPr="00BA76AF">
              <w:rPr>
                <w:kern w:val="1"/>
              </w:rPr>
              <w:t>exp. %</w:t>
            </w:r>
          </w:p>
        </w:tc>
        <w:tc>
          <w:tcPr>
            <w:tcW w:w="2030" w:type="dxa"/>
            <w:gridSpan w:val="3"/>
            <w:tcBorders>
              <w:bottom w:val="single" w:sz="4" w:space="0" w:color="auto"/>
            </w:tcBorders>
          </w:tcPr>
          <w:p w:rsidR="00AD1390" w:rsidRPr="00BA76AF" w:rsidRDefault="00AD1390">
            <w:pPr>
              <w:pStyle w:val="Tabelltext"/>
              <w:rPr>
                <w:kern w:val="1"/>
              </w:rPr>
            </w:pPr>
          </w:p>
          <w:p w:rsidR="00AD1390" w:rsidRPr="00BA76AF" w:rsidRDefault="00AD1390">
            <w:pPr>
              <w:pStyle w:val="Tabelltext"/>
              <w:rPr>
                <w:kern w:val="1"/>
              </w:rPr>
            </w:pPr>
          </w:p>
          <w:p w:rsidR="00AD1390" w:rsidRPr="00BA76AF" w:rsidRDefault="00AD1390">
            <w:pPr>
              <w:pStyle w:val="Tabelltext"/>
              <w:rPr>
                <w:kern w:val="1"/>
              </w:rPr>
            </w:pPr>
            <w:r w:rsidRPr="00BA76AF">
              <w:rPr>
                <w:kern w:val="1"/>
              </w:rPr>
              <w:t>Löpande priser mkr</w:t>
            </w:r>
          </w:p>
          <w:p w:rsidR="00AD1390" w:rsidRPr="00BA76AF" w:rsidRDefault="00AD1390">
            <w:pPr>
              <w:pStyle w:val="Tabelltext"/>
              <w:rPr>
                <w:kern w:val="1"/>
              </w:rPr>
            </w:pPr>
          </w:p>
        </w:tc>
        <w:tc>
          <w:tcPr>
            <w:tcW w:w="2030" w:type="dxa"/>
            <w:gridSpan w:val="3"/>
            <w:tcBorders>
              <w:bottom w:val="single" w:sz="4" w:space="0" w:color="auto"/>
            </w:tcBorders>
          </w:tcPr>
          <w:p w:rsidR="00AD1390" w:rsidRPr="00BA76AF" w:rsidRDefault="00AD1390">
            <w:pPr>
              <w:pStyle w:val="Tabelltext"/>
              <w:rPr>
                <w:kern w:val="1"/>
              </w:rPr>
            </w:pPr>
          </w:p>
          <w:p w:rsidR="00AD1390" w:rsidRPr="00BA76AF" w:rsidRDefault="00AD1390">
            <w:pPr>
              <w:pStyle w:val="Tabelltext"/>
              <w:rPr>
                <w:kern w:val="1"/>
              </w:rPr>
            </w:pPr>
          </w:p>
          <w:p w:rsidR="00AD1390" w:rsidRPr="00BA76AF" w:rsidRDefault="00AD1390">
            <w:pPr>
              <w:pStyle w:val="Tabelltext"/>
              <w:rPr>
                <w:kern w:val="1"/>
              </w:rPr>
            </w:pPr>
            <w:r w:rsidRPr="00BA76AF">
              <w:rPr>
                <w:kern w:val="1"/>
              </w:rPr>
              <w:t>Förändring i %</w:t>
            </w:r>
          </w:p>
          <w:p w:rsidR="00AD1390" w:rsidRPr="00BA76AF" w:rsidRDefault="00AD1390">
            <w:pPr>
              <w:pStyle w:val="Tabelltext"/>
              <w:rPr>
                <w:kern w:val="1"/>
              </w:rPr>
            </w:pPr>
          </w:p>
        </w:tc>
      </w:tr>
      <w:tr w:rsidR="00000000" w:rsidRPr="00BA76AF">
        <w:tblPrEx>
          <w:tblCellMar>
            <w:top w:w="0" w:type="dxa"/>
            <w:bottom w:w="0" w:type="dxa"/>
          </w:tblCellMar>
        </w:tblPrEx>
        <w:trPr>
          <w:cantSplit/>
        </w:trPr>
        <w:tc>
          <w:tcPr>
            <w:tcW w:w="646" w:type="dxa"/>
            <w:tcBorders>
              <w:top w:val="single" w:sz="4" w:space="0" w:color="auto"/>
            </w:tcBorders>
          </w:tcPr>
          <w:p w:rsidR="00AD1390" w:rsidRPr="00BA76AF" w:rsidRDefault="00AD1390">
            <w:pPr>
              <w:pStyle w:val="Tabelltextsiffror"/>
            </w:pPr>
          </w:p>
        </w:tc>
        <w:tc>
          <w:tcPr>
            <w:tcW w:w="845" w:type="dxa"/>
            <w:tcBorders>
              <w:top w:val="single" w:sz="4" w:space="0" w:color="auto"/>
            </w:tcBorders>
          </w:tcPr>
          <w:p w:rsidR="00AD1390" w:rsidRPr="00BA76AF" w:rsidRDefault="00AD1390">
            <w:pPr>
              <w:pStyle w:val="Tabelltext"/>
              <w:jc w:val="right"/>
              <w:rPr>
                <w:kern w:val="1"/>
              </w:rPr>
            </w:pPr>
          </w:p>
        </w:tc>
        <w:tc>
          <w:tcPr>
            <w:tcW w:w="615" w:type="dxa"/>
            <w:tcBorders>
              <w:top w:val="single" w:sz="4" w:space="0" w:color="auto"/>
            </w:tcBorders>
          </w:tcPr>
          <w:p w:rsidR="00AD1390" w:rsidRPr="00BA76AF" w:rsidRDefault="00AD1390">
            <w:pPr>
              <w:pStyle w:val="Tabelltext"/>
              <w:jc w:val="right"/>
              <w:rPr>
                <w:kern w:val="1"/>
              </w:rPr>
            </w:pPr>
          </w:p>
        </w:tc>
        <w:tc>
          <w:tcPr>
            <w:tcW w:w="692" w:type="dxa"/>
          </w:tcPr>
          <w:p w:rsidR="00AD1390" w:rsidRPr="00BA76AF" w:rsidRDefault="00AD1390">
            <w:pPr>
              <w:pStyle w:val="Tabelltext"/>
              <w:jc w:val="right"/>
              <w:rPr>
                <w:b/>
                <w:kern w:val="1"/>
              </w:rPr>
            </w:pPr>
            <w:r w:rsidRPr="00BA76AF">
              <w:rPr>
                <w:b/>
                <w:kern w:val="1"/>
              </w:rPr>
              <w:t>Totalt</w:t>
            </w:r>
          </w:p>
        </w:tc>
        <w:tc>
          <w:tcPr>
            <w:tcW w:w="668" w:type="dxa"/>
          </w:tcPr>
          <w:p w:rsidR="00AD1390" w:rsidRPr="00BA76AF" w:rsidRDefault="00AD1390">
            <w:pPr>
              <w:pStyle w:val="Tabelltext"/>
              <w:jc w:val="right"/>
            </w:pPr>
            <w:r w:rsidRPr="00BA76AF">
              <w:t>KS</w:t>
            </w:r>
          </w:p>
        </w:tc>
        <w:tc>
          <w:tcPr>
            <w:tcW w:w="667" w:type="dxa"/>
          </w:tcPr>
          <w:p w:rsidR="00AD1390" w:rsidRPr="00BA76AF" w:rsidRDefault="00AD1390">
            <w:pPr>
              <w:pStyle w:val="Tabelltext"/>
              <w:jc w:val="right"/>
            </w:pPr>
            <w:r w:rsidRPr="00BA76AF">
              <w:t>ÖK</w:t>
            </w:r>
          </w:p>
        </w:tc>
        <w:tc>
          <w:tcPr>
            <w:tcW w:w="702" w:type="dxa"/>
          </w:tcPr>
          <w:p w:rsidR="00AD1390" w:rsidRPr="00BA76AF" w:rsidRDefault="00AD1390">
            <w:pPr>
              <w:pStyle w:val="Tabelltext"/>
              <w:jc w:val="right"/>
              <w:rPr>
                <w:b/>
                <w:kern w:val="1"/>
              </w:rPr>
            </w:pPr>
            <w:r w:rsidRPr="00BA76AF">
              <w:rPr>
                <w:b/>
                <w:kern w:val="1"/>
              </w:rPr>
              <w:t>Totalt</w:t>
            </w:r>
          </w:p>
        </w:tc>
        <w:tc>
          <w:tcPr>
            <w:tcW w:w="668" w:type="dxa"/>
          </w:tcPr>
          <w:p w:rsidR="00AD1390" w:rsidRPr="00BA76AF" w:rsidRDefault="00AD1390">
            <w:pPr>
              <w:pStyle w:val="Tabelltext"/>
              <w:jc w:val="right"/>
            </w:pPr>
            <w:r w:rsidRPr="00BA76AF">
              <w:t>KS</w:t>
            </w:r>
          </w:p>
        </w:tc>
        <w:tc>
          <w:tcPr>
            <w:tcW w:w="667" w:type="dxa"/>
            <w:gridSpan w:val="2"/>
          </w:tcPr>
          <w:p w:rsidR="00AD1390" w:rsidRPr="00BA76AF" w:rsidRDefault="00AD1390">
            <w:pPr>
              <w:pStyle w:val="Tabelltext"/>
              <w:jc w:val="right"/>
            </w:pPr>
            <w:r w:rsidRPr="00BA76AF">
              <w:t>ÖK</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1989</w:t>
            </w:r>
          </w:p>
        </w:tc>
        <w:tc>
          <w:tcPr>
            <w:tcW w:w="845" w:type="dxa"/>
          </w:tcPr>
          <w:p w:rsidR="00AD1390" w:rsidRPr="00BA76AF" w:rsidRDefault="00AD1390">
            <w:pPr>
              <w:pStyle w:val="Tabelltextsiffror"/>
            </w:pPr>
            <w:r w:rsidRPr="00BA76AF">
              <w:rPr>
                <w:spacing w:val="-3"/>
                <w:kern w:val="1"/>
              </w:rPr>
              <w:t>332 580</w:t>
            </w:r>
          </w:p>
        </w:tc>
        <w:tc>
          <w:tcPr>
            <w:tcW w:w="615" w:type="dxa"/>
          </w:tcPr>
          <w:p w:rsidR="00AD1390" w:rsidRPr="00BA76AF" w:rsidRDefault="00AD1390">
            <w:pPr>
              <w:pStyle w:val="Tabelltextsiffror"/>
            </w:pPr>
            <w:r w:rsidRPr="00BA76AF">
              <w:rPr>
                <w:spacing w:val="-3"/>
                <w:kern w:val="1"/>
              </w:rPr>
              <w:t>1,81</w:t>
            </w:r>
          </w:p>
        </w:tc>
        <w:tc>
          <w:tcPr>
            <w:tcW w:w="692" w:type="dxa"/>
            <w:tcBorders>
              <w:top w:val="single" w:sz="4" w:space="0" w:color="auto"/>
            </w:tcBorders>
          </w:tcPr>
          <w:p w:rsidR="00AD1390" w:rsidRPr="00BA76AF" w:rsidRDefault="00AD1390">
            <w:pPr>
              <w:pStyle w:val="Tabelltextsiffror"/>
              <w:rPr>
                <w:b/>
              </w:rPr>
            </w:pPr>
            <w:r w:rsidRPr="00BA76AF">
              <w:rPr>
                <w:b/>
                <w:spacing w:val="-3"/>
                <w:kern w:val="1"/>
              </w:rPr>
              <w:t>6 005</w:t>
            </w:r>
          </w:p>
        </w:tc>
        <w:tc>
          <w:tcPr>
            <w:tcW w:w="668" w:type="dxa"/>
            <w:tcBorders>
              <w:top w:val="single" w:sz="4" w:space="0" w:color="auto"/>
            </w:tcBorders>
          </w:tcPr>
          <w:p w:rsidR="00AD1390" w:rsidRPr="00BA76AF" w:rsidRDefault="00AD1390">
            <w:pPr>
              <w:pStyle w:val="Tabelltextsiffror"/>
            </w:pPr>
            <w:r w:rsidRPr="00BA76AF">
              <w:t>-</w:t>
            </w:r>
          </w:p>
        </w:tc>
        <w:tc>
          <w:tcPr>
            <w:tcW w:w="667" w:type="dxa"/>
            <w:tcBorders>
              <w:top w:val="single" w:sz="4" w:space="0" w:color="auto"/>
            </w:tcBorders>
          </w:tcPr>
          <w:p w:rsidR="00AD1390" w:rsidRPr="00BA76AF" w:rsidRDefault="00AD1390">
            <w:pPr>
              <w:pStyle w:val="Tabelltextsiffror"/>
            </w:pPr>
            <w:r w:rsidRPr="00BA76AF">
              <w:t>-</w:t>
            </w:r>
          </w:p>
        </w:tc>
        <w:tc>
          <w:tcPr>
            <w:tcW w:w="702" w:type="dxa"/>
            <w:tcBorders>
              <w:top w:val="single" w:sz="4" w:space="0" w:color="auto"/>
            </w:tcBorders>
          </w:tcPr>
          <w:p w:rsidR="00AD1390" w:rsidRPr="00BA76AF" w:rsidRDefault="00AD1390">
            <w:pPr>
              <w:pStyle w:val="Tabelltextsiffror"/>
              <w:rPr>
                <w:b/>
              </w:rPr>
            </w:pPr>
            <w:r w:rsidRPr="00BA76AF">
              <w:rPr>
                <w:b/>
                <w:spacing w:val="-3"/>
                <w:kern w:val="1"/>
              </w:rPr>
              <w:t>-2,4</w:t>
            </w:r>
          </w:p>
        </w:tc>
        <w:tc>
          <w:tcPr>
            <w:tcW w:w="668" w:type="dxa"/>
            <w:tcBorders>
              <w:top w:val="single" w:sz="4" w:space="0" w:color="auto"/>
            </w:tcBorders>
          </w:tcPr>
          <w:p w:rsidR="00AD1390" w:rsidRPr="00BA76AF" w:rsidRDefault="00AD1390">
            <w:pPr>
              <w:pStyle w:val="Tabelltextsiffror"/>
            </w:pPr>
            <w:r w:rsidRPr="00BA76AF">
              <w:t>-</w:t>
            </w:r>
          </w:p>
        </w:tc>
        <w:tc>
          <w:tcPr>
            <w:tcW w:w="667" w:type="dxa"/>
            <w:gridSpan w:val="2"/>
            <w:tcBorders>
              <w:top w:val="single" w:sz="4" w:space="0" w:color="auto"/>
            </w:tcBorders>
          </w:tcPr>
          <w:p w:rsidR="00AD1390" w:rsidRPr="00BA76AF" w:rsidRDefault="00AD1390">
            <w:pPr>
              <w:pStyle w:val="Tabelltextsiffror"/>
            </w:pPr>
            <w:r w:rsidRPr="00BA76AF">
              <w:t>-</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1990</w:t>
            </w:r>
          </w:p>
        </w:tc>
        <w:tc>
          <w:tcPr>
            <w:tcW w:w="845" w:type="dxa"/>
          </w:tcPr>
          <w:p w:rsidR="00AD1390" w:rsidRPr="00BA76AF" w:rsidRDefault="00AD1390">
            <w:pPr>
              <w:pStyle w:val="Tabelltextsiffror"/>
            </w:pPr>
            <w:r w:rsidRPr="00BA76AF">
              <w:rPr>
                <w:spacing w:val="-3"/>
                <w:kern w:val="1"/>
              </w:rPr>
              <w:t>339 850</w:t>
            </w:r>
          </w:p>
        </w:tc>
        <w:tc>
          <w:tcPr>
            <w:tcW w:w="615" w:type="dxa"/>
          </w:tcPr>
          <w:p w:rsidR="00AD1390" w:rsidRPr="00BA76AF" w:rsidRDefault="00AD1390">
            <w:pPr>
              <w:pStyle w:val="Tabelltextsiffror"/>
            </w:pPr>
            <w:r w:rsidRPr="00BA76AF">
              <w:rPr>
                <w:spacing w:val="-3"/>
                <w:kern w:val="1"/>
              </w:rPr>
              <w:t>0,98</w:t>
            </w:r>
          </w:p>
        </w:tc>
        <w:tc>
          <w:tcPr>
            <w:tcW w:w="692" w:type="dxa"/>
          </w:tcPr>
          <w:p w:rsidR="00AD1390" w:rsidRPr="00BA76AF" w:rsidRDefault="00AD1390">
            <w:pPr>
              <w:pStyle w:val="Tabelltextsiffror"/>
              <w:rPr>
                <w:b/>
              </w:rPr>
            </w:pPr>
            <w:r w:rsidRPr="00BA76AF">
              <w:rPr>
                <w:b/>
                <w:spacing w:val="-3"/>
                <w:kern w:val="1"/>
              </w:rPr>
              <w:t>3 327</w:t>
            </w:r>
          </w:p>
        </w:tc>
        <w:tc>
          <w:tcPr>
            <w:tcW w:w="668" w:type="dxa"/>
          </w:tcPr>
          <w:p w:rsidR="00AD1390" w:rsidRPr="00BA76AF" w:rsidRDefault="00AD1390">
            <w:pPr>
              <w:pStyle w:val="Tabelltextsiffror"/>
            </w:pPr>
            <w:r w:rsidRPr="00BA76AF">
              <w:t>-</w:t>
            </w:r>
          </w:p>
        </w:tc>
        <w:tc>
          <w:tcPr>
            <w:tcW w:w="667" w:type="dxa"/>
          </w:tcPr>
          <w:p w:rsidR="00AD1390" w:rsidRPr="00BA76AF" w:rsidRDefault="00AD1390">
            <w:pPr>
              <w:pStyle w:val="Tabelltextsiffror"/>
            </w:pPr>
            <w:r w:rsidRPr="00BA76AF">
              <w:t>-</w:t>
            </w:r>
          </w:p>
        </w:tc>
        <w:tc>
          <w:tcPr>
            <w:tcW w:w="702" w:type="dxa"/>
          </w:tcPr>
          <w:p w:rsidR="00AD1390" w:rsidRPr="00BA76AF" w:rsidRDefault="00AD1390">
            <w:pPr>
              <w:pStyle w:val="Tabelltextsiffror"/>
              <w:rPr>
                <w:b/>
              </w:rPr>
            </w:pPr>
            <w:r w:rsidRPr="00BA76AF">
              <w:rPr>
                <w:b/>
                <w:spacing w:val="-3"/>
                <w:kern w:val="1"/>
              </w:rPr>
              <w:t>-44,6</w:t>
            </w:r>
          </w:p>
        </w:tc>
        <w:tc>
          <w:tcPr>
            <w:tcW w:w="668" w:type="dxa"/>
          </w:tcPr>
          <w:p w:rsidR="00AD1390" w:rsidRPr="00BA76AF" w:rsidRDefault="00AD1390">
            <w:pPr>
              <w:pStyle w:val="Tabelltextsiffror"/>
            </w:pPr>
            <w:r w:rsidRPr="00BA76AF">
              <w:t>-</w:t>
            </w:r>
          </w:p>
        </w:tc>
        <w:tc>
          <w:tcPr>
            <w:tcW w:w="667" w:type="dxa"/>
            <w:gridSpan w:val="2"/>
          </w:tcPr>
          <w:p w:rsidR="00AD1390" w:rsidRPr="00BA76AF" w:rsidRDefault="00AD1390">
            <w:pPr>
              <w:pStyle w:val="Tabelltextsiffror"/>
            </w:pPr>
            <w:r w:rsidRPr="00BA76AF">
              <w:t>-</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1991</w:t>
            </w:r>
          </w:p>
        </w:tc>
        <w:tc>
          <w:tcPr>
            <w:tcW w:w="845" w:type="dxa"/>
          </w:tcPr>
          <w:p w:rsidR="00AD1390" w:rsidRPr="00BA76AF" w:rsidRDefault="00AD1390">
            <w:pPr>
              <w:pStyle w:val="Tabelltextsiffror"/>
            </w:pPr>
            <w:r w:rsidRPr="00BA76AF">
              <w:rPr>
                <w:spacing w:val="-3"/>
                <w:kern w:val="1"/>
              </w:rPr>
              <w:t>332 779</w:t>
            </w:r>
          </w:p>
        </w:tc>
        <w:tc>
          <w:tcPr>
            <w:tcW w:w="615" w:type="dxa"/>
          </w:tcPr>
          <w:p w:rsidR="00AD1390" w:rsidRPr="00BA76AF" w:rsidRDefault="00AD1390">
            <w:pPr>
              <w:pStyle w:val="Tabelltextsiffror"/>
            </w:pPr>
            <w:r w:rsidRPr="00BA76AF">
              <w:rPr>
                <w:spacing w:val="-3"/>
                <w:kern w:val="1"/>
              </w:rPr>
              <w:t>0,81</w:t>
            </w:r>
          </w:p>
        </w:tc>
        <w:tc>
          <w:tcPr>
            <w:tcW w:w="692" w:type="dxa"/>
          </w:tcPr>
          <w:p w:rsidR="00AD1390" w:rsidRPr="00BA76AF" w:rsidRDefault="00AD1390">
            <w:pPr>
              <w:pStyle w:val="Tabelltextsiffror"/>
              <w:rPr>
                <w:b/>
              </w:rPr>
            </w:pPr>
            <w:r w:rsidRPr="00BA76AF">
              <w:rPr>
                <w:b/>
                <w:spacing w:val="-3"/>
                <w:kern w:val="1"/>
              </w:rPr>
              <w:t>2 705</w:t>
            </w:r>
          </w:p>
        </w:tc>
        <w:tc>
          <w:tcPr>
            <w:tcW w:w="668" w:type="dxa"/>
          </w:tcPr>
          <w:p w:rsidR="00AD1390" w:rsidRPr="00BA76AF" w:rsidRDefault="00AD1390">
            <w:pPr>
              <w:pStyle w:val="Tabelltextsiffror"/>
            </w:pPr>
            <w:r w:rsidRPr="00BA76AF">
              <w:t>-</w:t>
            </w:r>
          </w:p>
        </w:tc>
        <w:tc>
          <w:tcPr>
            <w:tcW w:w="667" w:type="dxa"/>
          </w:tcPr>
          <w:p w:rsidR="00AD1390" w:rsidRPr="00BA76AF" w:rsidRDefault="00AD1390">
            <w:pPr>
              <w:pStyle w:val="Tabelltextsiffror"/>
            </w:pPr>
            <w:r w:rsidRPr="00BA76AF">
              <w:t>-</w:t>
            </w:r>
          </w:p>
        </w:tc>
        <w:tc>
          <w:tcPr>
            <w:tcW w:w="702" w:type="dxa"/>
          </w:tcPr>
          <w:p w:rsidR="00AD1390" w:rsidRPr="00BA76AF" w:rsidRDefault="00AD1390">
            <w:pPr>
              <w:pStyle w:val="Tabelltextsiffror"/>
              <w:rPr>
                <w:b/>
              </w:rPr>
            </w:pPr>
            <w:r w:rsidRPr="00BA76AF">
              <w:rPr>
                <w:b/>
                <w:spacing w:val="-3"/>
                <w:kern w:val="1"/>
              </w:rPr>
              <w:t>-18,7</w:t>
            </w:r>
          </w:p>
        </w:tc>
        <w:tc>
          <w:tcPr>
            <w:tcW w:w="668" w:type="dxa"/>
          </w:tcPr>
          <w:p w:rsidR="00AD1390" w:rsidRPr="00BA76AF" w:rsidRDefault="00AD1390">
            <w:pPr>
              <w:pStyle w:val="Tabelltextsiffror"/>
            </w:pPr>
            <w:r w:rsidRPr="00BA76AF">
              <w:t>-</w:t>
            </w:r>
          </w:p>
        </w:tc>
        <w:tc>
          <w:tcPr>
            <w:tcW w:w="667" w:type="dxa"/>
            <w:gridSpan w:val="2"/>
          </w:tcPr>
          <w:p w:rsidR="00AD1390" w:rsidRPr="00BA76AF" w:rsidRDefault="00AD1390">
            <w:pPr>
              <w:pStyle w:val="Tabelltextsiffror"/>
            </w:pPr>
            <w:r w:rsidRPr="00BA76AF">
              <w:t>-</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1992</w:t>
            </w:r>
          </w:p>
        </w:tc>
        <w:tc>
          <w:tcPr>
            <w:tcW w:w="845" w:type="dxa"/>
          </w:tcPr>
          <w:p w:rsidR="00AD1390" w:rsidRPr="00BA76AF" w:rsidRDefault="00AD1390">
            <w:pPr>
              <w:pStyle w:val="Tabelltextsiffror"/>
            </w:pPr>
            <w:r w:rsidRPr="00BA76AF">
              <w:rPr>
                <w:spacing w:val="-3"/>
                <w:kern w:val="1"/>
              </w:rPr>
              <w:t>326 031</w:t>
            </w:r>
          </w:p>
        </w:tc>
        <w:tc>
          <w:tcPr>
            <w:tcW w:w="615" w:type="dxa"/>
          </w:tcPr>
          <w:p w:rsidR="00AD1390" w:rsidRPr="00BA76AF" w:rsidRDefault="00AD1390">
            <w:pPr>
              <w:pStyle w:val="Tabelltextsiffror"/>
            </w:pPr>
            <w:r w:rsidRPr="00BA76AF">
              <w:rPr>
                <w:spacing w:val="-3"/>
                <w:kern w:val="1"/>
              </w:rPr>
              <w:t>0,84</w:t>
            </w:r>
          </w:p>
        </w:tc>
        <w:tc>
          <w:tcPr>
            <w:tcW w:w="692" w:type="dxa"/>
          </w:tcPr>
          <w:p w:rsidR="00AD1390" w:rsidRPr="00BA76AF" w:rsidRDefault="00AD1390">
            <w:pPr>
              <w:pStyle w:val="Tabelltextsiffror"/>
              <w:rPr>
                <w:b/>
              </w:rPr>
            </w:pPr>
            <w:r w:rsidRPr="00BA76AF">
              <w:rPr>
                <w:b/>
                <w:spacing w:val="-3"/>
                <w:kern w:val="1"/>
              </w:rPr>
              <w:t>2 753</w:t>
            </w:r>
          </w:p>
        </w:tc>
        <w:tc>
          <w:tcPr>
            <w:tcW w:w="668" w:type="dxa"/>
          </w:tcPr>
          <w:p w:rsidR="00AD1390" w:rsidRPr="00BA76AF" w:rsidRDefault="00AD1390">
            <w:pPr>
              <w:pStyle w:val="Tabelltextsiffror"/>
            </w:pPr>
            <w:r w:rsidRPr="00BA76AF">
              <w:t>-</w:t>
            </w:r>
          </w:p>
        </w:tc>
        <w:tc>
          <w:tcPr>
            <w:tcW w:w="667" w:type="dxa"/>
          </w:tcPr>
          <w:p w:rsidR="00AD1390" w:rsidRPr="00BA76AF" w:rsidRDefault="00AD1390">
            <w:pPr>
              <w:pStyle w:val="Tabelltextsiffror"/>
            </w:pPr>
            <w:r w:rsidRPr="00BA76AF">
              <w:t>-</w:t>
            </w:r>
          </w:p>
        </w:tc>
        <w:tc>
          <w:tcPr>
            <w:tcW w:w="702" w:type="dxa"/>
          </w:tcPr>
          <w:p w:rsidR="00AD1390" w:rsidRPr="00BA76AF" w:rsidRDefault="00AD1390">
            <w:pPr>
              <w:pStyle w:val="Tabelltextsiffror"/>
              <w:rPr>
                <w:b/>
              </w:rPr>
            </w:pPr>
            <w:r w:rsidRPr="00BA76AF">
              <w:rPr>
                <w:b/>
                <w:spacing w:val="-3"/>
                <w:kern w:val="1"/>
              </w:rPr>
              <w:t>+1,8</w:t>
            </w:r>
          </w:p>
        </w:tc>
        <w:tc>
          <w:tcPr>
            <w:tcW w:w="668" w:type="dxa"/>
          </w:tcPr>
          <w:p w:rsidR="00AD1390" w:rsidRPr="00BA76AF" w:rsidRDefault="00AD1390">
            <w:pPr>
              <w:pStyle w:val="Tabelltextsiffror"/>
            </w:pPr>
            <w:r w:rsidRPr="00BA76AF">
              <w:t>-</w:t>
            </w:r>
          </w:p>
        </w:tc>
        <w:tc>
          <w:tcPr>
            <w:tcW w:w="667" w:type="dxa"/>
            <w:gridSpan w:val="2"/>
          </w:tcPr>
          <w:p w:rsidR="00AD1390" w:rsidRPr="00BA76AF" w:rsidRDefault="00AD1390">
            <w:pPr>
              <w:pStyle w:val="Tabelltextsiffror"/>
            </w:pPr>
            <w:r w:rsidRPr="00BA76AF">
              <w:t>-</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1993</w:t>
            </w:r>
          </w:p>
        </w:tc>
        <w:tc>
          <w:tcPr>
            <w:tcW w:w="845" w:type="dxa"/>
          </w:tcPr>
          <w:p w:rsidR="00AD1390" w:rsidRPr="00BA76AF" w:rsidRDefault="00AD1390">
            <w:pPr>
              <w:pStyle w:val="Tabelltextsiffror"/>
            </w:pPr>
            <w:r w:rsidRPr="00BA76AF">
              <w:rPr>
                <w:spacing w:val="-3"/>
                <w:kern w:val="1"/>
              </w:rPr>
              <w:t>388 290</w:t>
            </w:r>
          </w:p>
        </w:tc>
        <w:tc>
          <w:tcPr>
            <w:tcW w:w="615" w:type="dxa"/>
          </w:tcPr>
          <w:p w:rsidR="00AD1390" w:rsidRPr="00BA76AF" w:rsidRDefault="00AD1390">
            <w:pPr>
              <w:pStyle w:val="Tabelltextsiffror"/>
            </w:pPr>
            <w:r w:rsidRPr="00BA76AF">
              <w:rPr>
                <w:spacing w:val="-3"/>
                <w:kern w:val="1"/>
              </w:rPr>
              <w:t>0,74</w:t>
            </w:r>
          </w:p>
        </w:tc>
        <w:tc>
          <w:tcPr>
            <w:tcW w:w="692" w:type="dxa"/>
          </w:tcPr>
          <w:p w:rsidR="00AD1390" w:rsidRPr="00BA76AF" w:rsidRDefault="00AD1390">
            <w:pPr>
              <w:pStyle w:val="Tabelltextsiffror"/>
              <w:rPr>
                <w:b/>
              </w:rPr>
            </w:pPr>
            <w:r w:rsidRPr="00BA76AF">
              <w:rPr>
                <w:b/>
                <w:spacing w:val="-3"/>
                <w:kern w:val="1"/>
              </w:rPr>
              <w:t>2 863</w:t>
            </w:r>
          </w:p>
        </w:tc>
        <w:tc>
          <w:tcPr>
            <w:tcW w:w="668" w:type="dxa"/>
          </w:tcPr>
          <w:p w:rsidR="00AD1390" w:rsidRPr="00BA76AF" w:rsidRDefault="00AD1390">
            <w:pPr>
              <w:pStyle w:val="Tabelltextsiffror"/>
            </w:pPr>
            <w:r w:rsidRPr="00BA76AF">
              <w:rPr>
                <w:spacing w:val="-3"/>
                <w:kern w:val="1"/>
              </w:rPr>
              <w:t>1 216</w:t>
            </w:r>
          </w:p>
        </w:tc>
        <w:tc>
          <w:tcPr>
            <w:tcW w:w="667" w:type="dxa"/>
          </w:tcPr>
          <w:p w:rsidR="00AD1390" w:rsidRPr="00BA76AF" w:rsidRDefault="00AD1390">
            <w:pPr>
              <w:pStyle w:val="Tabelltextsiffror"/>
            </w:pPr>
            <w:r w:rsidRPr="00BA76AF">
              <w:rPr>
                <w:spacing w:val="-3"/>
                <w:kern w:val="1"/>
              </w:rPr>
              <w:t>1 647</w:t>
            </w:r>
          </w:p>
        </w:tc>
        <w:tc>
          <w:tcPr>
            <w:tcW w:w="702" w:type="dxa"/>
          </w:tcPr>
          <w:p w:rsidR="00AD1390" w:rsidRPr="00BA76AF" w:rsidRDefault="00AD1390">
            <w:pPr>
              <w:pStyle w:val="Tabelltextsiffror"/>
              <w:rPr>
                <w:b/>
              </w:rPr>
            </w:pPr>
            <w:r w:rsidRPr="00BA76AF">
              <w:rPr>
                <w:b/>
                <w:spacing w:val="-3"/>
                <w:kern w:val="1"/>
              </w:rPr>
              <w:t>+4,0</w:t>
            </w:r>
          </w:p>
        </w:tc>
        <w:tc>
          <w:tcPr>
            <w:tcW w:w="668" w:type="dxa"/>
          </w:tcPr>
          <w:p w:rsidR="00AD1390" w:rsidRPr="00BA76AF" w:rsidRDefault="00AD1390">
            <w:pPr>
              <w:pStyle w:val="Tabelltextsiffror"/>
            </w:pPr>
            <w:r w:rsidRPr="00BA76AF">
              <w:t>-</w:t>
            </w:r>
          </w:p>
        </w:tc>
        <w:tc>
          <w:tcPr>
            <w:tcW w:w="667" w:type="dxa"/>
            <w:gridSpan w:val="2"/>
          </w:tcPr>
          <w:p w:rsidR="00AD1390" w:rsidRPr="00BA76AF" w:rsidRDefault="00AD1390">
            <w:pPr>
              <w:pStyle w:val="Tabelltextsiffror"/>
            </w:pPr>
            <w:r w:rsidRPr="00BA76AF">
              <w:t>-</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1994</w:t>
            </w:r>
          </w:p>
        </w:tc>
        <w:tc>
          <w:tcPr>
            <w:tcW w:w="845" w:type="dxa"/>
          </w:tcPr>
          <w:p w:rsidR="00AD1390" w:rsidRPr="00BA76AF" w:rsidRDefault="00AD1390">
            <w:pPr>
              <w:pStyle w:val="Tabelltextsiffror"/>
            </w:pPr>
            <w:r w:rsidRPr="00BA76AF">
              <w:rPr>
                <w:spacing w:val="-3"/>
                <w:kern w:val="1"/>
              </w:rPr>
              <w:t>471 602</w:t>
            </w:r>
          </w:p>
        </w:tc>
        <w:tc>
          <w:tcPr>
            <w:tcW w:w="615" w:type="dxa"/>
          </w:tcPr>
          <w:p w:rsidR="00AD1390" w:rsidRPr="00BA76AF" w:rsidRDefault="00AD1390">
            <w:pPr>
              <w:pStyle w:val="Tabelltextsiffror"/>
            </w:pPr>
            <w:r w:rsidRPr="00BA76AF">
              <w:rPr>
                <w:spacing w:val="-3"/>
                <w:kern w:val="1"/>
              </w:rPr>
              <w:t>0,68</w:t>
            </w:r>
          </w:p>
        </w:tc>
        <w:tc>
          <w:tcPr>
            <w:tcW w:w="692" w:type="dxa"/>
          </w:tcPr>
          <w:p w:rsidR="00AD1390" w:rsidRPr="00BA76AF" w:rsidRDefault="00AD1390">
            <w:pPr>
              <w:pStyle w:val="Tabelltextsiffror"/>
              <w:rPr>
                <w:b/>
              </w:rPr>
            </w:pPr>
            <w:r w:rsidRPr="00BA76AF">
              <w:rPr>
                <w:b/>
                <w:spacing w:val="-3"/>
                <w:kern w:val="1"/>
              </w:rPr>
              <w:t>3 181</w:t>
            </w:r>
          </w:p>
        </w:tc>
        <w:tc>
          <w:tcPr>
            <w:tcW w:w="668" w:type="dxa"/>
          </w:tcPr>
          <w:p w:rsidR="00AD1390" w:rsidRPr="00BA76AF" w:rsidRDefault="00AD1390">
            <w:pPr>
              <w:pStyle w:val="Tabelltextsiffror"/>
            </w:pPr>
            <w:r w:rsidRPr="00BA76AF">
              <w:rPr>
                <w:spacing w:val="-3"/>
                <w:kern w:val="1"/>
              </w:rPr>
              <w:t>1 347</w:t>
            </w:r>
          </w:p>
        </w:tc>
        <w:tc>
          <w:tcPr>
            <w:tcW w:w="667" w:type="dxa"/>
          </w:tcPr>
          <w:p w:rsidR="00AD1390" w:rsidRPr="00BA76AF" w:rsidRDefault="00AD1390">
            <w:pPr>
              <w:pStyle w:val="Tabelltextsiffror"/>
            </w:pPr>
            <w:r w:rsidRPr="00BA76AF">
              <w:rPr>
                <w:spacing w:val="-3"/>
                <w:kern w:val="1"/>
              </w:rPr>
              <w:t>1 834</w:t>
            </w:r>
          </w:p>
        </w:tc>
        <w:tc>
          <w:tcPr>
            <w:tcW w:w="702" w:type="dxa"/>
          </w:tcPr>
          <w:p w:rsidR="00AD1390" w:rsidRPr="00BA76AF" w:rsidRDefault="00AD1390">
            <w:pPr>
              <w:pStyle w:val="Tabelltextsiffror"/>
              <w:rPr>
                <w:b/>
              </w:rPr>
            </w:pPr>
            <w:r w:rsidRPr="00BA76AF">
              <w:rPr>
                <w:b/>
                <w:spacing w:val="-3"/>
                <w:kern w:val="1"/>
              </w:rPr>
              <w:t>+11,1</w:t>
            </w:r>
          </w:p>
        </w:tc>
        <w:tc>
          <w:tcPr>
            <w:tcW w:w="668" w:type="dxa"/>
          </w:tcPr>
          <w:p w:rsidR="00AD1390" w:rsidRPr="00BA76AF" w:rsidRDefault="00AD1390">
            <w:pPr>
              <w:pStyle w:val="Tabelltextsiffror"/>
            </w:pPr>
            <w:r w:rsidRPr="00BA76AF">
              <w:rPr>
                <w:spacing w:val="-3"/>
                <w:kern w:val="1"/>
              </w:rPr>
              <w:t>+10,8</w:t>
            </w:r>
          </w:p>
        </w:tc>
        <w:tc>
          <w:tcPr>
            <w:tcW w:w="667" w:type="dxa"/>
            <w:gridSpan w:val="2"/>
          </w:tcPr>
          <w:p w:rsidR="00AD1390" w:rsidRPr="00BA76AF" w:rsidRDefault="00AD1390">
            <w:pPr>
              <w:pStyle w:val="Tabelltextsiffror"/>
            </w:pPr>
            <w:r w:rsidRPr="00BA76AF">
              <w:rPr>
                <w:spacing w:val="-3"/>
                <w:kern w:val="1"/>
              </w:rPr>
              <w:t>+11,4</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1995</w:t>
            </w:r>
          </w:p>
        </w:tc>
        <w:tc>
          <w:tcPr>
            <w:tcW w:w="845" w:type="dxa"/>
          </w:tcPr>
          <w:p w:rsidR="00AD1390" w:rsidRPr="00BA76AF" w:rsidRDefault="00AD1390">
            <w:pPr>
              <w:pStyle w:val="Tabelltextsiffror"/>
            </w:pPr>
            <w:r w:rsidRPr="00BA76AF">
              <w:rPr>
                <w:spacing w:val="-3"/>
                <w:kern w:val="1"/>
              </w:rPr>
              <w:t>567 836</w:t>
            </w:r>
          </w:p>
        </w:tc>
        <w:tc>
          <w:tcPr>
            <w:tcW w:w="615" w:type="dxa"/>
          </w:tcPr>
          <w:p w:rsidR="00AD1390" w:rsidRPr="00BA76AF" w:rsidRDefault="00AD1390">
            <w:pPr>
              <w:pStyle w:val="Tabelltextsiffror"/>
            </w:pPr>
            <w:r w:rsidRPr="00BA76AF">
              <w:rPr>
                <w:spacing w:val="-3"/>
                <w:kern w:val="1"/>
              </w:rPr>
              <w:t>0,58</w:t>
            </w:r>
          </w:p>
        </w:tc>
        <w:tc>
          <w:tcPr>
            <w:tcW w:w="692" w:type="dxa"/>
          </w:tcPr>
          <w:p w:rsidR="00AD1390" w:rsidRPr="00BA76AF" w:rsidRDefault="00AD1390">
            <w:pPr>
              <w:pStyle w:val="Tabelltextsiffror"/>
              <w:rPr>
                <w:b/>
              </w:rPr>
            </w:pPr>
            <w:r w:rsidRPr="00BA76AF">
              <w:rPr>
                <w:b/>
                <w:spacing w:val="-3"/>
                <w:kern w:val="1"/>
              </w:rPr>
              <w:t>3 313</w:t>
            </w:r>
          </w:p>
        </w:tc>
        <w:tc>
          <w:tcPr>
            <w:tcW w:w="668" w:type="dxa"/>
          </w:tcPr>
          <w:p w:rsidR="00AD1390" w:rsidRPr="00BA76AF" w:rsidRDefault="00AD1390">
            <w:pPr>
              <w:pStyle w:val="Tabelltextsiffror"/>
            </w:pPr>
            <w:r w:rsidRPr="00BA76AF">
              <w:rPr>
                <w:spacing w:val="-3"/>
                <w:kern w:val="1"/>
              </w:rPr>
              <w:t>1 148</w:t>
            </w:r>
          </w:p>
        </w:tc>
        <w:tc>
          <w:tcPr>
            <w:tcW w:w="667" w:type="dxa"/>
          </w:tcPr>
          <w:p w:rsidR="00AD1390" w:rsidRPr="00BA76AF" w:rsidRDefault="00AD1390">
            <w:pPr>
              <w:pStyle w:val="Tabelltextsiffror"/>
            </w:pPr>
            <w:r w:rsidRPr="00BA76AF">
              <w:rPr>
                <w:spacing w:val="-3"/>
                <w:kern w:val="1"/>
              </w:rPr>
              <w:t>2 165</w:t>
            </w:r>
          </w:p>
        </w:tc>
        <w:tc>
          <w:tcPr>
            <w:tcW w:w="702" w:type="dxa"/>
          </w:tcPr>
          <w:p w:rsidR="00AD1390" w:rsidRPr="00BA76AF" w:rsidRDefault="00AD1390">
            <w:pPr>
              <w:pStyle w:val="Tabelltextsiffror"/>
              <w:rPr>
                <w:b/>
              </w:rPr>
            </w:pPr>
            <w:r w:rsidRPr="00BA76AF">
              <w:rPr>
                <w:b/>
                <w:spacing w:val="-3"/>
                <w:kern w:val="1"/>
              </w:rPr>
              <w:t>+4,1</w:t>
            </w:r>
          </w:p>
        </w:tc>
        <w:tc>
          <w:tcPr>
            <w:tcW w:w="668" w:type="dxa"/>
          </w:tcPr>
          <w:p w:rsidR="00AD1390" w:rsidRPr="00BA76AF" w:rsidRDefault="00AD1390">
            <w:pPr>
              <w:pStyle w:val="Tabelltextsiffror"/>
            </w:pPr>
            <w:r w:rsidRPr="00BA76AF">
              <w:rPr>
                <w:spacing w:val="-3"/>
                <w:kern w:val="1"/>
              </w:rPr>
              <w:t>-14,8</w:t>
            </w:r>
          </w:p>
        </w:tc>
        <w:tc>
          <w:tcPr>
            <w:tcW w:w="667" w:type="dxa"/>
            <w:gridSpan w:val="2"/>
          </w:tcPr>
          <w:p w:rsidR="00AD1390" w:rsidRPr="00BA76AF" w:rsidRDefault="00AD1390">
            <w:pPr>
              <w:pStyle w:val="Tabelltextsiffror"/>
            </w:pPr>
            <w:r w:rsidRPr="00BA76AF">
              <w:rPr>
                <w:spacing w:val="-3"/>
                <w:kern w:val="1"/>
              </w:rPr>
              <w:t>+18,0</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1996</w:t>
            </w:r>
          </w:p>
        </w:tc>
        <w:tc>
          <w:tcPr>
            <w:tcW w:w="845" w:type="dxa"/>
          </w:tcPr>
          <w:p w:rsidR="00AD1390" w:rsidRPr="00BA76AF" w:rsidRDefault="00AD1390">
            <w:pPr>
              <w:pStyle w:val="Tabelltextsiffror"/>
            </w:pPr>
            <w:r w:rsidRPr="00BA76AF">
              <w:rPr>
                <w:spacing w:val="-3"/>
                <w:kern w:val="1"/>
              </w:rPr>
              <w:t>569 167</w:t>
            </w:r>
          </w:p>
        </w:tc>
        <w:tc>
          <w:tcPr>
            <w:tcW w:w="615" w:type="dxa"/>
          </w:tcPr>
          <w:p w:rsidR="00AD1390" w:rsidRPr="00BA76AF" w:rsidRDefault="00AD1390">
            <w:pPr>
              <w:pStyle w:val="Tabelltextsiffror"/>
            </w:pPr>
            <w:r w:rsidRPr="00BA76AF">
              <w:rPr>
                <w:spacing w:val="-3"/>
                <w:kern w:val="25"/>
              </w:rPr>
              <w:t>0,54</w:t>
            </w:r>
          </w:p>
        </w:tc>
        <w:tc>
          <w:tcPr>
            <w:tcW w:w="692" w:type="dxa"/>
          </w:tcPr>
          <w:p w:rsidR="00AD1390" w:rsidRPr="00BA76AF" w:rsidRDefault="00AD1390">
            <w:pPr>
              <w:pStyle w:val="Tabelltextsiffror"/>
              <w:rPr>
                <w:b/>
              </w:rPr>
            </w:pPr>
            <w:r w:rsidRPr="00BA76AF">
              <w:rPr>
                <w:b/>
                <w:spacing w:val="-3"/>
                <w:kern w:val="25"/>
              </w:rPr>
              <w:t>3 087</w:t>
            </w:r>
          </w:p>
        </w:tc>
        <w:tc>
          <w:tcPr>
            <w:tcW w:w="668" w:type="dxa"/>
          </w:tcPr>
          <w:p w:rsidR="00AD1390" w:rsidRPr="00BA76AF" w:rsidRDefault="00AD1390">
            <w:pPr>
              <w:pStyle w:val="Tabelltextsiffror"/>
            </w:pPr>
            <w:r w:rsidRPr="00BA76AF">
              <w:rPr>
                <w:spacing w:val="-3"/>
                <w:kern w:val="25"/>
              </w:rPr>
              <w:t>1 136</w:t>
            </w:r>
          </w:p>
        </w:tc>
        <w:tc>
          <w:tcPr>
            <w:tcW w:w="667" w:type="dxa"/>
          </w:tcPr>
          <w:p w:rsidR="00AD1390" w:rsidRPr="00BA76AF" w:rsidRDefault="00AD1390">
            <w:pPr>
              <w:pStyle w:val="Tabelltextsiffror"/>
            </w:pPr>
            <w:r w:rsidRPr="00BA76AF">
              <w:rPr>
                <w:spacing w:val="-3"/>
                <w:kern w:val="25"/>
              </w:rPr>
              <w:t>1 951</w:t>
            </w:r>
          </w:p>
        </w:tc>
        <w:tc>
          <w:tcPr>
            <w:tcW w:w="702" w:type="dxa"/>
          </w:tcPr>
          <w:p w:rsidR="00AD1390" w:rsidRPr="00BA76AF" w:rsidRDefault="00AD1390">
            <w:pPr>
              <w:pStyle w:val="Tabelltextsiffror"/>
              <w:rPr>
                <w:b/>
              </w:rPr>
            </w:pPr>
            <w:r w:rsidRPr="00BA76AF">
              <w:rPr>
                <w:b/>
                <w:spacing w:val="-3"/>
                <w:kern w:val="25"/>
              </w:rPr>
              <w:t>-6,8</w:t>
            </w:r>
          </w:p>
        </w:tc>
        <w:tc>
          <w:tcPr>
            <w:tcW w:w="668" w:type="dxa"/>
          </w:tcPr>
          <w:p w:rsidR="00AD1390" w:rsidRPr="00BA76AF" w:rsidRDefault="00AD1390">
            <w:pPr>
              <w:pStyle w:val="Tabelltextsiffror"/>
            </w:pPr>
            <w:r w:rsidRPr="00BA76AF">
              <w:rPr>
                <w:spacing w:val="-3"/>
                <w:kern w:val="25"/>
              </w:rPr>
              <w:t>-1,0</w:t>
            </w:r>
          </w:p>
        </w:tc>
        <w:tc>
          <w:tcPr>
            <w:tcW w:w="667" w:type="dxa"/>
            <w:gridSpan w:val="2"/>
          </w:tcPr>
          <w:p w:rsidR="00AD1390" w:rsidRPr="00BA76AF" w:rsidRDefault="00AD1390">
            <w:pPr>
              <w:pStyle w:val="Tabelltextsiffror"/>
            </w:pPr>
            <w:r w:rsidRPr="00BA76AF">
              <w:rPr>
                <w:spacing w:val="-3"/>
                <w:kern w:val="25"/>
              </w:rPr>
              <w:t>-9,9</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1997</w:t>
            </w:r>
          </w:p>
        </w:tc>
        <w:tc>
          <w:tcPr>
            <w:tcW w:w="845" w:type="dxa"/>
          </w:tcPr>
          <w:p w:rsidR="00AD1390" w:rsidRPr="00BA76AF" w:rsidRDefault="00AD1390">
            <w:pPr>
              <w:pStyle w:val="Tabelltextsiffror"/>
            </w:pPr>
            <w:r w:rsidRPr="00BA76AF">
              <w:rPr>
                <w:spacing w:val="-3"/>
                <w:kern w:val="25"/>
              </w:rPr>
              <w:t>632 709</w:t>
            </w:r>
          </w:p>
        </w:tc>
        <w:tc>
          <w:tcPr>
            <w:tcW w:w="615" w:type="dxa"/>
          </w:tcPr>
          <w:p w:rsidR="00AD1390" w:rsidRPr="00BA76AF" w:rsidRDefault="00AD1390">
            <w:pPr>
              <w:pStyle w:val="Tabelltextsiffror"/>
            </w:pPr>
            <w:r w:rsidRPr="00BA76AF">
              <w:rPr>
                <w:spacing w:val="-3"/>
                <w:kern w:val="25"/>
              </w:rPr>
              <w:t>0,49</w:t>
            </w:r>
          </w:p>
        </w:tc>
        <w:tc>
          <w:tcPr>
            <w:tcW w:w="692" w:type="dxa"/>
          </w:tcPr>
          <w:p w:rsidR="00AD1390" w:rsidRPr="00BA76AF" w:rsidRDefault="00AD1390">
            <w:pPr>
              <w:pStyle w:val="Tabelltextsiffror"/>
              <w:rPr>
                <w:b/>
              </w:rPr>
            </w:pPr>
            <w:r w:rsidRPr="00BA76AF">
              <w:rPr>
                <w:b/>
                <w:spacing w:val="-3"/>
                <w:kern w:val="25"/>
              </w:rPr>
              <w:t>3 101</w:t>
            </w:r>
          </w:p>
        </w:tc>
        <w:tc>
          <w:tcPr>
            <w:tcW w:w="668" w:type="dxa"/>
          </w:tcPr>
          <w:p w:rsidR="00AD1390" w:rsidRPr="00BA76AF" w:rsidRDefault="00AD1390">
            <w:pPr>
              <w:pStyle w:val="Tabelltextsiffror"/>
            </w:pPr>
            <w:r w:rsidRPr="00BA76AF">
              <w:rPr>
                <w:spacing w:val="-3"/>
                <w:kern w:val="25"/>
              </w:rPr>
              <w:t>939</w:t>
            </w:r>
          </w:p>
        </w:tc>
        <w:tc>
          <w:tcPr>
            <w:tcW w:w="667" w:type="dxa"/>
          </w:tcPr>
          <w:p w:rsidR="00AD1390" w:rsidRPr="00BA76AF" w:rsidRDefault="00AD1390">
            <w:pPr>
              <w:pStyle w:val="Tabelltextsiffror"/>
            </w:pPr>
            <w:r w:rsidRPr="00BA76AF">
              <w:rPr>
                <w:spacing w:val="-3"/>
                <w:kern w:val="25"/>
              </w:rPr>
              <w:t>2 162</w:t>
            </w:r>
          </w:p>
        </w:tc>
        <w:tc>
          <w:tcPr>
            <w:tcW w:w="702" w:type="dxa"/>
          </w:tcPr>
          <w:p w:rsidR="00AD1390" w:rsidRPr="00BA76AF" w:rsidRDefault="00AD1390">
            <w:pPr>
              <w:pStyle w:val="Tabelltextsiffror"/>
              <w:rPr>
                <w:b/>
              </w:rPr>
            </w:pPr>
            <w:r w:rsidRPr="00BA76AF">
              <w:rPr>
                <w:b/>
                <w:spacing w:val="-3"/>
                <w:kern w:val="25"/>
              </w:rPr>
              <w:t>+0,5</w:t>
            </w:r>
          </w:p>
        </w:tc>
        <w:tc>
          <w:tcPr>
            <w:tcW w:w="668" w:type="dxa"/>
          </w:tcPr>
          <w:p w:rsidR="00AD1390" w:rsidRPr="00BA76AF" w:rsidRDefault="00AD1390">
            <w:pPr>
              <w:pStyle w:val="Tabelltextsiffror"/>
            </w:pPr>
            <w:r w:rsidRPr="00BA76AF">
              <w:rPr>
                <w:spacing w:val="-3"/>
                <w:kern w:val="25"/>
              </w:rPr>
              <w:t>-17,3</w:t>
            </w:r>
          </w:p>
        </w:tc>
        <w:tc>
          <w:tcPr>
            <w:tcW w:w="667" w:type="dxa"/>
            <w:gridSpan w:val="2"/>
          </w:tcPr>
          <w:p w:rsidR="00AD1390" w:rsidRPr="00BA76AF" w:rsidRDefault="00AD1390">
            <w:pPr>
              <w:pStyle w:val="Tabelltextsiffror"/>
            </w:pPr>
            <w:r w:rsidRPr="00BA76AF">
              <w:rPr>
                <w:spacing w:val="-3"/>
                <w:kern w:val="25"/>
              </w:rPr>
              <w:t>+10,8</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1998</w:t>
            </w:r>
          </w:p>
        </w:tc>
        <w:tc>
          <w:tcPr>
            <w:tcW w:w="845" w:type="dxa"/>
          </w:tcPr>
          <w:p w:rsidR="00AD1390" w:rsidRPr="00BA76AF" w:rsidRDefault="00AD1390">
            <w:pPr>
              <w:pStyle w:val="Tabelltextsiffror"/>
            </w:pPr>
            <w:r w:rsidRPr="00BA76AF">
              <w:rPr>
                <w:spacing w:val="-3"/>
                <w:kern w:val="25"/>
              </w:rPr>
              <w:t>673 091</w:t>
            </w:r>
          </w:p>
        </w:tc>
        <w:tc>
          <w:tcPr>
            <w:tcW w:w="615" w:type="dxa"/>
          </w:tcPr>
          <w:p w:rsidR="00AD1390" w:rsidRPr="00BA76AF" w:rsidRDefault="00AD1390">
            <w:pPr>
              <w:pStyle w:val="Tabelltextsiffror"/>
            </w:pPr>
            <w:r w:rsidRPr="00BA76AF">
              <w:rPr>
                <w:spacing w:val="-3"/>
                <w:kern w:val="25"/>
              </w:rPr>
              <w:t>0,52</w:t>
            </w:r>
          </w:p>
        </w:tc>
        <w:tc>
          <w:tcPr>
            <w:tcW w:w="692" w:type="dxa"/>
          </w:tcPr>
          <w:p w:rsidR="00AD1390" w:rsidRPr="00BA76AF" w:rsidRDefault="00AD1390">
            <w:pPr>
              <w:pStyle w:val="Tabelltextsiffror"/>
              <w:rPr>
                <w:b/>
              </w:rPr>
            </w:pPr>
            <w:r w:rsidRPr="00BA76AF">
              <w:rPr>
                <w:b/>
                <w:spacing w:val="-3"/>
                <w:kern w:val="25"/>
              </w:rPr>
              <w:t>3 514</w:t>
            </w:r>
          </w:p>
        </w:tc>
        <w:tc>
          <w:tcPr>
            <w:tcW w:w="668" w:type="dxa"/>
          </w:tcPr>
          <w:p w:rsidR="00AD1390" w:rsidRPr="00BA76AF" w:rsidRDefault="00AD1390">
            <w:pPr>
              <w:pStyle w:val="Tabelltextsiffror"/>
            </w:pPr>
            <w:r w:rsidRPr="00BA76AF">
              <w:rPr>
                <w:spacing w:val="-3"/>
                <w:kern w:val="25"/>
              </w:rPr>
              <w:t>1 662</w:t>
            </w:r>
          </w:p>
        </w:tc>
        <w:tc>
          <w:tcPr>
            <w:tcW w:w="667" w:type="dxa"/>
          </w:tcPr>
          <w:p w:rsidR="00AD1390" w:rsidRPr="00BA76AF" w:rsidRDefault="00AD1390">
            <w:pPr>
              <w:pStyle w:val="Tabelltextsiffror"/>
            </w:pPr>
            <w:r w:rsidRPr="00BA76AF">
              <w:rPr>
                <w:spacing w:val="-3"/>
                <w:kern w:val="25"/>
              </w:rPr>
              <w:t>1 852</w:t>
            </w:r>
          </w:p>
        </w:tc>
        <w:tc>
          <w:tcPr>
            <w:tcW w:w="702" w:type="dxa"/>
          </w:tcPr>
          <w:p w:rsidR="00AD1390" w:rsidRPr="00BA76AF" w:rsidRDefault="00AD1390">
            <w:pPr>
              <w:pStyle w:val="Tabelltextsiffror"/>
              <w:rPr>
                <w:b/>
              </w:rPr>
            </w:pPr>
            <w:r w:rsidRPr="00BA76AF">
              <w:rPr>
                <w:b/>
                <w:spacing w:val="-3"/>
                <w:kern w:val="25"/>
              </w:rPr>
              <w:t>+13,3</w:t>
            </w:r>
          </w:p>
        </w:tc>
        <w:tc>
          <w:tcPr>
            <w:tcW w:w="668" w:type="dxa"/>
          </w:tcPr>
          <w:p w:rsidR="00AD1390" w:rsidRPr="00BA76AF" w:rsidRDefault="00AD1390">
            <w:pPr>
              <w:pStyle w:val="Tabelltextsiffror"/>
            </w:pPr>
            <w:r w:rsidRPr="00BA76AF">
              <w:rPr>
                <w:spacing w:val="-3"/>
                <w:kern w:val="25"/>
              </w:rPr>
              <w:t>+77,0</w:t>
            </w:r>
          </w:p>
        </w:tc>
        <w:tc>
          <w:tcPr>
            <w:tcW w:w="667" w:type="dxa"/>
            <w:gridSpan w:val="2"/>
          </w:tcPr>
          <w:p w:rsidR="00AD1390" w:rsidRPr="00BA76AF" w:rsidRDefault="00AD1390">
            <w:pPr>
              <w:pStyle w:val="Tabelltextsiffror"/>
            </w:pPr>
            <w:r w:rsidRPr="00BA76AF">
              <w:rPr>
                <w:spacing w:val="-3"/>
                <w:kern w:val="25"/>
              </w:rPr>
              <w:t>-14,3</w:t>
            </w:r>
          </w:p>
        </w:tc>
      </w:tr>
      <w:tr w:rsidR="00000000" w:rsidRPr="00BA76AF">
        <w:tblPrEx>
          <w:tblCellMar>
            <w:top w:w="0" w:type="dxa"/>
            <w:bottom w:w="0" w:type="dxa"/>
          </w:tblCellMar>
        </w:tblPrEx>
        <w:tc>
          <w:tcPr>
            <w:tcW w:w="646" w:type="dxa"/>
          </w:tcPr>
          <w:p w:rsidR="00AD1390" w:rsidRPr="00BA76AF" w:rsidRDefault="00AD1390">
            <w:pPr>
              <w:pStyle w:val="Tabelltextsiffror"/>
            </w:pPr>
            <w:r w:rsidRPr="00BA76AF">
              <w:t>1999</w:t>
            </w:r>
          </w:p>
        </w:tc>
        <w:tc>
          <w:tcPr>
            <w:tcW w:w="845" w:type="dxa"/>
          </w:tcPr>
          <w:p w:rsidR="00AD1390" w:rsidRPr="00BA76AF" w:rsidRDefault="00AD1390">
            <w:pPr>
              <w:pStyle w:val="Tabelltextsiffror"/>
            </w:pPr>
            <w:r w:rsidRPr="00BA76AF">
              <w:rPr>
                <w:spacing w:val="-3"/>
                <w:kern w:val="25"/>
              </w:rPr>
              <w:t>700 945</w:t>
            </w:r>
          </w:p>
        </w:tc>
        <w:tc>
          <w:tcPr>
            <w:tcW w:w="615" w:type="dxa"/>
          </w:tcPr>
          <w:p w:rsidR="00AD1390" w:rsidRPr="00BA76AF" w:rsidRDefault="00AD1390">
            <w:pPr>
              <w:pStyle w:val="Tabelltextsiffror"/>
            </w:pPr>
            <w:r w:rsidRPr="00BA76AF">
              <w:rPr>
                <w:spacing w:val="-3"/>
                <w:kern w:val="25"/>
              </w:rPr>
              <w:t>0,52</w:t>
            </w:r>
          </w:p>
        </w:tc>
        <w:tc>
          <w:tcPr>
            <w:tcW w:w="692" w:type="dxa"/>
          </w:tcPr>
          <w:p w:rsidR="00AD1390" w:rsidRPr="00BA76AF" w:rsidRDefault="00AD1390">
            <w:pPr>
              <w:pStyle w:val="Tabelltextsiffror"/>
              <w:rPr>
                <w:b/>
              </w:rPr>
            </w:pPr>
            <w:r w:rsidRPr="00BA76AF">
              <w:rPr>
                <w:b/>
                <w:spacing w:val="-3"/>
                <w:kern w:val="25"/>
              </w:rPr>
              <w:t>3 654</w:t>
            </w:r>
          </w:p>
        </w:tc>
        <w:tc>
          <w:tcPr>
            <w:tcW w:w="668" w:type="dxa"/>
          </w:tcPr>
          <w:p w:rsidR="00AD1390" w:rsidRPr="00BA76AF" w:rsidRDefault="00AD1390">
            <w:pPr>
              <w:pStyle w:val="Tabelltextsiffror"/>
            </w:pPr>
            <w:r w:rsidRPr="00BA76AF">
              <w:rPr>
                <w:spacing w:val="-3"/>
                <w:kern w:val="25"/>
              </w:rPr>
              <w:t>1 954</w:t>
            </w:r>
          </w:p>
        </w:tc>
        <w:tc>
          <w:tcPr>
            <w:tcW w:w="667" w:type="dxa"/>
          </w:tcPr>
          <w:p w:rsidR="00AD1390" w:rsidRPr="00BA76AF" w:rsidRDefault="00AD1390">
            <w:pPr>
              <w:pStyle w:val="Tabelltextsiffror"/>
            </w:pPr>
            <w:r w:rsidRPr="00BA76AF">
              <w:rPr>
                <w:spacing w:val="-3"/>
                <w:kern w:val="25"/>
              </w:rPr>
              <w:t>1 700</w:t>
            </w:r>
          </w:p>
        </w:tc>
        <w:tc>
          <w:tcPr>
            <w:tcW w:w="702" w:type="dxa"/>
          </w:tcPr>
          <w:p w:rsidR="00AD1390" w:rsidRPr="00BA76AF" w:rsidRDefault="00AD1390">
            <w:pPr>
              <w:pStyle w:val="Tabelltextsiffror"/>
              <w:rPr>
                <w:b/>
              </w:rPr>
            </w:pPr>
            <w:r w:rsidRPr="00BA76AF">
              <w:rPr>
                <w:b/>
                <w:spacing w:val="-3"/>
                <w:kern w:val="25"/>
              </w:rPr>
              <w:t>+4,0</w:t>
            </w:r>
          </w:p>
        </w:tc>
        <w:tc>
          <w:tcPr>
            <w:tcW w:w="668" w:type="dxa"/>
          </w:tcPr>
          <w:p w:rsidR="00AD1390" w:rsidRPr="00BA76AF" w:rsidRDefault="00AD1390">
            <w:pPr>
              <w:pStyle w:val="Tabelltextsiffror"/>
            </w:pPr>
            <w:r w:rsidRPr="00BA76AF">
              <w:rPr>
                <w:spacing w:val="-3"/>
                <w:kern w:val="25"/>
              </w:rPr>
              <w:t>+17,6</w:t>
            </w:r>
          </w:p>
        </w:tc>
        <w:tc>
          <w:tcPr>
            <w:tcW w:w="667" w:type="dxa"/>
            <w:gridSpan w:val="2"/>
          </w:tcPr>
          <w:p w:rsidR="00AD1390" w:rsidRPr="00BA76AF" w:rsidRDefault="00AD1390">
            <w:pPr>
              <w:pStyle w:val="Tabelltextsiffror"/>
            </w:pPr>
            <w:r w:rsidRPr="00BA76AF">
              <w:rPr>
                <w:spacing w:val="-3"/>
                <w:kern w:val="25"/>
              </w:rPr>
              <w:t>-8,2</w:t>
            </w:r>
          </w:p>
        </w:tc>
      </w:tr>
      <w:tr w:rsidR="00000000" w:rsidRPr="00BA76AF">
        <w:tblPrEx>
          <w:tblCellMar>
            <w:top w:w="0" w:type="dxa"/>
            <w:bottom w:w="0" w:type="dxa"/>
          </w:tblCellMar>
        </w:tblPrEx>
        <w:tc>
          <w:tcPr>
            <w:tcW w:w="646" w:type="dxa"/>
            <w:tcBorders>
              <w:bottom w:val="single" w:sz="4" w:space="0" w:color="auto"/>
            </w:tcBorders>
          </w:tcPr>
          <w:p w:rsidR="00AD1390" w:rsidRPr="00BA76AF" w:rsidRDefault="00AD1390">
            <w:pPr>
              <w:pStyle w:val="Tabelltextsiffror"/>
            </w:pPr>
            <w:r w:rsidRPr="00BA76AF">
              <w:t>2000</w:t>
            </w:r>
          </w:p>
        </w:tc>
        <w:tc>
          <w:tcPr>
            <w:tcW w:w="845" w:type="dxa"/>
            <w:tcBorders>
              <w:bottom w:val="single" w:sz="4" w:space="0" w:color="auto"/>
            </w:tcBorders>
          </w:tcPr>
          <w:p w:rsidR="00AD1390" w:rsidRPr="00BA76AF" w:rsidRDefault="00AD1390">
            <w:pPr>
              <w:pStyle w:val="Tabelltextsiffror"/>
            </w:pPr>
            <w:r w:rsidRPr="00BA76AF">
              <w:rPr>
                <w:spacing w:val="-3"/>
                <w:kern w:val="25"/>
              </w:rPr>
              <w:t>796 673</w:t>
            </w:r>
          </w:p>
        </w:tc>
        <w:tc>
          <w:tcPr>
            <w:tcW w:w="615" w:type="dxa"/>
            <w:tcBorders>
              <w:bottom w:val="single" w:sz="4" w:space="0" w:color="auto"/>
            </w:tcBorders>
          </w:tcPr>
          <w:p w:rsidR="00AD1390" w:rsidRPr="00BA76AF" w:rsidRDefault="00AD1390">
            <w:pPr>
              <w:pStyle w:val="Tabelltextsiffror"/>
            </w:pPr>
            <w:r w:rsidRPr="00BA76AF">
              <w:rPr>
                <w:spacing w:val="-3"/>
                <w:kern w:val="25"/>
              </w:rPr>
              <w:t>0,55</w:t>
            </w:r>
          </w:p>
        </w:tc>
        <w:tc>
          <w:tcPr>
            <w:tcW w:w="692" w:type="dxa"/>
            <w:tcBorders>
              <w:bottom w:val="single" w:sz="4" w:space="0" w:color="auto"/>
            </w:tcBorders>
          </w:tcPr>
          <w:p w:rsidR="00AD1390" w:rsidRPr="00BA76AF" w:rsidRDefault="00AD1390">
            <w:pPr>
              <w:pStyle w:val="Tabelltextsiffror"/>
              <w:rPr>
                <w:b/>
              </w:rPr>
            </w:pPr>
            <w:r w:rsidRPr="00BA76AF">
              <w:rPr>
                <w:b/>
                <w:spacing w:val="-3"/>
                <w:kern w:val="25"/>
              </w:rPr>
              <w:t>4 371</w:t>
            </w:r>
          </w:p>
        </w:tc>
        <w:tc>
          <w:tcPr>
            <w:tcW w:w="668" w:type="dxa"/>
            <w:tcBorders>
              <w:bottom w:val="single" w:sz="4" w:space="0" w:color="auto"/>
            </w:tcBorders>
          </w:tcPr>
          <w:p w:rsidR="00AD1390" w:rsidRPr="00BA76AF" w:rsidRDefault="00AD1390">
            <w:pPr>
              <w:pStyle w:val="Tabelltextsiffror"/>
            </w:pPr>
            <w:r w:rsidRPr="00BA76AF">
              <w:rPr>
                <w:spacing w:val="-3"/>
                <w:kern w:val="25"/>
              </w:rPr>
              <w:t>2 189</w:t>
            </w:r>
          </w:p>
        </w:tc>
        <w:tc>
          <w:tcPr>
            <w:tcW w:w="667" w:type="dxa"/>
            <w:tcBorders>
              <w:bottom w:val="single" w:sz="4" w:space="0" w:color="auto"/>
            </w:tcBorders>
          </w:tcPr>
          <w:p w:rsidR="00AD1390" w:rsidRPr="00BA76AF" w:rsidRDefault="00AD1390">
            <w:pPr>
              <w:pStyle w:val="Tabelltextsiffror"/>
            </w:pPr>
            <w:r w:rsidRPr="00BA76AF">
              <w:rPr>
                <w:spacing w:val="-3"/>
                <w:kern w:val="25"/>
              </w:rPr>
              <w:t>2 182</w:t>
            </w:r>
          </w:p>
        </w:tc>
        <w:tc>
          <w:tcPr>
            <w:tcW w:w="702" w:type="dxa"/>
            <w:tcBorders>
              <w:bottom w:val="single" w:sz="4" w:space="0" w:color="auto"/>
            </w:tcBorders>
          </w:tcPr>
          <w:p w:rsidR="00AD1390" w:rsidRPr="00BA76AF" w:rsidRDefault="00AD1390">
            <w:pPr>
              <w:pStyle w:val="Tabelltextsiffror"/>
              <w:rPr>
                <w:b/>
              </w:rPr>
            </w:pPr>
            <w:r w:rsidRPr="00BA76AF">
              <w:rPr>
                <w:b/>
                <w:spacing w:val="-3"/>
                <w:kern w:val="25"/>
              </w:rPr>
              <w:t>+19,6</w:t>
            </w:r>
          </w:p>
        </w:tc>
        <w:tc>
          <w:tcPr>
            <w:tcW w:w="668" w:type="dxa"/>
            <w:tcBorders>
              <w:bottom w:val="single" w:sz="4" w:space="0" w:color="auto"/>
            </w:tcBorders>
          </w:tcPr>
          <w:p w:rsidR="00AD1390" w:rsidRPr="00BA76AF" w:rsidRDefault="00AD1390">
            <w:pPr>
              <w:pStyle w:val="Tabelltextsiffror"/>
            </w:pPr>
            <w:r w:rsidRPr="00BA76AF">
              <w:rPr>
                <w:spacing w:val="-3"/>
                <w:kern w:val="25"/>
              </w:rPr>
              <w:t>+12,0</w:t>
            </w:r>
          </w:p>
        </w:tc>
        <w:tc>
          <w:tcPr>
            <w:tcW w:w="667" w:type="dxa"/>
            <w:gridSpan w:val="2"/>
            <w:tcBorders>
              <w:bottom w:val="single" w:sz="4" w:space="0" w:color="auto"/>
            </w:tcBorders>
          </w:tcPr>
          <w:p w:rsidR="00AD1390" w:rsidRPr="00BA76AF" w:rsidRDefault="00AD1390">
            <w:pPr>
              <w:pStyle w:val="Tabelltextsiffror"/>
            </w:pPr>
            <w:r w:rsidRPr="00BA76AF">
              <w:rPr>
                <w:spacing w:val="-3"/>
                <w:kern w:val="25"/>
              </w:rPr>
              <w:t>+28,4</w:t>
            </w:r>
          </w:p>
        </w:tc>
      </w:tr>
    </w:tbl>
    <w:p w:rsidR="00AD1390" w:rsidRPr="00BA76AF" w:rsidRDefault="00AD1390">
      <w:pPr>
        <w:pStyle w:val="Rubrik3"/>
        <w:rPr>
          <w:noProof w:val="0"/>
        </w:rPr>
      </w:pPr>
      <w:bookmarkStart w:id="41" w:name="_Toc517757094"/>
      <w:r w:rsidRPr="00BA76AF">
        <w:rPr>
          <w:noProof w:val="0"/>
        </w:rPr>
        <w:t>Fördelning av exporten på materielslag</w:t>
      </w:r>
      <w:bookmarkEnd w:id="41"/>
    </w:p>
    <w:p w:rsidR="00AD1390" w:rsidRPr="00BA76AF" w:rsidRDefault="00AD1390">
      <w:pPr>
        <w:spacing w:before="125"/>
        <w:rPr>
          <w:kern w:val="1"/>
        </w:rPr>
      </w:pPr>
      <w:r w:rsidRPr="00BA76AF">
        <w:rPr>
          <w:kern w:val="1"/>
        </w:rPr>
        <w:t>Tabell 3 visar en uppdelning av krigsmaterielexporten på huvudområden i krigsmaterielförteckningen. Denna indelning ger en viss uppfattning om krigsmaterielexportens struktur, vad avser materielkategorier. Liksom för övriga typer av exportstatistik avråds från alltför långtgående slutsatser vad beträffar trender i exporten, eftersom den totalt sett är så pass liten att den inte rymmer ett jämt flöde av materiel i alla kategorier som produceras i Sverige utan snarare uppvisar en slumpmässig tyngdpunkt som f</w:t>
      </w:r>
      <w:r w:rsidRPr="00BA76AF">
        <w:rPr>
          <w:kern w:val="1"/>
        </w:rPr>
        <w:t>örskjuts över tiden beroende på vilka exportkontrakt som industrin kunnat e</w:t>
      </w:r>
      <w:r w:rsidRPr="00BA76AF">
        <w:rPr>
          <w:kern w:val="1"/>
        </w:rPr>
        <w:t>r</w:t>
      </w:r>
      <w:r w:rsidRPr="00BA76AF">
        <w:rPr>
          <w:kern w:val="1"/>
        </w:rPr>
        <w:t xml:space="preserve">hålla. </w:t>
      </w:r>
    </w:p>
    <w:p w:rsidR="00AD1390" w:rsidRPr="00BA76AF" w:rsidRDefault="00AD1390">
      <w:pPr>
        <w:pStyle w:val="Normaltindrag"/>
      </w:pPr>
      <w:r w:rsidRPr="00BA76AF">
        <w:t>Det är inte bara när det gäller beviljade utförseltillstånd som detaljering</w:t>
      </w:r>
      <w:r w:rsidRPr="00BA76AF">
        <w:t>s</w:t>
      </w:r>
      <w:r w:rsidRPr="00BA76AF">
        <w:t>graden i redovisningen har ökat. Även när det gäller den faktiska exporten av krigsmateriel kan en ökad detaljeringsgrad av de presenterade uppgifterna noteras. I skrivelsens bilaga 1 återfinns en tabell där det framgår vilka enski</w:t>
      </w:r>
      <w:r w:rsidRPr="00BA76AF">
        <w:t>l</w:t>
      </w:r>
      <w:r w:rsidRPr="00BA76AF">
        <w:t>da mottagarländer som erhållit leveranser av krigsmateriel; av tabellen fra</w:t>
      </w:r>
      <w:r w:rsidRPr="00BA76AF">
        <w:t>m</w:t>
      </w:r>
      <w:r w:rsidRPr="00BA76AF">
        <w:t>går också vilken materielkategori som export</w:t>
      </w:r>
      <w:r w:rsidRPr="00BA76AF">
        <w:t>e</w:t>
      </w:r>
      <w:r w:rsidRPr="00BA76AF">
        <w:t xml:space="preserve">rats till respektive land.  </w:t>
      </w:r>
    </w:p>
    <w:p w:rsidR="00AD1390" w:rsidRPr="00BA76AF" w:rsidRDefault="00AD1390"/>
    <w:p w:rsidR="00AD1390" w:rsidRPr="00BA76AF" w:rsidRDefault="00AD1390">
      <w:pPr>
        <w:pStyle w:val="Tabellrubrik"/>
        <w:rPr>
          <w:kern w:val="1"/>
        </w:rPr>
      </w:pPr>
      <w:r w:rsidRPr="00BA76AF">
        <w:rPr>
          <w:kern w:val="1"/>
        </w:rPr>
        <w:t>Tabell 3. Värdet av svensk krigsmaterielexport i miljoner kronor 1999–2000 fördelat på krigsmaterielförteckningens h</w:t>
      </w:r>
      <w:r w:rsidRPr="00BA76AF">
        <w:rPr>
          <w:kern w:val="1"/>
        </w:rPr>
        <w:t>u</w:t>
      </w:r>
      <w:r w:rsidRPr="00BA76AF">
        <w:rPr>
          <w:kern w:val="1"/>
        </w:rPr>
        <w:t>vudområden</w:t>
      </w:r>
    </w:p>
    <w:p w:rsidR="00AD1390" w:rsidRPr="00BA76AF" w:rsidRDefault="00AD1390">
      <w:pPr>
        <w:pStyle w:val="Tabelltext"/>
        <w:rPr>
          <w:kern w:val="1"/>
        </w:rPr>
      </w:pPr>
    </w:p>
    <w:tbl>
      <w:tblPr>
        <w:tblW w:w="0" w:type="auto"/>
        <w:tblInd w:w="-70" w:type="dxa"/>
        <w:tblLayout w:type="fixed"/>
        <w:tblCellMar>
          <w:left w:w="70" w:type="dxa"/>
          <w:right w:w="70" w:type="dxa"/>
        </w:tblCellMar>
        <w:tblLook w:val="0000" w:firstRow="0" w:lastRow="0" w:firstColumn="0" w:lastColumn="0" w:noHBand="0" w:noVBand="0"/>
      </w:tblPr>
      <w:tblGrid>
        <w:gridCol w:w="779"/>
        <w:gridCol w:w="3402"/>
        <w:gridCol w:w="958"/>
        <w:gridCol w:w="958"/>
      </w:tblGrid>
      <w:tr w:rsidR="00000000" w:rsidRPr="00BA76AF">
        <w:tblPrEx>
          <w:tblCellMar>
            <w:top w:w="0" w:type="dxa"/>
            <w:bottom w:w="0" w:type="dxa"/>
          </w:tblCellMar>
        </w:tblPrEx>
        <w:tc>
          <w:tcPr>
            <w:tcW w:w="4179" w:type="dxa"/>
            <w:gridSpan w:val="2"/>
            <w:tcBorders>
              <w:top w:val="single" w:sz="4" w:space="0" w:color="auto"/>
              <w:bottom w:val="single" w:sz="4" w:space="0" w:color="auto"/>
            </w:tcBorders>
          </w:tcPr>
          <w:p w:rsidR="00AD1390" w:rsidRPr="00BA76AF" w:rsidRDefault="00AD1390">
            <w:pPr>
              <w:pStyle w:val="Tabelltext"/>
              <w:rPr>
                <w:kern w:val="1"/>
              </w:rPr>
            </w:pPr>
            <w:r w:rsidRPr="00BA76AF">
              <w:rPr>
                <w:i/>
                <w:kern w:val="1"/>
              </w:rPr>
              <w:t>Krigsmateriel för strid (KS)</w:t>
            </w:r>
            <w:r w:rsidRPr="00BA76AF">
              <w:rPr>
                <w:kern w:val="1"/>
              </w:rPr>
              <w:t xml:space="preserve"> </w:t>
            </w:r>
          </w:p>
        </w:tc>
        <w:tc>
          <w:tcPr>
            <w:tcW w:w="958"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1999</w:t>
            </w:r>
          </w:p>
        </w:tc>
        <w:tc>
          <w:tcPr>
            <w:tcW w:w="958"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2000</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KS1</w:t>
            </w:r>
          </w:p>
        </w:tc>
        <w:tc>
          <w:tcPr>
            <w:tcW w:w="3402" w:type="dxa"/>
          </w:tcPr>
          <w:p w:rsidR="00AD1390" w:rsidRPr="00BA76AF" w:rsidRDefault="00AD1390">
            <w:pPr>
              <w:pStyle w:val="Tabelltext"/>
              <w:rPr>
                <w:kern w:val="1"/>
              </w:rPr>
            </w:pPr>
            <w:r w:rsidRPr="00BA76AF">
              <w:rPr>
                <w:kern w:val="1"/>
              </w:rPr>
              <w:t>Finkalibriga eldrö</w:t>
            </w:r>
            <w:r w:rsidRPr="00BA76AF">
              <w:rPr>
                <w:kern w:val="1"/>
              </w:rPr>
              <w:t>r</w:t>
            </w:r>
            <w:r w:rsidRPr="00BA76AF">
              <w:rPr>
                <w:kern w:val="1"/>
              </w:rPr>
              <w:t>svapen</w:t>
            </w:r>
          </w:p>
        </w:tc>
        <w:tc>
          <w:tcPr>
            <w:tcW w:w="958" w:type="dxa"/>
          </w:tcPr>
          <w:p w:rsidR="00AD1390" w:rsidRPr="00BA76AF" w:rsidRDefault="00AD1390">
            <w:pPr>
              <w:pStyle w:val="Tabelltextsiffror"/>
              <w:rPr>
                <w:kern w:val="1"/>
              </w:rPr>
            </w:pPr>
            <w:r w:rsidRPr="00BA76AF">
              <w:rPr>
                <w:kern w:val="1"/>
              </w:rPr>
              <w:t>0</w:t>
            </w:r>
          </w:p>
        </w:tc>
        <w:tc>
          <w:tcPr>
            <w:tcW w:w="958" w:type="dxa"/>
          </w:tcPr>
          <w:p w:rsidR="00AD1390" w:rsidRPr="00BA76AF" w:rsidRDefault="00AD1390">
            <w:pPr>
              <w:pStyle w:val="Tabelltextsiffror"/>
              <w:rPr>
                <w:kern w:val="1"/>
              </w:rPr>
            </w:pPr>
            <w:r w:rsidRPr="00BA76AF">
              <w:rPr>
                <w:kern w:val="1"/>
              </w:rPr>
              <w:t>0</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KS2 </w:t>
            </w:r>
          </w:p>
        </w:tc>
        <w:tc>
          <w:tcPr>
            <w:tcW w:w="3402" w:type="dxa"/>
          </w:tcPr>
          <w:p w:rsidR="00AD1390" w:rsidRPr="00BA76AF" w:rsidRDefault="00AD1390">
            <w:pPr>
              <w:pStyle w:val="Tabelltext"/>
              <w:rPr>
                <w:kern w:val="1"/>
              </w:rPr>
            </w:pPr>
            <w:r w:rsidRPr="00BA76AF">
              <w:rPr>
                <w:kern w:val="1"/>
              </w:rPr>
              <w:t>Kanoner, pansa</w:t>
            </w:r>
            <w:r w:rsidRPr="00BA76AF">
              <w:rPr>
                <w:kern w:val="1"/>
              </w:rPr>
              <w:t>r</w:t>
            </w:r>
            <w:r w:rsidRPr="00BA76AF">
              <w:rPr>
                <w:kern w:val="1"/>
              </w:rPr>
              <w:t>värnsvapen</w:t>
            </w:r>
          </w:p>
        </w:tc>
        <w:tc>
          <w:tcPr>
            <w:tcW w:w="958" w:type="dxa"/>
          </w:tcPr>
          <w:p w:rsidR="00AD1390" w:rsidRPr="00BA76AF" w:rsidRDefault="00AD1390">
            <w:pPr>
              <w:pStyle w:val="Tabelltextsiffror"/>
              <w:rPr>
                <w:kern w:val="1"/>
              </w:rPr>
            </w:pPr>
            <w:r w:rsidRPr="00BA76AF">
              <w:rPr>
                <w:kern w:val="1"/>
              </w:rPr>
              <w:t>405</w:t>
            </w:r>
          </w:p>
        </w:tc>
        <w:tc>
          <w:tcPr>
            <w:tcW w:w="958" w:type="dxa"/>
          </w:tcPr>
          <w:p w:rsidR="00AD1390" w:rsidRPr="00BA76AF" w:rsidRDefault="00AD1390">
            <w:pPr>
              <w:pStyle w:val="Tabelltextsiffror"/>
              <w:rPr>
                <w:kern w:val="1"/>
              </w:rPr>
            </w:pPr>
            <w:r w:rsidRPr="00BA76AF">
              <w:rPr>
                <w:kern w:val="1"/>
              </w:rPr>
              <w:t>67</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KS3 </w:t>
            </w:r>
          </w:p>
        </w:tc>
        <w:tc>
          <w:tcPr>
            <w:tcW w:w="3402" w:type="dxa"/>
          </w:tcPr>
          <w:p w:rsidR="00AD1390" w:rsidRPr="00BA76AF" w:rsidRDefault="00AD1390">
            <w:pPr>
              <w:pStyle w:val="Tabelltext"/>
              <w:rPr>
                <w:kern w:val="1"/>
              </w:rPr>
            </w:pPr>
            <w:r w:rsidRPr="00BA76AF">
              <w:rPr>
                <w:kern w:val="1"/>
              </w:rPr>
              <w:t>Ammunition</w:t>
            </w:r>
          </w:p>
        </w:tc>
        <w:tc>
          <w:tcPr>
            <w:tcW w:w="958" w:type="dxa"/>
          </w:tcPr>
          <w:p w:rsidR="00AD1390" w:rsidRPr="00BA76AF" w:rsidRDefault="00AD1390">
            <w:pPr>
              <w:pStyle w:val="Tabelltextsiffror"/>
              <w:rPr>
                <w:kern w:val="1"/>
              </w:rPr>
            </w:pPr>
            <w:r w:rsidRPr="00BA76AF">
              <w:rPr>
                <w:kern w:val="1"/>
              </w:rPr>
              <w:t>426</w:t>
            </w:r>
          </w:p>
        </w:tc>
        <w:tc>
          <w:tcPr>
            <w:tcW w:w="958" w:type="dxa"/>
          </w:tcPr>
          <w:p w:rsidR="00AD1390" w:rsidRPr="00BA76AF" w:rsidRDefault="00AD1390">
            <w:pPr>
              <w:pStyle w:val="Tabelltextsiffror"/>
              <w:rPr>
                <w:kern w:val="1"/>
              </w:rPr>
            </w:pPr>
            <w:r w:rsidRPr="00BA76AF">
              <w:rPr>
                <w:kern w:val="1"/>
              </w:rPr>
              <w:t>143</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KS4 </w:t>
            </w:r>
          </w:p>
        </w:tc>
        <w:tc>
          <w:tcPr>
            <w:tcW w:w="3402" w:type="dxa"/>
          </w:tcPr>
          <w:p w:rsidR="00AD1390" w:rsidRPr="00BA76AF" w:rsidRDefault="00AD1390">
            <w:pPr>
              <w:pStyle w:val="Tabelltext"/>
              <w:rPr>
                <w:kern w:val="1"/>
              </w:rPr>
            </w:pPr>
            <w:r w:rsidRPr="00BA76AF">
              <w:rPr>
                <w:kern w:val="1"/>
              </w:rPr>
              <w:t>Robotar, raketer, torpeder, bomber</w:t>
            </w:r>
          </w:p>
        </w:tc>
        <w:tc>
          <w:tcPr>
            <w:tcW w:w="958" w:type="dxa"/>
          </w:tcPr>
          <w:p w:rsidR="00AD1390" w:rsidRPr="00BA76AF" w:rsidRDefault="00AD1390">
            <w:pPr>
              <w:pStyle w:val="Tabelltextsiffror"/>
              <w:rPr>
                <w:kern w:val="1"/>
              </w:rPr>
            </w:pPr>
            <w:r w:rsidRPr="00BA76AF">
              <w:rPr>
                <w:kern w:val="1"/>
              </w:rPr>
              <w:t>186</w:t>
            </w:r>
          </w:p>
        </w:tc>
        <w:tc>
          <w:tcPr>
            <w:tcW w:w="958" w:type="dxa"/>
          </w:tcPr>
          <w:p w:rsidR="00AD1390" w:rsidRPr="00BA76AF" w:rsidRDefault="00AD1390">
            <w:pPr>
              <w:pStyle w:val="Tabelltextsiffror"/>
              <w:rPr>
                <w:kern w:val="1"/>
              </w:rPr>
            </w:pPr>
            <w:r w:rsidRPr="00BA76AF">
              <w:rPr>
                <w:kern w:val="1"/>
              </w:rPr>
              <w:t>144</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KS5 </w:t>
            </w:r>
          </w:p>
        </w:tc>
        <w:tc>
          <w:tcPr>
            <w:tcW w:w="3402" w:type="dxa"/>
          </w:tcPr>
          <w:p w:rsidR="00AD1390" w:rsidRPr="00BA76AF" w:rsidRDefault="00AD1390">
            <w:pPr>
              <w:pStyle w:val="Tabelltext"/>
              <w:rPr>
                <w:kern w:val="1"/>
              </w:rPr>
            </w:pPr>
            <w:r w:rsidRPr="00BA76AF">
              <w:rPr>
                <w:kern w:val="1"/>
              </w:rPr>
              <w:t>Eldledningsutrus</w:t>
            </w:r>
            <w:r w:rsidRPr="00BA76AF">
              <w:rPr>
                <w:kern w:val="1"/>
              </w:rPr>
              <w:t>t</w:t>
            </w:r>
            <w:r w:rsidRPr="00BA76AF">
              <w:rPr>
                <w:kern w:val="1"/>
              </w:rPr>
              <w:t>ning</w:t>
            </w:r>
          </w:p>
        </w:tc>
        <w:tc>
          <w:tcPr>
            <w:tcW w:w="958" w:type="dxa"/>
          </w:tcPr>
          <w:p w:rsidR="00AD1390" w:rsidRPr="00BA76AF" w:rsidRDefault="00AD1390">
            <w:pPr>
              <w:pStyle w:val="Tabelltextsiffror"/>
              <w:rPr>
                <w:kern w:val="1"/>
              </w:rPr>
            </w:pPr>
            <w:r w:rsidRPr="00BA76AF">
              <w:rPr>
                <w:kern w:val="1"/>
              </w:rPr>
              <w:t>257</w:t>
            </w:r>
          </w:p>
        </w:tc>
        <w:tc>
          <w:tcPr>
            <w:tcW w:w="958" w:type="dxa"/>
          </w:tcPr>
          <w:p w:rsidR="00AD1390" w:rsidRPr="00BA76AF" w:rsidRDefault="00AD1390">
            <w:pPr>
              <w:pStyle w:val="Tabelltextsiffror"/>
              <w:rPr>
                <w:kern w:val="1"/>
              </w:rPr>
            </w:pPr>
            <w:r w:rsidRPr="00BA76AF">
              <w:rPr>
                <w:kern w:val="1"/>
              </w:rPr>
              <w:t>522</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KS6</w:t>
            </w:r>
          </w:p>
        </w:tc>
        <w:tc>
          <w:tcPr>
            <w:tcW w:w="3402" w:type="dxa"/>
          </w:tcPr>
          <w:p w:rsidR="00AD1390" w:rsidRPr="00BA76AF" w:rsidRDefault="00AD1390">
            <w:pPr>
              <w:pStyle w:val="Tabelltext"/>
              <w:rPr>
                <w:kern w:val="1"/>
              </w:rPr>
            </w:pPr>
            <w:r w:rsidRPr="00BA76AF">
              <w:rPr>
                <w:kern w:val="1"/>
              </w:rPr>
              <w:t>ABC-stridsmedel</w:t>
            </w:r>
          </w:p>
        </w:tc>
        <w:tc>
          <w:tcPr>
            <w:tcW w:w="958" w:type="dxa"/>
          </w:tcPr>
          <w:p w:rsidR="00AD1390" w:rsidRPr="00BA76AF" w:rsidRDefault="00AD1390">
            <w:pPr>
              <w:pStyle w:val="Tabelltextsiffror"/>
              <w:rPr>
                <w:kern w:val="1"/>
              </w:rPr>
            </w:pPr>
            <w:r w:rsidRPr="00BA76AF">
              <w:rPr>
                <w:kern w:val="1"/>
              </w:rPr>
              <w:t>1*</w:t>
            </w:r>
          </w:p>
        </w:tc>
        <w:tc>
          <w:tcPr>
            <w:tcW w:w="958" w:type="dxa"/>
          </w:tcPr>
          <w:p w:rsidR="00AD1390" w:rsidRPr="00BA76AF" w:rsidRDefault="00AD1390">
            <w:pPr>
              <w:pStyle w:val="Tabelltextsiffror"/>
              <w:rPr>
                <w:kern w:val="1"/>
              </w:rPr>
            </w:pPr>
            <w:r w:rsidRPr="00BA76AF">
              <w:rPr>
                <w:kern w:val="1"/>
              </w:rPr>
              <w:t>0,8*</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KS7 </w:t>
            </w:r>
          </w:p>
        </w:tc>
        <w:tc>
          <w:tcPr>
            <w:tcW w:w="3402" w:type="dxa"/>
          </w:tcPr>
          <w:p w:rsidR="00AD1390" w:rsidRPr="00BA76AF" w:rsidRDefault="00AD1390">
            <w:pPr>
              <w:pStyle w:val="Tabelltext"/>
              <w:rPr>
                <w:kern w:val="1"/>
              </w:rPr>
            </w:pPr>
            <w:r w:rsidRPr="00BA76AF">
              <w:rPr>
                <w:kern w:val="1"/>
              </w:rPr>
              <w:t>Krut och sprängä</w:t>
            </w:r>
            <w:r w:rsidRPr="00BA76AF">
              <w:rPr>
                <w:kern w:val="1"/>
              </w:rPr>
              <w:t>m</w:t>
            </w:r>
            <w:r w:rsidRPr="00BA76AF">
              <w:rPr>
                <w:kern w:val="1"/>
              </w:rPr>
              <w:t>nen</w:t>
            </w:r>
          </w:p>
        </w:tc>
        <w:tc>
          <w:tcPr>
            <w:tcW w:w="958" w:type="dxa"/>
          </w:tcPr>
          <w:p w:rsidR="00AD1390" w:rsidRPr="00BA76AF" w:rsidRDefault="00AD1390">
            <w:pPr>
              <w:pStyle w:val="Tabelltextsiffror"/>
              <w:rPr>
                <w:kern w:val="1"/>
              </w:rPr>
            </w:pPr>
            <w:r w:rsidRPr="00BA76AF">
              <w:rPr>
                <w:kern w:val="1"/>
              </w:rPr>
              <w:t>89</w:t>
            </w:r>
          </w:p>
        </w:tc>
        <w:tc>
          <w:tcPr>
            <w:tcW w:w="958" w:type="dxa"/>
          </w:tcPr>
          <w:p w:rsidR="00AD1390" w:rsidRPr="00BA76AF" w:rsidRDefault="00AD1390">
            <w:pPr>
              <w:pStyle w:val="Tabelltextsiffror"/>
              <w:rPr>
                <w:kern w:val="1"/>
              </w:rPr>
            </w:pPr>
            <w:r w:rsidRPr="00BA76AF">
              <w:rPr>
                <w:kern w:val="1"/>
              </w:rPr>
              <w:t>115</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KS8 </w:t>
            </w:r>
          </w:p>
        </w:tc>
        <w:tc>
          <w:tcPr>
            <w:tcW w:w="3402" w:type="dxa"/>
          </w:tcPr>
          <w:p w:rsidR="00AD1390" w:rsidRPr="00BA76AF" w:rsidRDefault="00AD1390">
            <w:pPr>
              <w:pStyle w:val="Tabelltext"/>
              <w:rPr>
                <w:kern w:val="1"/>
              </w:rPr>
            </w:pPr>
            <w:r w:rsidRPr="00BA76AF">
              <w:rPr>
                <w:kern w:val="1"/>
              </w:rPr>
              <w:t>Krigsfartyg</w:t>
            </w:r>
          </w:p>
        </w:tc>
        <w:tc>
          <w:tcPr>
            <w:tcW w:w="958" w:type="dxa"/>
          </w:tcPr>
          <w:p w:rsidR="00AD1390" w:rsidRPr="00BA76AF" w:rsidRDefault="00AD1390">
            <w:pPr>
              <w:pStyle w:val="Tabelltextsiffror"/>
              <w:rPr>
                <w:kern w:val="1"/>
              </w:rPr>
            </w:pPr>
            <w:r w:rsidRPr="00BA76AF">
              <w:rPr>
                <w:kern w:val="1"/>
              </w:rPr>
              <w:t>144</w:t>
            </w:r>
          </w:p>
        </w:tc>
        <w:tc>
          <w:tcPr>
            <w:tcW w:w="958" w:type="dxa"/>
          </w:tcPr>
          <w:p w:rsidR="00AD1390" w:rsidRPr="00BA76AF" w:rsidRDefault="00AD1390">
            <w:pPr>
              <w:pStyle w:val="Tabelltextsiffror"/>
              <w:rPr>
                <w:kern w:val="1"/>
              </w:rPr>
            </w:pPr>
            <w:r w:rsidRPr="00BA76AF">
              <w:rPr>
                <w:kern w:val="1"/>
              </w:rPr>
              <w:t>535</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 xml:space="preserve">KS9 </w:t>
            </w:r>
          </w:p>
        </w:tc>
        <w:tc>
          <w:tcPr>
            <w:tcW w:w="3402" w:type="dxa"/>
          </w:tcPr>
          <w:p w:rsidR="00AD1390" w:rsidRPr="00BA76AF" w:rsidRDefault="00AD1390">
            <w:pPr>
              <w:pStyle w:val="Tabelltext"/>
              <w:rPr>
                <w:kern w:val="1"/>
              </w:rPr>
            </w:pPr>
            <w:r w:rsidRPr="00BA76AF">
              <w:rPr>
                <w:kern w:val="1"/>
              </w:rPr>
              <w:t>Stridsflygplan</w:t>
            </w:r>
          </w:p>
        </w:tc>
        <w:tc>
          <w:tcPr>
            <w:tcW w:w="958" w:type="dxa"/>
          </w:tcPr>
          <w:p w:rsidR="00AD1390" w:rsidRPr="00BA76AF" w:rsidRDefault="00AD1390">
            <w:pPr>
              <w:pStyle w:val="Tabelltextsiffror"/>
              <w:rPr>
                <w:kern w:val="1"/>
              </w:rPr>
            </w:pPr>
            <w:r w:rsidRPr="00BA76AF">
              <w:rPr>
                <w:kern w:val="1"/>
              </w:rPr>
              <w:t>0</w:t>
            </w:r>
          </w:p>
        </w:tc>
        <w:tc>
          <w:tcPr>
            <w:tcW w:w="958" w:type="dxa"/>
          </w:tcPr>
          <w:p w:rsidR="00AD1390" w:rsidRPr="00BA76AF" w:rsidRDefault="00AD1390">
            <w:pPr>
              <w:pStyle w:val="Tabelltextsiffror"/>
              <w:rPr>
                <w:kern w:val="1"/>
              </w:rPr>
            </w:pPr>
            <w:r w:rsidRPr="00BA76AF">
              <w:rPr>
                <w:kern w:val="1"/>
              </w:rPr>
              <w:t>0</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KS10</w:t>
            </w:r>
          </w:p>
        </w:tc>
        <w:tc>
          <w:tcPr>
            <w:tcW w:w="3402" w:type="dxa"/>
          </w:tcPr>
          <w:p w:rsidR="00AD1390" w:rsidRPr="00BA76AF" w:rsidRDefault="00AD1390">
            <w:pPr>
              <w:pStyle w:val="Tabelltext"/>
              <w:rPr>
                <w:kern w:val="1"/>
              </w:rPr>
            </w:pPr>
            <w:r w:rsidRPr="00BA76AF">
              <w:rPr>
                <w:kern w:val="1"/>
              </w:rPr>
              <w:t xml:space="preserve">Stridsfordon </w:t>
            </w:r>
          </w:p>
        </w:tc>
        <w:tc>
          <w:tcPr>
            <w:tcW w:w="958" w:type="dxa"/>
          </w:tcPr>
          <w:p w:rsidR="00AD1390" w:rsidRPr="00BA76AF" w:rsidRDefault="00AD1390">
            <w:pPr>
              <w:pStyle w:val="Tabelltextsiffror"/>
              <w:rPr>
                <w:kern w:val="1"/>
              </w:rPr>
            </w:pPr>
            <w:r w:rsidRPr="00BA76AF">
              <w:rPr>
                <w:kern w:val="1"/>
              </w:rPr>
              <w:t>444</w:t>
            </w:r>
          </w:p>
        </w:tc>
        <w:tc>
          <w:tcPr>
            <w:tcW w:w="958" w:type="dxa"/>
          </w:tcPr>
          <w:p w:rsidR="00AD1390" w:rsidRPr="00BA76AF" w:rsidRDefault="00AD1390">
            <w:pPr>
              <w:pStyle w:val="Tabelltextsiffror"/>
              <w:rPr>
                <w:kern w:val="1"/>
              </w:rPr>
            </w:pPr>
            <w:r w:rsidRPr="00BA76AF">
              <w:rPr>
                <w:kern w:val="1"/>
              </w:rPr>
              <w:t>663</w:t>
            </w:r>
          </w:p>
        </w:tc>
      </w:tr>
      <w:tr w:rsidR="00000000" w:rsidRPr="00BA76AF">
        <w:tblPrEx>
          <w:tblCellMar>
            <w:top w:w="0" w:type="dxa"/>
            <w:bottom w:w="0" w:type="dxa"/>
          </w:tblCellMar>
        </w:tblPrEx>
        <w:tc>
          <w:tcPr>
            <w:tcW w:w="779" w:type="dxa"/>
          </w:tcPr>
          <w:p w:rsidR="00AD1390" w:rsidRPr="00BA76AF" w:rsidRDefault="00AD1390">
            <w:pPr>
              <w:pStyle w:val="Tabelltext"/>
              <w:rPr>
                <w:kern w:val="1"/>
              </w:rPr>
            </w:pPr>
            <w:r w:rsidRPr="00BA76AF">
              <w:rPr>
                <w:kern w:val="1"/>
              </w:rPr>
              <w:t>KS11</w:t>
            </w:r>
          </w:p>
        </w:tc>
        <w:tc>
          <w:tcPr>
            <w:tcW w:w="3402" w:type="dxa"/>
          </w:tcPr>
          <w:p w:rsidR="00AD1390" w:rsidRPr="00BA76AF" w:rsidRDefault="00AD1390">
            <w:pPr>
              <w:pStyle w:val="Tabelltext"/>
              <w:rPr>
                <w:kern w:val="1"/>
              </w:rPr>
            </w:pPr>
            <w:r w:rsidRPr="00BA76AF">
              <w:rPr>
                <w:kern w:val="1"/>
              </w:rPr>
              <w:t>Riktade energivapen</w:t>
            </w:r>
          </w:p>
        </w:tc>
        <w:tc>
          <w:tcPr>
            <w:tcW w:w="958" w:type="dxa"/>
          </w:tcPr>
          <w:p w:rsidR="00AD1390" w:rsidRPr="00BA76AF" w:rsidRDefault="00AD1390">
            <w:pPr>
              <w:pStyle w:val="Tabelltextsiffror"/>
              <w:rPr>
                <w:kern w:val="1"/>
              </w:rPr>
            </w:pPr>
            <w:r w:rsidRPr="00BA76AF">
              <w:rPr>
                <w:kern w:val="1"/>
              </w:rPr>
              <w:t>0</w:t>
            </w:r>
          </w:p>
        </w:tc>
        <w:tc>
          <w:tcPr>
            <w:tcW w:w="958" w:type="dxa"/>
          </w:tcPr>
          <w:p w:rsidR="00AD1390" w:rsidRPr="00BA76AF" w:rsidRDefault="00AD1390">
            <w:pPr>
              <w:pStyle w:val="Tabelltextsiffror"/>
              <w:rPr>
                <w:kern w:val="1"/>
              </w:rPr>
            </w:pPr>
            <w:r w:rsidRPr="00BA76AF">
              <w:rPr>
                <w:kern w:val="1"/>
              </w:rPr>
              <w:t>0</w:t>
            </w:r>
          </w:p>
        </w:tc>
      </w:tr>
      <w:tr w:rsidR="00000000" w:rsidRPr="00BA76AF">
        <w:tblPrEx>
          <w:tblCellMar>
            <w:top w:w="0" w:type="dxa"/>
            <w:bottom w:w="0" w:type="dxa"/>
          </w:tblCellMar>
        </w:tblPrEx>
        <w:tc>
          <w:tcPr>
            <w:tcW w:w="779" w:type="dxa"/>
            <w:tcBorders>
              <w:top w:val="single" w:sz="4" w:space="0" w:color="auto"/>
            </w:tcBorders>
          </w:tcPr>
          <w:p w:rsidR="00AD1390" w:rsidRPr="00BA76AF" w:rsidRDefault="00AD1390">
            <w:pPr>
              <w:pStyle w:val="Tabelltext"/>
              <w:rPr>
                <w:kern w:val="1"/>
              </w:rPr>
            </w:pPr>
          </w:p>
        </w:tc>
        <w:tc>
          <w:tcPr>
            <w:tcW w:w="3402" w:type="dxa"/>
            <w:tcBorders>
              <w:top w:val="single" w:sz="4" w:space="0" w:color="auto"/>
            </w:tcBorders>
          </w:tcPr>
          <w:p w:rsidR="00AD1390" w:rsidRPr="00BA76AF" w:rsidRDefault="00AD1390">
            <w:pPr>
              <w:pStyle w:val="Tabelltext"/>
              <w:rPr>
                <w:kern w:val="1"/>
              </w:rPr>
            </w:pPr>
            <w:r w:rsidRPr="00BA76AF">
              <w:rPr>
                <w:kern w:val="1"/>
              </w:rPr>
              <w:t>SUMMA KS</w:t>
            </w:r>
          </w:p>
        </w:tc>
        <w:tc>
          <w:tcPr>
            <w:tcW w:w="958" w:type="dxa"/>
            <w:tcBorders>
              <w:top w:val="single" w:sz="4" w:space="0" w:color="auto"/>
            </w:tcBorders>
          </w:tcPr>
          <w:p w:rsidR="00AD1390" w:rsidRPr="00BA76AF" w:rsidRDefault="00AD1390">
            <w:pPr>
              <w:pStyle w:val="Tabelltextsiffror"/>
              <w:rPr>
                <w:kern w:val="1"/>
              </w:rPr>
            </w:pPr>
            <w:r w:rsidRPr="00BA76AF">
              <w:rPr>
                <w:kern w:val="1"/>
              </w:rPr>
              <w:t>1 952</w:t>
            </w:r>
          </w:p>
        </w:tc>
        <w:tc>
          <w:tcPr>
            <w:tcW w:w="958" w:type="dxa"/>
            <w:tcBorders>
              <w:top w:val="single" w:sz="4" w:space="0" w:color="auto"/>
            </w:tcBorders>
          </w:tcPr>
          <w:p w:rsidR="00AD1390" w:rsidRPr="00BA76AF" w:rsidRDefault="00AD1390">
            <w:pPr>
              <w:pStyle w:val="Tabelltextsiffror"/>
              <w:rPr>
                <w:kern w:val="1"/>
              </w:rPr>
            </w:pPr>
            <w:r w:rsidRPr="00BA76AF">
              <w:rPr>
                <w:kern w:val="1"/>
              </w:rPr>
              <w:t>2 190</w:t>
            </w:r>
          </w:p>
        </w:tc>
      </w:tr>
    </w:tbl>
    <w:p w:rsidR="00AD1390" w:rsidRPr="00BA76AF" w:rsidRDefault="00AD1390">
      <w:pPr>
        <w:pStyle w:val="Tabelltext"/>
        <w:rPr>
          <w:kern w:val="1"/>
        </w:rPr>
      </w:pPr>
      <w:r w:rsidRPr="00BA76AF">
        <w:rPr>
          <w:kern w:val="1"/>
        </w:rPr>
        <w:t>* Exporten av KS6 avser komponenter till tårgasprodukter till länder i Väs</w:t>
      </w:r>
      <w:r w:rsidRPr="00BA76AF">
        <w:rPr>
          <w:kern w:val="1"/>
        </w:rPr>
        <w:t>t</w:t>
      </w:r>
      <w:r w:rsidRPr="00BA76AF">
        <w:rPr>
          <w:kern w:val="1"/>
        </w:rPr>
        <w:t>europa.</w:t>
      </w:r>
    </w:p>
    <w:p w:rsidR="00AD1390" w:rsidRPr="00BA76AF" w:rsidRDefault="00AD1390">
      <w:pPr>
        <w:pStyle w:val="Tabelltext"/>
        <w:rPr>
          <w:kern w:val="1"/>
        </w:rPr>
      </w:pPr>
    </w:p>
    <w:p w:rsidR="00AD1390" w:rsidRPr="00BA76AF" w:rsidRDefault="00AD1390">
      <w:pPr>
        <w:pStyle w:val="Tabelltext"/>
        <w:rPr>
          <w:kern w:val="1"/>
        </w:rPr>
      </w:pPr>
    </w:p>
    <w:tbl>
      <w:tblPr>
        <w:tblW w:w="0" w:type="auto"/>
        <w:tblInd w:w="-70" w:type="dxa"/>
        <w:tblLayout w:type="fixed"/>
        <w:tblCellMar>
          <w:left w:w="70" w:type="dxa"/>
          <w:right w:w="70" w:type="dxa"/>
        </w:tblCellMar>
        <w:tblLook w:val="0000" w:firstRow="0" w:lastRow="0" w:firstColumn="0" w:lastColumn="0" w:noHBand="0" w:noVBand="0"/>
      </w:tblPr>
      <w:tblGrid>
        <w:gridCol w:w="777"/>
        <w:gridCol w:w="3402"/>
        <w:gridCol w:w="958"/>
        <w:gridCol w:w="958"/>
      </w:tblGrid>
      <w:tr w:rsidR="00000000" w:rsidRPr="00BA76AF">
        <w:tblPrEx>
          <w:tblCellMar>
            <w:top w:w="0" w:type="dxa"/>
            <w:bottom w:w="0" w:type="dxa"/>
          </w:tblCellMar>
        </w:tblPrEx>
        <w:tc>
          <w:tcPr>
            <w:tcW w:w="4179" w:type="dxa"/>
            <w:gridSpan w:val="2"/>
            <w:tcBorders>
              <w:top w:val="single" w:sz="4" w:space="0" w:color="auto"/>
              <w:bottom w:val="single" w:sz="4" w:space="0" w:color="auto"/>
            </w:tcBorders>
          </w:tcPr>
          <w:p w:rsidR="00AD1390" w:rsidRPr="00BA76AF" w:rsidRDefault="00AD1390">
            <w:pPr>
              <w:pStyle w:val="Tabelltext"/>
              <w:rPr>
                <w:kern w:val="1"/>
              </w:rPr>
            </w:pPr>
            <w:r w:rsidRPr="00BA76AF">
              <w:rPr>
                <w:i/>
                <w:kern w:val="1"/>
              </w:rPr>
              <w:t>Övrig krigsmateriel (ÖK)</w:t>
            </w:r>
            <w:r w:rsidRPr="00BA76AF">
              <w:rPr>
                <w:kern w:val="1"/>
              </w:rPr>
              <w:t xml:space="preserve"> </w:t>
            </w:r>
          </w:p>
        </w:tc>
        <w:tc>
          <w:tcPr>
            <w:tcW w:w="958"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1999</w:t>
            </w:r>
          </w:p>
        </w:tc>
        <w:tc>
          <w:tcPr>
            <w:tcW w:w="958"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2000</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ÖK21</w:t>
            </w:r>
          </w:p>
        </w:tc>
        <w:tc>
          <w:tcPr>
            <w:tcW w:w="3402" w:type="dxa"/>
          </w:tcPr>
          <w:p w:rsidR="00AD1390" w:rsidRPr="00BA76AF" w:rsidRDefault="00AD1390">
            <w:pPr>
              <w:pStyle w:val="Tabelltext"/>
              <w:rPr>
                <w:kern w:val="1"/>
              </w:rPr>
            </w:pPr>
            <w:r w:rsidRPr="00BA76AF">
              <w:rPr>
                <w:kern w:val="1"/>
              </w:rPr>
              <w:t>Finkalibriga eldrö</w:t>
            </w:r>
            <w:r w:rsidRPr="00BA76AF">
              <w:rPr>
                <w:kern w:val="1"/>
              </w:rPr>
              <w:t>r</w:t>
            </w:r>
            <w:r w:rsidRPr="00BA76AF">
              <w:rPr>
                <w:kern w:val="1"/>
              </w:rPr>
              <w:t>svapen, delar m.m</w:t>
            </w:r>
          </w:p>
        </w:tc>
        <w:tc>
          <w:tcPr>
            <w:tcW w:w="958" w:type="dxa"/>
          </w:tcPr>
          <w:p w:rsidR="00AD1390" w:rsidRPr="00BA76AF" w:rsidRDefault="00AD1390">
            <w:pPr>
              <w:pStyle w:val="Tabelltextsiffror"/>
              <w:rPr>
                <w:kern w:val="1"/>
              </w:rPr>
            </w:pPr>
            <w:r w:rsidRPr="00BA76AF">
              <w:rPr>
                <w:kern w:val="1"/>
              </w:rPr>
              <w:t>6</w:t>
            </w:r>
          </w:p>
        </w:tc>
        <w:tc>
          <w:tcPr>
            <w:tcW w:w="958" w:type="dxa"/>
          </w:tcPr>
          <w:p w:rsidR="00AD1390" w:rsidRPr="00BA76AF" w:rsidRDefault="00AD1390">
            <w:pPr>
              <w:pStyle w:val="Tabelltextsiffror"/>
              <w:rPr>
                <w:kern w:val="1"/>
              </w:rPr>
            </w:pPr>
            <w:r w:rsidRPr="00BA76AF">
              <w:rPr>
                <w:kern w:val="1"/>
              </w:rPr>
              <w:t>6</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ÖK22</w:t>
            </w:r>
          </w:p>
        </w:tc>
        <w:tc>
          <w:tcPr>
            <w:tcW w:w="3402" w:type="dxa"/>
          </w:tcPr>
          <w:p w:rsidR="00AD1390" w:rsidRPr="00BA76AF" w:rsidRDefault="00AD1390">
            <w:pPr>
              <w:pStyle w:val="Tabelltext"/>
              <w:rPr>
                <w:kern w:val="1"/>
              </w:rPr>
            </w:pPr>
            <w:r w:rsidRPr="00BA76AF">
              <w:rPr>
                <w:kern w:val="1"/>
              </w:rPr>
              <w:t>Kanoner, pansa</w:t>
            </w:r>
            <w:r w:rsidRPr="00BA76AF">
              <w:rPr>
                <w:kern w:val="1"/>
              </w:rPr>
              <w:t>r</w:t>
            </w:r>
            <w:r w:rsidRPr="00BA76AF">
              <w:rPr>
                <w:kern w:val="1"/>
              </w:rPr>
              <w:t>värnsvapen, delar m.m.</w:t>
            </w:r>
          </w:p>
        </w:tc>
        <w:tc>
          <w:tcPr>
            <w:tcW w:w="958" w:type="dxa"/>
          </w:tcPr>
          <w:p w:rsidR="00AD1390" w:rsidRPr="00BA76AF" w:rsidRDefault="00AD1390">
            <w:pPr>
              <w:pStyle w:val="Tabelltextsiffror"/>
              <w:rPr>
                <w:kern w:val="1"/>
              </w:rPr>
            </w:pPr>
            <w:r w:rsidRPr="00BA76AF">
              <w:rPr>
                <w:kern w:val="1"/>
              </w:rPr>
              <w:t>112</w:t>
            </w:r>
          </w:p>
        </w:tc>
        <w:tc>
          <w:tcPr>
            <w:tcW w:w="958" w:type="dxa"/>
          </w:tcPr>
          <w:p w:rsidR="00AD1390" w:rsidRPr="00BA76AF" w:rsidRDefault="00AD1390">
            <w:pPr>
              <w:pStyle w:val="Tabelltextsiffror"/>
              <w:rPr>
                <w:kern w:val="1"/>
              </w:rPr>
            </w:pPr>
            <w:r w:rsidRPr="00BA76AF">
              <w:rPr>
                <w:kern w:val="1"/>
              </w:rPr>
              <w:t>153</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ÖK23</w:t>
            </w:r>
          </w:p>
        </w:tc>
        <w:tc>
          <w:tcPr>
            <w:tcW w:w="3402" w:type="dxa"/>
          </w:tcPr>
          <w:p w:rsidR="00AD1390" w:rsidRPr="00BA76AF" w:rsidRDefault="00AD1390">
            <w:pPr>
              <w:pStyle w:val="Tabelltext"/>
              <w:rPr>
                <w:kern w:val="1"/>
              </w:rPr>
            </w:pPr>
            <w:r w:rsidRPr="00BA76AF">
              <w:rPr>
                <w:kern w:val="1"/>
              </w:rPr>
              <w:t>Övningsammunition m.m.</w:t>
            </w:r>
          </w:p>
        </w:tc>
        <w:tc>
          <w:tcPr>
            <w:tcW w:w="958" w:type="dxa"/>
          </w:tcPr>
          <w:p w:rsidR="00AD1390" w:rsidRPr="00BA76AF" w:rsidRDefault="00AD1390">
            <w:pPr>
              <w:pStyle w:val="Tabelltextsiffror"/>
              <w:rPr>
                <w:kern w:val="1"/>
              </w:rPr>
            </w:pPr>
            <w:r w:rsidRPr="00BA76AF">
              <w:rPr>
                <w:kern w:val="1"/>
              </w:rPr>
              <w:t>316</w:t>
            </w:r>
          </w:p>
        </w:tc>
        <w:tc>
          <w:tcPr>
            <w:tcW w:w="958" w:type="dxa"/>
          </w:tcPr>
          <w:p w:rsidR="00AD1390" w:rsidRPr="00BA76AF" w:rsidRDefault="00AD1390">
            <w:pPr>
              <w:pStyle w:val="Tabelltextsiffror"/>
              <w:rPr>
                <w:kern w:val="1"/>
              </w:rPr>
            </w:pPr>
            <w:r w:rsidRPr="00BA76AF">
              <w:rPr>
                <w:kern w:val="1"/>
              </w:rPr>
              <w:t>316</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 xml:space="preserve">ÖK24 </w:t>
            </w:r>
          </w:p>
        </w:tc>
        <w:tc>
          <w:tcPr>
            <w:tcW w:w="3402" w:type="dxa"/>
          </w:tcPr>
          <w:p w:rsidR="00AD1390" w:rsidRPr="00BA76AF" w:rsidRDefault="00AD1390">
            <w:pPr>
              <w:pStyle w:val="Tabelltext"/>
              <w:rPr>
                <w:kern w:val="1"/>
              </w:rPr>
            </w:pPr>
            <w:r w:rsidRPr="00BA76AF">
              <w:rPr>
                <w:kern w:val="1"/>
              </w:rPr>
              <w:t>Övningsraketer, röjningsutrustning m.m.</w:t>
            </w:r>
          </w:p>
        </w:tc>
        <w:tc>
          <w:tcPr>
            <w:tcW w:w="958" w:type="dxa"/>
          </w:tcPr>
          <w:p w:rsidR="00AD1390" w:rsidRPr="00BA76AF" w:rsidRDefault="00AD1390">
            <w:pPr>
              <w:pStyle w:val="Tabelltextsiffror"/>
              <w:rPr>
                <w:kern w:val="1"/>
              </w:rPr>
            </w:pPr>
            <w:r w:rsidRPr="00BA76AF">
              <w:rPr>
                <w:kern w:val="1"/>
              </w:rPr>
              <w:t>34</w:t>
            </w:r>
          </w:p>
        </w:tc>
        <w:tc>
          <w:tcPr>
            <w:tcW w:w="958" w:type="dxa"/>
          </w:tcPr>
          <w:p w:rsidR="00AD1390" w:rsidRPr="00BA76AF" w:rsidRDefault="00AD1390">
            <w:pPr>
              <w:pStyle w:val="Tabelltextsiffror"/>
              <w:rPr>
                <w:kern w:val="1"/>
              </w:rPr>
            </w:pPr>
            <w:r w:rsidRPr="00BA76AF">
              <w:rPr>
                <w:kern w:val="1"/>
              </w:rPr>
              <w:t>36</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ÖK25</w:t>
            </w:r>
          </w:p>
        </w:tc>
        <w:tc>
          <w:tcPr>
            <w:tcW w:w="3402" w:type="dxa"/>
          </w:tcPr>
          <w:p w:rsidR="00AD1390" w:rsidRPr="00BA76AF" w:rsidRDefault="00AD1390">
            <w:pPr>
              <w:pStyle w:val="Tabelltext"/>
              <w:rPr>
                <w:kern w:val="1"/>
              </w:rPr>
            </w:pPr>
            <w:r w:rsidRPr="00BA76AF">
              <w:rPr>
                <w:kern w:val="1"/>
              </w:rPr>
              <w:t>Spanings- och mätu</w:t>
            </w:r>
            <w:r w:rsidRPr="00BA76AF">
              <w:rPr>
                <w:kern w:val="1"/>
              </w:rPr>
              <w:t>t</w:t>
            </w:r>
            <w:r w:rsidRPr="00BA76AF">
              <w:rPr>
                <w:kern w:val="1"/>
              </w:rPr>
              <w:t>rustningar m.m</w:t>
            </w:r>
          </w:p>
        </w:tc>
        <w:tc>
          <w:tcPr>
            <w:tcW w:w="958" w:type="dxa"/>
          </w:tcPr>
          <w:p w:rsidR="00AD1390" w:rsidRPr="00BA76AF" w:rsidRDefault="00AD1390">
            <w:pPr>
              <w:pStyle w:val="Tabelltextsiffror"/>
              <w:rPr>
                <w:kern w:val="1"/>
              </w:rPr>
            </w:pPr>
            <w:r w:rsidRPr="00BA76AF">
              <w:rPr>
                <w:kern w:val="1"/>
              </w:rPr>
              <w:t>384</w:t>
            </w:r>
          </w:p>
        </w:tc>
        <w:tc>
          <w:tcPr>
            <w:tcW w:w="958" w:type="dxa"/>
          </w:tcPr>
          <w:p w:rsidR="00AD1390" w:rsidRPr="00BA76AF" w:rsidRDefault="00AD1390">
            <w:pPr>
              <w:pStyle w:val="Tabelltextsiffror"/>
              <w:rPr>
                <w:kern w:val="1"/>
              </w:rPr>
            </w:pPr>
            <w:r w:rsidRPr="00BA76AF">
              <w:rPr>
                <w:kern w:val="1"/>
              </w:rPr>
              <w:t>798</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ÖK26</w:t>
            </w:r>
          </w:p>
        </w:tc>
        <w:tc>
          <w:tcPr>
            <w:tcW w:w="3402" w:type="dxa"/>
          </w:tcPr>
          <w:p w:rsidR="00AD1390" w:rsidRPr="00BA76AF" w:rsidRDefault="00AD1390">
            <w:pPr>
              <w:pStyle w:val="Tabelltext"/>
              <w:rPr>
                <w:kern w:val="1"/>
              </w:rPr>
            </w:pPr>
            <w:r w:rsidRPr="00BA76AF">
              <w:rPr>
                <w:kern w:val="1"/>
              </w:rPr>
              <w:t>Skyddsmateriel m.m.</w:t>
            </w:r>
          </w:p>
        </w:tc>
        <w:tc>
          <w:tcPr>
            <w:tcW w:w="958" w:type="dxa"/>
          </w:tcPr>
          <w:p w:rsidR="00AD1390" w:rsidRPr="00BA76AF" w:rsidRDefault="00AD1390">
            <w:pPr>
              <w:pStyle w:val="Tabelltextsiffror"/>
              <w:rPr>
                <w:kern w:val="1"/>
              </w:rPr>
            </w:pPr>
            <w:r w:rsidRPr="00BA76AF">
              <w:rPr>
                <w:kern w:val="1"/>
              </w:rPr>
              <w:t>30</w:t>
            </w:r>
          </w:p>
        </w:tc>
        <w:tc>
          <w:tcPr>
            <w:tcW w:w="958" w:type="dxa"/>
          </w:tcPr>
          <w:p w:rsidR="00AD1390" w:rsidRPr="00BA76AF" w:rsidRDefault="00AD1390">
            <w:pPr>
              <w:pStyle w:val="Tabelltextsiffror"/>
              <w:rPr>
                <w:kern w:val="1"/>
              </w:rPr>
            </w:pPr>
            <w:r w:rsidRPr="00BA76AF">
              <w:rPr>
                <w:kern w:val="1"/>
              </w:rPr>
              <w:t>21</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ÖK27</w:t>
            </w:r>
          </w:p>
        </w:tc>
        <w:tc>
          <w:tcPr>
            <w:tcW w:w="3402" w:type="dxa"/>
          </w:tcPr>
          <w:p w:rsidR="00AD1390" w:rsidRPr="00BA76AF" w:rsidRDefault="00AD1390">
            <w:pPr>
              <w:pStyle w:val="Tabelltext"/>
              <w:rPr>
                <w:kern w:val="1"/>
              </w:rPr>
            </w:pPr>
            <w:r w:rsidRPr="00BA76AF">
              <w:rPr>
                <w:kern w:val="1"/>
              </w:rPr>
              <w:t>Krut- och sprängä</w:t>
            </w:r>
            <w:r w:rsidRPr="00BA76AF">
              <w:rPr>
                <w:kern w:val="1"/>
              </w:rPr>
              <w:t>m</w:t>
            </w:r>
            <w:r w:rsidRPr="00BA76AF">
              <w:rPr>
                <w:kern w:val="1"/>
              </w:rPr>
              <w:t>neskomponenter</w:t>
            </w:r>
          </w:p>
        </w:tc>
        <w:tc>
          <w:tcPr>
            <w:tcW w:w="958" w:type="dxa"/>
          </w:tcPr>
          <w:p w:rsidR="00AD1390" w:rsidRPr="00BA76AF" w:rsidRDefault="00AD1390">
            <w:pPr>
              <w:pStyle w:val="Tabelltextsiffror"/>
              <w:rPr>
                <w:kern w:val="1"/>
              </w:rPr>
            </w:pPr>
            <w:r w:rsidRPr="00BA76AF">
              <w:rPr>
                <w:kern w:val="1"/>
              </w:rPr>
              <w:t>5</w:t>
            </w:r>
          </w:p>
        </w:tc>
        <w:tc>
          <w:tcPr>
            <w:tcW w:w="958" w:type="dxa"/>
          </w:tcPr>
          <w:p w:rsidR="00AD1390" w:rsidRPr="00BA76AF" w:rsidRDefault="00AD1390">
            <w:pPr>
              <w:pStyle w:val="Tabelltextsiffror"/>
              <w:rPr>
                <w:kern w:val="1"/>
              </w:rPr>
            </w:pPr>
            <w:r w:rsidRPr="00BA76AF">
              <w:rPr>
                <w:kern w:val="1"/>
              </w:rPr>
              <w:t>0,0008</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ÖK28</w:t>
            </w:r>
          </w:p>
        </w:tc>
        <w:tc>
          <w:tcPr>
            <w:tcW w:w="3402" w:type="dxa"/>
          </w:tcPr>
          <w:p w:rsidR="00AD1390" w:rsidRPr="00BA76AF" w:rsidRDefault="00AD1390">
            <w:pPr>
              <w:pStyle w:val="Tabelltext"/>
              <w:rPr>
                <w:kern w:val="1"/>
              </w:rPr>
            </w:pPr>
            <w:r w:rsidRPr="00BA76AF">
              <w:rPr>
                <w:kern w:val="1"/>
              </w:rPr>
              <w:t>Fartyg för bevakning m.m.</w:t>
            </w:r>
          </w:p>
        </w:tc>
        <w:tc>
          <w:tcPr>
            <w:tcW w:w="958" w:type="dxa"/>
          </w:tcPr>
          <w:p w:rsidR="00AD1390" w:rsidRPr="00BA76AF" w:rsidRDefault="00AD1390">
            <w:pPr>
              <w:pStyle w:val="Tabelltextsiffror"/>
              <w:rPr>
                <w:kern w:val="1"/>
              </w:rPr>
            </w:pPr>
            <w:r w:rsidRPr="00BA76AF">
              <w:rPr>
                <w:kern w:val="1"/>
              </w:rPr>
              <w:t>1</w:t>
            </w:r>
          </w:p>
        </w:tc>
        <w:tc>
          <w:tcPr>
            <w:tcW w:w="958" w:type="dxa"/>
          </w:tcPr>
          <w:p w:rsidR="00AD1390" w:rsidRPr="00BA76AF" w:rsidRDefault="00AD1390">
            <w:pPr>
              <w:pStyle w:val="Tabelltextsiffror"/>
              <w:rPr>
                <w:kern w:val="1"/>
              </w:rPr>
            </w:pPr>
            <w:r w:rsidRPr="00BA76AF">
              <w:rPr>
                <w:kern w:val="1"/>
              </w:rPr>
              <w:t>81</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ÖK29</w:t>
            </w:r>
          </w:p>
        </w:tc>
        <w:tc>
          <w:tcPr>
            <w:tcW w:w="3402" w:type="dxa"/>
          </w:tcPr>
          <w:p w:rsidR="00AD1390" w:rsidRPr="00BA76AF" w:rsidRDefault="00AD1390">
            <w:pPr>
              <w:pStyle w:val="Tabelltext"/>
              <w:rPr>
                <w:kern w:val="1"/>
              </w:rPr>
            </w:pPr>
            <w:r w:rsidRPr="00BA76AF">
              <w:rPr>
                <w:kern w:val="1"/>
              </w:rPr>
              <w:t>Flygplan utformade för militärt bruk m.m.</w:t>
            </w:r>
          </w:p>
        </w:tc>
        <w:tc>
          <w:tcPr>
            <w:tcW w:w="958" w:type="dxa"/>
          </w:tcPr>
          <w:p w:rsidR="00AD1390" w:rsidRPr="00BA76AF" w:rsidRDefault="00AD1390">
            <w:pPr>
              <w:pStyle w:val="Tabelltextsiffror"/>
              <w:rPr>
                <w:kern w:val="1"/>
              </w:rPr>
            </w:pPr>
            <w:r w:rsidRPr="00BA76AF">
              <w:rPr>
                <w:kern w:val="1"/>
              </w:rPr>
              <w:t>75</w:t>
            </w:r>
          </w:p>
        </w:tc>
        <w:tc>
          <w:tcPr>
            <w:tcW w:w="958" w:type="dxa"/>
          </w:tcPr>
          <w:p w:rsidR="00AD1390" w:rsidRPr="00BA76AF" w:rsidRDefault="00AD1390">
            <w:pPr>
              <w:pStyle w:val="Tabelltextsiffror"/>
              <w:rPr>
                <w:kern w:val="1"/>
              </w:rPr>
            </w:pPr>
            <w:r w:rsidRPr="00BA76AF">
              <w:rPr>
                <w:kern w:val="1"/>
              </w:rPr>
              <w:t>50</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 xml:space="preserve">ÖK30 </w:t>
            </w:r>
          </w:p>
        </w:tc>
        <w:tc>
          <w:tcPr>
            <w:tcW w:w="3402" w:type="dxa"/>
          </w:tcPr>
          <w:p w:rsidR="00AD1390" w:rsidRPr="00BA76AF" w:rsidRDefault="00AD1390">
            <w:pPr>
              <w:pStyle w:val="Tabelltext"/>
              <w:rPr>
                <w:kern w:val="1"/>
              </w:rPr>
            </w:pPr>
            <w:r w:rsidRPr="00BA76AF">
              <w:rPr>
                <w:kern w:val="1"/>
              </w:rPr>
              <w:t>Fordon utformade för militärt bruk m.m.</w:t>
            </w:r>
          </w:p>
        </w:tc>
        <w:tc>
          <w:tcPr>
            <w:tcW w:w="958" w:type="dxa"/>
          </w:tcPr>
          <w:p w:rsidR="00AD1390" w:rsidRPr="00BA76AF" w:rsidRDefault="00AD1390">
            <w:pPr>
              <w:pStyle w:val="Tabelltextsiffror"/>
              <w:rPr>
                <w:kern w:val="1"/>
              </w:rPr>
            </w:pPr>
            <w:r w:rsidRPr="00BA76AF">
              <w:rPr>
                <w:kern w:val="1"/>
              </w:rPr>
              <w:t>275</w:t>
            </w:r>
          </w:p>
        </w:tc>
        <w:tc>
          <w:tcPr>
            <w:tcW w:w="958" w:type="dxa"/>
          </w:tcPr>
          <w:p w:rsidR="00AD1390" w:rsidRPr="00BA76AF" w:rsidRDefault="00AD1390">
            <w:pPr>
              <w:pStyle w:val="Tabelltextsiffror"/>
              <w:rPr>
                <w:kern w:val="1"/>
              </w:rPr>
            </w:pPr>
            <w:r w:rsidRPr="00BA76AF">
              <w:rPr>
                <w:kern w:val="1"/>
              </w:rPr>
              <w:t>231</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ÖK31</w:t>
            </w:r>
          </w:p>
        </w:tc>
        <w:tc>
          <w:tcPr>
            <w:tcW w:w="3402" w:type="dxa"/>
          </w:tcPr>
          <w:p w:rsidR="00AD1390" w:rsidRPr="00BA76AF" w:rsidRDefault="00AD1390">
            <w:pPr>
              <w:pStyle w:val="Tabelltext"/>
              <w:rPr>
                <w:kern w:val="1"/>
              </w:rPr>
            </w:pPr>
            <w:r w:rsidRPr="00BA76AF">
              <w:rPr>
                <w:kern w:val="1"/>
              </w:rPr>
              <w:t>Riktade energivapen</w:t>
            </w:r>
          </w:p>
        </w:tc>
        <w:tc>
          <w:tcPr>
            <w:tcW w:w="958" w:type="dxa"/>
          </w:tcPr>
          <w:p w:rsidR="00AD1390" w:rsidRPr="00BA76AF" w:rsidRDefault="00AD1390">
            <w:pPr>
              <w:pStyle w:val="Tabelltextsiffror"/>
              <w:rPr>
                <w:kern w:val="1"/>
              </w:rPr>
            </w:pPr>
            <w:r w:rsidRPr="00BA76AF">
              <w:rPr>
                <w:kern w:val="1"/>
              </w:rPr>
              <w:t>0</w:t>
            </w:r>
          </w:p>
        </w:tc>
        <w:tc>
          <w:tcPr>
            <w:tcW w:w="958" w:type="dxa"/>
          </w:tcPr>
          <w:p w:rsidR="00AD1390" w:rsidRPr="00BA76AF" w:rsidRDefault="00AD1390">
            <w:pPr>
              <w:pStyle w:val="Tabelltextsiffror"/>
              <w:rPr>
                <w:kern w:val="1"/>
              </w:rPr>
            </w:pPr>
            <w:r w:rsidRPr="00BA76AF">
              <w:rPr>
                <w:kern w:val="1"/>
              </w:rPr>
              <w:t>0</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ÖK32</w:t>
            </w:r>
          </w:p>
        </w:tc>
        <w:tc>
          <w:tcPr>
            <w:tcW w:w="3402" w:type="dxa"/>
          </w:tcPr>
          <w:p w:rsidR="00AD1390" w:rsidRPr="00BA76AF" w:rsidRDefault="00AD1390">
            <w:pPr>
              <w:pStyle w:val="Tabelltext"/>
              <w:rPr>
                <w:kern w:val="1"/>
              </w:rPr>
            </w:pPr>
            <w:r w:rsidRPr="00BA76AF">
              <w:rPr>
                <w:kern w:val="1"/>
              </w:rPr>
              <w:t>Fortifikationer</w:t>
            </w:r>
          </w:p>
        </w:tc>
        <w:tc>
          <w:tcPr>
            <w:tcW w:w="958" w:type="dxa"/>
          </w:tcPr>
          <w:p w:rsidR="00AD1390" w:rsidRPr="00BA76AF" w:rsidRDefault="00AD1390">
            <w:pPr>
              <w:pStyle w:val="Tabelltextsiffror"/>
              <w:rPr>
                <w:kern w:val="1"/>
              </w:rPr>
            </w:pPr>
            <w:r w:rsidRPr="00BA76AF">
              <w:rPr>
                <w:kern w:val="1"/>
              </w:rPr>
              <w:t>0</w:t>
            </w:r>
          </w:p>
        </w:tc>
        <w:tc>
          <w:tcPr>
            <w:tcW w:w="958" w:type="dxa"/>
          </w:tcPr>
          <w:p w:rsidR="00AD1390" w:rsidRPr="00BA76AF" w:rsidRDefault="00AD1390">
            <w:pPr>
              <w:pStyle w:val="Tabelltextsiffror"/>
              <w:rPr>
                <w:kern w:val="1"/>
              </w:rPr>
            </w:pPr>
            <w:r w:rsidRPr="00BA76AF">
              <w:rPr>
                <w:kern w:val="1"/>
              </w:rPr>
              <w:t>0</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 xml:space="preserve">ÖK33 </w:t>
            </w:r>
          </w:p>
        </w:tc>
        <w:tc>
          <w:tcPr>
            <w:tcW w:w="3402" w:type="dxa"/>
          </w:tcPr>
          <w:p w:rsidR="00AD1390" w:rsidRPr="00BA76AF" w:rsidRDefault="00AD1390">
            <w:pPr>
              <w:pStyle w:val="Tabelltext"/>
              <w:rPr>
                <w:kern w:val="1"/>
              </w:rPr>
            </w:pPr>
            <w:r w:rsidRPr="00BA76AF">
              <w:rPr>
                <w:kern w:val="1"/>
              </w:rPr>
              <w:t>Elektronisk utrus</w:t>
            </w:r>
            <w:r w:rsidRPr="00BA76AF">
              <w:rPr>
                <w:kern w:val="1"/>
              </w:rPr>
              <w:t>t</w:t>
            </w:r>
            <w:r w:rsidRPr="00BA76AF">
              <w:rPr>
                <w:kern w:val="1"/>
              </w:rPr>
              <w:t>ning för militärt bruk</w:t>
            </w:r>
          </w:p>
        </w:tc>
        <w:tc>
          <w:tcPr>
            <w:tcW w:w="958" w:type="dxa"/>
          </w:tcPr>
          <w:p w:rsidR="00AD1390" w:rsidRPr="00BA76AF" w:rsidRDefault="00AD1390">
            <w:pPr>
              <w:pStyle w:val="Tabelltextsiffror"/>
              <w:rPr>
                <w:kern w:val="1"/>
              </w:rPr>
            </w:pPr>
            <w:r w:rsidRPr="00BA76AF">
              <w:rPr>
                <w:kern w:val="1"/>
              </w:rPr>
              <w:t>40</w:t>
            </w:r>
          </w:p>
        </w:tc>
        <w:tc>
          <w:tcPr>
            <w:tcW w:w="958" w:type="dxa"/>
          </w:tcPr>
          <w:p w:rsidR="00AD1390" w:rsidRPr="00BA76AF" w:rsidRDefault="00AD1390">
            <w:pPr>
              <w:pStyle w:val="Tabelltextsiffror"/>
              <w:rPr>
                <w:kern w:val="1"/>
              </w:rPr>
            </w:pPr>
            <w:r w:rsidRPr="00BA76AF">
              <w:rPr>
                <w:kern w:val="1"/>
              </w:rPr>
              <w:t>59</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 xml:space="preserve">ÖK34 </w:t>
            </w:r>
          </w:p>
        </w:tc>
        <w:tc>
          <w:tcPr>
            <w:tcW w:w="3402" w:type="dxa"/>
          </w:tcPr>
          <w:p w:rsidR="00AD1390" w:rsidRPr="00BA76AF" w:rsidRDefault="00AD1390">
            <w:pPr>
              <w:pStyle w:val="Tabelltext"/>
              <w:rPr>
                <w:kern w:val="1"/>
              </w:rPr>
            </w:pPr>
            <w:r w:rsidRPr="00BA76AF">
              <w:rPr>
                <w:kern w:val="1"/>
              </w:rPr>
              <w:t>Fotografisk och elektrooptisk utrus</w:t>
            </w:r>
            <w:r w:rsidRPr="00BA76AF">
              <w:rPr>
                <w:kern w:val="1"/>
              </w:rPr>
              <w:t>t</w:t>
            </w:r>
            <w:r w:rsidRPr="00BA76AF">
              <w:rPr>
                <w:kern w:val="1"/>
              </w:rPr>
              <w:t>ning</w:t>
            </w:r>
          </w:p>
        </w:tc>
        <w:tc>
          <w:tcPr>
            <w:tcW w:w="958" w:type="dxa"/>
          </w:tcPr>
          <w:p w:rsidR="00AD1390" w:rsidRPr="00BA76AF" w:rsidRDefault="00AD1390">
            <w:pPr>
              <w:pStyle w:val="Tabelltextsiffror"/>
              <w:rPr>
                <w:kern w:val="1"/>
              </w:rPr>
            </w:pPr>
            <w:r w:rsidRPr="00BA76AF">
              <w:rPr>
                <w:kern w:val="1"/>
              </w:rPr>
              <w:t>3</w:t>
            </w:r>
          </w:p>
        </w:tc>
        <w:tc>
          <w:tcPr>
            <w:tcW w:w="958" w:type="dxa"/>
          </w:tcPr>
          <w:p w:rsidR="00AD1390" w:rsidRPr="00BA76AF" w:rsidRDefault="00AD1390">
            <w:pPr>
              <w:pStyle w:val="Tabelltextsiffror"/>
              <w:rPr>
                <w:kern w:val="1"/>
              </w:rPr>
            </w:pPr>
            <w:r w:rsidRPr="00BA76AF">
              <w:rPr>
                <w:kern w:val="1"/>
              </w:rPr>
              <w:t>0,5</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ÖK35</w:t>
            </w:r>
          </w:p>
        </w:tc>
        <w:tc>
          <w:tcPr>
            <w:tcW w:w="3402" w:type="dxa"/>
          </w:tcPr>
          <w:p w:rsidR="00AD1390" w:rsidRPr="00BA76AF" w:rsidRDefault="00AD1390">
            <w:pPr>
              <w:pStyle w:val="Tabelltext"/>
              <w:rPr>
                <w:kern w:val="1"/>
              </w:rPr>
            </w:pPr>
            <w:r w:rsidRPr="00BA76AF">
              <w:rPr>
                <w:kern w:val="1"/>
              </w:rPr>
              <w:t>Övningsmateriel</w:t>
            </w:r>
          </w:p>
        </w:tc>
        <w:tc>
          <w:tcPr>
            <w:tcW w:w="958" w:type="dxa"/>
          </w:tcPr>
          <w:p w:rsidR="00AD1390" w:rsidRPr="00BA76AF" w:rsidRDefault="00AD1390">
            <w:pPr>
              <w:pStyle w:val="Tabelltextsiffror"/>
              <w:rPr>
                <w:kern w:val="1"/>
              </w:rPr>
            </w:pPr>
            <w:r w:rsidRPr="00BA76AF">
              <w:rPr>
                <w:kern w:val="1"/>
              </w:rPr>
              <w:t>397</w:t>
            </w:r>
          </w:p>
        </w:tc>
        <w:tc>
          <w:tcPr>
            <w:tcW w:w="958" w:type="dxa"/>
          </w:tcPr>
          <w:p w:rsidR="00AD1390" w:rsidRPr="00BA76AF" w:rsidRDefault="00AD1390">
            <w:pPr>
              <w:pStyle w:val="Tabelltextsiffror"/>
              <w:rPr>
                <w:kern w:val="1"/>
              </w:rPr>
            </w:pPr>
            <w:r w:rsidRPr="00BA76AF">
              <w:rPr>
                <w:kern w:val="1"/>
              </w:rPr>
              <w:t>407</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ÖK36</w:t>
            </w:r>
          </w:p>
        </w:tc>
        <w:tc>
          <w:tcPr>
            <w:tcW w:w="3402" w:type="dxa"/>
          </w:tcPr>
          <w:p w:rsidR="00AD1390" w:rsidRPr="00BA76AF" w:rsidRDefault="00AD1390">
            <w:pPr>
              <w:pStyle w:val="Tabelltext"/>
              <w:rPr>
                <w:kern w:val="1"/>
              </w:rPr>
            </w:pPr>
            <w:r w:rsidRPr="00BA76AF">
              <w:rPr>
                <w:kern w:val="1"/>
              </w:rPr>
              <w:t>Tillverkningsutrus</w:t>
            </w:r>
            <w:r w:rsidRPr="00BA76AF">
              <w:rPr>
                <w:kern w:val="1"/>
              </w:rPr>
              <w:t>t</w:t>
            </w:r>
            <w:r w:rsidRPr="00BA76AF">
              <w:rPr>
                <w:kern w:val="1"/>
              </w:rPr>
              <w:t>ning</w:t>
            </w:r>
          </w:p>
        </w:tc>
        <w:tc>
          <w:tcPr>
            <w:tcW w:w="958" w:type="dxa"/>
          </w:tcPr>
          <w:p w:rsidR="00AD1390" w:rsidRPr="00BA76AF" w:rsidRDefault="00AD1390">
            <w:pPr>
              <w:pStyle w:val="Tabelltextsiffror"/>
              <w:rPr>
                <w:kern w:val="1"/>
              </w:rPr>
            </w:pPr>
            <w:r w:rsidRPr="00BA76AF">
              <w:rPr>
                <w:kern w:val="1"/>
              </w:rPr>
              <w:t>14</w:t>
            </w:r>
          </w:p>
        </w:tc>
        <w:tc>
          <w:tcPr>
            <w:tcW w:w="958" w:type="dxa"/>
          </w:tcPr>
          <w:p w:rsidR="00AD1390" w:rsidRPr="00BA76AF" w:rsidRDefault="00AD1390">
            <w:pPr>
              <w:pStyle w:val="Tabelltextsiffror"/>
              <w:rPr>
                <w:kern w:val="1"/>
              </w:rPr>
            </w:pPr>
            <w:r w:rsidRPr="00BA76AF">
              <w:rPr>
                <w:kern w:val="1"/>
              </w:rPr>
              <w:t>23</w:t>
            </w:r>
          </w:p>
        </w:tc>
      </w:tr>
      <w:tr w:rsidR="00000000" w:rsidRPr="00BA76AF">
        <w:tblPrEx>
          <w:tblCellMar>
            <w:top w:w="0" w:type="dxa"/>
            <w:bottom w:w="0" w:type="dxa"/>
          </w:tblCellMar>
        </w:tblPrEx>
        <w:tc>
          <w:tcPr>
            <w:tcW w:w="777" w:type="dxa"/>
          </w:tcPr>
          <w:p w:rsidR="00AD1390" w:rsidRPr="00BA76AF" w:rsidRDefault="00AD1390">
            <w:pPr>
              <w:pStyle w:val="Tabelltext"/>
              <w:rPr>
                <w:kern w:val="1"/>
              </w:rPr>
            </w:pPr>
            <w:r w:rsidRPr="00BA76AF">
              <w:rPr>
                <w:kern w:val="1"/>
              </w:rPr>
              <w:t xml:space="preserve">ÖK37 </w:t>
            </w:r>
          </w:p>
        </w:tc>
        <w:tc>
          <w:tcPr>
            <w:tcW w:w="3402" w:type="dxa"/>
          </w:tcPr>
          <w:p w:rsidR="00AD1390" w:rsidRPr="00BA76AF" w:rsidRDefault="00AD1390">
            <w:pPr>
              <w:pStyle w:val="Tabelltext"/>
              <w:rPr>
                <w:kern w:val="1"/>
              </w:rPr>
            </w:pPr>
            <w:r w:rsidRPr="00BA76AF">
              <w:rPr>
                <w:kern w:val="1"/>
              </w:rPr>
              <w:t>Programvara</w:t>
            </w:r>
          </w:p>
        </w:tc>
        <w:tc>
          <w:tcPr>
            <w:tcW w:w="958" w:type="dxa"/>
          </w:tcPr>
          <w:p w:rsidR="00AD1390" w:rsidRPr="00BA76AF" w:rsidRDefault="00AD1390">
            <w:pPr>
              <w:pStyle w:val="Tabelltextsiffror"/>
              <w:rPr>
                <w:kern w:val="1"/>
              </w:rPr>
            </w:pPr>
            <w:r w:rsidRPr="00BA76AF">
              <w:rPr>
                <w:kern w:val="1"/>
              </w:rPr>
              <w:t>9</w:t>
            </w:r>
          </w:p>
        </w:tc>
        <w:tc>
          <w:tcPr>
            <w:tcW w:w="958" w:type="dxa"/>
          </w:tcPr>
          <w:p w:rsidR="00AD1390" w:rsidRPr="00BA76AF" w:rsidRDefault="00AD1390">
            <w:pPr>
              <w:pStyle w:val="Tabelltextsiffror"/>
              <w:rPr>
                <w:kern w:val="1"/>
              </w:rPr>
            </w:pPr>
            <w:r w:rsidRPr="00BA76AF">
              <w:rPr>
                <w:kern w:val="1"/>
              </w:rPr>
              <w:t>1</w:t>
            </w:r>
          </w:p>
        </w:tc>
      </w:tr>
      <w:tr w:rsidR="00000000" w:rsidRPr="00BA76AF">
        <w:tblPrEx>
          <w:tblCellMar>
            <w:top w:w="0" w:type="dxa"/>
            <w:bottom w:w="0" w:type="dxa"/>
          </w:tblCellMar>
        </w:tblPrEx>
        <w:tc>
          <w:tcPr>
            <w:tcW w:w="777" w:type="dxa"/>
            <w:tcBorders>
              <w:top w:val="single" w:sz="4" w:space="0" w:color="auto"/>
            </w:tcBorders>
          </w:tcPr>
          <w:p w:rsidR="00AD1390" w:rsidRPr="00BA76AF" w:rsidRDefault="00AD1390">
            <w:pPr>
              <w:pStyle w:val="Tabelltext"/>
              <w:rPr>
                <w:kern w:val="1"/>
              </w:rPr>
            </w:pPr>
          </w:p>
        </w:tc>
        <w:tc>
          <w:tcPr>
            <w:tcW w:w="3402" w:type="dxa"/>
            <w:tcBorders>
              <w:top w:val="single" w:sz="4" w:space="0" w:color="auto"/>
            </w:tcBorders>
          </w:tcPr>
          <w:p w:rsidR="00AD1390" w:rsidRPr="00BA76AF" w:rsidRDefault="00AD1390">
            <w:pPr>
              <w:pStyle w:val="Tabelltext"/>
              <w:rPr>
                <w:kern w:val="1"/>
              </w:rPr>
            </w:pPr>
            <w:r w:rsidRPr="00BA76AF">
              <w:rPr>
                <w:kern w:val="1"/>
              </w:rPr>
              <w:t>SUMMA ÖK</w:t>
            </w:r>
          </w:p>
        </w:tc>
        <w:tc>
          <w:tcPr>
            <w:tcW w:w="958" w:type="dxa"/>
            <w:tcBorders>
              <w:top w:val="single" w:sz="4" w:space="0" w:color="auto"/>
            </w:tcBorders>
          </w:tcPr>
          <w:p w:rsidR="00AD1390" w:rsidRPr="00BA76AF" w:rsidRDefault="00AD1390">
            <w:pPr>
              <w:pStyle w:val="Tabelltextsiffror"/>
              <w:rPr>
                <w:kern w:val="1"/>
              </w:rPr>
            </w:pPr>
            <w:r w:rsidRPr="00BA76AF">
              <w:rPr>
                <w:kern w:val="1"/>
              </w:rPr>
              <w:t>1 701</w:t>
            </w:r>
          </w:p>
        </w:tc>
        <w:tc>
          <w:tcPr>
            <w:tcW w:w="958" w:type="dxa"/>
            <w:tcBorders>
              <w:top w:val="single" w:sz="4" w:space="0" w:color="auto"/>
            </w:tcBorders>
          </w:tcPr>
          <w:p w:rsidR="00AD1390" w:rsidRPr="00BA76AF" w:rsidRDefault="00AD1390">
            <w:pPr>
              <w:pStyle w:val="Tabelltextsiffror"/>
            </w:pPr>
            <w:r w:rsidRPr="00BA76AF">
              <w:rPr>
                <w:kern w:val="1"/>
              </w:rPr>
              <w:t>2 182</w:t>
            </w:r>
          </w:p>
        </w:tc>
      </w:tr>
    </w:tbl>
    <w:p w:rsidR="00AD1390" w:rsidRPr="00BA76AF" w:rsidRDefault="00AD1390">
      <w:pPr>
        <w:pStyle w:val="Rubrik3"/>
        <w:rPr>
          <w:noProof w:val="0"/>
        </w:rPr>
      </w:pPr>
      <w:bookmarkStart w:id="42" w:name="_Toc517757095"/>
      <w:r w:rsidRPr="00BA76AF">
        <w:rPr>
          <w:noProof w:val="0"/>
        </w:rPr>
        <w:t>Exportens geografiska fördelning</w:t>
      </w:r>
      <w:bookmarkEnd w:id="42"/>
    </w:p>
    <w:p w:rsidR="00AD1390" w:rsidRPr="00BA76AF" w:rsidRDefault="00AD1390">
      <w:r w:rsidRPr="00BA76AF">
        <w:rPr>
          <w:kern w:val="1"/>
        </w:rPr>
        <w:t>Totalt mottog 52 länder leveranser av svensk krigsmateriel under år 2000, jämfört med 49 år 1999 och 51 år 1998. Den regionala fördelningen av e</w:t>
      </w:r>
      <w:r w:rsidRPr="00BA76AF">
        <w:rPr>
          <w:kern w:val="1"/>
        </w:rPr>
        <w:t>x</w:t>
      </w:r>
      <w:r w:rsidRPr="00BA76AF">
        <w:rPr>
          <w:kern w:val="1"/>
        </w:rPr>
        <w:t>porten, som framgår av tabell 4, uppvisar det normala mönstret som är att den största delen av svensk krigsmaterielexport går till Norden, övriga Västeur</w:t>
      </w:r>
      <w:r w:rsidRPr="00BA76AF">
        <w:rPr>
          <w:kern w:val="1"/>
        </w:rPr>
        <w:t>o</w:t>
      </w:r>
      <w:r w:rsidRPr="00BA76AF">
        <w:rPr>
          <w:kern w:val="1"/>
        </w:rPr>
        <w:t xml:space="preserve">pa, Nordamerika samt Australien och Nya Zeeland. Under år 1998 gick ca </w:t>
      </w:r>
      <w:r w:rsidRPr="00BA76AF">
        <w:rPr>
          <w:kern w:val="1"/>
        </w:rPr>
        <w:br/>
        <w:t>65 % av den totala utförseln till dessa destinationer. År 1999 var motsvarande andel 76 % och år 2000 var andelen 64 %. Utanför denna krets kan särskilt noteras att Latinamerika under senare år uppvisat en uppgång, medan Asien minskat i relativ betydelse.</w:t>
      </w:r>
    </w:p>
    <w:p w:rsidR="00AD1390" w:rsidRPr="00BA76AF" w:rsidRDefault="00AD1390">
      <w:pPr>
        <w:pStyle w:val="Normaltindrag"/>
      </w:pPr>
    </w:p>
    <w:p w:rsidR="00AD1390" w:rsidRPr="00BA76AF" w:rsidRDefault="00AD1390">
      <w:pPr>
        <w:pStyle w:val="Tabellrubrik"/>
        <w:rPr>
          <w:kern w:val="1"/>
        </w:rPr>
      </w:pPr>
      <w:r w:rsidRPr="00BA76AF">
        <w:rPr>
          <w:kern w:val="1"/>
        </w:rPr>
        <w:t>Tabell 4. Krigsmaterielexportens fördelning på regioner i procent av värdet under åren 1998–2000</w:t>
      </w:r>
    </w:p>
    <w:p w:rsidR="00AD1390" w:rsidRPr="00BA76AF" w:rsidRDefault="00AD1390"/>
    <w:tbl>
      <w:tblPr>
        <w:tblW w:w="0" w:type="auto"/>
        <w:tblInd w:w="-108" w:type="dxa"/>
        <w:tblLayout w:type="fixed"/>
        <w:tblLook w:val="0000" w:firstRow="0" w:lastRow="0" w:firstColumn="0" w:lastColumn="0" w:noHBand="0" w:noVBand="0"/>
      </w:tblPr>
      <w:tblGrid>
        <w:gridCol w:w="1388"/>
        <w:gridCol w:w="550"/>
        <w:gridCol w:w="550"/>
        <w:gridCol w:w="544"/>
        <w:gridCol w:w="6"/>
        <w:gridCol w:w="550"/>
        <w:gridCol w:w="550"/>
        <w:gridCol w:w="538"/>
        <w:gridCol w:w="12"/>
        <w:gridCol w:w="550"/>
        <w:gridCol w:w="550"/>
        <w:gridCol w:w="532"/>
        <w:gridCol w:w="18"/>
      </w:tblGrid>
      <w:tr w:rsidR="00000000" w:rsidRPr="00BA76AF">
        <w:tblPrEx>
          <w:tblCellMar>
            <w:top w:w="0" w:type="dxa"/>
            <w:bottom w:w="0" w:type="dxa"/>
          </w:tblCellMar>
        </w:tblPrEx>
        <w:trPr>
          <w:gridAfter w:val="1"/>
          <w:wAfter w:w="18" w:type="dxa"/>
        </w:trPr>
        <w:tc>
          <w:tcPr>
            <w:tcW w:w="1388" w:type="dxa"/>
            <w:tcBorders>
              <w:top w:val="single" w:sz="4" w:space="0" w:color="auto"/>
              <w:bottom w:val="single" w:sz="4" w:space="0" w:color="auto"/>
            </w:tcBorders>
          </w:tcPr>
          <w:p w:rsidR="00AD1390" w:rsidRPr="00BA76AF" w:rsidRDefault="00AD1390">
            <w:pPr>
              <w:rPr>
                <w:kern w:val="1"/>
              </w:rPr>
            </w:pPr>
          </w:p>
        </w:tc>
        <w:tc>
          <w:tcPr>
            <w:tcW w:w="1644" w:type="dxa"/>
            <w:gridSpan w:val="3"/>
            <w:tcBorders>
              <w:top w:val="single" w:sz="4" w:space="0" w:color="auto"/>
              <w:bottom w:val="single" w:sz="4" w:space="0" w:color="auto"/>
            </w:tcBorders>
          </w:tcPr>
          <w:p w:rsidR="00AD1390" w:rsidRPr="00BA76AF" w:rsidRDefault="00AD1390">
            <w:pPr>
              <w:rPr>
                <w:kern w:val="1"/>
              </w:rPr>
            </w:pPr>
            <w:r w:rsidRPr="00BA76AF">
              <w:rPr>
                <w:kern w:val="1"/>
              </w:rPr>
              <w:t>1998</w:t>
            </w:r>
          </w:p>
        </w:tc>
        <w:tc>
          <w:tcPr>
            <w:tcW w:w="1644" w:type="dxa"/>
            <w:gridSpan w:val="4"/>
            <w:tcBorders>
              <w:top w:val="single" w:sz="4" w:space="0" w:color="auto"/>
              <w:bottom w:val="single" w:sz="4" w:space="0" w:color="auto"/>
            </w:tcBorders>
          </w:tcPr>
          <w:p w:rsidR="00AD1390" w:rsidRPr="00BA76AF" w:rsidRDefault="00AD1390">
            <w:pPr>
              <w:rPr>
                <w:kern w:val="1"/>
              </w:rPr>
            </w:pPr>
            <w:r w:rsidRPr="00BA76AF">
              <w:rPr>
                <w:kern w:val="1"/>
              </w:rPr>
              <w:t>1999</w:t>
            </w:r>
          </w:p>
        </w:tc>
        <w:tc>
          <w:tcPr>
            <w:tcW w:w="1644" w:type="dxa"/>
            <w:gridSpan w:val="4"/>
            <w:tcBorders>
              <w:top w:val="single" w:sz="4" w:space="0" w:color="auto"/>
              <w:bottom w:val="single" w:sz="4" w:space="0" w:color="auto"/>
            </w:tcBorders>
          </w:tcPr>
          <w:p w:rsidR="00AD1390" w:rsidRPr="00BA76AF" w:rsidRDefault="00AD1390">
            <w:pPr>
              <w:rPr>
                <w:kern w:val="1"/>
              </w:rPr>
            </w:pPr>
            <w:r w:rsidRPr="00BA76AF">
              <w:rPr>
                <w:kern w:val="1"/>
              </w:rPr>
              <w:t>2000</w:t>
            </w:r>
          </w:p>
        </w:tc>
      </w:tr>
      <w:tr w:rsidR="00000000" w:rsidRPr="00BA76AF">
        <w:tblPrEx>
          <w:tblCellMar>
            <w:top w:w="0" w:type="dxa"/>
            <w:bottom w:w="0" w:type="dxa"/>
          </w:tblCellMar>
        </w:tblPrEx>
        <w:tc>
          <w:tcPr>
            <w:tcW w:w="1388" w:type="dxa"/>
            <w:tcBorders>
              <w:top w:val="single" w:sz="4" w:space="0" w:color="auto"/>
              <w:bottom w:val="single" w:sz="4" w:space="0" w:color="auto"/>
            </w:tcBorders>
          </w:tcPr>
          <w:p w:rsidR="00AD1390" w:rsidRPr="00BA76AF" w:rsidRDefault="00AD1390">
            <w:pPr>
              <w:pStyle w:val="Tabelltext"/>
              <w:rPr>
                <w:kern w:val="1"/>
              </w:rPr>
            </w:pPr>
          </w:p>
        </w:tc>
        <w:tc>
          <w:tcPr>
            <w:tcW w:w="550" w:type="dxa"/>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KS</w:t>
            </w:r>
          </w:p>
        </w:tc>
        <w:tc>
          <w:tcPr>
            <w:tcW w:w="550" w:type="dxa"/>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ÖK</w:t>
            </w:r>
          </w:p>
        </w:tc>
        <w:tc>
          <w:tcPr>
            <w:tcW w:w="550" w:type="dxa"/>
            <w:gridSpan w:val="2"/>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Tot</w:t>
            </w:r>
          </w:p>
        </w:tc>
        <w:tc>
          <w:tcPr>
            <w:tcW w:w="550" w:type="dxa"/>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KS</w:t>
            </w:r>
          </w:p>
        </w:tc>
        <w:tc>
          <w:tcPr>
            <w:tcW w:w="550" w:type="dxa"/>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ÖK</w:t>
            </w:r>
          </w:p>
        </w:tc>
        <w:tc>
          <w:tcPr>
            <w:tcW w:w="550" w:type="dxa"/>
            <w:gridSpan w:val="2"/>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Tot</w:t>
            </w:r>
          </w:p>
        </w:tc>
        <w:tc>
          <w:tcPr>
            <w:tcW w:w="550" w:type="dxa"/>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KS</w:t>
            </w:r>
          </w:p>
        </w:tc>
        <w:tc>
          <w:tcPr>
            <w:tcW w:w="550" w:type="dxa"/>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ÖK</w:t>
            </w:r>
          </w:p>
        </w:tc>
        <w:tc>
          <w:tcPr>
            <w:tcW w:w="550" w:type="dxa"/>
            <w:gridSpan w:val="2"/>
            <w:tcBorders>
              <w:top w:val="single" w:sz="4" w:space="0" w:color="auto"/>
              <w:bottom w:val="single" w:sz="4" w:space="0" w:color="auto"/>
            </w:tcBorders>
          </w:tcPr>
          <w:p w:rsidR="00AD1390" w:rsidRPr="00BA76AF" w:rsidRDefault="00AD1390">
            <w:pPr>
              <w:pStyle w:val="Tabelltext"/>
              <w:jc w:val="right"/>
              <w:rPr>
                <w:kern w:val="1"/>
              </w:rPr>
            </w:pPr>
            <w:r w:rsidRPr="00BA76AF">
              <w:rPr>
                <w:kern w:val="1"/>
              </w:rPr>
              <w:t>Tot</w:t>
            </w: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p>
        </w:tc>
        <w:tc>
          <w:tcPr>
            <w:tcW w:w="550" w:type="dxa"/>
          </w:tcPr>
          <w:p w:rsidR="00AD1390" w:rsidRPr="00BA76AF" w:rsidRDefault="00AD1390">
            <w:pPr>
              <w:pStyle w:val="Tabelltext"/>
              <w:jc w:val="right"/>
              <w:rPr>
                <w:kern w:val="1"/>
              </w:rPr>
            </w:pPr>
          </w:p>
        </w:tc>
        <w:tc>
          <w:tcPr>
            <w:tcW w:w="550" w:type="dxa"/>
          </w:tcPr>
          <w:p w:rsidR="00AD1390" w:rsidRPr="00BA76AF" w:rsidRDefault="00AD1390">
            <w:pPr>
              <w:pStyle w:val="Tabelltext"/>
              <w:jc w:val="right"/>
              <w:rPr>
                <w:kern w:val="1"/>
              </w:rPr>
            </w:pPr>
          </w:p>
        </w:tc>
        <w:tc>
          <w:tcPr>
            <w:tcW w:w="550" w:type="dxa"/>
            <w:gridSpan w:val="2"/>
          </w:tcPr>
          <w:p w:rsidR="00AD1390" w:rsidRPr="00BA76AF" w:rsidRDefault="00AD1390">
            <w:pPr>
              <w:pStyle w:val="Tabelltext"/>
              <w:jc w:val="right"/>
              <w:rPr>
                <w:kern w:val="1"/>
              </w:rPr>
            </w:pPr>
          </w:p>
        </w:tc>
        <w:tc>
          <w:tcPr>
            <w:tcW w:w="550" w:type="dxa"/>
          </w:tcPr>
          <w:p w:rsidR="00AD1390" w:rsidRPr="00BA76AF" w:rsidRDefault="00AD1390">
            <w:pPr>
              <w:pStyle w:val="Tabelltext"/>
              <w:jc w:val="right"/>
              <w:rPr>
                <w:kern w:val="1"/>
              </w:rPr>
            </w:pPr>
          </w:p>
        </w:tc>
        <w:tc>
          <w:tcPr>
            <w:tcW w:w="550" w:type="dxa"/>
          </w:tcPr>
          <w:p w:rsidR="00AD1390" w:rsidRPr="00BA76AF" w:rsidRDefault="00AD1390">
            <w:pPr>
              <w:pStyle w:val="Tabelltext"/>
              <w:jc w:val="right"/>
              <w:rPr>
                <w:kern w:val="1"/>
              </w:rPr>
            </w:pPr>
          </w:p>
        </w:tc>
        <w:tc>
          <w:tcPr>
            <w:tcW w:w="550" w:type="dxa"/>
            <w:gridSpan w:val="2"/>
          </w:tcPr>
          <w:p w:rsidR="00AD1390" w:rsidRPr="00BA76AF" w:rsidRDefault="00AD1390">
            <w:pPr>
              <w:pStyle w:val="Tabelltext"/>
              <w:jc w:val="right"/>
              <w:rPr>
                <w:kern w:val="1"/>
              </w:rPr>
            </w:pPr>
          </w:p>
        </w:tc>
        <w:tc>
          <w:tcPr>
            <w:tcW w:w="550" w:type="dxa"/>
          </w:tcPr>
          <w:p w:rsidR="00AD1390" w:rsidRPr="00BA76AF" w:rsidRDefault="00AD1390">
            <w:pPr>
              <w:pStyle w:val="Tabelltext"/>
              <w:jc w:val="right"/>
              <w:rPr>
                <w:kern w:val="1"/>
              </w:rPr>
            </w:pPr>
          </w:p>
        </w:tc>
        <w:tc>
          <w:tcPr>
            <w:tcW w:w="550" w:type="dxa"/>
          </w:tcPr>
          <w:p w:rsidR="00AD1390" w:rsidRPr="00BA76AF" w:rsidRDefault="00AD1390">
            <w:pPr>
              <w:pStyle w:val="Tabelltext"/>
              <w:jc w:val="right"/>
              <w:rPr>
                <w:kern w:val="1"/>
              </w:rPr>
            </w:pPr>
          </w:p>
        </w:tc>
        <w:tc>
          <w:tcPr>
            <w:tcW w:w="550" w:type="dxa"/>
            <w:gridSpan w:val="2"/>
          </w:tcPr>
          <w:p w:rsidR="00AD1390" w:rsidRPr="00BA76AF" w:rsidRDefault="00AD1390">
            <w:pPr>
              <w:pStyle w:val="Tabelltext"/>
              <w:jc w:val="right"/>
              <w:rPr>
                <w:kern w:val="1"/>
              </w:rPr>
            </w:pP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r w:rsidRPr="00BA76AF">
              <w:rPr>
                <w:kern w:val="1"/>
              </w:rPr>
              <w:t>Norden</w:t>
            </w:r>
          </w:p>
        </w:tc>
        <w:tc>
          <w:tcPr>
            <w:tcW w:w="550" w:type="dxa"/>
          </w:tcPr>
          <w:p w:rsidR="00AD1390" w:rsidRPr="00BA76AF" w:rsidRDefault="00AD1390">
            <w:pPr>
              <w:pStyle w:val="Tabelltextsiffror"/>
              <w:rPr>
                <w:kern w:val="1"/>
              </w:rPr>
            </w:pPr>
            <w:r w:rsidRPr="00BA76AF">
              <w:rPr>
                <w:kern w:val="1"/>
              </w:rPr>
              <w:t>11</w:t>
            </w:r>
          </w:p>
        </w:tc>
        <w:tc>
          <w:tcPr>
            <w:tcW w:w="550" w:type="dxa"/>
          </w:tcPr>
          <w:p w:rsidR="00AD1390" w:rsidRPr="00BA76AF" w:rsidRDefault="00AD1390">
            <w:pPr>
              <w:pStyle w:val="Tabelltextsiffror"/>
              <w:rPr>
                <w:kern w:val="1"/>
              </w:rPr>
            </w:pPr>
            <w:r w:rsidRPr="00BA76AF">
              <w:rPr>
                <w:kern w:val="1"/>
              </w:rPr>
              <w:t>44</w:t>
            </w:r>
          </w:p>
        </w:tc>
        <w:tc>
          <w:tcPr>
            <w:tcW w:w="550" w:type="dxa"/>
            <w:gridSpan w:val="2"/>
          </w:tcPr>
          <w:p w:rsidR="00AD1390" w:rsidRPr="00BA76AF" w:rsidRDefault="00AD1390">
            <w:pPr>
              <w:pStyle w:val="Tabelltextsiffror"/>
              <w:rPr>
                <w:b/>
                <w:kern w:val="1"/>
              </w:rPr>
            </w:pPr>
            <w:r w:rsidRPr="00BA76AF">
              <w:rPr>
                <w:b/>
                <w:kern w:val="1"/>
              </w:rPr>
              <w:t>27</w:t>
            </w:r>
          </w:p>
        </w:tc>
        <w:tc>
          <w:tcPr>
            <w:tcW w:w="550" w:type="dxa"/>
          </w:tcPr>
          <w:p w:rsidR="00AD1390" w:rsidRPr="00BA76AF" w:rsidRDefault="00AD1390">
            <w:pPr>
              <w:pStyle w:val="Tabelltextsiffror"/>
              <w:rPr>
                <w:kern w:val="1"/>
              </w:rPr>
            </w:pPr>
            <w:r w:rsidRPr="00BA76AF">
              <w:rPr>
                <w:kern w:val="1"/>
              </w:rPr>
              <w:t>39</w:t>
            </w:r>
          </w:p>
        </w:tc>
        <w:tc>
          <w:tcPr>
            <w:tcW w:w="550" w:type="dxa"/>
          </w:tcPr>
          <w:p w:rsidR="00AD1390" w:rsidRPr="00BA76AF" w:rsidRDefault="00AD1390">
            <w:pPr>
              <w:pStyle w:val="Tabelltextsiffror"/>
              <w:rPr>
                <w:kern w:val="1"/>
              </w:rPr>
            </w:pPr>
            <w:r w:rsidRPr="00BA76AF">
              <w:rPr>
                <w:kern w:val="1"/>
              </w:rPr>
              <w:t>26</w:t>
            </w:r>
          </w:p>
        </w:tc>
        <w:tc>
          <w:tcPr>
            <w:tcW w:w="550" w:type="dxa"/>
            <w:gridSpan w:val="2"/>
          </w:tcPr>
          <w:p w:rsidR="00AD1390" w:rsidRPr="00BA76AF" w:rsidRDefault="00AD1390">
            <w:pPr>
              <w:pStyle w:val="Tabelltextsiffror"/>
              <w:rPr>
                <w:b/>
                <w:kern w:val="1"/>
              </w:rPr>
            </w:pPr>
            <w:r w:rsidRPr="00BA76AF">
              <w:rPr>
                <w:b/>
                <w:kern w:val="1"/>
              </w:rPr>
              <w:t>33</w:t>
            </w:r>
          </w:p>
        </w:tc>
        <w:tc>
          <w:tcPr>
            <w:tcW w:w="550" w:type="dxa"/>
          </w:tcPr>
          <w:p w:rsidR="00AD1390" w:rsidRPr="00BA76AF" w:rsidRDefault="00AD1390">
            <w:pPr>
              <w:pStyle w:val="Tabelltextsiffror"/>
              <w:rPr>
                <w:kern w:val="1"/>
              </w:rPr>
            </w:pPr>
            <w:r w:rsidRPr="00BA76AF">
              <w:rPr>
                <w:kern w:val="1"/>
              </w:rPr>
              <w:t>42</w:t>
            </w:r>
          </w:p>
        </w:tc>
        <w:tc>
          <w:tcPr>
            <w:tcW w:w="550" w:type="dxa"/>
          </w:tcPr>
          <w:p w:rsidR="00AD1390" w:rsidRPr="00BA76AF" w:rsidRDefault="00AD1390">
            <w:pPr>
              <w:pStyle w:val="Tabelltextsiffror"/>
              <w:rPr>
                <w:kern w:val="1"/>
              </w:rPr>
            </w:pPr>
            <w:r w:rsidRPr="00BA76AF">
              <w:rPr>
                <w:kern w:val="1"/>
              </w:rPr>
              <w:t>17</w:t>
            </w:r>
          </w:p>
        </w:tc>
        <w:tc>
          <w:tcPr>
            <w:tcW w:w="550" w:type="dxa"/>
            <w:gridSpan w:val="2"/>
          </w:tcPr>
          <w:p w:rsidR="00AD1390" w:rsidRPr="00BA76AF" w:rsidRDefault="00AD1390">
            <w:pPr>
              <w:pStyle w:val="Tabelltextsiffror"/>
              <w:rPr>
                <w:b/>
                <w:kern w:val="1"/>
              </w:rPr>
            </w:pPr>
            <w:r w:rsidRPr="00BA76AF">
              <w:rPr>
                <w:b/>
                <w:kern w:val="1"/>
              </w:rPr>
              <w:t>30</w:t>
            </w:r>
          </w:p>
        </w:tc>
      </w:tr>
      <w:tr w:rsidR="00000000" w:rsidRPr="00BA76AF">
        <w:tblPrEx>
          <w:tblCellMar>
            <w:top w:w="0" w:type="dxa"/>
            <w:bottom w:w="0" w:type="dxa"/>
          </w:tblCellMar>
        </w:tblPrEx>
        <w:tc>
          <w:tcPr>
            <w:tcW w:w="1388" w:type="dxa"/>
            <w:vAlign w:val="center"/>
          </w:tcPr>
          <w:p w:rsidR="00AD1390" w:rsidRPr="00BA76AF" w:rsidRDefault="00AD1390">
            <w:pPr>
              <w:pStyle w:val="Tabelltext"/>
              <w:rPr>
                <w:kern w:val="1"/>
              </w:rPr>
            </w:pPr>
            <w:r w:rsidRPr="00BA76AF">
              <w:rPr>
                <w:kern w:val="1"/>
              </w:rPr>
              <w:t>Övriga</w:t>
            </w:r>
          </w:p>
          <w:p w:rsidR="00AD1390" w:rsidRPr="00BA76AF" w:rsidRDefault="00AD1390">
            <w:pPr>
              <w:pStyle w:val="Tabelltext"/>
              <w:rPr>
                <w:kern w:val="1"/>
              </w:rPr>
            </w:pPr>
            <w:r w:rsidRPr="00BA76AF">
              <w:rPr>
                <w:kern w:val="1"/>
              </w:rPr>
              <w:t>Västeuropa</w:t>
            </w:r>
          </w:p>
        </w:tc>
        <w:tc>
          <w:tcPr>
            <w:tcW w:w="550" w:type="dxa"/>
            <w:vAlign w:val="center"/>
          </w:tcPr>
          <w:p w:rsidR="00AD1390" w:rsidRPr="00BA76AF" w:rsidRDefault="00AD1390">
            <w:pPr>
              <w:pStyle w:val="Tabelltextsiffror"/>
              <w:rPr>
                <w:kern w:val="1"/>
              </w:rPr>
            </w:pPr>
            <w:r w:rsidRPr="00BA76AF">
              <w:rPr>
                <w:kern w:val="1"/>
              </w:rPr>
              <w:t>22</w:t>
            </w:r>
          </w:p>
        </w:tc>
        <w:tc>
          <w:tcPr>
            <w:tcW w:w="550" w:type="dxa"/>
            <w:vAlign w:val="center"/>
          </w:tcPr>
          <w:p w:rsidR="00AD1390" w:rsidRPr="00BA76AF" w:rsidRDefault="00AD1390">
            <w:pPr>
              <w:pStyle w:val="Tabelltextsiffror"/>
              <w:rPr>
                <w:kern w:val="1"/>
              </w:rPr>
            </w:pPr>
            <w:r w:rsidRPr="00BA76AF">
              <w:rPr>
                <w:kern w:val="1"/>
              </w:rPr>
              <w:t>21</w:t>
            </w:r>
          </w:p>
        </w:tc>
        <w:tc>
          <w:tcPr>
            <w:tcW w:w="550" w:type="dxa"/>
            <w:gridSpan w:val="2"/>
            <w:vAlign w:val="center"/>
          </w:tcPr>
          <w:p w:rsidR="00AD1390" w:rsidRPr="00BA76AF" w:rsidRDefault="00AD1390">
            <w:pPr>
              <w:pStyle w:val="Tabelltextsiffror"/>
              <w:rPr>
                <w:b/>
                <w:kern w:val="1"/>
              </w:rPr>
            </w:pPr>
            <w:r w:rsidRPr="00BA76AF">
              <w:rPr>
                <w:b/>
                <w:kern w:val="1"/>
              </w:rPr>
              <w:t>21</w:t>
            </w:r>
          </w:p>
        </w:tc>
        <w:tc>
          <w:tcPr>
            <w:tcW w:w="550" w:type="dxa"/>
            <w:vAlign w:val="center"/>
          </w:tcPr>
          <w:p w:rsidR="00AD1390" w:rsidRPr="00BA76AF" w:rsidRDefault="00AD1390">
            <w:pPr>
              <w:pStyle w:val="Tabelltextsiffror"/>
              <w:rPr>
                <w:kern w:val="1"/>
              </w:rPr>
            </w:pPr>
            <w:r w:rsidRPr="00BA76AF">
              <w:rPr>
                <w:kern w:val="1"/>
              </w:rPr>
              <w:t>27</w:t>
            </w:r>
          </w:p>
        </w:tc>
        <w:tc>
          <w:tcPr>
            <w:tcW w:w="550" w:type="dxa"/>
            <w:vAlign w:val="center"/>
          </w:tcPr>
          <w:p w:rsidR="00AD1390" w:rsidRPr="00BA76AF" w:rsidRDefault="00AD1390">
            <w:pPr>
              <w:pStyle w:val="Tabelltextsiffror"/>
              <w:rPr>
                <w:kern w:val="1"/>
              </w:rPr>
            </w:pPr>
            <w:r w:rsidRPr="00BA76AF">
              <w:rPr>
                <w:kern w:val="1"/>
              </w:rPr>
              <w:t>37</w:t>
            </w:r>
          </w:p>
        </w:tc>
        <w:tc>
          <w:tcPr>
            <w:tcW w:w="550" w:type="dxa"/>
            <w:gridSpan w:val="2"/>
            <w:vAlign w:val="center"/>
          </w:tcPr>
          <w:p w:rsidR="00AD1390" w:rsidRPr="00BA76AF" w:rsidRDefault="00AD1390">
            <w:pPr>
              <w:pStyle w:val="Tabelltextsiffror"/>
              <w:rPr>
                <w:b/>
                <w:kern w:val="1"/>
              </w:rPr>
            </w:pPr>
            <w:r w:rsidRPr="00BA76AF">
              <w:rPr>
                <w:b/>
                <w:kern w:val="1"/>
              </w:rPr>
              <w:t>32</w:t>
            </w:r>
          </w:p>
        </w:tc>
        <w:tc>
          <w:tcPr>
            <w:tcW w:w="550" w:type="dxa"/>
            <w:vAlign w:val="center"/>
          </w:tcPr>
          <w:p w:rsidR="00AD1390" w:rsidRPr="00BA76AF" w:rsidRDefault="00AD1390">
            <w:pPr>
              <w:pStyle w:val="Tabelltextsiffror"/>
              <w:rPr>
                <w:kern w:val="1"/>
              </w:rPr>
            </w:pPr>
            <w:r w:rsidRPr="00BA76AF">
              <w:rPr>
                <w:kern w:val="1"/>
              </w:rPr>
              <w:t>11</w:t>
            </w:r>
          </w:p>
        </w:tc>
        <w:tc>
          <w:tcPr>
            <w:tcW w:w="550" w:type="dxa"/>
            <w:vAlign w:val="center"/>
          </w:tcPr>
          <w:p w:rsidR="00AD1390" w:rsidRPr="00BA76AF" w:rsidRDefault="00AD1390">
            <w:pPr>
              <w:pStyle w:val="Tabelltextsiffror"/>
              <w:rPr>
                <w:kern w:val="1"/>
              </w:rPr>
            </w:pPr>
            <w:r w:rsidRPr="00BA76AF">
              <w:rPr>
                <w:kern w:val="1"/>
              </w:rPr>
              <w:t>32</w:t>
            </w:r>
          </w:p>
        </w:tc>
        <w:tc>
          <w:tcPr>
            <w:tcW w:w="550" w:type="dxa"/>
            <w:gridSpan w:val="2"/>
            <w:vAlign w:val="center"/>
          </w:tcPr>
          <w:p w:rsidR="00AD1390" w:rsidRPr="00BA76AF" w:rsidRDefault="00AD1390">
            <w:pPr>
              <w:pStyle w:val="Tabelltextsiffror"/>
              <w:rPr>
                <w:b/>
                <w:kern w:val="1"/>
              </w:rPr>
            </w:pPr>
            <w:r w:rsidRPr="00BA76AF">
              <w:rPr>
                <w:b/>
                <w:kern w:val="1"/>
              </w:rPr>
              <w:t>21</w:t>
            </w: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r w:rsidRPr="00BA76AF">
              <w:rPr>
                <w:kern w:val="1"/>
              </w:rPr>
              <w:t>Central- och Östeuropa</w:t>
            </w:r>
          </w:p>
        </w:tc>
        <w:tc>
          <w:tcPr>
            <w:tcW w:w="550" w:type="dxa"/>
            <w:vAlign w:val="center"/>
          </w:tcPr>
          <w:p w:rsidR="00AD1390" w:rsidRPr="00BA76AF" w:rsidRDefault="00AD1390">
            <w:pPr>
              <w:pStyle w:val="Tabelltextsiffror"/>
              <w:rPr>
                <w:kern w:val="1"/>
              </w:rPr>
            </w:pPr>
            <w:r w:rsidRPr="00BA76AF">
              <w:rPr>
                <w:kern w:val="1"/>
              </w:rPr>
              <w:t>1</w:t>
            </w:r>
          </w:p>
        </w:tc>
        <w:tc>
          <w:tcPr>
            <w:tcW w:w="550" w:type="dxa"/>
            <w:vAlign w:val="center"/>
          </w:tcPr>
          <w:p w:rsidR="00AD1390" w:rsidRPr="00BA76AF" w:rsidRDefault="00AD1390">
            <w:pPr>
              <w:pStyle w:val="Tabelltextsiffror"/>
              <w:rPr>
                <w:kern w:val="1"/>
              </w:rPr>
            </w:pPr>
            <w:r w:rsidRPr="00BA76AF">
              <w:rPr>
                <w:kern w:val="1"/>
              </w:rPr>
              <w:t>2</w:t>
            </w:r>
          </w:p>
        </w:tc>
        <w:tc>
          <w:tcPr>
            <w:tcW w:w="550" w:type="dxa"/>
            <w:gridSpan w:val="2"/>
            <w:vAlign w:val="center"/>
          </w:tcPr>
          <w:p w:rsidR="00AD1390" w:rsidRPr="00BA76AF" w:rsidRDefault="00AD1390">
            <w:pPr>
              <w:pStyle w:val="Tabelltextsiffror"/>
              <w:rPr>
                <w:b/>
                <w:kern w:val="1"/>
              </w:rPr>
            </w:pPr>
            <w:r w:rsidRPr="00BA76AF">
              <w:rPr>
                <w:b/>
                <w:kern w:val="1"/>
              </w:rPr>
              <w:t>1</w:t>
            </w:r>
          </w:p>
        </w:tc>
        <w:tc>
          <w:tcPr>
            <w:tcW w:w="550" w:type="dxa"/>
            <w:vAlign w:val="center"/>
          </w:tcPr>
          <w:p w:rsidR="00AD1390" w:rsidRPr="00BA76AF" w:rsidRDefault="00AD1390">
            <w:pPr>
              <w:pStyle w:val="Tabelltextsiffror"/>
              <w:rPr>
                <w:kern w:val="1"/>
              </w:rPr>
            </w:pPr>
            <w:r w:rsidRPr="00BA76AF">
              <w:rPr>
                <w:kern w:val="1"/>
              </w:rPr>
              <w:t>0</w:t>
            </w:r>
          </w:p>
        </w:tc>
        <w:tc>
          <w:tcPr>
            <w:tcW w:w="550" w:type="dxa"/>
            <w:vAlign w:val="center"/>
          </w:tcPr>
          <w:p w:rsidR="00AD1390" w:rsidRPr="00BA76AF" w:rsidRDefault="00AD1390">
            <w:pPr>
              <w:pStyle w:val="Tabelltextsiffror"/>
              <w:rPr>
                <w:kern w:val="1"/>
              </w:rPr>
            </w:pPr>
            <w:r w:rsidRPr="00BA76AF">
              <w:rPr>
                <w:kern w:val="1"/>
              </w:rPr>
              <w:t>2</w:t>
            </w:r>
          </w:p>
        </w:tc>
        <w:tc>
          <w:tcPr>
            <w:tcW w:w="550" w:type="dxa"/>
            <w:gridSpan w:val="2"/>
            <w:vAlign w:val="center"/>
          </w:tcPr>
          <w:p w:rsidR="00AD1390" w:rsidRPr="00BA76AF" w:rsidRDefault="00AD1390">
            <w:pPr>
              <w:pStyle w:val="Tabelltextsiffror"/>
              <w:rPr>
                <w:b/>
                <w:kern w:val="1"/>
              </w:rPr>
            </w:pPr>
            <w:r w:rsidRPr="00BA76AF">
              <w:rPr>
                <w:b/>
                <w:kern w:val="1"/>
              </w:rPr>
              <w:t>1</w:t>
            </w:r>
          </w:p>
        </w:tc>
        <w:tc>
          <w:tcPr>
            <w:tcW w:w="550" w:type="dxa"/>
            <w:vAlign w:val="center"/>
          </w:tcPr>
          <w:p w:rsidR="00AD1390" w:rsidRPr="00BA76AF" w:rsidRDefault="00AD1390">
            <w:pPr>
              <w:pStyle w:val="Tabelltextsiffror"/>
              <w:rPr>
                <w:kern w:val="1"/>
              </w:rPr>
            </w:pPr>
            <w:r w:rsidRPr="00BA76AF">
              <w:rPr>
                <w:kern w:val="1"/>
              </w:rPr>
              <w:t>2</w:t>
            </w:r>
          </w:p>
        </w:tc>
        <w:tc>
          <w:tcPr>
            <w:tcW w:w="550" w:type="dxa"/>
            <w:vAlign w:val="center"/>
          </w:tcPr>
          <w:p w:rsidR="00AD1390" w:rsidRPr="00BA76AF" w:rsidRDefault="00AD1390">
            <w:pPr>
              <w:pStyle w:val="Tabelltextsiffror"/>
              <w:rPr>
                <w:kern w:val="1"/>
              </w:rPr>
            </w:pPr>
            <w:r w:rsidRPr="00BA76AF">
              <w:rPr>
                <w:kern w:val="1"/>
              </w:rPr>
              <w:t>0</w:t>
            </w:r>
          </w:p>
        </w:tc>
        <w:tc>
          <w:tcPr>
            <w:tcW w:w="550" w:type="dxa"/>
            <w:gridSpan w:val="2"/>
            <w:vAlign w:val="center"/>
          </w:tcPr>
          <w:p w:rsidR="00AD1390" w:rsidRPr="00BA76AF" w:rsidRDefault="00AD1390">
            <w:pPr>
              <w:pStyle w:val="Tabelltextsiffror"/>
              <w:rPr>
                <w:b/>
                <w:kern w:val="1"/>
              </w:rPr>
            </w:pPr>
            <w:r w:rsidRPr="00BA76AF">
              <w:rPr>
                <w:b/>
                <w:kern w:val="1"/>
              </w:rPr>
              <w:t>1</w:t>
            </w: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r w:rsidRPr="00BA76AF">
              <w:rPr>
                <w:kern w:val="1"/>
              </w:rPr>
              <w:t>Nordamerika</w:t>
            </w:r>
          </w:p>
        </w:tc>
        <w:tc>
          <w:tcPr>
            <w:tcW w:w="550" w:type="dxa"/>
          </w:tcPr>
          <w:p w:rsidR="00AD1390" w:rsidRPr="00BA76AF" w:rsidRDefault="00AD1390">
            <w:pPr>
              <w:pStyle w:val="Tabelltextsiffror"/>
              <w:rPr>
                <w:kern w:val="1"/>
              </w:rPr>
            </w:pPr>
            <w:r w:rsidRPr="00BA76AF">
              <w:rPr>
                <w:kern w:val="1"/>
              </w:rPr>
              <w:t>17</w:t>
            </w:r>
          </w:p>
        </w:tc>
        <w:tc>
          <w:tcPr>
            <w:tcW w:w="550" w:type="dxa"/>
          </w:tcPr>
          <w:p w:rsidR="00AD1390" w:rsidRPr="00BA76AF" w:rsidRDefault="00AD1390">
            <w:pPr>
              <w:pStyle w:val="Tabelltextsiffror"/>
              <w:rPr>
                <w:kern w:val="1"/>
              </w:rPr>
            </w:pPr>
            <w:r w:rsidRPr="00BA76AF">
              <w:rPr>
                <w:kern w:val="1"/>
              </w:rPr>
              <w:t>10</w:t>
            </w:r>
          </w:p>
        </w:tc>
        <w:tc>
          <w:tcPr>
            <w:tcW w:w="550" w:type="dxa"/>
            <w:gridSpan w:val="2"/>
          </w:tcPr>
          <w:p w:rsidR="00AD1390" w:rsidRPr="00BA76AF" w:rsidRDefault="00AD1390">
            <w:pPr>
              <w:pStyle w:val="Tabelltextsiffror"/>
              <w:rPr>
                <w:b/>
                <w:kern w:val="1"/>
              </w:rPr>
            </w:pPr>
            <w:r w:rsidRPr="00BA76AF">
              <w:rPr>
                <w:b/>
                <w:kern w:val="1"/>
              </w:rPr>
              <w:t>14</w:t>
            </w:r>
          </w:p>
        </w:tc>
        <w:tc>
          <w:tcPr>
            <w:tcW w:w="550" w:type="dxa"/>
          </w:tcPr>
          <w:p w:rsidR="00AD1390" w:rsidRPr="00BA76AF" w:rsidRDefault="00AD1390">
            <w:pPr>
              <w:pStyle w:val="Tabelltextsiffror"/>
              <w:rPr>
                <w:kern w:val="1"/>
              </w:rPr>
            </w:pPr>
            <w:r w:rsidRPr="00BA76AF">
              <w:rPr>
                <w:kern w:val="1"/>
              </w:rPr>
              <w:t>7</w:t>
            </w:r>
          </w:p>
        </w:tc>
        <w:tc>
          <w:tcPr>
            <w:tcW w:w="550" w:type="dxa"/>
          </w:tcPr>
          <w:p w:rsidR="00AD1390" w:rsidRPr="00BA76AF" w:rsidRDefault="00AD1390">
            <w:pPr>
              <w:pStyle w:val="Tabelltextsiffror"/>
              <w:rPr>
                <w:kern w:val="1"/>
              </w:rPr>
            </w:pPr>
            <w:r w:rsidRPr="00BA76AF">
              <w:rPr>
                <w:kern w:val="1"/>
              </w:rPr>
              <w:t>13</w:t>
            </w:r>
          </w:p>
        </w:tc>
        <w:tc>
          <w:tcPr>
            <w:tcW w:w="550" w:type="dxa"/>
            <w:gridSpan w:val="2"/>
          </w:tcPr>
          <w:p w:rsidR="00AD1390" w:rsidRPr="00BA76AF" w:rsidRDefault="00AD1390">
            <w:pPr>
              <w:pStyle w:val="Tabelltextsiffror"/>
              <w:rPr>
                <w:b/>
                <w:kern w:val="1"/>
              </w:rPr>
            </w:pPr>
            <w:r w:rsidRPr="00BA76AF">
              <w:rPr>
                <w:b/>
                <w:kern w:val="1"/>
              </w:rPr>
              <w:t>10</w:t>
            </w:r>
          </w:p>
        </w:tc>
        <w:tc>
          <w:tcPr>
            <w:tcW w:w="550" w:type="dxa"/>
          </w:tcPr>
          <w:p w:rsidR="00AD1390" w:rsidRPr="00BA76AF" w:rsidRDefault="00AD1390">
            <w:pPr>
              <w:pStyle w:val="Tabelltextsiffror"/>
              <w:rPr>
                <w:kern w:val="1"/>
              </w:rPr>
            </w:pPr>
            <w:r w:rsidRPr="00BA76AF">
              <w:rPr>
                <w:kern w:val="1"/>
              </w:rPr>
              <w:t>5</w:t>
            </w:r>
          </w:p>
        </w:tc>
        <w:tc>
          <w:tcPr>
            <w:tcW w:w="550" w:type="dxa"/>
          </w:tcPr>
          <w:p w:rsidR="00AD1390" w:rsidRPr="00BA76AF" w:rsidRDefault="00AD1390">
            <w:pPr>
              <w:pStyle w:val="Tabelltextsiffror"/>
              <w:rPr>
                <w:kern w:val="1"/>
              </w:rPr>
            </w:pPr>
            <w:r w:rsidRPr="00BA76AF">
              <w:rPr>
                <w:kern w:val="1"/>
              </w:rPr>
              <w:t>17</w:t>
            </w:r>
          </w:p>
        </w:tc>
        <w:tc>
          <w:tcPr>
            <w:tcW w:w="550" w:type="dxa"/>
            <w:gridSpan w:val="2"/>
          </w:tcPr>
          <w:p w:rsidR="00AD1390" w:rsidRPr="00BA76AF" w:rsidRDefault="00AD1390">
            <w:pPr>
              <w:pStyle w:val="Tabelltextsiffror"/>
              <w:rPr>
                <w:b/>
                <w:kern w:val="1"/>
              </w:rPr>
            </w:pPr>
            <w:r w:rsidRPr="00BA76AF">
              <w:rPr>
                <w:b/>
                <w:kern w:val="1"/>
              </w:rPr>
              <w:t>11</w:t>
            </w: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r w:rsidRPr="00BA76AF">
              <w:rPr>
                <w:kern w:val="1"/>
              </w:rPr>
              <w:t>Latinamerika</w:t>
            </w:r>
          </w:p>
        </w:tc>
        <w:tc>
          <w:tcPr>
            <w:tcW w:w="550" w:type="dxa"/>
          </w:tcPr>
          <w:p w:rsidR="00AD1390" w:rsidRPr="00BA76AF" w:rsidRDefault="00AD1390">
            <w:pPr>
              <w:pStyle w:val="Tabelltextsiffror"/>
              <w:rPr>
                <w:kern w:val="1"/>
              </w:rPr>
            </w:pPr>
            <w:r w:rsidRPr="00BA76AF">
              <w:rPr>
                <w:kern w:val="1"/>
              </w:rPr>
              <w:t>8</w:t>
            </w:r>
          </w:p>
        </w:tc>
        <w:tc>
          <w:tcPr>
            <w:tcW w:w="550" w:type="dxa"/>
          </w:tcPr>
          <w:p w:rsidR="00AD1390" w:rsidRPr="00BA76AF" w:rsidRDefault="00AD1390">
            <w:pPr>
              <w:pStyle w:val="Tabelltextsiffror"/>
              <w:rPr>
                <w:kern w:val="1"/>
              </w:rPr>
            </w:pPr>
            <w:r w:rsidRPr="00BA76AF">
              <w:rPr>
                <w:kern w:val="1"/>
              </w:rPr>
              <w:t>16</w:t>
            </w:r>
          </w:p>
        </w:tc>
        <w:tc>
          <w:tcPr>
            <w:tcW w:w="550" w:type="dxa"/>
            <w:gridSpan w:val="2"/>
          </w:tcPr>
          <w:p w:rsidR="00AD1390" w:rsidRPr="00BA76AF" w:rsidRDefault="00AD1390">
            <w:pPr>
              <w:pStyle w:val="Tabelltextsiffror"/>
              <w:rPr>
                <w:b/>
                <w:kern w:val="1"/>
              </w:rPr>
            </w:pPr>
            <w:r w:rsidRPr="00BA76AF">
              <w:rPr>
                <w:b/>
                <w:kern w:val="1"/>
              </w:rPr>
              <w:t>12</w:t>
            </w:r>
          </w:p>
        </w:tc>
        <w:tc>
          <w:tcPr>
            <w:tcW w:w="550" w:type="dxa"/>
          </w:tcPr>
          <w:p w:rsidR="00AD1390" w:rsidRPr="00BA76AF" w:rsidRDefault="00AD1390">
            <w:pPr>
              <w:pStyle w:val="Tabelltextsiffror"/>
              <w:rPr>
                <w:kern w:val="1"/>
              </w:rPr>
            </w:pPr>
            <w:r w:rsidRPr="00BA76AF">
              <w:rPr>
                <w:kern w:val="1"/>
              </w:rPr>
              <w:t>23</w:t>
            </w:r>
          </w:p>
        </w:tc>
        <w:tc>
          <w:tcPr>
            <w:tcW w:w="550" w:type="dxa"/>
          </w:tcPr>
          <w:p w:rsidR="00AD1390" w:rsidRPr="00BA76AF" w:rsidRDefault="00AD1390">
            <w:pPr>
              <w:pStyle w:val="Tabelltextsiffror"/>
              <w:rPr>
                <w:kern w:val="1"/>
              </w:rPr>
            </w:pPr>
            <w:r w:rsidRPr="00BA76AF">
              <w:rPr>
                <w:kern w:val="1"/>
              </w:rPr>
              <w:t>12</w:t>
            </w:r>
          </w:p>
        </w:tc>
        <w:tc>
          <w:tcPr>
            <w:tcW w:w="550" w:type="dxa"/>
            <w:gridSpan w:val="2"/>
          </w:tcPr>
          <w:p w:rsidR="00AD1390" w:rsidRPr="00BA76AF" w:rsidRDefault="00AD1390">
            <w:pPr>
              <w:pStyle w:val="Tabelltextsiffror"/>
              <w:rPr>
                <w:b/>
                <w:kern w:val="1"/>
              </w:rPr>
            </w:pPr>
            <w:r w:rsidRPr="00BA76AF">
              <w:rPr>
                <w:b/>
                <w:kern w:val="1"/>
              </w:rPr>
              <w:t>18</w:t>
            </w:r>
          </w:p>
        </w:tc>
        <w:tc>
          <w:tcPr>
            <w:tcW w:w="550" w:type="dxa"/>
          </w:tcPr>
          <w:p w:rsidR="00AD1390" w:rsidRPr="00BA76AF" w:rsidRDefault="00AD1390">
            <w:pPr>
              <w:pStyle w:val="Tabelltextsiffror"/>
              <w:rPr>
                <w:kern w:val="1"/>
              </w:rPr>
            </w:pPr>
            <w:r w:rsidRPr="00BA76AF">
              <w:rPr>
                <w:kern w:val="1"/>
              </w:rPr>
              <w:t>16</w:t>
            </w:r>
          </w:p>
        </w:tc>
        <w:tc>
          <w:tcPr>
            <w:tcW w:w="550" w:type="dxa"/>
          </w:tcPr>
          <w:p w:rsidR="00AD1390" w:rsidRPr="00BA76AF" w:rsidRDefault="00AD1390">
            <w:pPr>
              <w:pStyle w:val="Tabelltextsiffror"/>
              <w:rPr>
                <w:kern w:val="1"/>
              </w:rPr>
            </w:pPr>
            <w:r w:rsidRPr="00BA76AF">
              <w:rPr>
                <w:kern w:val="1"/>
              </w:rPr>
              <w:t>21</w:t>
            </w:r>
          </w:p>
        </w:tc>
        <w:tc>
          <w:tcPr>
            <w:tcW w:w="550" w:type="dxa"/>
            <w:gridSpan w:val="2"/>
          </w:tcPr>
          <w:p w:rsidR="00AD1390" w:rsidRPr="00BA76AF" w:rsidRDefault="00AD1390">
            <w:pPr>
              <w:pStyle w:val="Tabelltextsiffror"/>
              <w:rPr>
                <w:b/>
                <w:kern w:val="1"/>
              </w:rPr>
            </w:pPr>
            <w:r w:rsidRPr="00BA76AF">
              <w:rPr>
                <w:b/>
                <w:kern w:val="1"/>
              </w:rPr>
              <w:t>19</w:t>
            </w: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r w:rsidRPr="00BA76AF">
              <w:rPr>
                <w:kern w:val="1"/>
              </w:rPr>
              <w:t>Australien &amp; Nya Zeeland</w:t>
            </w:r>
          </w:p>
        </w:tc>
        <w:tc>
          <w:tcPr>
            <w:tcW w:w="550" w:type="dxa"/>
            <w:vAlign w:val="center"/>
          </w:tcPr>
          <w:p w:rsidR="00AD1390" w:rsidRPr="00BA76AF" w:rsidRDefault="00AD1390">
            <w:pPr>
              <w:pStyle w:val="Tabelltextsiffror"/>
              <w:rPr>
                <w:kern w:val="1"/>
              </w:rPr>
            </w:pPr>
            <w:r w:rsidRPr="00BA76AF">
              <w:rPr>
                <w:kern w:val="1"/>
              </w:rPr>
              <w:t>3</w:t>
            </w:r>
          </w:p>
        </w:tc>
        <w:tc>
          <w:tcPr>
            <w:tcW w:w="550" w:type="dxa"/>
            <w:vAlign w:val="center"/>
          </w:tcPr>
          <w:p w:rsidR="00AD1390" w:rsidRPr="00BA76AF" w:rsidRDefault="00AD1390">
            <w:pPr>
              <w:pStyle w:val="Tabelltextsiffror"/>
              <w:rPr>
                <w:kern w:val="1"/>
              </w:rPr>
            </w:pPr>
            <w:r w:rsidRPr="00BA76AF">
              <w:rPr>
                <w:kern w:val="1"/>
              </w:rPr>
              <w:t>3</w:t>
            </w:r>
          </w:p>
        </w:tc>
        <w:tc>
          <w:tcPr>
            <w:tcW w:w="550" w:type="dxa"/>
            <w:gridSpan w:val="2"/>
            <w:vAlign w:val="center"/>
          </w:tcPr>
          <w:p w:rsidR="00AD1390" w:rsidRPr="00BA76AF" w:rsidRDefault="00AD1390">
            <w:pPr>
              <w:pStyle w:val="Tabelltextsiffror"/>
              <w:rPr>
                <w:b/>
                <w:kern w:val="1"/>
              </w:rPr>
            </w:pPr>
            <w:r w:rsidRPr="00BA76AF">
              <w:rPr>
                <w:b/>
                <w:kern w:val="1"/>
              </w:rPr>
              <w:t>3</w:t>
            </w:r>
          </w:p>
        </w:tc>
        <w:tc>
          <w:tcPr>
            <w:tcW w:w="550" w:type="dxa"/>
            <w:vAlign w:val="center"/>
          </w:tcPr>
          <w:p w:rsidR="00AD1390" w:rsidRPr="00BA76AF" w:rsidRDefault="00AD1390">
            <w:pPr>
              <w:pStyle w:val="Tabelltextsiffror"/>
              <w:rPr>
                <w:kern w:val="1"/>
              </w:rPr>
            </w:pPr>
            <w:r w:rsidRPr="00BA76AF">
              <w:rPr>
                <w:kern w:val="1"/>
              </w:rPr>
              <w:t>1</w:t>
            </w:r>
          </w:p>
        </w:tc>
        <w:tc>
          <w:tcPr>
            <w:tcW w:w="550" w:type="dxa"/>
            <w:vAlign w:val="center"/>
          </w:tcPr>
          <w:p w:rsidR="00AD1390" w:rsidRPr="00BA76AF" w:rsidRDefault="00AD1390">
            <w:pPr>
              <w:pStyle w:val="Tabelltextsiffror"/>
              <w:rPr>
                <w:kern w:val="1"/>
              </w:rPr>
            </w:pPr>
            <w:r w:rsidRPr="00BA76AF">
              <w:rPr>
                <w:kern w:val="1"/>
              </w:rPr>
              <w:t>2</w:t>
            </w:r>
          </w:p>
        </w:tc>
        <w:tc>
          <w:tcPr>
            <w:tcW w:w="550" w:type="dxa"/>
            <w:gridSpan w:val="2"/>
            <w:vAlign w:val="center"/>
          </w:tcPr>
          <w:p w:rsidR="00AD1390" w:rsidRPr="00BA76AF" w:rsidRDefault="00AD1390">
            <w:pPr>
              <w:pStyle w:val="Tabelltextsiffror"/>
              <w:rPr>
                <w:b/>
                <w:kern w:val="1"/>
              </w:rPr>
            </w:pPr>
            <w:r w:rsidRPr="00BA76AF">
              <w:rPr>
                <w:b/>
                <w:kern w:val="1"/>
              </w:rPr>
              <w:t>1</w:t>
            </w:r>
          </w:p>
        </w:tc>
        <w:tc>
          <w:tcPr>
            <w:tcW w:w="550" w:type="dxa"/>
            <w:vAlign w:val="center"/>
          </w:tcPr>
          <w:p w:rsidR="00AD1390" w:rsidRPr="00BA76AF" w:rsidRDefault="00AD1390">
            <w:pPr>
              <w:pStyle w:val="Tabelltextsiffror"/>
              <w:rPr>
                <w:kern w:val="1"/>
              </w:rPr>
            </w:pPr>
            <w:r w:rsidRPr="00BA76AF">
              <w:rPr>
                <w:kern w:val="1"/>
              </w:rPr>
              <w:t>4</w:t>
            </w:r>
          </w:p>
        </w:tc>
        <w:tc>
          <w:tcPr>
            <w:tcW w:w="550" w:type="dxa"/>
            <w:vAlign w:val="center"/>
          </w:tcPr>
          <w:p w:rsidR="00AD1390" w:rsidRPr="00BA76AF" w:rsidRDefault="00AD1390">
            <w:pPr>
              <w:pStyle w:val="Tabelltextsiffror"/>
              <w:rPr>
                <w:kern w:val="1"/>
              </w:rPr>
            </w:pPr>
            <w:r w:rsidRPr="00BA76AF">
              <w:rPr>
                <w:kern w:val="1"/>
              </w:rPr>
              <w:t>1</w:t>
            </w:r>
          </w:p>
        </w:tc>
        <w:tc>
          <w:tcPr>
            <w:tcW w:w="550" w:type="dxa"/>
            <w:gridSpan w:val="2"/>
            <w:vAlign w:val="center"/>
          </w:tcPr>
          <w:p w:rsidR="00AD1390" w:rsidRPr="00BA76AF" w:rsidRDefault="00AD1390">
            <w:pPr>
              <w:pStyle w:val="Tabelltextsiffror"/>
              <w:rPr>
                <w:b/>
                <w:kern w:val="1"/>
              </w:rPr>
            </w:pPr>
            <w:r w:rsidRPr="00BA76AF">
              <w:rPr>
                <w:b/>
                <w:kern w:val="1"/>
              </w:rPr>
              <w:t>2</w:t>
            </w:r>
          </w:p>
        </w:tc>
      </w:tr>
      <w:tr w:rsidR="00000000" w:rsidRPr="00BA76AF">
        <w:tblPrEx>
          <w:tblCellMar>
            <w:top w:w="0" w:type="dxa"/>
            <w:bottom w:w="0" w:type="dxa"/>
          </w:tblCellMar>
        </w:tblPrEx>
        <w:tc>
          <w:tcPr>
            <w:tcW w:w="1388" w:type="dxa"/>
          </w:tcPr>
          <w:p w:rsidR="00AD1390" w:rsidRPr="00BA76AF" w:rsidRDefault="00AD1390">
            <w:pPr>
              <w:pStyle w:val="Tabelltext"/>
              <w:rPr>
                <w:kern w:val="1"/>
              </w:rPr>
            </w:pPr>
            <w:r w:rsidRPr="00BA76AF">
              <w:rPr>
                <w:kern w:val="1"/>
              </w:rPr>
              <w:t>Asien</w:t>
            </w:r>
          </w:p>
        </w:tc>
        <w:tc>
          <w:tcPr>
            <w:tcW w:w="550" w:type="dxa"/>
          </w:tcPr>
          <w:p w:rsidR="00AD1390" w:rsidRPr="00BA76AF" w:rsidRDefault="00AD1390">
            <w:pPr>
              <w:pStyle w:val="Tabelltextsiffror"/>
              <w:rPr>
                <w:kern w:val="1"/>
              </w:rPr>
            </w:pPr>
            <w:r w:rsidRPr="00BA76AF">
              <w:rPr>
                <w:kern w:val="1"/>
              </w:rPr>
              <w:t>38</w:t>
            </w:r>
          </w:p>
        </w:tc>
        <w:tc>
          <w:tcPr>
            <w:tcW w:w="550" w:type="dxa"/>
          </w:tcPr>
          <w:p w:rsidR="00AD1390" w:rsidRPr="00BA76AF" w:rsidRDefault="00AD1390">
            <w:pPr>
              <w:pStyle w:val="Tabelltextsiffror"/>
              <w:rPr>
                <w:kern w:val="1"/>
              </w:rPr>
            </w:pPr>
            <w:r w:rsidRPr="00BA76AF">
              <w:rPr>
                <w:kern w:val="1"/>
              </w:rPr>
              <w:t>4</w:t>
            </w:r>
          </w:p>
        </w:tc>
        <w:tc>
          <w:tcPr>
            <w:tcW w:w="550" w:type="dxa"/>
            <w:gridSpan w:val="2"/>
          </w:tcPr>
          <w:p w:rsidR="00AD1390" w:rsidRPr="00BA76AF" w:rsidRDefault="00AD1390">
            <w:pPr>
              <w:pStyle w:val="Tabelltextsiffror"/>
              <w:rPr>
                <w:b/>
                <w:kern w:val="1"/>
              </w:rPr>
            </w:pPr>
            <w:r w:rsidRPr="00BA76AF">
              <w:rPr>
                <w:b/>
                <w:kern w:val="1"/>
              </w:rPr>
              <w:t>22</w:t>
            </w:r>
          </w:p>
        </w:tc>
        <w:tc>
          <w:tcPr>
            <w:tcW w:w="550" w:type="dxa"/>
          </w:tcPr>
          <w:p w:rsidR="00AD1390" w:rsidRPr="00BA76AF" w:rsidRDefault="00AD1390">
            <w:pPr>
              <w:pStyle w:val="Tabelltextsiffror"/>
              <w:rPr>
                <w:kern w:val="1"/>
              </w:rPr>
            </w:pPr>
            <w:r w:rsidRPr="00BA76AF">
              <w:rPr>
                <w:kern w:val="1"/>
              </w:rPr>
              <w:t>3</w:t>
            </w:r>
          </w:p>
        </w:tc>
        <w:tc>
          <w:tcPr>
            <w:tcW w:w="550" w:type="dxa"/>
          </w:tcPr>
          <w:p w:rsidR="00AD1390" w:rsidRPr="00BA76AF" w:rsidRDefault="00AD1390">
            <w:pPr>
              <w:pStyle w:val="Tabelltextsiffror"/>
              <w:rPr>
                <w:kern w:val="1"/>
              </w:rPr>
            </w:pPr>
            <w:r w:rsidRPr="00BA76AF">
              <w:rPr>
                <w:kern w:val="1"/>
              </w:rPr>
              <w:t>7</w:t>
            </w:r>
          </w:p>
        </w:tc>
        <w:tc>
          <w:tcPr>
            <w:tcW w:w="550" w:type="dxa"/>
            <w:gridSpan w:val="2"/>
          </w:tcPr>
          <w:p w:rsidR="00AD1390" w:rsidRPr="00BA76AF" w:rsidRDefault="00AD1390">
            <w:pPr>
              <w:pStyle w:val="Tabelltextsiffror"/>
              <w:rPr>
                <w:b/>
                <w:kern w:val="1"/>
              </w:rPr>
            </w:pPr>
            <w:r w:rsidRPr="00BA76AF">
              <w:rPr>
                <w:b/>
                <w:kern w:val="1"/>
              </w:rPr>
              <w:t>5</w:t>
            </w:r>
          </w:p>
        </w:tc>
        <w:tc>
          <w:tcPr>
            <w:tcW w:w="550" w:type="dxa"/>
          </w:tcPr>
          <w:p w:rsidR="00AD1390" w:rsidRPr="00BA76AF" w:rsidRDefault="00AD1390">
            <w:pPr>
              <w:pStyle w:val="Tabelltextsiffror"/>
              <w:rPr>
                <w:kern w:val="1"/>
              </w:rPr>
            </w:pPr>
            <w:r w:rsidRPr="00BA76AF">
              <w:rPr>
                <w:kern w:val="1"/>
              </w:rPr>
              <w:t>20</w:t>
            </w:r>
          </w:p>
        </w:tc>
        <w:tc>
          <w:tcPr>
            <w:tcW w:w="550" w:type="dxa"/>
          </w:tcPr>
          <w:p w:rsidR="00AD1390" w:rsidRPr="00BA76AF" w:rsidRDefault="00AD1390">
            <w:pPr>
              <w:pStyle w:val="Tabelltextsiffror"/>
              <w:rPr>
                <w:kern w:val="1"/>
              </w:rPr>
            </w:pPr>
            <w:r w:rsidRPr="00BA76AF">
              <w:rPr>
                <w:kern w:val="1"/>
              </w:rPr>
              <w:t>12</w:t>
            </w:r>
          </w:p>
        </w:tc>
        <w:tc>
          <w:tcPr>
            <w:tcW w:w="550" w:type="dxa"/>
            <w:gridSpan w:val="2"/>
          </w:tcPr>
          <w:p w:rsidR="00AD1390" w:rsidRPr="00BA76AF" w:rsidRDefault="00AD1390">
            <w:pPr>
              <w:pStyle w:val="Tabelltextsiffror"/>
              <w:rPr>
                <w:b/>
                <w:kern w:val="1"/>
              </w:rPr>
            </w:pPr>
            <w:r w:rsidRPr="00BA76AF">
              <w:rPr>
                <w:b/>
                <w:kern w:val="1"/>
              </w:rPr>
              <w:t>16</w:t>
            </w:r>
          </w:p>
        </w:tc>
      </w:tr>
      <w:tr w:rsidR="00000000" w:rsidRPr="00BA76AF">
        <w:tblPrEx>
          <w:tblCellMar>
            <w:top w:w="0" w:type="dxa"/>
            <w:bottom w:w="0" w:type="dxa"/>
          </w:tblCellMar>
        </w:tblPrEx>
        <w:trPr>
          <w:trHeight w:val="419"/>
        </w:trPr>
        <w:tc>
          <w:tcPr>
            <w:tcW w:w="1388" w:type="dxa"/>
          </w:tcPr>
          <w:p w:rsidR="00AD1390" w:rsidRPr="00BA76AF" w:rsidRDefault="00AD1390">
            <w:pPr>
              <w:pStyle w:val="Tabelltext"/>
              <w:rPr>
                <w:kern w:val="1"/>
              </w:rPr>
            </w:pPr>
            <w:r w:rsidRPr="00BA76AF">
              <w:rPr>
                <w:kern w:val="1"/>
              </w:rPr>
              <w:t>Afrika</w:t>
            </w:r>
          </w:p>
        </w:tc>
        <w:tc>
          <w:tcPr>
            <w:tcW w:w="550" w:type="dxa"/>
          </w:tcPr>
          <w:p w:rsidR="00AD1390" w:rsidRPr="00BA76AF" w:rsidRDefault="00AD1390">
            <w:pPr>
              <w:pStyle w:val="Tabelltextsiffror"/>
              <w:rPr>
                <w:kern w:val="1"/>
              </w:rPr>
            </w:pPr>
            <w:r w:rsidRPr="00BA76AF">
              <w:rPr>
                <w:kern w:val="1"/>
              </w:rPr>
              <w:t>0</w:t>
            </w:r>
          </w:p>
        </w:tc>
        <w:tc>
          <w:tcPr>
            <w:tcW w:w="550" w:type="dxa"/>
          </w:tcPr>
          <w:p w:rsidR="00AD1390" w:rsidRPr="00BA76AF" w:rsidRDefault="00AD1390">
            <w:pPr>
              <w:pStyle w:val="Tabelltextsiffror"/>
              <w:rPr>
                <w:kern w:val="1"/>
              </w:rPr>
            </w:pPr>
            <w:r w:rsidRPr="00BA76AF">
              <w:rPr>
                <w:kern w:val="1"/>
              </w:rPr>
              <w:t>0</w:t>
            </w:r>
          </w:p>
        </w:tc>
        <w:tc>
          <w:tcPr>
            <w:tcW w:w="550" w:type="dxa"/>
            <w:gridSpan w:val="2"/>
          </w:tcPr>
          <w:p w:rsidR="00AD1390" w:rsidRPr="00BA76AF" w:rsidRDefault="00AD1390">
            <w:pPr>
              <w:pStyle w:val="Tabelltextsiffror"/>
              <w:rPr>
                <w:b/>
                <w:kern w:val="1"/>
              </w:rPr>
            </w:pPr>
            <w:r w:rsidRPr="00BA76AF">
              <w:rPr>
                <w:b/>
                <w:kern w:val="1"/>
              </w:rPr>
              <w:t>0</w:t>
            </w:r>
          </w:p>
        </w:tc>
        <w:tc>
          <w:tcPr>
            <w:tcW w:w="550" w:type="dxa"/>
          </w:tcPr>
          <w:p w:rsidR="00AD1390" w:rsidRPr="00BA76AF" w:rsidRDefault="00AD1390">
            <w:pPr>
              <w:pStyle w:val="Tabelltextsiffror"/>
              <w:rPr>
                <w:kern w:val="1"/>
              </w:rPr>
            </w:pPr>
            <w:r w:rsidRPr="00BA76AF">
              <w:rPr>
                <w:kern w:val="1"/>
              </w:rPr>
              <w:t>0</w:t>
            </w:r>
          </w:p>
        </w:tc>
        <w:tc>
          <w:tcPr>
            <w:tcW w:w="550" w:type="dxa"/>
          </w:tcPr>
          <w:p w:rsidR="00AD1390" w:rsidRPr="00BA76AF" w:rsidRDefault="00AD1390">
            <w:pPr>
              <w:pStyle w:val="Tabelltextsiffror"/>
              <w:rPr>
                <w:kern w:val="1"/>
              </w:rPr>
            </w:pPr>
            <w:r w:rsidRPr="00BA76AF">
              <w:rPr>
                <w:kern w:val="1"/>
              </w:rPr>
              <w:t>0</w:t>
            </w:r>
          </w:p>
        </w:tc>
        <w:tc>
          <w:tcPr>
            <w:tcW w:w="550" w:type="dxa"/>
            <w:gridSpan w:val="2"/>
          </w:tcPr>
          <w:p w:rsidR="00AD1390" w:rsidRPr="00BA76AF" w:rsidRDefault="00AD1390">
            <w:pPr>
              <w:pStyle w:val="Tabelltextsiffror"/>
              <w:rPr>
                <w:b/>
                <w:kern w:val="1"/>
              </w:rPr>
            </w:pPr>
            <w:r w:rsidRPr="00BA76AF">
              <w:rPr>
                <w:b/>
                <w:kern w:val="1"/>
              </w:rPr>
              <w:t>0</w:t>
            </w:r>
          </w:p>
        </w:tc>
        <w:tc>
          <w:tcPr>
            <w:tcW w:w="550" w:type="dxa"/>
          </w:tcPr>
          <w:p w:rsidR="00AD1390" w:rsidRPr="00BA76AF" w:rsidRDefault="00AD1390">
            <w:pPr>
              <w:pStyle w:val="Tabelltextsiffror"/>
              <w:rPr>
                <w:kern w:val="1"/>
              </w:rPr>
            </w:pPr>
            <w:r w:rsidRPr="00BA76AF">
              <w:rPr>
                <w:kern w:val="1"/>
              </w:rPr>
              <w:t>1</w:t>
            </w:r>
          </w:p>
        </w:tc>
        <w:tc>
          <w:tcPr>
            <w:tcW w:w="550" w:type="dxa"/>
          </w:tcPr>
          <w:p w:rsidR="00AD1390" w:rsidRPr="00BA76AF" w:rsidRDefault="00AD1390">
            <w:pPr>
              <w:pStyle w:val="Tabelltextsiffror"/>
              <w:rPr>
                <w:kern w:val="1"/>
              </w:rPr>
            </w:pPr>
            <w:r w:rsidRPr="00BA76AF">
              <w:rPr>
                <w:kern w:val="1"/>
              </w:rPr>
              <w:t>0</w:t>
            </w:r>
          </w:p>
        </w:tc>
        <w:tc>
          <w:tcPr>
            <w:tcW w:w="550" w:type="dxa"/>
            <w:gridSpan w:val="2"/>
          </w:tcPr>
          <w:p w:rsidR="00AD1390" w:rsidRPr="00BA76AF" w:rsidRDefault="00AD1390">
            <w:pPr>
              <w:pStyle w:val="Tabelltextsiffror"/>
              <w:rPr>
                <w:b/>
                <w:kern w:val="1"/>
              </w:rPr>
            </w:pPr>
            <w:r w:rsidRPr="00BA76AF">
              <w:rPr>
                <w:b/>
                <w:kern w:val="1"/>
              </w:rPr>
              <w:t>0</w:t>
            </w:r>
          </w:p>
        </w:tc>
      </w:tr>
      <w:tr w:rsidR="00000000" w:rsidRPr="00BA76AF">
        <w:tblPrEx>
          <w:tblCellMar>
            <w:top w:w="0" w:type="dxa"/>
            <w:bottom w:w="0" w:type="dxa"/>
          </w:tblCellMar>
        </w:tblPrEx>
        <w:tc>
          <w:tcPr>
            <w:tcW w:w="1388" w:type="dxa"/>
            <w:tcBorders>
              <w:top w:val="single" w:sz="4" w:space="0" w:color="auto"/>
              <w:bottom w:val="single" w:sz="4" w:space="0" w:color="auto"/>
            </w:tcBorders>
          </w:tcPr>
          <w:p w:rsidR="00AD1390" w:rsidRPr="00BA76AF" w:rsidRDefault="00AD1390">
            <w:pPr>
              <w:pStyle w:val="Tabelltext"/>
              <w:rPr>
                <w:kern w:val="1"/>
              </w:rPr>
            </w:pPr>
            <w:r w:rsidRPr="00BA76AF">
              <w:rPr>
                <w:kern w:val="1"/>
              </w:rPr>
              <w:t>TOTALT</w:t>
            </w:r>
          </w:p>
        </w:tc>
        <w:tc>
          <w:tcPr>
            <w:tcW w:w="550"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100</w:t>
            </w:r>
          </w:p>
        </w:tc>
        <w:tc>
          <w:tcPr>
            <w:tcW w:w="550"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100</w:t>
            </w:r>
          </w:p>
        </w:tc>
        <w:tc>
          <w:tcPr>
            <w:tcW w:w="550" w:type="dxa"/>
            <w:gridSpan w:val="2"/>
            <w:tcBorders>
              <w:top w:val="single" w:sz="4" w:space="0" w:color="auto"/>
              <w:bottom w:val="single" w:sz="4" w:space="0" w:color="auto"/>
            </w:tcBorders>
          </w:tcPr>
          <w:p w:rsidR="00AD1390" w:rsidRPr="00BA76AF" w:rsidRDefault="00AD1390">
            <w:pPr>
              <w:pStyle w:val="Tabelltextsiffror"/>
              <w:rPr>
                <w:b/>
                <w:kern w:val="1"/>
              </w:rPr>
            </w:pPr>
            <w:r w:rsidRPr="00BA76AF">
              <w:rPr>
                <w:b/>
                <w:kern w:val="1"/>
              </w:rPr>
              <w:t>100</w:t>
            </w:r>
          </w:p>
        </w:tc>
        <w:tc>
          <w:tcPr>
            <w:tcW w:w="550"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100</w:t>
            </w:r>
          </w:p>
        </w:tc>
        <w:tc>
          <w:tcPr>
            <w:tcW w:w="550"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100</w:t>
            </w:r>
          </w:p>
        </w:tc>
        <w:tc>
          <w:tcPr>
            <w:tcW w:w="550" w:type="dxa"/>
            <w:gridSpan w:val="2"/>
            <w:tcBorders>
              <w:top w:val="single" w:sz="4" w:space="0" w:color="auto"/>
              <w:bottom w:val="single" w:sz="4" w:space="0" w:color="auto"/>
            </w:tcBorders>
          </w:tcPr>
          <w:p w:rsidR="00AD1390" w:rsidRPr="00BA76AF" w:rsidRDefault="00AD1390">
            <w:pPr>
              <w:pStyle w:val="Tabelltextsiffror"/>
              <w:rPr>
                <w:b/>
                <w:kern w:val="1"/>
              </w:rPr>
            </w:pPr>
            <w:r w:rsidRPr="00BA76AF">
              <w:rPr>
                <w:b/>
                <w:kern w:val="1"/>
              </w:rPr>
              <w:t>100</w:t>
            </w:r>
          </w:p>
        </w:tc>
        <w:tc>
          <w:tcPr>
            <w:tcW w:w="550"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100</w:t>
            </w:r>
          </w:p>
        </w:tc>
        <w:tc>
          <w:tcPr>
            <w:tcW w:w="550" w:type="dxa"/>
            <w:tcBorders>
              <w:top w:val="single" w:sz="4" w:space="0" w:color="auto"/>
              <w:bottom w:val="single" w:sz="4" w:space="0" w:color="auto"/>
            </w:tcBorders>
          </w:tcPr>
          <w:p w:rsidR="00AD1390" w:rsidRPr="00BA76AF" w:rsidRDefault="00AD1390">
            <w:pPr>
              <w:pStyle w:val="Tabelltextsiffror"/>
              <w:rPr>
                <w:kern w:val="1"/>
              </w:rPr>
            </w:pPr>
            <w:r w:rsidRPr="00BA76AF">
              <w:rPr>
                <w:kern w:val="1"/>
              </w:rPr>
              <w:t>100</w:t>
            </w:r>
          </w:p>
        </w:tc>
        <w:tc>
          <w:tcPr>
            <w:tcW w:w="550" w:type="dxa"/>
            <w:gridSpan w:val="2"/>
            <w:tcBorders>
              <w:top w:val="single" w:sz="4" w:space="0" w:color="auto"/>
              <w:bottom w:val="single" w:sz="4" w:space="0" w:color="auto"/>
            </w:tcBorders>
          </w:tcPr>
          <w:p w:rsidR="00AD1390" w:rsidRPr="00BA76AF" w:rsidRDefault="00AD1390">
            <w:pPr>
              <w:pStyle w:val="Tabelltextsiffror"/>
              <w:rPr>
                <w:b/>
                <w:kern w:val="1"/>
              </w:rPr>
            </w:pPr>
            <w:r w:rsidRPr="00BA76AF">
              <w:rPr>
                <w:b/>
                <w:kern w:val="1"/>
              </w:rPr>
              <w:t>100</w:t>
            </w:r>
          </w:p>
        </w:tc>
      </w:tr>
    </w:tbl>
    <w:p w:rsidR="00AD1390" w:rsidRPr="00BA76AF" w:rsidRDefault="00AD1390"/>
    <w:p w:rsidR="00AD1390" w:rsidRPr="00BA76AF" w:rsidRDefault="00AD1390">
      <w:pPr>
        <w:rPr>
          <w:kern w:val="1"/>
        </w:rPr>
      </w:pPr>
      <w:r w:rsidRPr="00BA76AF">
        <w:rPr>
          <w:kern w:val="1"/>
        </w:rPr>
        <w:t xml:space="preserve">Största enskilda mottagarland av svensk krigsmateriel år 2000 var Norge </w:t>
      </w:r>
      <w:r w:rsidRPr="00BA76AF">
        <w:rPr>
          <w:kern w:val="1"/>
        </w:rPr>
        <w:br/>
        <w:t>(1 152 mnkr), följt av Singapore (455 mnkr) och USA (398 mnkr), samt dä</w:t>
      </w:r>
      <w:r w:rsidRPr="00BA76AF">
        <w:rPr>
          <w:kern w:val="1"/>
        </w:rPr>
        <w:t>r</w:t>
      </w:r>
      <w:r w:rsidRPr="00BA76AF">
        <w:rPr>
          <w:kern w:val="1"/>
        </w:rPr>
        <w:t>efter Venezuela (329 mnkr) och Tyskland (280 mnkr). Dessa fem destinati</w:t>
      </w:r>
      <w:r w:rsidRPr="00BA76AF">
        <w:rPr>
          <w:kern w:val="1"/>
        </w:rPr>
        <w:t>o</w:t>
      </w:r>
      <w:r w:rsidRPr="00BA76AF">
        <w:rPr>
          <w:kern w:val="1"/>
        </w:rPr>
        <w:t>ner svarar för sammanlagt ca 60 % av den totala svenska krigsmaterielexpo</w:t>
      </w:r>
      <w:r w:rsidRPr="00BA76AF">
        <w:rPr>
          <w:kern w:val="1"/>
        </w:rPr>
        <w:t>r</w:t>
      </w:r>
      <w:r w:rsidRPr="00BA76AF">
        <w:rPr>
          <w:kern w:val="1"/>
        </w:rPr>
        <w:t xml:space="preserve">ten. </w:t>
      </w:r>
    </w:p>
    <w:p w:rsidR="00AD1390" w:rsidRPr="00BA76AF" w:rsidRDefault="00AD1390">
      <w:pPr>
        <w:pStyle w:val="Normaltindrag"/>
        <w:rPr>
          <w:kern w:val="1"/>
        </w:rPr>
      </w:pPr>
      <w:r w:rsidRPr="00BA76AF">
        <w:rPr>
          <w:kern w:val="1"/>
        </w:rPr>
        <w:t>Under år 2000 har fem tillstånd lämnats för upplåtelse av tillverkningsrätt utom riket. Tillstånden har avsett Malaysia, Schweiz, Sydafrika och USA (två tillstånd).</w:t>
      </w:r>
    </w:p>
    <w:p w:rsidR="00AD1390" w:rsidRPr="00BA76AF" w:rsidRDefault="00AD1390">
      <w:pPr>
        <w:pStyle w:val="Normaltindrag"/>
        <w:rPr>
          <w:kern w:val="1"/>
        </w:rPr>
      </w:pPr>
      <w:r w:rsidRPr="00BA76AF">
        <w:rPr>
          <w:kern w:val="1"/>
        </w:rPr>
        <w:t xml:space="preserve">  Tolv samarbetsavtal har under år 2000 granskats och godkänts avseende gemensam utveckling eller produktion med industrier i följande länder: Chile, Finland, Holland, Malaysia (två tillstånd), Schweiz, Storbritannien (två til</w:t>
      </w:r>
      <w:r w:rsidRPr="00BA76AF">
        <w:rPr>
          <w:kern w:val="1"/>
        </w:rPr>
        <w:t>l</w:t>
      </w:r>
      <w:r w:rsidRPr="00BA76AF">
        <w:rPr>
          <w:kern w:val="1"/>
        </w:rPr>
        <w:t>stånd), Sydafrika, Tyskland och USA.</w:t>
      </w:r>
    </w:p>
    <w:p w:rsidR="00AD1390" w:rsidRPr="00BA76AF" w:rsidRDefault="00AD1390">
      <w:pPr>
        <w:pStyle w:val="Normaltindrag"/>
        <w:rPr>
          <w:kern w:val="1"/>
        </w:rPr>
      </w:pPr>
      <w:r w:rsidRPr="00BA76AF">
        <w:rPr>
          <w:kern w:val="1"/>
        </w:rPr>
        <w:t xml:space="preserve">För år 2000 gäller att 10 företag redovisat sammanlagt 159 gällande licens- och samarbetsavtal i 26 länder. Av dessa hade 10 företag 82 licensavtal i 21 länder och 6 företag 77 samarbetsavtal i 20 länder. </w:t>
      </w:r>
    </w:p>
    <w:p w:rsidR="00AD1390" w:rsidRPr="00BA76AF" w:rsidRDefault="00AD1390">
      <w:pPr>
        <w:pStyle w:val="Rubrik2"/>
        <w:rPr>
          <w:kern w:val="1"/>
        </w:rPr>
      </w:pPr>
      <w:bookmarkStart w:id="43" w:name="_Toc517757096"/>
      <w:r w:rsidRPr="00BA76AF">
        <w:rPr>
          <w:kern w:val="1"/>
        </w:rPr>
        <w:t>Sammanfattning av motionerna</w:t>
      </w:r>
      <w:bookmarkEnd w:id="43"/>
    </w:p>
    <w:p w:rsidR="00AD1390" w:rsidRPr="00BA76AF" w:rsidRDefault="00AD1390">
      <w:pPr>
        <w:pStyle w:val="Rubrik3"/>
        <w:spacing w:before="235"/>
        <w:rPr>
          <w:noProof w:val="0"/>
        </w:rPr>
      </w:pPr>
      <w:bookmarkStart w:id="44" w:name="_Toc517757097"/>
      <w:r w:rsidRPr="00BA76AF">
        <w:rPr>
          <w:noProof w:val="0"/>
        </w:rPr>
        <w:t>Motioner med anledning av skrivelse 2000/01:114</w:t>
      </w:r>
      <w:bookmarkEnd w:id="44"/>
    </w:p>
    <w:p w:rsidR="00AD1390" w:rsidRPr="00BA76AF" w:rsidRDefault="00AD1390">
      <w:pPr>
        <w:spacing w:before="187"/>
      </w:pPr>
      <w:r w:rsidRPr="00BA76AF">
        <w:t xml:space="preserve">I kommittémotionerna </w:t>
      </w:r>
      <w:r w:rsidRPr="00BA76AF">
        <w:rPr>
          <w:i/>
        </w:rPr>
        <w:t>2000/01:U15 (m) (yrkandena 1</w:t>
      </w:r>
      <w:r w:rsidRPr="00BA76AF">
        <w:t xml:space="preserve"> och </w:t>
      </w:r>
      <w:r w:rsidRPr="00BA76AF">
        <w:rPr>
          <w:i/>
        </w:rPr>
        <w:t xml:space="preserve">2) </w:t>
      </w:r>
      <w:r w:rsidRPr="00BA76AF">
        <w:t>yrkas att reg</w:t>
      </w:r>
      <w:r w:rsidRPr="00BA76AF">
        <w:t>e</w:t>
      </w:r>
      <w:r w:rsidRPr="00BA76AF">
        <w:t>ringen skall initiera en process som syftar till att gemensamma och bindande exportregler för krigsmateriel i EU arbetas fram. För övervakningen av re</w:t>
      </w:r>
      <w:r w:rsidRPr="00BA76AF">
        <w:t>g</w:t>
      </w:r>
      <w:r w:rsidRPr="00BA76AF">
        <w:t>lerna bör en gemensam myndighet skapas inom EU för kontroll och tillsyn av export av krigsmateriel och strat</w:t>
      </w:r>
      <w:r w:rsidRPr="00BA76AF">
        <w:t>e</w:t>
      </w:r>
      <w:r w:rsidRPr="00BA76AF">
        <w:t xml:space="preserve">giska produkter. </w:t>
      </w:r>
    </w:p>
    <w:p w:rsidR="00AD1390" w:rsidRPr="00BA76AF" w:rsidRDefault="00AD1390">
      <w:r w:rsidRPr="00BA76AF">
        <w:t xml:space="preserve">I partimotion </w:t>
      </w:r>
      <w:r w:rsidRPr="00BA76AF">
        <w:rPr>
          <w:i/>
        </w:rPr>
        <w:t>2000/01:U16</w:t>
      </w:r>
      <w:r w:rsidRPr="00BA76AF">
        <w:t xml:space="preserve"> </w:t>
      </w:r>
      <w:r w:rsidRPr="00BA76AF">
        <w:rPr>
          <w:i/>
        </w:rPr>
        <w:t>(v)</w:t>
      </w:r>
      <w:r w:rsidRPr="00BA76AF">
        <w:t xml:space="preserve"> krävs att den nuvarande lagstiftningen när det gäller krigsmaterielexport bör tolkas mer restriktivt och att samma riktlinjer bör gälla för Övrig krigsmateriel som för Krigsmateriel för strid </w:t>
      </w:r>
      <w:r w:rsidRPr="00BA76AF">
        <w:rPr>
          <w:i/>
        </w:rPr>
        <w:t xml:space="preserve">(yrkandena 1 </w:t>
      </w:r>
      <w:r w:rsidRPr="00BA76AF">
        <w:t>och</w:t>
      </w:r>
      <w:r w:rsidRPr="00BA76AF">
        <w:rPr>
          <w:i/>
        </w:rPr>
        <w:t xml:space="preserve"> 3)</w:t>
      </w:r>
      <w:r w:rsidRPr="00BA76AF">
        <w:t>. Vänsterpartiet föreslår också att en mer restriktiv lagstiftning än den nuvarande införs. Syftet med den nya lagstiftningen är att den svenska krig</w:t>
      </w:r>
      <w:r w:rsidRPr="00BA76AF">
        <w:t>s</w:t>
      </w:r>
      <w:r w:rsidRPr="00BA76AF">
        <w:t xml:space="preserve">materielexporten på sikt skall upphöra helt </w:t>
      </w:r>
      <w:r w:rsidRPr="00BA76AF">
        <w:rPr>
          <w:i/>
        </w:rPr>
        <w:t>(yrkande 2)</w:t>
      </w:r>
      <w:r w:rsidRPr="00BA76AF">
        <w:t>.Vidare framhålls att ett omställningsprogram för industrin skall utformas för a</w:t>
      </w:r>
      <w:r w:rsidRPr="00BA76AF">
        <w:t>tt ersätta krigsmat</w:t>
      </w:r>
      <w:r w:rsidRPr="00BA76AF">
        <w:t>e</w:t>
      </w:r>
      <w:r w:rsidRPr="00BA76AF">
        <w:t xml:space="preserve">rielproduktionen med annan produktion </w:t>
      </w:r>
      <w:r w:rsidRPr="00BA76AF">
        <w:rPr>
          <w:i/>
        </w:rPr>
        <w:t>(yrkande 6)</w:t>
      </w:r>
      <w:r w:rsidRPr="00BA76AF">
        <w:t xml:space="preserve">. Vänsterpartiet vill också att Sverige, i likhet med Nederländerna och Storbritannien, offentligt skall redovisa vilka licenser som avslagits </w:t>
      </w:r>
      <w:r w:rsidRPr="00BA76AF">
        <w:rPr>
          <w:i/>
        </w:rPr>
        <w:t>(yrkande 4)</w:t>
      </w:r>
      <w:r w:rsidRPr="00BA76AF">
        <w:t xml:space="preserve"> och att ett demokratikriter</w:t>
      </w:r>
      <w:r w:rsidRPr="00BA76AF">
        <w:t>i</w:t>
      </w:r>
      <w:r w:rsidRPr="00BA76AF">
        <w:t xml:space="preserve">um införs vad gäller restriktioner för den svenska krigsmaterielexporten </w:t>
      </w:r>
      <w:r w:rsidRPr="00BA76AF">
        <w:rPr>
          <w:i/>
        </w:rPr>
        <w:t>(y</w:t>
      </w:r>
      <w:r w:rsidRPr="00BA76AF">
        <w:rPr>
          <w:i/>
        </w:rPr>
        <w:t>r</w:t>
      </w:r>
      <w:r w:rsidRPr="00BA76AF">
        <w:rPr>
          <w:i/>
        </w:rPr>
        <w:t>kande 5)</w:t>
      </w:r>
      <w:r w:rsidRPr="00BA76AF">
        <w:t>.</w:t>
      </w:r>
    </w:p>
    <w:p w:rsidR="00AD1390" w:rsidRPr="00BA76AF" w:rsidRDefault="00AD1390">
      <w:pPr>
        <w:pStyle w:val="Normaltindrag"/>
      </w:pPr>
      <w:r w:rsidRPr="00BA76AF">
        <w:t>Vidare krävs att regeringen i EU-sammanhang måste verka för att den up</w:t>
      </w:r>
      <w:r w:rsidRPr="00BA76AF">
        <w:t>p</w:t>
      </w:r>
      <w:r w:rsidRPr="00BA76AF">
        <w:t>förandekod som antagits av EU-länderna blir restriktiv och bindande. Moti</w:t>
      </w:r>
      <w:r w:rsidRPr="00BA76AF">
        <w:t>o</w:t>
      </w:r>
      <w:r w:rsidRPr="00BA76AF">
        <w:t>närerna anser vidare att svenska regler bör gälla vid samarbete mellan sven</w:t>
      </w:r>
      <w:r w:rsidRPr="00BA76AF">
        <w:t>s</w:t>
      </w:r>
      <w:r w:rsidRPr="00BA76AF">
        <w:t xml:space="preserve">ka företag och företag i andra EU-länder när det gäller export av krigsmateriel </w:t>
      </w:r>
      <w:r w:rsidRPr="00BA76AF">
        <w:rPr>
          <w:i/>
        </w:rPr>
        <w:t xml:space="preserve">(yrkandena 7 </w:t>
      </w:r>
      <w:r w:rsidRPr="00BA76AF">
        <w:t>och</w:t>
      </w:r>
      <w:r w:rsidRPr="00BA76AF">
        <w:rPr>
          <w:i/>
        </w:rPr>
        <w:t xml:space="preserve"> 8)</w:t>
      </w:r>
      <w:r w:rsidRPr="00BA76AF">
        <w:t>.</w:t>
      </w:r>
    </w:p>
    <w:p w:rsidR="00AD1390" w:rsidRPr="00BA76AF" w:rsidRDefault="00AD1390">
      <w:pPr>
        <w:pStyle w:val="Normaltindrag"/>
      </w:pPr>
      <w:r w:rsidRPr="00BA76AF">
        <w:t>Motionärerna kräver i</w:t>
      </w:r>
      <w:r w:rsidRPr="00BA76AF">
        <w:rPr>
          <w:i/>
        </w:rPr>
        <w:t xml:space="preserve"> yrkande 9</w:t>
      </w:r>
      <w:r w:rsidRPr="00BA76AF">
        <w:t xml:space="preserve"> att Sverige i det europeiska samarbetet när det gäller krigsmaterielproduktion verkar för en övergång till civil pr</w:t>
      </w:r>
      <w:r w:rsidRPr="00BA76AF">
        <w:t>o</w:t>
      </w:r>
      <w:r w:rsidRPr="00BA76AF">
        <w:t>duktion. Dessutom anser motionärerna att samma bestämmelser bör gälla för följdleveranser som för andra leveranser av krigsmateriel (</w:t>
      </w:r>
      <w:r w:rsidRPr="00BA76AF">
        <w:rPr>
          <w:i/>
        </w:rPr>
        <w:t xml:space="preserve">yrkande 10) </w:t>
      </w:r>
      <w:r w:rsidRPr="00BA76AF">
        <w:t>och att det i riktlinjerna för svensk krigsmaterielexport skall införas en särskild fo</w:t>
      </w:r>
      <w:r w:rsidRPr="00BA76AF">
        <w:t>r</w:t>
      </w:r>
      <w:r w:rsidRPr="00BA76AF">
        <w:t>mulering som anger att det inte finns någon given rätt för köpare av svensk krigsmateriel att erhålla följdleveranser (</w:t>
      </w:r>
      <w:r w:rsidRPr="00BA76AF">
        <w:rPr>
          <w:i/>
        </w:rPr>
        <w:t>yrkande 11)</w:t>
      </w:r>
      <w:r w:rsidRPr="00BA76AF">
        <w:t>. Om föregående yrkande</w:t>
      </w:r>
      <w:r w:rsidRPr="00BA76AF">
        <w:t xml:space="preserve"> avslås vill Vänsterpartiet att Sverige återgår till den ursprungliga definitionen av begreppet följdleveranser, vilken inte medger så vida tolkningsmöjligheter som den nuvarande definitionen av begre</w:t>
      </w:r>
      <w:r w:rsidRPr="00BA76AF">
        <w:t>p</w:t>
      </w:r>
      <w:r w:rsidRPr="00BA76AF">
        <w:t>pet (</w:t>
      </w:r>
      <w:r w:rsidRPr="00BA76AF">
        <w:rPr>
          <w:i/>
        </w:rPr>
        <w:t>yrkande 12)</w:t>
      </w:r>
      <w:r w:rsidRPr="00BA76AF">
        <w:t>.</w:t>
      </w:r>
    </w:p>
    <w:p w:rsidR="00AD1390" w:rsidRPr="00BA76AF" w:rsidRDefault="00AD1390">
      <w:pPr>
        <w:pStyle w:val="Normaltindrag"/>
      </w:pPr>
      <w:r w:rsidRPr="00BA76AF">
        <w:t>Slutligen föreslås ett stopp för krigsmaterielexport till länder i Mellanö</w:t>
      </w:r>
      <w:r w:rsidRPr="00BA76AF">
        <w:t>s</w:t>
      </w:r>
      <w:r w:rsidRPr="00BA76AF">
        <w:t xml:space="preserve">tern </w:t>
      </w:r>
      <w:r w:rsidRPr="00BA76AF">
        <w:rPr>
          <w:i/>
        </w:rPr>
        <w:t>(yrkande 13)</w:t>
      </w:r>
      <w:r w:rsidRPr="00BA76AF">
        <w:t xml:space="preserve">. Exportstoppet skall även gälla följande länder: Brasilien, Indien, Malaysia, Mexiko, Nepal, Pakistan, Saudiarabien, Tunisien, Turkiet och Venezuela </w:t>
      </w:r>
      <w:r w:rsidRPr="00BA76AF">
        <w:rPr>
          <w:i/>
        </w:rPr>
        <w:t>(yrkande 14)</w:t>
      </w:r>
      <w:r w:rsidRPr="00BA76AF">
        <w:t>.</w:t>
      </w:r>
    </w:p>
    <w:p w:rsidR="00AD1390" w:rsidRPr="00BA76AF" w:rsidRDefault="00AD1390">
      <w:pPr>
        <w:pStyle w:val="Rubrik3"/>
        <w:rPr>
          <w:noProof w:val="0"/>
        </w:rPr>
      </w:pPr>
      <w:bookmarkStart w:id="45" w:name="_Toc517757098"/>
      <w:r w:rsidRPr="00BA76AF">
        <w:rPr>
          <w:noProof w:val="0"/>
        </w:rPr>
        <w:t>Motioner från allmänna motionstiden 2000/01</w:t>
      </w:r>
      <w:bookmarkEnd w:id="45"/>
    </w:p>
    <w:p w:rsidR="00AD1390" w:rsidRPr="00BA76AF" w:rsidRDefault="00AD1390">
      <w:r w:rsidRPr="00BA76AF">
        <w:t xml:space="preserve">I motion </w:t>
      </w:r>
      <w:r w:rsidRPr="00BA76AF">
        <w:rPr>
          <w:i/>
        </w:rPr>
        <w:t>2000/01:U401 (v)</w:t>
      </w:r>
      <w:r w:rsidRPr="00BA76AF">
        <w:t xml:space="preserve"> kräver motionärerna att Sverige i FN skall driva frågan om att klusterbomber bör förbjudas i enlighet med Ottawakonventi</w:t>
      </w:r>
      <w:r w:rsidRPr="00BA76AF">
        <w:t>o</w:t>
      </w:r>
      <w:r w:rsidRPr="00BA76AF">
        <w:t xml:space="preserve">nens regler </w:t>
      </w:r>
      <w:r w:rsidRPr="00BA76AF">
        <w:rPr>
          <w:i/>
        </w:rPr>
        <w:t>(yrkande 1)</w:t>
      </w:r>
      <w:r w:rsidRPr="00BA76AF">
        <w:t xml:space="preserve"> och att Sverige i FN även skall driva frågan om att ett förbud mot utarmat uran i ammunition i</w:t>
      </w:r>
      <w:r w:rsidRPr="00BA76AF">
        <w:t>n</w:t>
      </w:r>
      <w:r w:rsidRPr="00BA76AF">
        <w:t xml:space="preserve">förs </w:t>
      </w:r>
      <w:r w:rsidRPr="00BA76AF">
        <w:rPr>
          <w:i/>
        </w:rPr>
        <w:t>(yrkande 2)</w:t>
      </w:r>
      <w:r w:rsidRPr="00BA76AF">
        <w:t>.</w:t>
      </w:r>
    </w:p>
    <w:p w:rsidR="00AD1390" w:rsidRPr="00BA76AF" w:rsidRDefault="00AD1390">
      <w:r w:rsidRPr="00BA76AF">
        <w:t xml:space="preserve">Vänsterpartiet begär i motion </w:t>
      </w:r>
      <w:r w:rsidRPr="00BA76AF">
        <w:rPr>
          <w:i/>
        </w:rPr>
        <w:t>2000/01:U402 (v) yrkande 9</w:t>
      </w:r>
      <w:r w:rsidRPr="00BA76AF">
        <w:t xml:space="preserve"> att en parlament</w:t>
      </w:r>
      <w:r w:rsidRPr="00BA76AF">
        <w:t>a</w:t>
      </w:r>
      <w:r w:rsidRPr="00BA76AF">
        <w:t>riskt sammansatt utredning tillsätts med uppdrag att genomföra en ko</w:t>
      </w:r>
      <w:r w:rsidRPr="00BA76AF">
        <w:t>n</w:t>
      </w:r>
      <w:r w:rsidRPr="00BA76AF">
        <w:t>sekvensanalys av hur ett svenskt medlemskap i WEAG påverkar efterlevn</w:t>
      </w:r>
      <w:r w:rsidRPr="00BA76AF">
        <w:t>a</w:t>
      </w:r>
      <w:r w:rsidRPr="00BA76AF">
        <w:t>den av de svenska riktli</w:t>
      </w:r>
      <w:r w:rsidRPr="00BA76AF">
        <w:t>n</w:t>
      </w:r>
      <w:r w:rsidRPr="00BA76AF">
        <w:t>jerna för krigsmaterielexport.</w:t>
      </w:r>
    </w:p>
    <w:p w:rsidR="00AD1390" w:rsidRPr="00BA76AF" w:rsidRDefault="00AD1390">
      <w:r w:rsidRPr="00BA76AF">
        <w:t xml:space="preserve">I motion </w:t>
      </w:r>
      <w:r w:rsidRPr="00BA76AF">
        <w:rPr>
          <w:i/>
        </w:rPr>
        <w:t>2000/01:U408 (mp)</w:t>
      </w:r>
      <w:r w:rsidRPr="00BA76AF">
        <w:t xml:space="preserve"> föreslås att Sverige inte skall tillåta export av krigsmater</w:t>
      </w:r>
      <w:r w:rsidRPr="00BA76AF">
        <w:t>i</w:t>
      </w:r>
      <w:r w:rsidRPr="00BA76AF">
        <w:t>el till diktaturer.</w:t>
      </w:r>
    </w:p>
    <w:p w:rsidR="00AD1390" w:rsidRPr="00BA76AF" w:rsidRDefault="00AD1390">
      <w:r w:rsidRPr="00BA76AF">
        <w:t>I motion</w:t>
      </w:r>
      <w:r w:rsidRPr="00BA76AF">
        <w:rPr>
          <w:i/>
        </w:rPr>
        <w:t xml:space="preserve"> 20001/01:U411 (m) (yrkandena 1</w:t>
      </w:r>
      <w:r w:rsidRPr="00BA76AF">
        <w:t xml:space="preserve"> och</w:t>
      </w:r>
      <w:r w:rsidRPr="00BA76AF">
        <w:rPr>
          <w:i/>
        </w:rPr>
        <w:t xml:space="preserve"> 2)</w:t>
      </w:r>
      <w:r w:rsidRPr="00BA76AF">
        <w:t xml:space="preserve"> yrkas att regeringen skall initiera en process som syftar till att gemensamma och bindande exportregler för krigsmateriel i EU arbetas fram. För övervakningen av reglerna bör en gemensam myndighet skapas inom EU för kontroll och tillsyn av export av krigsmateriel och strat</w:t>
      </w:r>
      <w:r w:rsidRPr="00BA76AF">
        <w:t>e</w:t>
      </w:r>
      <w:r w:rsidRPr="00BA76AF">
        <w:t xml:space="preserve">giska produkter. </w:t>
      </w:r>
    </w:p>
    <w:p w:rsidR="00AD1390" w:rsidRPr="00BA76AF" w:rsidRDefault="00AD1390">
      <w:r w:rsidRPr="00BA76AF">
        <w:t xml:space="preserve">Ett stopp för svensk krigsmaterielexport till Pakistan och andra grannländer som är inblandade i Afghanistankonflikten föreslås i motion </w:t>
      </w:r>
      <w:r w:rsidRPr="00BA76AF">
        <w:rPr>
          <w:i/>
        </w:rPr>
        <w:t>2000/01:U616 (v) (yrkande 1).</w:t>
      </w:r>
      <w:r w:rsidRPr="00BA76AF">
        <w:t xml:space="preserve"> Motionärerna vill också att Sverige inom EU skall verka för att andra EU-länder upphör med sin krigsmaterielexport till de grannländer som är inblandade i Afgh</w:t>
      </w:r>
      <w:r w:rsidRPr="00BA76AF">
        <w:t>a</w:t>
      </w:r>
      <w:r w:rsidRPr="00BA76AF">
        <w:t xml:space="preserve">nistankonflikten </w:t>
      </w:r>
      <w:r w:rsidRPr="00BA76AF">
        <w:rPr>
          <w:i/>
        </w:rPr>
        <w:t>(yrkande 2)</w:t>
      </w:r>
      <w:r w:rsidRPr="00BA76AF">
        <w:t>.</w:t>
      </w:r>
    </w:p>
    <w:p w:rsidR="00AD1390" w:rsidRPr="00BA76AF" w:rsidRDefault="00AD1390">
      <w:r w:rsidRPr="00BA76AF">
        <w:t xml:space="preserve">I motion </w:t>
      </w:r>
      <w:r w:rsidRPr="00BA76AF">
        <w:rPr>
          <w:i/>
        </w:rPr>
        <w:t>2000/01:U633 (fp) (yrkande 2)</w:t>
      </w:r>
      <w:r w:rsidRPr="00BA76AF">
        <w:t xml:space="preserve"> kräver motionärerna att Sverige skall verka för ett upprätthållande av EU-beslutet som innebär ett förbud mot att  exportera krigsmateriel till Indon</w:t>
      </w:r>
      <w:r w:rsidRPr="00BA76AF">
        <w:t>e</w:t>
      </w:r>
      <w:r w:rsidRPr="00BA76AF">
        <w:t>sien.</w:t>
      </w:r>
    </w:p>
    <w:p w:rsidR="00AD1390" w:rsidRPr="00BA76AF" w:rsidRDefault="00AD1390">
      <w:pPr>
        <w:pStyle w:val="Normaltindrag"/>
      </w:pPr>
    </w:p>
    <w:p w:rsidR="00AD1390" w:rsidRPr="00BA76AF" w:rsidRDefault="00AD1390">
      <w:pPr>
        <w:pStyle w:val="Normaltindrag"/>
        <w:sectPr w:rsidR="00000000" w:rsidRPr="00BA76A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D1390" w:rsidRPr="00BA76AF" w:rsidRDefault="00AD1390">
      <w:pPr>
        <w:pStyle w:val="Rubrik1"/>
        <w:rPr>
          <w:noProof w:val="0"/>
        </w:rPr>
      </w:pPr>
      <w:bookmarkStart w:id="46" w:name="_Toc517757099"/>
      <w:r w:rsidRPr="00BA76AF">
        <w:rPr>
          <w:noProof w:val="0"/>
        </w:rPr>
        <w:t>Utskottets överväganden</w:t>
      </w:r>
      <w:bookmarkEnd w:id="46"/>
    </w:p>
    <w:p w:rsidR="00AD1390" w:rsidRPr="00BA76AF" w:rsidRDefault="00AD1390">
      <w:pPr>
        <w:pStyle w:val="Utskottsfrslagikorthet-Rubrik"/>
        <w:rPr>
          <w:noProof w:val="0"/>
        </w:rPr>
      </w:pPr>
      <w:r w:rsidRPr="00BA76AF">
        <w:rPr>
          <w:noProof w:val="0"/>
        </w:rPr>
        <w:t>Utskottets förslag i korthet</w:t>
      </w:r>
    </w:p>
    <w:p w:rsidR="00AD1390" w:rsidRPr="00BA76AF" w:rsidRDefault="00AD1390">
      <w:pPr>
        <w:pStyle w:val="Utskottsfrslagikorthet-Text"/>
      </w:pPr>
      <w:r w:rsidRPr="00BA76AF">
        <w:t>Utskottet föreslår att regeringens skrivelse läggs till handlingarna. Utskottet besvarar eller avstyrker motioner om bl.a. ändringar av regelverket för krigsmaterielexporten, följdleveranser, EU:s uppf</w:t>
      </w:r>
      <w:r w:rsidRPr="00BA76AF">
        <w:t>ö</w:t>
      </w:r>
      <w:r w:rsidRPr="00BA76AF">
        <w:t>randekod, EU-gemensamma regler för krigsmaterielexport, offen</w:t>
      </w:r>
      <w:r w:rsidRPr="00BA76AF">
        <w:t>t</w:t>
      </w:r>
      <w:r w:rsidRPr="00BA76AF">
        <w:t>lig redovisning av avslagsbeslut, exportförbud till vissa länder, a</w:t>
      </w:r>
      <w:r w:rsidRPr="00BA76AF">
        <w:t>n</w:t>
      </w:r>
      <w:r w:rsidRPr="00BA76AF">
        <w:t>vändningen av utarmat uran samt omställningsprogram för fö</w:t>
      </w:r>
      <w:r w:rsidRPr="00BA76AF">
        <w:t>r</w:t>
      </w:r>
      <w:r w:rsidRPr="00BA76AF">
        <w:t>svarsindus</w:t>
      </w:r>
      <w:r w:rsidRPr="00BA76AF">
        <w:t>t</w:t>
      </w:r>
      <w:r w:rsidRPr="00BA76AF">
        <w:t>rin.</w:t>
      </w:r>
    </w:p>
    <w:p w:rsidR="00AD1390" w:rsidRPr="00BA76AF" w:rsidRDefault="00AD1390">
      <w:pPr>
        <w:pStyle w:val="Rubrik4"/>
        <w:rPr>
          <w:noProof w:val="0"/>
        </w:rPr>
      </w:pPr>
      <w:bookmarkStart w:id="47" w:name="_Toc517757100"/>
      <w:r w:rsidRPr="00BA76AF">
        <w:rPr>
          <w:noProof w:val="0"/>
        </w:rPr>
        <w:t>Aktuella initiativ för att begränsa vapenhandeln</w:t>
      </w:r>
      <w:bookmarkEnd w:id="47"/>
    </w:p>
    <w:p w:rsidR="00AD1390" w:rsidRPr="00BA76AF" w:rsidRDefault="00AD1390">
      <w:r w:rsidRPr="00BA76AF">
        <w:t>I Wien har förhandlingar i FN:s regi om illegal handel och tillverkning av handeldvapen nyligen avslutats. De har resulterat i ett protokoll som FN:s generalförsamling skall ta ställning till i juni 2001. Om det antas blir det ett juridiskt bindande protokoll mot illegal tillverkning av och handel med hand-  eldvapen. Protokollet blir då ett supplement till FN-konventionen mot trans-nationellt organiserad brottsli</w:t>
      </w:r>
      <w:r w:rsidRPr="00BA76AF">
        <w:t>g</w:t>
      </w:r>
      <w:r w:rsidRPr="00BA76AF">
        <w:t xml:space="preserve">het. </w:t>
      </w:r>
    </w:p>
    <w:p w:rsidR="00AD1390" w:rsidRPr="00BA76AF" w:rsidRDefault="00AD1390">
      <w:pPr>
        <w:pStyle w:val="Normaltindrag"/>
      </w:pPr>
      <w:r w:rsidRPr="00BA76AF">
        <w:t>En FN-konferens om vapenkontroll äger rum den 9–20 juli 2001 i New York. Konferensen som benämns United Nations Conference on the Illicit Trade in Small Arms and Light Weapons in All its Aspects syftar till att u</w:t>
      </w:r>
      <w:r w:rsidRPr="00BA76AF">
        <w:t>t</w:t>
      </w:r>
      <w:r w:rsidRPr="00BA76AF">
        <w:t>veckla och stärka gemensamma åtgärder för att förhindra och bekämpa illegal handel med lätta vapen.</w:t>
      </w:r>
    </w:p>
    <w:p w:rsidR="00AD1390" w:rsidRPr="00BA76AF" w:rsidRDefault="00AD1390">
      <w:pPr>
        <w:pStyle w:val="Normaltindrag"/>
      </w:pPr>
      <w:r w:rsidRPr="00BA76AF">
        <w:rPr>
          <w:snapToGrid w:val="0"/>
          <w:lang w:eastAsia="sv-SE"/>
        </w:rPr>
        <w:t>Under de senaste åren har EU utarbetat ett antal instrument för att hantera problemet med lätta vapen. Bland dessa återfinns EU:s program för att b</w:t>
      </w:r>
      <w:r w:rsidRPr="00BA76AF">
        <w:rPr>
          <w:snapToGrid w:val="0"/>
          <w:lang w:eastAsia="sv-SE"/>
        </w:rPr>
        <w:t>e</w:t>
      </w:r>
      <w:r w:rsidRPr="00BA76AF">
        <w:rPr>
          <w:snapToGrid w:val="0"/>
          <w:lang w:eastAsia="sv-SE"/>
        </w:rPr>
        <w:t>kämpa och förhindra illegal handel med konventionella vapen, särskilt lätta vapen,  EU:s uppförandekod gällande export av konventionella vapen samt  EU:s gemensamma åtgärd avseende lätta vapen. Det är i synnerhet med stöd i den sistnämnda som EU formulerat sina positioner inför FN-konferensen.</w:t>
      </w:r>
    </w:p>
    <w:p w:rsidR="00AD1390" w:rsidRPr="00BA76AF" w:rsidRDefault="00AD1390">
      <w:pPr>
        <w:pStyle w:val="Normaltindrag"/>
      </w:pPr>
      <w:r w:rsidRPr="00BA76AF">
        <w:t>Den 30 november–1 december 2000 genomfördes OAU:s ministerkonf</w:t>
      </w:r>
      <w:r w:rsidRPr="00BA76AF">
        <w:t>e</w:t>
      </w:r>
      <w:r w:rsidRPr="00BA76AF">
        <w:t>rens om lätta vapen i Bamako, Mali. Syftet med mötet var att enas om en gemensam afrikansk position inför FN-konferensen i New York. Mötet r</w:t>
      </w:r>
      <w:r w:rsidRPr="00BA76AF">
        <w:t>e</w:t>
      </w:r>
      <w:r w:rsidRPr="00BA76AF">
        <w:t>sulterade i den s.k Bamakodeklarationen som innehåller ett antal överen</w:t>
      </w:r>
      <w:r w:rsidRPr="00BA76AF">
        <w:t>s</w:t>
      </w:r>
      <w:r w:rsidRPr="00BA76AF">
        <w:t>komna åtgärder kring hur den illegala handeln med lätta vapen skall bekä</w:t>
      </w:r>
      <w:r w:rsidRPr="00BA76AF">
        <w:t>m</w:t>
      </w:r>
      <w:r w:rsidRPr="00BA76AF">
        <w:t>pas. Det handlar exempelvis om informationsutbyte, insamlingskampanjer, gränskontroller, förstärkt lagstiftning, förebyggande åtgärder m.m.</w:t>
      </w:r>
    </w:p>
    <w:p w:rsidR="00AD1390" w:rsidRPr="00BA76AF" w:rsidRDefault="00AD1390">
      <w:pPr>
        <w:pStyle w:val="Normaltindrag"/>
      </w:pPr>
      <w:r w:rsidRPr="00BA76AF">
        <w:t>Den 23–27 april 2001 ägde en konferens om lätta vapen rum i Nicaraguas huvudstad Mana</w:t>
      </w:r>
      <w:r w:rsidRPr="00BA76AF">
        <w:t>gua. Konferensen samlade parlamentariker och militärer från de mellanamerikanska länderna, och syftet var att bilda ett nätverk av parl</w:t>
      </w:r>
      <w:r w:rsidRPr="00BA76AF">
        <w:t>a</w:t>
      </w:r>
      <w:r w:rsidRPr="00BA76AF">
        <w:t>mentariker som i sina respektive hemländer skall verka för att lagar införs som begränsar innehav av lätta vapen. Avsikten är att dessa lagar skall bli gemensamma för samtliga länder i regionen. På mötet diskuterades även konkreta insatser i regionen och utvecklandet av regionala initiativ. Mötet enades också kring ett antal gemensamma ståndpunkter inför den stora FN-konfer</w:t>
      </w:r>
      <w:r w:rsidRPr="00BA76AF">
        <w:t>ensen i New York.</w:t>
      </w:r>
    </w:p>
    <w:p w:rsidR="00AD1390" w:rsidRPr="00BA76AF" w:rsidRDefault="00AD1390">
      <w:pPr>
        <w:pStyle w:val="Rubrik4"/>
        <w:rPr>
          <w:noProof w:val="0"/>
        </w:rPr>
      </w:pPr>
      <w:bookmarkStart w:id="48" w:name="_Toc517757101"/>
      <w:r w:rsidRPr="00BA76AF">
        <w:rPr>
          <w:noProof w:val="0"/>
        </w:rPr>
        <w:t>Regelverket och dess tillämpning</w:t>
      </w:r>
      <w:bookmarkEnd w:id="48"/>
    </w:p>
    <w:p w:rsidR="00AD1390" w:rsidRPr="00BA76AF" w:rsidRDefault="00AD1390">
      <w:r w:rsidRPr="00BA76AF">
        <w:t xml:space="preserve">I motion </w:t>
      </w:r>
      <w:r w:rsidRPr="00BA76AF">
        <w:rPr>
          <w:i/>
        </w:rPr>
        <w:t>2000/01:U16 (v) yrkande 1</w:t>
      </w:r>
      <w:r w:rsidRPr="00BA76AF">
        <w:t xml:space="preserve"> kräver Vänsterpartiet att den nuvarande lagstiftningen skall tolkas mer restriktivt. Utskottet konstaterar att bedö</w:t>
      </w:r>
      <w:r w:rsidRPr="00BA76AF">
        <w:t>m</w:t>
      </w:r>
      <w:r w:rsidRPr="00BA76AF">
        <w:t>ningsgrunderna för exportbeslut återfinns i de parlamentariskt förankrade riktlinjerna för krigsmaterielexport. Tillämpningen av dessa riktlinjer sker under former som ger riksdagspartierna insyn och ett centralt inflytande g</w:t>
      </w:r>
      <w:r w:rsidRPr="00BA76AF">
        <w:t>e</w:t>
      </w:r>
      <w:r w:rsidRPr="00BA76AF">
        <w:t>nom deras representanter i det parlamentariskt sammansatta Exportkontrol</w:t>
      </w:r>
      <w:r w:rsidRPr="00BA76AF">
        <w:t>l</w:t>
      </w:r>
      <w:r w:rsidRPr="00BA76AF">
        <w:t>rådet. Utskottet anser att denna modell är lämplig för att uppnå en ans</w:t>
      </w:r>
      <w:r w:rsidRPr="00BA76AF">
        <w:t>varsfull och långsiktig politik på exportkontrollområdet och fäster stor vikt vid att denna arbetsform bibehålls. Utskottet anser att det inte här finns anledning att ha synpunkter på tillämpningen av regelve</w:t>
      </w:r>
      <w:r w:rsidRPr="00BA76AF">
        <w:t>r</w:t>
      </w:r>
      <w:r w:rsidRPr="00BA76AF">
        <w:t>ket.</w:t>
      </w:r>
    </w:p>
    <w:p w:rsidR="00AD1390" w:rsidRPr="00BA76AF" w:rsidRDefault="00AD1390">
      <w:r w:rsidRPr="00BA76AF">
        <w:t>Utskottet avstyrker därmed motion 2000/01:U16 (v) yrkande 1.</w:t>
      </w:r>
    </w:p>
    <w:p w:rsidR="00AD1390" w:rsidRPr="00BA76AF" w:rsidRDefault="00AD1390">
      <w:r w:rsidRPr="00BA76AF">
        <w:t>I motion</w:t>
      </w:r>
      <w:r w:rsidRPr="00BA76AF">
        <w:rPr>
          <w:i/>
        </w:rPr>
        <w:t xml:space="preserve"> 2000/01:U16 (v) yrkande 2 </w:t>
      </w:r>
      <w:r w:rsidRPr="00BA76AF">
        <w:t>föreslår Vänsterpartiet att den svenska lagstiftningen om krigsmaterielexport skall ändras och göras mer restriktiv i syfte att exporten på lång sikt skall upphöra helt.</w:t>
      </w:r>
    </w:p>
    <w:p w:rsidR="00AD1390" w:rsidRPr="00BA76AF" w:rsidRDefault="00AD1390">
      <w:pPr>
        <w:pStyle w:val="Normaltindrag"/>
      </w:pPr>
      <w:r w:rsidRPr="00BA76AF">
        <w:t>Utskottet konstaterar att det finns en bred politisk enighet om att Sverige skall ha en egen produktion av krigsmateriel och att en viss export behövs av svenska säkerhets- och försvarspolitiska skäl. Denna sedan länge rådande ståndpunkt har sin grund i Sveriges behov som militärt alliansfritt land att bibehålla k</w:t>
      </w:r>
      <w:r w:rsidRPr="00BA76AF">
        <w:t>valificerad teknisk kompetens på området och att säkerställa en betryggande materielförsörjning och Försvarsmaktens förmåga till återtaga</w:t>
      </w:r>
      <w:r w:rsidRPr="00BA76AF">
        <w:t>n</w:t>
      </w:r>
      <w:r w:rsidRPr="00BA76AF">
        <w:t xml:space="preserve">de. Utskottet anser att den inriktning som kommer till uttryck i riktlinjerna för krigsmaterielexport är relevant och bör bibehållas. </w:t>
      </w:r>
    </w:p>
    <w:p w:rsidR="00AD1390" w:rsidRPr="00BA76AF" w:rsidRDefault="00AD1390">
      <w:r w:rsidRPr="00BA76AF">
        <w:t>Utskottet avstyrker därmed motion 2000/01:U16 (v) yrkande 2.</w:t>
      </w:r>
    </w:p>
    <w:p w:rsidR="00AD1390" w:rsidRPr="00BA76AF" w:rsidRDefault="00AD1390">
      <w:r w:rsidRPr="00BA76AF">
        <w:t xml:space="preserve">I motion </w:t>
      </w:r>
      <w:r w:rsidRPr="00BA76AF">
        <w:rPr>
          <w:i/>
        </w:rPr>
        <w:t>2000/01:U16 (v) yrkande 3</w:t>
      </w:r>
      <w:r w:rsidRPr="00BA76AF">
        <w:t xml:space="preserve"> menar motionärerna att samma riktlinjer bör gälla för Övrig krigsmateriel som för Krigsmateriel för strid.</w:t>
      </w:r>
    </w:p>
    <w:p w:rsidR="00AD1390" w:rsidRPr="00BA76AF" w:rsidRDefault="00AD1390">
      <w:pPr>
        <w:pStyle w:val="Normaltindrag"/>
      </w:pPr>
      <w:r w:rsidRPr="00BA76AF">
        <w:t>Utskottet konstaterar att en stor del av den materiel som i dag klassas som övrig krigsmateriel (ÖK) inte betraktades som krigsmateriel i Sverige innan den nuvarande lagen om krigsmateriel trädde i kraft 1992 och omfattades således tidigare inte av exportkontroll. Begreppet övrig krigsmateriel omfattar materiel som minröjningsutrustning, radar, spaningsutrustning, skyddsmater</w:t>
      </w:r>
      <w:r w:rsidRPr="00BA76AF">
        <w:t>i</w:t>
      </w:r>
      <w:r w:rsidRPr="00BA76AF">
        <w:t>el, bärgningsfordon och programvara. Inom kategorin krigsmateriel för strid (KS) faller vapen med förstörelsebringande verkan, bl.a. automatkarbiner och kulsprutor, haubitsar och granatkastare, missiler, strid</w:t>
      </w:r>
      <w:r w:rsidRPr="00BA76AF">
        <w:t>s</w:t>
      </w:r>
      <w:r w:rsidRPr="00BA76AF">
        <w:t xml:space="preserve">fordon m.m. </w:t>
      </w:r>
    </w:p>
    <w:p w:rsidR="00AD1390" w:rsidRPr="00BA76AF" w:rsidRDefault="00AD1390">
      <w:pPr>
        <w:pStyle w:val="Normaltindrag"/>
      </w:pPr>
      <w:r w:rsidRPr="00BA76AF">
        <w:t>Breddningen av krigsmaterielbegreppet var så omfattande att exporten i värdetermer fördubblades. För att undvika en alltför kraftig påverkan på tid</w:t>
      </w:r>
      <w:r w:rsidRPr="00BA76AF">
        <w:t>i</w:t>
      </w:r>
      <w:r w:rsidRPr="00BA76AF">
        <w:t>gare civil handel omfattas ÖK-kategorin, som även har civila användning</w:t>
      </w:r>
      <w:r w:rsidRPr="00BA76AF">
        <w:t>s</w:t>
      </w:r>
      <w:r w:rsidRPr="00BA76AF">
        <w:t>områden, av något mindre restriktiva regler jämfört med ”traditionell” krig</w:t>
      </w:r>
      <w:r w:rsidRPr="00BA76AF">
        <w:t>s</w:t>
      </w:r>
      <w:r w:rsidRPr="00BA76AF">
        <w:t>materiel. Breddningen innebar att tidigare civil handel stoppades i inte ov</w:t>
      </w:r>
      <w:r w:rsidRPr="00BA76AF">
        <w:t>ä</w:t>
      </w:r>
      <w:r w:rsidRPr="00BA76AF">
        <w:t>sentlig omfattning, t.ex. till länder som inte uppfyllde riktlinjernas MR-krav.</w:t>
      </w:r>
    </w:p>
    <w:p w:rsidR="00AD1390" w:rsidRPr="00BA76AF" w:rsidRDefault="00AD1390">
      <w:pPr>
        <w:pStyle w:val="Normaltindrag"/>
      </w:pPr>
      <w:r w:rsidRPr="00BA76AF">
        <w:t>Kontrollen över exporten av krigsmateriel från Sverige omfattar ett mycket brett spektrum av materiel med sinsemellan vitt skilda egenskaper. Utskottet  anser att det är relevant att i prövningen av enskilda</w:t>
      </w:r>
      <w:r w:rsidRPr="00BA76AF">
        <w:t xml:space="preserve"> exportaffärer kunna göra skilda bedömningar beroende på vilka egenskaper materielen har. Riktlinjerna ger uttryck för detta synsätt genom att uppställa delvis skilda kriterier för export av KS respektive ÖK. </w:t>
      </w:r>
    </w:p>
    <w:p w:rsidR="00AD1390" w:rsidRPr="00BA76AF" w:rsidRDefault="00AD1390">
      <w:r w:rsidRPr="00BA76AF">
        <w:t>Utskottet avstyrker därmed motion 2000/01:U16 (v) yrkande 3.</w:t>
      </w:r>
    </w:p>
    <w:p w:rsidR="00AD1390" w:rsidRPr="00BA76AF" w:rsidRDefault="00AD1390">
      <w:r w:rsidRPr="00BA76AF">
        <w:t xml:space="preserve">Vänsterpartiet kräver i motion </w:t>
      </w:r>
      <w:r w:rsidRPr="00BA76AF">
        <w:rPr>
          <w:i/>
        </w:rPr>
        <w:t>2000:01:U16 (v) yrkande 5</w:t>
      </w:r>
      <w:r w:rsidRPr="00BA76AF">
        <w:t xml:space="preserve"> att ett demokr</w:t>
      </w:r>
      <w:r w:rsidRPr="00BA76AF">
        <w:t>a</w:t>
      </w:r>
      <w:r w:rsidRPr="00BA76AF">
        <w:t xml:space="preserve">tikriterium för svensk krigsmaterielexport införs och Miljöpartiet kräver i motion </w:t>
      </w:r>
      <w:r w:rsidRPr="00BA76AF">
        <w:rPr>
          <w:i/>
        </w:rPr>
        <w:t>2000/01:U408</w:t>
      </w:r>
      <w:r w:rsidRPr="00BA76AF">
        <w:t xml:space="preserve"> att Sverige inte skall tillåta export av krigsmateriel till diktat</w:t>
      </w:r>
      <w:r w:rsidRPr="00BA76AF">
        <w:t>u</w:t>
      </w:r>
      <w:r w:rsidRPr="00BA76AF">
        <w:t>rer.</w:t>
      </w:r>
    </w:p>
    <w:p w:rsidR="00AD1390" w:rsidRPr="00BA76AF" w:rsidRDefault="00AD1390">
      <w:pPr>
        <w:pStyle w:val="Normaltindrag"/>
      </w:pPr>
      <w:r w:rsidRPr="00BA76AF">
        <w:t>Utskottet konstaterar att huvudregeln vad gäller riktlinjerna för svensk krigsmaterielexport är att en helhetsbedömning skall göras som omfattar alla relevanta faktorer. I underlaget för denna helhetsbedömning ingår alltid en redovisning av den politiska situationen i mottagarlandet, bl.a. styrelseskic</w:t>
      </w:r>
      <w:r w:rsidRPr="00BA76AF">
        <w:t>k men också situationen vad gäller pressfrihet, yttrandefrihet, den politiska oppositionens ställning och andra faktorer. Eftersom dessa faktorer vägs in i den totala bedömningen är sannolikheten liten att tillstånd för export av krigsm</w:t>
      </w:r>
      <w:r w:rsidRPr="00BA76AF">
        <w:t>a</w:t>
      </w:r>
      <w:r w:rsidRPr="00BA76AF">
        <w:t>teriel till diktaturer beviljas.</w:t>
      </w:r>
    </w:p>
    <w:p w:rsidR="00AD1390" w:rsidRPr="00BA76AF" w:rsidRDefault="00AD1390">
      <w:pPr>
        <w:pStyle w:val="Normaltindrag"/>
      </w:pPr>
      <w:r w:rsidRPr="00BA76AF">
        <w:t xml:space="preserve">Utskottet anser att frågan om huruvida ett demokratikriterium bör införas vad avser riktlinjerna för krigsmaterielexport bör behandlas vid en framtida utvärdering av regelverket för svensk krigsmaterielexport. Regeringen har aviserat att den </w:t>
      </w:r>
      <w:r w:rsidRPr="00BA76AF">
        <w:t>kommer att ta initiativ till en sådan översyn.</w:t>
      </w:r>
    </w:p>
    <w:p w:rsidR="00AD1390" w:rsidRPr="00BA76AF" w:rsidRDefault="00AD1390">
      <w:r w:rsidRPr="00BA76AF">
        <w:t>Utskottet avstyrker därmed motion 2000/01:U16 (v) yrkande 5. Motion 2000/01:U408 (mp) kan besvaras med vad utskottet a</w:t>
      </w:r>
      <w:r w:rsidRPr="00BA76AF">
        <w:t>n</w:t>
      </w:r>
      <w:r w:rsidRPr="00BA76AF">
        <w:t>fört.</w:t>
      </w:r>
    </w:p>
    <w:p w:rsidR="00AD1390" w:rsidRPr="00BA76AF" w:rsidRDefault="00AD1390">
      <w:pPr>
        <w:rPr>
          <w:i/>
        </w:rPr>
      </w:pPr>
      <w:r w:rsidRPr="00BA76AF">
        <w:t xml:space="preserve">I motion </w:t>
      </w:r>
      <w:r w:rsidRPr="00BA76AF">
        <w:rPr>
          <w:i/>
        </w:rPr>
        <w:t>2000/01:U16 (v) yrkande 10</w:t>
      </w:r>
      <w:r w:rsidRPr="00BA76AF">
        <w:t xml:space="preserve"> kräver motionärerna att samma e</w:t>
      </w:r>
      <w:r w:rsidRPr="00BA76AF">
        <w:t>x</w:t>
      </w:r>
      <w:r w:rsidRPr="00BA76AF">
        <w:t>portregler skall gälla för följdleveranser som för nya leveranser.</w:t>
      </w:r>
      <w:r w:rsidRPr="00BA76AF">
        <w:rPr>
          <w:i/>
        </w:rPr>
        <w:t xml:space="preserve"> </w:t>
      </w:r>
    </w:p>
    <w:p w:rsidR="00AD1390" w:rsidRPr="00BA76AF" w:rsidRDefault="00AD1390">
      <w:pPr>
        <w:pStyle w:val="Normaltindrag"/>
      </w:pPr>
      <w:r w:rsidRPr="00BA76AF">
        <w:t xml:space="preserve">Beslut om utförseltillstånd fattas alltid i enlighet med en strikt tillämpning av de svenska riktlinjerna för krigsmaterielexport. Enligt dessa riktlinjer </w:t>
      </w:r>
      <w:r w:rsidRPr="00BA76AF">
        <w:rPr>
          <w:i/>
        </w:rPr>
        <w:t>bör</w:t>
      </w:r>
      <w:r w:rsidRPr="00BA76AF">
        <w:t xml:space="preserve"> dock tillstånd ges till utförsel av materiel som har samband med tidigare exportaffärer, s.k. följdleveranser. Reglerna om följdleveranser har sin grund i att Sverige, för att export över huvud taget skall vara möjlig, måste värna om sin trovärdighet som leverantör. </w:t>
      </w:r>
    </w:p>
    <w:p w:rsidR="00AD1390" w:rsidRPr="00BA76AF" w:rsidRDefault="00AD1390">
      <w:r w:rsidRPr="00BA76AF">
        <w:t>Utskottet avstyrker därmed motion 2000/01:U16 (v) yrkande 10.</w:t>
      </w:r>
    </w:p>
    <w:p w:rsidR="00AD1390" w:rsidRPr="00BA76AF" w:rsidRDefault="00AD1390">
      <w:r w:rsidRPr="00BA76AF">
        <w:t xml:space="preserve">I motion </w:t>
      </w:r>
      <w:r w:rsidRPr="00BA76AF">
        <w:rPr>
          <w:i/>
        </w:rPr>
        <w:t>2000/01:U16 (v) yrkande 11</w:t>
      </w:r>
      <w:r w:rsidRPr="00BA76AF">
        <w:t xml:space="preserve"> menar Vänsterpartiet att det bör införas en särskild paragraf som anger att det inte finns någon given rätt för en köpare av svensk krigsmateriel att erhålla följdleveranser.</w:t>
      </w:r>
    </w:p>
    <w:p w:rsidR="00AD1390" w:rsidRPr="00BA76AF" w:rsidRDefault="00AD1390">
      <w:pPr>
        <w:pStyle w:val="Normaltindrag"/>
      </w:pPr>
      <w:r w:rsidRPr="00BA76AF">
        <w:t>Utskottet menar att det är av stor vikt att den politik som bedrivs avseende krigsmaterielexport präglas av långsiktighet. Reglerna om följdleveranser är en naturlig del i denna politik. Det innebär att en särskilt noggrann prövning sker av export till länder dit export av svensk krigsmateriel tidigare inte h</w:t>
      </w:r>
      <w:r w:rsidRPr="00BA76AF">
        <w:t>ar ägt rum, men att en stat som har köpt ett större system av en svensk leverantör måste kunna lita på att det kommer att vara möjligt att i framtiden erhålla erforderliga följdleveranser. Detta krav ställer även den svenska försvars-makten vid import av utländsk krigsmateriel. Det framgår dock klart av rik</w:t>
      </w:r>
      <w:r w:rsidRPr="00BA76AF">
        <w:t>t</w:t>
      </w:r>
      <w:r w:rsidRPr="00BA76AF">
        <w:t>linjerna att ingen export skall ske, inte heller följdleveranser, då ett s.k. ovil</w:t>
      </w:r>
      <w:r w:rsidRPr="00BA76AF">
        <w:t>l</w:t>
      </w:r>
      <w:r w:rsidRPr="00BA76AF">
        <w:t>korligt hinder har inträtt. Ett sådant hinder är beslut i FN:s säkerhetsråd om vapenembargo. Det finns således ingen giv</w:t>
      </w:r>
      <w:r w:rsidRPr="00BA76AF">
        <w:t>en rätt för en köpare av svensk krigsmateriel att erhålla följdleveranser. Utskottet  anser därför att den för</w:t>
      </w:r>
      <w:r w:rsidRPr="00BA76AF">
        <w:t>e</w:t>
      </w:r>
      <w:r w:rsidRPr="00BA76AF">
        <w:t>slagna särskilda paragrafen knappast är motiverad, givet riktlinjernas h</w:t>
      </w:r>
      <w:r w:rsidRPr="00BA76AF">
        <w:t>u</w:t>
      </w:r>
      <w:r w:rsidRPr="00BA76AF">
        <w:t>vudinrik</w:t>
      </w:r>
      <w:r w:rsidRPr="00BA76AF">
        <w:t>t</w:t>
      </w:r>
      <w:r w:rsidRPr="00BA76AF">
        <w:t>ning.</w:t>
      </w:r>
    </w:p>
    <w:p w:rsidR="00AD1390" w:rsidRPr="00BA76AF" w:rsidRDefault="00AD1390">
      <w:pPr>
        <w:pStyle w:val="Normaltindrag"/>
      </w:pPr>
      <w:r w:rsidRPr="00BA76AF">
        <w:t>Endast materiel som har samband med tidigare leveranser faller under de särskilda reglerna om följdleveranser. Detta samband prövas omsorgsfullt från fall till fall. Hela system kan betraktas som följdleveranser om det kan visas att särskilda omständigheter föreligger som medför att kraven på lån</w:t>
      </w:r>
      <w:r w:rsidRPr="00BA76AF">
        <w:t>g</w:t>
      </w:r>
      <w:r w:rsidRPr="00BA76AF">
        <w:t>siktighet får anses väga särskilt tungt. Bedömningen görs dock i en restriktiv anda.</w:t>
      </w:r>
    </w:p>
    <w:p w:rsidR="00AD1390" w:rsidRPr="00BA76AF" w:rsidRDefault="00AD1390">
      <w:r w:rsidRPr="00BA76AF">
        <w:t>Motion 2000/01:U16 (v) yrkande 11 kan besvaras med vad utskottet a</w:t>
      </w:r>
      <w:r w:rsidRPr="00BA76AF">
        <w:t>n</w:t>
      </w:r>
      <w:r w:rsidRPr="00BA76AF">
        <w:t>fört.</w:t>
      </w:r>
    </w:p>
    <w:p w:rsidR="00AD1390" w:rsidRPr="00BA76AF" w:rsidRDefault="00AD1390">
      <w:r w:rsidRPr="00BA76AF">
        <w:t xml:space="preserve">I motion </w:t>
      </w:r>
      <w:r w:rsidRPr="00BA76AF">
        <w:rPr>
          <w:i/>
        </w:rPr>
        <w:t>2000/01:U16 (v) yrkande 12</w:t>
      </w:r>
      <w:r w:rsidRPr="00BA76AF">
        <w:t xml:space="preserve"> kräver motionärerna en återgång till den ursprungliga definitionen av begreppet följdleveranser. </w:t>
      </w:r>
    </w:p>
    <w:p w:rsidR="00AD1390" w:rsidRPr="00BA76AF" w:rsidRDefault="00AD1390">
      <w:pPr>
        <w:pStyle w:val="Normaltindrag"/>
      </w:pPr>
      <w:r w:rsidRPr="00BA76AF">
        <w:t>Utskottet konstaterar att det varken i dag eller tidigare ges någon definition av begreppet följdleveranser i riktlinjerna. Det är genom den fortlöpande bedömningen av enskilda exportärenden som begreppet konkretiserats. Grundläggande är i samtliga fall dock leveransens organiska samband med tidigare medgiven leverans.</w:t>
      </w:r>
    </w:p>
    <w:p w:rsidR="00AD1390" w:rsidRPr="00BA76AF" w:rsidRDefault="00AD1390">
      <w:pPr>
        <w:pStyle w:val="Normaltindrag"/>
      </w:pPr>
      <w:r w:rsidRPr="00BA76AF">
        <w:t>I det betänkande om följdleveranser som avgavs av Utredningen om följdleveranser vid krigsmaterielexport (SOU 1999:38) konstateras att b</w:t>
      </w:r>
      <w:r w:rsidRPr="00BA76AF">
        <w:t>e</w:t>
      </w:r>
      <w:r w:rsidRPr="00BA76AF">
        <w:t>greppet inte täcker en tydligt avgränsad kategori ärenden samt att en absolut avgränsning av följdleveransbegreppet inte var möjlig till följd av den mån</w:t>
      </w:r>
      <w:r w:rsidRPr="00BA76AF">
        <w:t>g</w:t>
      </w:r>
      <w:r w:rsidRPr="00BA76AF">
        <w:t>fald situationer som alla bedömdes ha ett samband med syftet med följdlev</w:t>
      </w:r>
      <w:r w:rsidRPr="00BA76AF">
        <w:t>e</w:t>
      </w:r>
      <w:r w:rsidRPr="00BA76AF">
        <w:t>ran</w:t>
      </w:r>
      <w:r w:rsidRPr="00BA76AF">
        <w:t>s</w:t>
      </w:r>
      <w:r w:rsidRPr="00BA76AF">
        <w:t>begreppet.</w:t>
      </w:r>
    </w:p>
    <w:p w:rsidR="00AD1390" w:rsidRPr="00BA76AF" w:rsidRDefault="00AD1390">
      <w:r w:rsidRPr="00BA76AF">
        <w:t>Motion 2000/01:U16 (v) yrkande 12 kan besvaras med vad utskottet anfört.</w:t>
      </w:r>
    </w:p>
    <w:p w:rsidR="00AD1390" w:rsidRPr="00BA76AF" w:rsidRDefault="00AD1390">
      <w:pPr>
        <w:pStyle w:val="Rubrik4"/>
        <w:rPr>
          <w:noProof w:val="0"/>
        </w:rPr>
      </w:pPr>
      <w:bookmarkStart w:id="49" w:name="_Toc517757102"/>
      <w:r w:rsidRPr="00BA76AF">
        <w:rPr>
          <w:noProof w:val="0"/>
        </w:rPr>
        <w:t>EU:s uppförandekod och internationellt samarbete</w:t>
      </w:r>
      <w:bookmarkEnd w:id="49"/>
    </w:p>
    <w:p w:rsidR="00AD1390" w:rsidRPr="00BA76AF" w:rsidRDefault="00AD1390">
      <w:r w:rsidRPr="00BA76AF">
        <w:t>Utskottet har noterat att Sverige anordnat ett seminarium med ett tjugotal deltagare från olika länder om korruption inom den internationella handeln med krigsmateriel. Korruptionen är ett problem som är viktigt att uppmär</w:t>
      </w:r>
      <w:r w:rsidRPr="00BA76AF">
        <w:t>k</w:t>
      </w:r>
      <w:r w:rsidRPr="00BA76AF">
        <w:t>samma, och utskottet välkomnar att Sverige tagit ett initiativ på detta o</w:t>
      </w:r>
      <w:r w:rsidRPr="00BA76AF">
        <w:t>m</w:t>
      </w:r>
      <w:r w:rsidRPr="00BA76AF">
        <w:t>råde.</w:t>
      </w:r>
    </w:p>
    <w:p w:rsidR="00AD1390" w:rsidRPr="00BA76AF" w:rsidRDefault="00AD1390">
      <w:pPr>
        <w:pStyle w:val="Normaltindrag"/>
      </w:pPr>
      <w:r w:rsidRPr="00BA76AF">
        <w:t xml:space="preserve">Moderata samlingspartiet menar i motion </w:t>
      </w:r>
      <w:r w:rsidRPr="00BA76AF">
        <w:rPr>
          <w:i/>
        </w:rPr>
        <w:t xml:space="preserve">2000/01:U15 (m) yrkandena 1 och 2 </w:t>
      </w:r>
      <w:r w:rsidRPr="00BA76AF">
        <w:t>och i motion</w:t>
      </w:r>
      <w:r w:rsidRPr="00BA76AF">
        <w:rPr>
          <w:i/>
        </w:rPr>
        <w:t xml:space="preserve"> 2000/01:U411 (m) yrkandena 1 </w:t>
      </w:r>
      <w:r w:rsidRPr="00BA76AF">
        <w:t>och</w:t>
      </w:r>
      <w:r w:rsidRPr="00BA76AF">
        <w:rPr>
          <w:i/>
        </w:rPr>
        <w:t xml:space="preserve"> 2</w:t>
      </w:r>
      <w:r w:rsidRPr="00BA76AF">
        <w:t xml:space="preserve"> att det bör införas EU-gemensamma regler för krigsmaterielexport och att en gemensam my</w:t>
      </w:r>
      <w:r w:rsidRPr="00BA76AF">
        <w:t>n</w:t>
      </w:r>
      <w:r w:rsidRPr="00BA76AF">
        <w:t xml:space="preserve">dighet bör skapas inom EU för kontroll och tillsyn av export av krigsmateriel och strategiska produkter. </w:t>
      </w:r>
    </w:p>
    <w:p w:rsidR="00AD1390" w:rsidRPr="00BA76AF" w:rsidRDefault="00AD1390">
      <w:pPr>
        <w:pStyle w:val="Normaltindrag"/>
      </w:pPr>
      <w:r w:rsidRPr="00BA76AF">
        <w:t>Utskottet fäster största vikt vid att kunna vidmakthålla en restriktiv nati</w:t>
      </w:r>
      <w:r w:rsidRPr="00BA76AF">
        <w:t>o</w:t>
      </w:r>
      <w:r w:rsidRPr="00BA76AF">
        <w:t>nell exportpolitik. Det är därför angeläget att den nationella beslutanderätten på detta område består. I samarbetet kring EU:s uppförandekod och i den dialog som uppstår till följd av försvarsindustrins europeiska omstrukturering anser utskottet att det från svensk sida är av vikt att verka för att en hög nivå av restriktivitet tillä</w:t>
      </w:r>
      <w:r w:rsidRPr="00BA76AF">
        <w:t>m</w:t>
      </w:r>
      <w:r w:rsidRPr="00BA76AF">
        <w:t xml:space="preserve">pas även av andra EU-länder. </w:t>
      </w:r>
    </w:p>
    <w:p w:rsidR="00AD1390" w:rsidRPr="00BA76AF" w:rsidRDefault="00AD1390">
      <w:pPr>
        <w:pStyle w:val="Normaltindrag"/>
      </w:pPr>
      <w:r w:rsidRPr="00BA76AF">
        <w:t>En ökad transparens mellan EU:s medlemsstater inom ramen för samarb</w:t>
      </w:r>
      <w:r w:rsidRPr="00BA76AF">
        <w:t>e</w:t>
      </w:r>
      <w:r w:rsidRPr="00BA76AF">
        <w:t>tet kring den gemensamma utrikes- och säkerhetspolitiken är synnerligen viktig. Detta syftar till att öka insynen i det nationella beslutsfattande som i dag gäller. En gemensam EU-myndighet torde bli aktuell först om och när geme</w:t>
      </w:r>
      <w:r w:rsidRPr="00BA76AF">
        <w:t>n</w:t>
      </w:r>
      <w:r w:rsidRPr="00BA76AF">
        <w:t>samma exportregler blir en konkret möjlighet.</w:t>
      </w:r>
    </w:p>
    <w:p w:rsidR="00AD1390" w:rsidRPr="00BA76AF" w:rsidRDefault="00AD1390">
      <w:r w:rsidRPr="00BA76AF">
        <w:t>Utskottet avstyrker därmed motion 2000/01:U15 (m) yrkandena 1 och 2 och motion 2000/01:U411 (m) yrkandena 1 och 2.</w:t>
      </w:r>
    </w:p>
    <w:p w:rsidR="00AD1390" w:rsidRPr="00BA76AF" w:rsidRDefault="00AD1390">
      <w:r w:rsidRPr="00BA76AF">
        <w:t xml:space="preserve">I motion </w:t>
      </w:r>
      <w:r w:rsidRPr="00BA76AF">
        <w:rPr>
          <w:i/>
        </w:rPr>
        <w:t>2000/01:U16 (v) yrkande 4</w:t>
      </w:r>
      <w:r w:rsidRPr="00BA76AF">
        <w:t xml:space="preserve"> menar Vänsterpartiet att Sverige, i likhet med Nederländerna och Storbritannien, offentligt skall redovisa vilka export- ansökningar som avslagits. </w:t>
      </w:r>
    </w:p>
    <w:p w:rsidR="00AD1390" w:rsidRPr="00BA76AF" w:rsidRDefault="00AD1390">
      <w:pPr>
        <w:pStyle w:val="Normaltindrag"/>
      </w:pPr>
      <w:r w:rsidRPr="00BA76AF">
        <w:t>Avslagsbesluten på licensansökningar skall enligt EU:s uppförandekod meddelas till regeringarna i de andra medlemsländerna, men besluten behöver inte offentliggöras. Formella avslagsbeslut fattas praktiskt taget aldrig i Sv</w:t>
      </w:r>
      <w:r w:rsidRPr="00BA76AF">
        <w:t>e</w:t>
      </w:r>
      <w:r w:rsidRPr="00BA76AF">
        <w:t>rige, eftersom negativa besked normalt meddelas till företagen och Expor</w:t>
      </w:r>
      <w:r w:rsidRPr="00BA76AF">
        <w:t>t</w:t>
      </w:r>
      <w:r w:rsidRPr="00BA76AF">
        <w:t>kontrollrådet på ett mycket tidigare stadium, genom informella s.k. förhand</w:t>
      </w:r>
      <w:r w:rsidRPr="00BA76AF">
        <w:t>s</w:t>
      </w:r>
      <w:r w:rsidRPr="00BA76AF">
        <w:t>besked, eller muntligt i kontakten mellan licensmyndigheten och föret</w:t>
      </w:r>
      <w:r w:rsidRPr="00BA76AF">
        <w:t>a</w:t>
      </w:r>
      <w:r w:rsidRPr="00BA76AF">
        <w:t>get.</w:t>
      </w:r>
    </w:p>
    <w:p w:rsidR="00AD1390" w:rsidRPr="00BA76AF" w:rsidRDefault="00AD1390">
      <w:r w:rsidRPr="00BA76AF">
        <w:t>Utskottet avstyrker därmed motion 2000/01:U16 (v) yrkande 4.</w:t>
      </w:r>
    </w:p>
    <w:p w:rsidR="00AD1390" w:rsidRPr="00BA76AF" w:rsidRDefault="00AD1390">
      <w:r w:rsidRPr="00BA76AF">
        <w:t xml:space="preserve">I motion </w:t>
      </w:r>
      <w:r w:rsidRPr="00BA76AF">
        <w:rPr>
          <w:i/>
        </w:rPr>
        <w:t>2000/01:U16 (v) yrkande 7</w:t>
      </w:r>
      <w:r w:rsidRPr="00BA76AF">
        <w:t xml:space="preserve"> kräver motionärerna att regeringen skall verka för att EU:s uppförandekod skall bli mer restriktiv och bindande.</w:t>
      </w:r>
    </w:p>
    <w:p w:rsidR="00AD1390" w:rsidRPr="00BA76AF" w:rsidRDefault="00AD1390">
      <w:pPr>
        <w:pStyle w:val="Normaltindrag"/>
      </w:pPr>
      <w:r w:rsidRPr="00BA76AF">
        <w:t>Utskottet bedömer att tonvikten i nuläget bör läggas vid att arbeta för en restriktiv uttolkning av den nuvarande uppförandekoden. Koden representerar en kompromiss mellan olika medlemsstaters exportpolitiska syn. Det är inte givet att en omförhandling av texten skulle resultera i mer restriktiva skri</w:t>
      </w:r>
      <w:r w:rsidRPr="00BA76AF">
        <w:t>v</w:t>
      </w:r>
      <w:r w:rsidRPr="00BA76AF">
        <w:t>ningar. Förslaget att göra koden juridiskt bindande bedöms inte vara förenlig med Sveriges strävan att tills vidare behålla beslutsfattandet på detta område som ett nationellt ansvar, i syfte att säkerställa möjligheten att föra en restri</w:t>
      </w:r>
      <w:r w:rsidRPr="00BA76AF">
        <w:t>k</w:t>
      </w:r>
      <w:r w:rsidRPr="00BA76AF">
        <w:t xml:space="preserve">tiv nationell politik. </w:t>
      </w:r>
    </w:p>
    <w:p w:rsidR="00AD1390" w:rsidRPr="00BA76AF" w:rsidRDefault="00AD1390">
      <w:r w:rsidRPr="00BA76AF">
        <w:t>Motion 2000/01:U16 (v) yrkande 7 kan besvaras med vad utskottet a</w:t>
      </w:r>
      <w:r w:rsidRPr="00BA76AF">
        <w:t>n</w:t>
      </w:r>
      <w:r w:rsidRPr="00BA76AF">
        <w:t>fört.</w:t>
      </w:r>
    </w:p>
    <w:p w:rsidR="00AD1390" w:rsidRPr="00BA76AF" w:rsidRDefault="00AD1390">
      <w:r w:rsidRPr="00BA76AF">
        <w:t xml:space="preserve">I motion </w:t>
      </w:r>
      <w:r w:rsidRPr="00BA76AF">
        <w:rPr>
          <w:i/>
        </w:rPr>
        <w:t>2000/01:U16 (v) yrkande 8</w:t>
      </w:r>
      <w:r w:rsidRPr="00BA76AF">
        <w:t xml:space="preserve"> föreslås att regeringen skall verka för att svenska regler skall gälla vid samarbete mellan svenska företag och företag i andra EU-länder när det gäller export av krigsmateriel.</w:t>
      </w:r>
    </w:p>
    <w:p w:rsidR="00AD1390" w:rsidRPr="00BA76AF" w:rsidRDefault="00AD1390">
      <w:pPr>
        <w:pStyle w:val="Normaltindrag"/>
      </w:pPr>
      <w:r w:rsidRPr="00BA76AF">
        <w:t>Utskottet konstaterar att riktlinjerna anger att export  av en samarbetspr</w:t>
      </w:r>
      <w:r w:rsidRPr="00BA76AF">
        <w:t>o</w:t>
      </w:r>
      <w:r w:rsidRPr="00BA76AF">
        <w:t>dukt skall bedömas i enlighet med de svenska riktlinjerna, även om exporten verkställs från samarbetslandet, om produkten har en övervägande svensk identitet. Om produkten har en övervägande utländsk identitet kan export från samarbetslandet ske enligt det landets regler. Om det föreligger ett starkt svenskt försvarspolitiskt intresse av ett samarbete, och det är en förutsättning att viss utförsel får ske från samarbetslandet, kan efter omständigheterna export medges efter det landets regler. Någon anledni</w:t>
      </w:r>
      <w:r w:rsidRPr="00BA76AF">
        <w:t>ng att göra avkall på dessa bestämmelser för</w:t>
      </w:r>
      <w:r w:rsidRPr="00BA76AF">
        <w:t>e</w:t>
      </w:r>
      <w:r w:rsidRPr="00BA76AF">
        <w:t xml:space="preserve">ligger enligt utskottets mening inte. </w:t>
      </w:r>
    </w:p>
    <w:p w:rsidR="00AD1390" w:rsidRPr="00BA76AF" w:rsidRDefault="00AD1390">
      <w:pPr>
        <w:pStyle w:val="Normaltindrag"/>
        <w:rPr>
          <w:i/>
        </w:rPr>
      </w:pPr>
      <w:r w:rsidRPr="00BA76AF">
        <w:t>I det särskilt nära samarbete som överenskommits med de fem största fö</w:t>
      </w:r>
      <w:r w:rsidRPr="00BA76AF">
        <w:t>r</w:t>
      </w:r>
      <w:r w:rsidRPr="00BA76AF">
        <w:t>svarsindustrinationerna inom EU bestäms vilka exportdestinationer som skall vara tillåtna med konsensus. Denna överenskommelse, som förelades för riksdagen i proposition 2000/01:49, ger enligt regeringens mening en stark kontroll som väl uppfyller riktlinjernas krav. En särskild fördel med konse</w:t>
      </w:r>
      <w:r w:rsidRPr="00BA76AF">
        <w:t>n</w:t>
      </w:r>
      <w:r w:rsidRPr="00BA76AF">
        <w:t>sus kring möjliga exportdestinationer är att det undanröjer incitamentet för företagen att omlokalisera till utlandet i syfte att dra fördel av en annorlunda exportpolitik i ett annat land.</w:t>
      </w:r>
    </w:p>
    <w:p w:rsidR="00AD1390" w:rsidRPr="00BA76AF" w:rsidRDefault="00AD1390">
      <w:r w:rsidRPr="00BA76AF">
        <w:t>Utskottet avstyrker därm</w:t>
      </w:r>
      <w:r w:rsidRPr="00BA76AF">
        <w:t>ed motion 2000/01:U16 (v) yrkande 8.</w:t>
      </w:r>
    </w:p>
    <w:p w:rsidR="00AD1390" w:rsidRPr="00BA76AF" w:rsidRDefault="00AD1390">
      <w:pPr>
        <w:pStyle w:val="Rubrik4"/>
        <w:rPr>
          <w:noProof w:val="0"/>
        </w:rPr>
      </w:pPr>
      <w:bookmarkStart w:id="50" w:name="_Toc517757103"/>
      <w:r w:rsidRPr="00BA76AF">
        <w:rPr>
          <w:noProof w:val="0"/>
        </w:rPr>
        <w:t>Krigsmaterielexport till enskilda stater och områden</w:t>
      </w:r>
      <w:bookmarkEnd w:id="50"/>
    </w:p>
    <w:p w:rsidR="00AD1390" w:rsidRPr="00BA76AF" w:rsidRDefault="00AD1390">
      <w:r w:rsidRPr="00BA76AF">
        <w:t xml:space="preserve">Krigsmaterielexport till enskilda stater och områden behandlas i motionerna </w:t>
      </w:r>
      <w:r w:rsidRPr="00BA76AF">
        <w:rPr>
          <w:i/>
        </w:rPr>
        <w:t xml:space="preserve">2000/01:U16 (v) yrkandena 13 </w:t>
      </w:r>
      <w:r w:rsidRPr="00BA76AF">
        <w:t>och</w:t>
      </w:r>
      <w:r w:rsidRPr="00BA76AF">
        <w:rPr>
          <w:i/>
        </w:rPr>
        <w:t xml:space="preserve"> 14</w:t>
      </w:r>
      <w:r w:rsidRPr="00BA76AF">
        <w:t xml:space="preserve">, </w:t>
      </w:r>
      <w:r w:rsidRPr="00BA76AF">
        <w:rPr>
          <w:i/>
        </w:rPr>
        <w:t xml:space="preserve">2000/01:U616 (v) yrkandena 1 och 2 </w:t>
      </w:r>
      <w:r w:rsidRPr="00BA76AF">
        <w:t>och</w:t>
      </w:r>
      <w:r w:rsidRPr="00BA76AF">
        <w:rPr>
          <w:i/>
        </w:rPr>
        <w:t xml:space="preserve"> 2000/01:U633 (fp) yrkande 2</w:t>
      </w:r>
      <w:r w:rsidRPr="00BA76AF">
        <w:t>. Motionerna innefattar yrkanden av inn</w:t>
      </w:r>
      <w:r w:rsidRPr="00BA76AF">
        <w:t>e</w:t>
      </w:r>
      <w:r w:rsidRPr="00BA76AF">
        <w:t xml:space="preserve">börd att all svensk krigsmaterielexport, i förekommande fall även avseende följdleveranser till vissa namngivna länder eller områden, skall avbrytas med hänvisning till den bristande respekten för de mänskliga rättigheterna i dessa länder eller att länderna i fråga anses vara inblandade i krig. </w:t>
      </w:r>
    </w:p>
    <w:p w:rsidR="00AD1390" w:rsidRPr="00BA76AF" w:rsidRDefault="00AD1390">
      <w:pPr>
        <w:pStyle w:val="Normaltindrag"/>
      </w:pPr>
      <w:r w:rsidRPr="00BA76AF">
        <w:t>Utskottet gör med anledning av dessa motionsyrkanden följande bedö</w:t>
      </w:r>
      <w:r w:rsidRPr="00BA76AF">
        <w:t>m</w:t>
      </w:r>
      <w:r w:rsidRPr="00BA76AF">
        <w:t>ning. Det gällande regelsystemet avseende utlandssamverkan på krigsmater</w:t>
      </w:r>
      <w:r w:rsidRPr="00BA76AF">
        <w:t>i</w:t>
      </w:r>
      <w:r w:rsidRPr="00BA76AF">
        <w:t>elområdet syftar till att så långt möjligt uppnå politiskt samförstånd i dessa, många gånger svåra, avvägningsfrågor. Alla principiellt viktiga ärenden f</w:t>
      </w:r>
      <w:r w:rsidRPr="00BA76AF">
        <w:t>ö</w:t>
      </w:r>
      <w:r w:rsidRPr="00BA76AF">
        <w:t>reläggs Exportkontrollrådet och kan också bli föremål för diskussion i Utr</w:t>
      </w:r>
      <w:r w:rsidRPr="00BA76AF">
        <w:t>i</w:t>
      </w:r>
      <w:r w:rsidRPr="00BA76AF">
        <w:t>kesnämnden. Enligt gällande lag och riktlinjer är det i sista hand regeringen som har att ta ställning till frågor rörande tillstånd för export av krigsmateriel. Regeringen har också det politiska ansvaret för</w:t>
      </w:r>
      <w:r w:rsidRPr="00BA76AF">
        <w:t xml:space="preserve"> tillämpningen av riktlinjerna. </w:t>
      </w:r>
    </w:p>
    <w:p w:rsidR="00AD1390" w:rsidRPr="00BA76AF" w:rsidRDefault="00AD1390">
      <w:pPr>
        <w:pStyle w:val="Normaltindrag"/>
      </w:pPr>
      <w:r w:rsidRPr="00BA76AF">
        <w:t>För prövning av ansökningar om utförseltillstånd tillämpas det restriktiva svenska regelverket på området. Den senaste lagen om krigsmateriel trädde i kraft den 1 januari 1993 (1992:1300 och senaste omtryck i SFS 1997:689 med nu gällande lagtext efter organisationsförändringar) efter beslut av riksdagen hösten 1992 och bildar, tillsammans med de riktlinjer som finns på området, ramen för regelverket. Varje ansökan prövas individuellt. En uttalad preferens för tillstånd finns</w:t>
      </w:r>
      <w:r w:rsidRPr="00BA76AF">
        <w:t xml:space="preserve"> för leveranser till övriga Norden och alliansfria länder i Europa. Någon formell uppdelning i tillåtna eller förbjudna länder finns inte. Förbud mot utförsel gäller däremot när ovillkorliga hinder, i första hand i form av FN-sanktioner eller EU-embargon, föreligger. Utskottet menar att en internationellt samordnad restriktivitet vad gäller vapenexport är en effektiv fredsfrämjande åtgärd och konstaterar att regeringen sedan lång tid arbetar inom EU och andra internationella forum för att åstadkomma en ökad</w:t>
      </w:r>
      <w:r w:rsidRPr="00BA76AF">
        <w:t xml:space="preserve"> restri</w:t>
      </w:r>
      <w:r w:rsidRPr="00BA76AF">
        <w:t>k</w:t>
      </w:r>
      <w:r w:rsidRPr="00BA76AF">
        <w:t xml:space="preserve">tivitet vad gäller krigsmaterielexport. </w:t>
      </w:r>
    </w:p>
    <w:p w:rsidR="00AD1390" w:rsidRPr="00BA76AF" w:rsidRDefault="00AD1390">
      <w:pPr>
        <w:pStyle w:val="Normaltindrag"/>
      </w:pPr>
      <w:r w:rsidRPr="00BA76AF">
        <w:t>Mottagarländernas respekt för de mänskliga rättigheterna är ett viktigt re</w:t>
      </w:r>
      <w:r w:rsidRPr="00BA76AF">
        <w:t>k</w:t>
      </w:r>
      <w:r w:rsidRPr="00BA76AF">
        <w:t>visit vid bedömningen av tillståndsgivningen för svensk krigsmaterielexport. Utförseltillstånd för nya leveranser av krigsmateriel bör enligt riktlinjerna inte lämnas avseende stater där omfattande och grova kränkningar av mänskliga rättigheter förekommer. Utskottet har tidigare uttalat, senast i betänkande 1999/2000:UU12, att regeringen vid en utvärdering och översyn av krigsm</w:t>
      </w:r>
      <w:r w:rsidRPr="00BA76AF">
        <w:t>a</w:t>
      </w:r>
      <w:r w:rsidRPr="00BA76AF">
        <w:t>teriellagstiftningen och riktlinjerna samt tillämpningen av desamma skall fästa särskilt stor vikt vid MR-frågorna. Utskottet vidh</w:t>
      </w:r>
      <w:r w:rsidRPr="00BA76AF">
        <w:t>åller denna uppfat</w:t>
      </w:r>
      <w:r w:rsidRPr="00BA76AF">
        <w:t>t</w:t>
      </w:r>
      <w:r w:rsidRPr="00BA76AF">
        <w:t>ning. Utskottet har i tidigare betänkanden ansett att riksdagen inte bör fatta beslut i förvaltningsangelägenheter som enligt författning ankommer på reg</w:t>
      </w:r>
      <w:r w:rsidRPr="00BA76AF">
        <w:t>e</w:t>
      </w:r>
      <w:r w:rsidRPr="00BA76AF">
        <w:t>ringen, domstolar eller andra myndigheter.</w:t>
      </w:r>
    </w:p>
    <w:p w:rsidR="00AD1390" w:rsidRPr="00BA76AF" w:rsidRDefault="00AD1390">
      <w:pPr>
        <w:pStyle w:val="Normaltindrag"/>
      </w:pPr>
      <w:r w:rsidRPr="00BA76AF">
        <w:t>Utskottet har, i betänkande 1999/2000:UU12, kommit till slutsatsen att riksdagen inte bör göra något särskilt tillkännagivande beträffande ett vapen- embargo gentemot enskilda länder. Denna utskottets bedömning kvarstår. Utskottet vill i detta sammanhang framhålla vikten av utskottets årligen åt</w:t>
      </w:r>
      <w:r w:rsidRPr="00BA76AF">
        <w:t>e</w:t>
      </w:r>
      <w:r w:rsidRPr="00BA76AF">
        <w:t>r</w:t>
      </w:r>
      <w:r w:rsidRPr="00BA76AF">
        <w:t>kommande betänkanden med landspecifika bedömningar rörande respekten för de mänskliga rättigheterna. Utskottet utgår från att regeringen vid sina ställningstaganden rörande utförseltillstånd och annan tillståndspliktig u</w:t>
      </w:r>
      <w:r w:rsidRPr="00BA76AF">
        <w:t>t</w:t>
      </w:r>
      <w:r w:rsidRPr="00BA76AF">
        <w:t>landssamverkan noga beaktar vad utskottet därvid anför.</w:t>
      </w:r>
    </w:p>
    <w:p w:rsidR="00AD1390" w:rsidRPr="00BA76AF" w:rsidRDefault="00AD1390">
      <w:pPr>
        <w:pStyle w:val="Normaltindrag"/>
      </w:pPr>
      <w:r w:rsidRPr="00BA76AF">
        <w:t>Varje ärende avseende export av krigsmateriel skall prövas individuellt av Inspektionen för strategiska produkter i enlighet med det svenska regelverket och de sedan länge tillämpade och av riksdagen fastlagda riktlinjerna för krigsm</w:t>
      </w:r>
      <w:r w:rsidRPr="00BA76AF">
        <w:t>aterielexport. Principiellt viktiga ärenden behandlas också i Expor</w:t>
      </w:r>
      <w:r w:rsidRPr="00BA76AF">
        <w:t>t</w:t>
      </w:r>
      <w:r w:rsidRPr="00BA76AF">
        <w:t>kontrollrådet där samtliga riksdagspartier är representerade. Den parlament</w:t>
      </w:r>
      <w:r w:rsidRPr="00BA76AF">
        <w:t>a</w:t>
      </w:r>
      <w:r w:rsidRPr="00BA76AF">
        <w:t>riska insynen i arbetet är därmed väl tillgodosedd. Det svenska regelsystemet syftar också till att så långt möjligt uppnå politiskt samförstånd när det gäller e</w:t>
      </w:r>
      <w:r w:rsidRPr="00BA76AF">
        <w:t>x</w:t>
      </w:r>
      <w:r w:rsidRPr="00BA76AF">
        <w:t xml:space="preserve">portärenden. </w:t>
      </w:r>
    </w:p>
    <w:p w:rsidR="00AD1390" w:rsidRPr="00BA76AF" w:rsidRDefault="00AD1390">
      <w:pPr>
        <w:pStyle w:val="Normaltindrag"/>
      </w:pPr>
      <w:r w:rsidRPr="00BA76AF">
        <w:t>Förbud mot utförsel gäller när s.k. ovillkorliga hinder föreligger,  exe</w:t>
      </w:r>
      <w:r w:rsidRPr="00BA76AF">
        <w:t>m</w:t>
      </w:r>
      <w:r w:rsidRPr="00BA76AF">
        <w:t xml:space="preserve">pelvis ett beslut om vapenembargo i FN. I det svenska regelverket finns inte utrymme för någon annan formell uppdelning i tillåtna eller förbjudna länder. </w:t>
      </w:r>
    </w:p>
    <w:p w:rsidR="00AD1390" w:rsidRPr="00BA76AF" w:rsidRDefault="00AD1390">
      <w:r w:rsidRPr="00BA76AF">
        <w:t>Utskottet avstyrker därmed motionerna 2000/01:U16 (v) yrkandena 13 och 14, 2000/01:U616 (v) yrkandena 1 och 2 och 2000/01:U633 (fp) yrkande 2.</w:t>
      </w:r>
    </w:p>
    <w:p w:rsidR="00AD1390" w:rsidRPr="00BA76AF" w:rsidRDefault="00AD1390">
      <w:pPr>
        <w:pStyle w:val="Rubrik4"/>
        <w:rPr>
          <w:noProof w:val="0"/>
        </w:rPr>
      </w:pPr>
      <w:bookmarkStart w:id="51" w:name="_Toc517757104"/>
      <w:r w:rsidRPr="00BA76AF">
        <w:rPr>
          <w:noProof w:val="0"/>
        </w:rPr>
        <w:t>Klusterbomber och utarmat uran i ammunition</w:t>
      </w:r>
      <w:bookmarkEnd w:id="51"/>
    </w:p>
    <w:p w:rsidR="00AD1390" w:rsidRPr="00BA76AF" w:rsidRDefault="00AD1390">
      <w:r w:rsidRPr="00BA76AF">
        <w:t xml:space="preserve">I motion </w:t>
      </w:r>
      <w:r w:rsidRPr="00BA76AF">
        <w:rPr>
          <w:i/>
        </w:rPr>
        <w:t>2000/01:U401 (v) yrkande 1</w:t>
      </w:r>
      <w:r w:rsidRPr="00BA76AF">
        <w:t xml:space="preserve"> vill Vänsterpartiet att Sverige i FN skall arbeta för att användning av s.k. klusterbomber förbjuds i enlighet med Ott</w:t>
      </w:r>
      <w:r w:rsidRPr="00BA76AF">
        <w:t>a</w:t>
      </w:r>
      <w:r w:rsidRPr="00BA76AF">
        <w:t>wakonventionens regler.</w:t>
      </w:r>
    </w:p>
    <w:p w:rsidR="00AD1390" w:rsidRPr="00BA76AF" w:rsidRDefault="00AD1390">
      <w:pPr>
        <w:pStyle w:val="Normaltindrag"/>
      </w:pPr>
      <w:r w:rsidRPr="00BA76AF">
        <w:t>Risken med klusterbomber är att de som ej detonerar vid träff blir blin</w:t>
      </w:r>
      <w:r w:rsidRPr="00BA76AF">
        <w:t>d</w:t>
      </w:r>
      <w:r w:rsidRPr="00BA76AF">
        <w:t>gångare som uppför sig på samma sätt som antipersonella minor vilka är förbjudna enligt Ottawako</w:t>
      </w:r>
      <w:r w:rsidRPr="00BA76AF">
        <w:t>n</w:t>
      </w:r>
      <w:r w:rsidRPr="00BA76AF">
        <w:t xml:space="preserve">ventionen. </w:t>
      </w:r>
    </w:p>
    <w:p w:rsidR="00AD1390" w:rsidRPr="00BA76AF" w:rsidRDefault="00AD1390">
      <w:pPr>
        <w:pStyle w:val="Normaltindrag"/>
      </w:pPr>
      <w:r w:rsidRPr="00BA76AF">
        <w:t>De humanitära problem som orsakas av ammunition som ej exploderar vid träff mot avsedda mål har kommit att uppmärksammas särskilt på senare tid. Sådan ammunition kan finnas i s.k. klusterbomber. Kosovokrisen visade att bl.a substridsdelar från klusterbomber skapade s.k. blindgångare som kvar på marken fick förödande konsekvenser för människor och samhällen. Mot bakgrund av detta finns det därför i d</w:t>
      </w:r>
      <w:r w:rsidRPr="00BA76AF">
        <w:t>agsläget ett stort behov av att angripa de problem som skapas av oexploderad ammunition från bl.a. annat klusterbo</w:t>
      </w:r>
      <w:r w:rsidRPr="00BA76AF">
        <w:t>m</w:t>
      </w:r>
      <w:r w:rsidRPr="00BA76AF">
        <w:t xml:space="preserve">ber. </w:t>
      </w:r>
    </w:p>
    <w:p w:rsidR="00AD1390" w:rsidRPr="00BA76AF" w:rsidRDefault="00AD1390">
      <w:pPr>
        <w:pStyle w:val="Normaltindrag"/>
      </w:pPr>
      <w:r w:rsidRPr="00BA76AF">
        <w:t>För närvarande pågår diskussioner inom ramen för konventionen om fö</w:t>
      </w:r>
      <w:r w:rsidRPr="00BA76AF">
        <w:t>r</w:t>
      </w:r>
      <w:r w:rsidRPr="00BA76AF">
        <w:t>bud mot eller inskränkningar i användningen av vissa konventionella vapen som kan anses vara ytterst skadebringande eller ha urskillningslösa verknin</w:t>
      </w:r>
      <w:r w:rsidRPr="00BA76AF">
        <w:t>g</w:t>
      </w:r>
      <w:r w:rsidRPr="00BA76AF">
        <w:t>ar, den s.k. vapenkonventionen (CCW) om reglering av s.k. explosiva lä</w:t>
      </w:r>
      <w:r w:rsidRPr="00BA76AF">
        <w:t>m</w:t>
      </w:r>
      <w:r w:rsidRPr="00BA76AF">
        <w:t>ningar av krig, ett begrepp som kan omfatta bl.a. substridsdelar i klusterbo</w:t>
      </w:r>
      <w:r w:rsidRPr="00BA76AF">
        <w:t>m</w:t>
      </w:r>
      <w:r w:rsidRPr="00BA76AF">
        <w:t>ber. Bakgrunden till diskussionerna inom ramen för CCW är ett förslag från Inte</w:t>
      </w:r>
      <w:r w:rsidRPr="00BA76AF">
        <w:t>r</w:t>
      </w:r>
      <w:r w:rsidRPr="00BA76AF">
        <w:t>nationella rödakorskommittén om just explosiva lämningar av krig.</w:t>
      </w:r>
    </w:p>
    <w:p w:rsidR="00AD1390" w:rsidRPr="00BA76AF" w:rsidRDefault="00AD1390">
      <w:pPr>
        <w:pStyle w:val="Normaltindrag"/>
      </w:pPr>
      <w:r w:rsidRPr="00BA76AF">
        <w:t>Sverige är drivande i det internationella arbete som syftar till at</w:t>
      </w:r>
      <w:r w:rsidRPr="00BA76AF">
        <w:t>t reglera olika typer av vapen, ammunition och sprängmedel som kan förorsaka öve</w:t>
      </w:r>
      <w:r w:rsidRPr="00BA76AF">
        <w:t>r</w:t>
      </w:r>
      <w:r w:rsidRPr="00BA76AF">
        <w:t>flödig skada eller onödigt lidande. Sverige tillsammans med övriga me</w:t>
      </w:r>
      <w:r w:rsidRPr="00BA76AF">
        <w:t>d</w:t>
      </w:r>
      <w:r w:rsidRPr="00BA76AF">
        <w:t>lemsländer i EU har framfört att ett mål för den översynskonferens för vape</w:t>
      </w:r>
      <w:r w:rsidRPr="00BA76AF">
        <w:t>n</w:t>
      </w:r>
      <w:r w:rsidRPr="00BA76AF">
        <w:t>konventionen som äger rum i december bör vara att fatta beslut om ett mandat för förhan</w:t>
      </w:r>
      <w:r w:rsidRPr="00BA76AF">
        <w:t>d</w:t>
      </w:r>
      <w:r w:rsidRPr="00BA76AF">
        <w:t xml:space="preserve">lingar om en reglering av s.k. explosiva lämningar av krig. </w:t>
      </w:r>
    </w:p>
    <w:p w:rsidR="00AD1390" w:rsidRPr="00BA76AF" w:rsidRDefault="00AD1390">
      <w:pPr>
        <w:pStyle w:val="Normaltindrag"/>
      </w:pPr>
      <w:r w:rsidRPr="00BA76AF">
        <w:t>I motionen framförs att klusterbomber bör inkluderas i Ottawakonventi</w:t>
      </w:r>
      <w:r w:rsidRPr="00BA76AF">
        <w:t>o</w:t>
      </w:r>
      <w:r w:rsidRPr="00BA76AF">
        <w:t>nen. Då Ottawakonventionen har en snäv avgränsning och endast täcker ant</w:t>
      </w:r>
      <w:r w:rsidRPr="00BA76AF">
        <w:t>i</w:t>
      </w:r>
      <w:r w:rsidRPr="00BA76AF">
        <w:t>personella minor, anser utskottet att en mer framkomlig väg för en reglering av bl.a. oexploderad ammunition, är den man redan slagit in på inom ramen för vapenkonventionen. Det råder enighet i EU-kretsen att vapenkonventi</w:t>
      </w:r>
      <w:r w:rsidRPr="00BA76AF">
        <w:t>o</w:t>
      </w:r>
      <w:r w:rsidRPr="00BA76AF">
        <w:t>nen är det forum inom vilket man bör behandla s.k. explosiva lämningar av krig. Vidare är det utskottets inställning att Ottawakonventionen i dagsläget ej bör öppnas för ändringar, då det främsta målet måste vara at</w:t>
      </w:r>
      <w:r w:rsidRPr="00BA76AF">
        <w:t>t åstadkomma universell anslutning till konventionens totalförbud mot antipers</w:t>
      </w:r>
      <w:r w:rsidRPr="00BA76AF">
        <w:t>o</w:t>
      </w:r>
      <w:r w:rsidRPr="00BA76AF">
        <w:t xml:space="preserve">nella minor. </w:t>
      </w:r>
    </w:p>
    <w:p w:rsidR="00AD1390" w:rsidRPr="00BA76AF" w:rsidRDefault="00AD1390">
      <w:r w:rsidRPr="00BA76AF">
        <w:t>Utskottet avstyrker därmed motion 2000/01:U401 (v) yrkande 1.</w:t>
      </w:r>
    </w:p>
    <w:p w:rsidR="00AD1390" w:rsidRPr="00BA76AF" w:rsidRDefault="00AD1390">
      <w:r w:rsidRPr="00BA76AF">
        <w:t xml:space="preserve">I motion </w:t>
      </w:r>
      <w:r w:rsidRPr="00BA76AF">
        <w:rPr>
          <w:i/>
        </w:rPr>
        <w:t>2000/01:U401 (v) yrkande 2</w:t>
      </w:r>
      <w:r w:rsidRPr="00BA76AF">
        <w:t xml:space="preserve"> kräver motionärerna att regeringen bör verka inom FN för att förbjuda utarmat uran (depleted uranium) i projektiler då utarmat uran som används i pansarbrytande ammunition i stoftform kan ge upphov till skador på människor och miljö. Vidare framförs att uppgifter förekommit om att USA använt projektiler med utarmat uran under bom</w:t>
      </w:r>
      <w:r w:rsidRPr="00BA76AF">
        <w:t>b</w:t>
      </w:r>
      <w:r w:rsidRPr="00BA76AF">
        <w:t>ningarna mot Irak och att ett oroväckande antal fall av barncancer konstat</w:t>
      </w:r>
      <w:r w:rsidRPr="00BA76AF">
        <w:t>e</w:t>
      </w:r>
      <w:r w:rsidRPr="00BA76AF">
        <w:t>rats i de områden som utsatts för bombningarna samt att veteraner från Gulfkri</w:t>
      </w:r>
      <w:r w:rsidRPr="00BA76AF">
        <w:t>get och deras anhöriga också tagit skada. I motionen framförs även ståndpunkten att användning av utarmat uran kan medföra svåra miljöskador av särskilt långvarig natur, vilket skulle kunna stå i strid med 1949 års Gen</w:t>
      </w:r>
      <w:r w:rsidRPr="00BA76AF">
        <w:t>è</w:t>
      </w:r>
      <w:r w:rsidRPr="00BA76AF">
        <w:t>vekonve</w:t>
      </w:r>
      <w:r w:rsidRPr="00BA76AF">
        <w:t>n</w:t>
      </w:r>
      <w:r w:rsidRPr="00BA76AF">
        <w:t>tioner och deras tilläggsprotokoll.</w:t>
      </w:r>
    </w:p>
    <w:p w:rsidR="00AD1390" w:rsidRPr="00BA76AF" w:rsidRDefault="00AD1390">
      <w:pPr>
        <w:pStyle w:val="Normaltindrag"/>
      </w:pPr>
      <w:r w:rsidRPr="00BA76AF">
        <w:t>Utskottet har förståelse för den oro som uttrycks beträffande verkningarna på hälsa och miljö på grund av användning av utarmat uran i ammunition och missiler, men konstaterar att det enligt expertinformation inte finns några vetenskapliga bevis för</w:t>
      </w:r>
      <w:r w:rsidRPr="00BA76AF">
        <w:t xml:space="preserve"> att en sådan användning skulle innebära någon farlig strålningsrisk eller någon större toxisk risk än vad som är fallet med andra tungmetaller, såsom exempelvis bly, kvicksilver eller kadmium. Detta b</w:t>
      </w:r>
      <w:r w:rsidRPr="00BA76AF">
        <w:t>e</w:t>
      </w:r>
      <w:r w:rsidRPr="00BA76AF">
        <w:t>kräftas även av den undersökning som genomfördes i Kosovo av United Nations Environmental Programme (UNEP), i samarbete med bl.a. Statens strålskyddsinstitut (SSI), vars resultat presenterades i mars 2001. Enligt Tota</w:t>
      </w:r>
      <w:r w:rsidRPr="00BA76AF">
        <w:t>l</w:t>
      </w:r>
      <w:r w:rsidRPr="00BA76AF">
        <w:t>försvarets forskningsinstitut (FOI) finns i dag heller inga bevis som tyder på att användnin</w:t>
      </w:r>
      <w:r w:rsidRPr="00BA76AF">
        <w:t xml:space="preserve">g av utarmat uran medför negativa medicinska eller ekologiska konsekvenser, vare sig akut eller på lång sikt, för civilbefolkning eller militär personal. </w:t>
      </w:r>
    </w:p>
    <w:p w:rsidR="00AD1390" w:rsidRPr="00BA76AF" w:rsidRDefault="00AD1390">
      <w:pPr>
        <w:pStyle w:val="Normaltindrag"/>
      </w:pPr>
      <w:r w:rsidRPr="00BA76AF">
        <w:t>Utskottet konstaterar att det saknas ett tillräckligt omfattande vetenskapligt underlag för att bedöma om användning av utarmat uran skulle strida mot 1949 års Genèvekonventioner och deras tilläggsprotokoll. Dock ger resultaten av de undersökningar som genomförts av bl.a. UNEP inget stöd åt argume</w:t>
      </w:r>
      <w:r w:rsidRPr="00BA76AF">
        <w:t>n</w:t>
      </w:r>
      <w:r w:rsidRPr="00BA76AF">
        <w:t>ten för att användning av utarmat uran skall anses utgöra en överträdelse av reglerna i dessa konventi</w:t>
      </w:r>
      <w:r w:rsidRPr="00BA76AF">
        <w:t>o</w:t>
      </w:r>
      <w:r w:rsidRPr="00BA76AF">
        <w:t>ner.</w:t>
      </w:r>
    </w:p>
    <w:p w:rsidR="00AD1390" w:rsidRPr="00BA76AF" w:rsidRDefault="00AD1390">
      <w:pPr>
        <w:pStyle w:val="Normaltindrag"/>
      </w:pPr>
      <w:r w:rsidRPr="00BA76AF">
        <w:t>Sverige är drivande i det internationella arbetet med att reglera olika typer av vapen, ammunition och sprängmedel och följer noga händelseutvecklingen inom detta område. Enligt den information som utskottet inhämtat finns det emellertid för närvarande inte förutsättningar att få till stånd ett förbud mot utarmat uran i projektiler. Skulle dock övertygande medicinska bevis visa att utarmat uran i amm</w:t>
      </w:r>
      <w:r w:rsidRPr="00BA76AF">
        <w:t>unition ger sådana hälso- och miljöskador som motionen hävdar, kommer utskottet att verka för att ett förbud av denna typ av amm</w:t>
      </w:r>
      <w:r w:rsidRPr="00BA76AF">
        <w:t>u</w:t>
      </w:r>
      <w:r w:rsidRPr="00BA76AF">
        <w:t>nition och dess användning kommer till stånd.</w:t>
      </w:r>
    </w:p>
    <w:p w:rsidR="00AD1390" w:rsidRPr="00BA76AF" w:rsidRDefault="00AD1390">
      <w:r w:rsidRPr="00BA76AF">
        <w:t>Utskottet avstyrker därmed motion 2000/01:U401 (v) yrkande 2.</w:t>
      </w:r>
    </w:p>
    <w:p w:rsidR="00AD1390" w:rsidRPr="00BA76AF" w:rsidRDefault="00AD1390">
      <w:pPr>
        <w:pStyle w:val="Rubrik4"/>
        <w:rPr>
          <w:noProof w:val="0"/>
        </w:rPr>
      </w:pPr>
      <w:bookmarkStart w:id="52" w:name="_Toc517757105"/>
      <w:r w:rsidRPr="00BA76AF">
        <w:rPr>
          <w:noProof w:val="0"/>
        </w:rPr>
        <w:t>Övriga frågor</w:t>
      </w:r>
      <w:bookmarkEnd w:id="52"/>
    </w:p>
    <w:p w:rsidR="00AD1390" w:rsidRPr="00BA76AF" w:rsidRDefault="00AD1390">
      <w:r w:rsidRPr="00BA76AF">
        <w:t xml:space="preserve">I motion </w:t>
      </w:r>
      <w:r w:rsidRPr="00BA76AF">
        <w:rPr>
          <w:i/>
        </w:rPr>
        <w:t>2000/01:U16 (v) yrkande 6</w:t>
      </w:r>
      <w:r w:rsidRPr="00BA76AF">
        <w:t xml:space="preserve"> föreslås ett omställningsprogram för försvarsindustrin på nationell nivå. </w:t>
      </w:r>
    </w:p>
    <w:p w:rsidR="00AD1390" w:rsidRPr="00BA76AF" w:rsidRDefault="00AD1390">
      <w:pPr>
        <w:pStyle w:val="Normaltindrag"/>
      </w:pPr>
      <w:r w:rsidRPr="00BA76AF">
        <w:t>Utskottet konstaterar att de förändrade betingelser för försvarsindustrins verksamhet som vuxit fram efter det kalla krigets slut medför ett anpas</w:t>
      </w:r>
      <w:r w:rsidRPr="00BA76AF">
        <w:t>s</w:t>
      </w:r>
      <w:r w:rsidRPr="00BA76AF">
        <w:t>ningsbehov. Ansvaret för denna anpassning av försvarsindustrins omfattning och inriktning måste enligt utskottets mening i första hand vila på industrin själv. Ett växande civilt inslag i försvarsindustrins produktion har också fö</w:t>
      </w:r>
      <w:r w:rsidRPr="00BA76AF">
        <w:t>r</w:t>
      </w:r>
      <w:r w:rsidRPr="00BA76AF">
        <w:t xml:space="preserve">märkts under senare år. </w:t>
      </w:r>
    </w:p>
    <w:p w:rsidR="00AD1390" w:rsidRPr="00BA76AF" w:rsidRDefault="00AD1390">
      <w:r w:rsidRPr="00BA76AF">
        <w:t>Utskottet avstyrker därmed motion 2000/01:U16 (v) yrkande 6.</w:t>
      </w:r>
    </w:p>
    <w:p w:rsidR="00AD1390" w:rsidRPr="00BA76AF" w:rsidRDefault="00AD1390">
      <w:r w:rsidRPr="00BA76AF">
        <w:t xml:space="preserve">I motion </w:t>
      </w:r>
      <w:r w:rsidRPr="00BA76AF">
        <w:rPr>
          <w:i/>
        </w:rPr>
        <w:t>2000/01:U16 (v) yrkande 9</w:t>
      </w:r>
      <w:r w:rsidRPr="00BA76AF">
        <w:t xml:space="preserve"> föreslås att Sverige skall verka för en omstäl</w:t>
      </w:r>
      <w:r w:rsidRPr="00BA76AF">
        <w:t>l</w:t>
      </w:r>
      <w:r w:rsidRPr="00BA76AF">
        <w:t>ning av försvarsindustrin även på EU-nivå.</w:t>
      </w:r>
    </w:p>
    <w:p w:rsidR="00AD1390" w:rsidRPr="00BA76AF" w:rsidRDefault="00AD1390">
      <w:pPr>
        <w:pStyle w:val="Normaltindrag"/>
      </w:pPr>
      <w:r w:rsidRPr="00BA76AF">
        <w:t>Genom att uppmuntra en europeisk omstrukturering av försvarsindustrin och aktivt delta i utformningen av regelsystem som skall underlätta en sådan förändring verkar Sverige redan för att förutsättningar skall skapas som gör det både möjligt och önskvärt för den europeiska försvarsindustrin att a</w:t>
      </w:r>
      <w:r w:rsidRPr="00BA76AF">
        <w:t>v</w:t>
      </w:r>
      <w:r w:rsidRPr="00BA76AF">
        <w:t>veckla den överkapacitet som i dag föreligger.</w:t>
      </w:r>
    </w:p>
    <w:p w:rsidR="00AD1390" w:rsidRPr="00BA76AF" w:rsidRDefault="00AD1390">
      <w:r w:rsidRPr="00BA76AF">
        <w:t>Utskottet avstyrker därmed motion 2000/01:U16 (v) yrkande 9.</w:t>
      </w:r>
    </w:p>
    <w:p w:rsidR="00AD1390" w:rsidRPr="00BA76AF" w:rsidRDefault="00AD1390">
      <w:r w:rsidRPr="00BA76AF">
        <w:t xml:space="preserve">I motion </w:t>
      </w:r>
      <w:r w:rsidRPr="00BA76AF">
        <w:rPr>
          <w:i/>
        </w:rPr>
        <w:t>2000/01:U402 (v) yrkande 9</w:t>
      </w:r>
      <w:r w:rsidRPr="00BA76AF">
        <w:t xml:space="preserve"> kräver Vänsterpartiet att regeringen tillsätter en parlamentariskt sammansatt utredning med uppdrag att genomföra en konsekvensanalys av hur ett svenskt medlemskap i WEAG påverkar efte</w:t>
      </w:r>
      <w:r w:rsidRPr="00BA76AF">
        <w:t>r</w:t>
      </w:r>
      <w:r w:rsidRPr="00BA76AF">
        <w:t>levnaden av de svenska rik</w:t>
      </w:r>
      <w:r w:rsidRPr="00BA76AF">
        <w:t>t</w:t>
      </w:r>
      <w:r w:rsidRPr="00BA76AF">
        <w:t xml:space="preserve">linjerna för krigsmaterielexport. </w:t>
      </w:r>
    </w:p>
    <w:p w:rsidR="00AD1390" w:rsidRPr="00BA76AF" w:rsidRDefault="00AD1390">
      <w:pPr>
        <w:pStyle w:val="Normaltindrag"/>
      </w:pPr>
      <w:r w:rsidRPr="00BA76AF">
        <w:t>Utskottet konstaterar att WEAG utgör ett samarbetsforum för materiela</w:t>
      </w:r>
      <w:r w:rsidRPr="00BA76AF">
        <w:t>n</w:t>
      </w:r>
      <w:r w:rsidRPr="00BA76AF">
        <w:t>skaffande myndigheter i de deltagande länderna. Det är ett samarbete som rör försvarsforskning och försvarsupphandling, men inte försvarsmaterielprodu</w:t>
      </w:r>
      <w:r w:rsidRPr="00BA76AF">
        <w:t>k</w:t>
      </w:r>
      <w:r w:rsidRPr="00BA76AF">
        <w:t>tion eller försvarsindustrier. I och med denna inriktning har WEAG-samarbetet inte någon relevans för expor</w:t>
      </w:r>
      <w:r w:rsidRPr="00BA76AF">
        <w:t>t</w:t>
      </w:r>
      <w:r w:rsidRPr="00BA76AF">
        <w:t xml:space="preserve">kontrollen.    </w:t>
      </w:r>
    </w:p>
    <w:p w:rsidR="00AD1390" w:rsidRPr="00BA76AF" w:rsidRDefault="00AD1390">
      <w:r w:rsidRPr="00BA76AF">
        <w:t>Utskottet avstyrker därmed motion 2000/01:U402 (v) yrkande 9.</w:t>
      </w:r>
    </w:p>
    <w:p w:rsidR="00AD1390" w:rsidRPr="00BA76AF" w:rsidRDefault="00AD1390">
      <w:pPr>
        <w:pStyle w:val="Normaltindrag"/>
        <w:sectPr w:rsidR="00000000" w:rsidRPr="00BA76A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D1390" w:rsidRPr="00BA76AF" w:rsidRDefault="00AD1390">
      <w:pPr>
        <w:pStyle w:val="Rubrik1"/>
        <w:rPr>
          <w:noProof w:val="0"/>
        </w:rPr>
      </w:pPr>
      <w:bookmarkStart w:id="53" w:name="_Toc517757106"/>
      <w:r w:rsidRPr="00BA76AF">
        <w:rPr>
          <w:noProof w:val="0"/>
        </w:rPr>
        <w:t>Reservationer</w:t>
      </w:r>
      <w:bookmarkEnd w:id="53"/>
    </w:p>
    <w:p w:rsidR="00AD1390" w:rsidRPr="00BA76AF" w:rsidRDefault="00AD1390">
      <w:r w:rsidRPr="00BA76AF">
        <w:t>Utskottets förslag till riksdagsbeslut och ställningstaganden har föranlett följande reservationer. I rubriken anges inom parentes vilken punkt i utsko</w:t>
      </w:r>
      <w:r w:rsidRPr="00BA76AF">
        <w:t>t</w:t>
      </w:r>
      <w:r w:rsidRPr="00BA76AF">
        <w:t>tets förslag till riksdagsbeslut som behandlas i avsnittet.</w:t>
      </w:r>
    </w:p>
    <w:p w:rsidR="00AD1390" w:rsidRPr="00BA76AF" w:rsidRDefault="00AD1390">
      <w:pPr>
        <w:pStyle w:val="Reservationspunkt"/>
        <w:rPr>
          <w:noProof w:val="0"/>
        </w:rPr>
      </w:pPr>
      <w:bookmarkStart w:id="54" w:name="_Toc517757107"/>
      <w:r w:rsidRPr="00BA76AF">
        <w:rPr>
          <w:noProof w:val="0"/>
        </w:rPr>
        <w:t>1.</w:t>
      </w:r>
      <w:r w:rsidRPr="00BA76AF">
        <w:rPr>
          <w:noProof w:val="0"/>
        </w:rPr>
        <w:tab/>
        <w:t>Ny lagstiftning för krigsmaterielexport (punkt 2) (v)</w:t>
      </w:r>
      <w:bookmarkEnd w:id="54"/>
    </w:p>
    <w:p w:rsidR="00AD1390" w:rsidRPr="00BA76AF" w:rsidRDefault="00AD1390">
      <w:pPr>
        <w:pStyle w:val="Reservanter"/>
      </w:pPr>
      <w:r w:rsidRPr="00BA76AF">
        <w:t>av Lars Ohly (v) och Murad Artin (v).</w:t>
      </w:r>
    </w:p>
    <w:p w:rsidR="00AD1390" w:rsidRPr="00BA76AF" w:rsidRDefault="00AD1390">
      <w:pPr>
        <w:pStyle w:val="R4"/>
      </w:pPr>
      <w:r w:rsidRPr="00BA76AF">
        <w:t>Förslag till riksdagsbeslut</w:t>
      </w:r>
    </w:p>
    <w:p w:rsidR="00AD1390" w:rsidRPr="00BA76AF" w:rsidRDefault="00AD1390">
      <w:r w:rsidRPr="00BA76AF">
        <w:t>Vi anser att utskottets förslag under punkt 2 borde ha följande lydelse:</w:t>
      </w:r>
    </w:p>
    <w:p w:rsidR="00AD1390" w:rsidRPr="00BA76AF" w:rsidRDefault="00AD1390">
      <w:r w:rsidRPr="00BA76AF">
        <w:t>Riksdagen tillkännager för regeringen som sin mening vad som framförs i reservation 1. Därmed bifaller riksdagen motion 2000/01:U16 yrkande 2</w:t>
      </w:r>
    </w:p>
    <w:p w:rsidR="00AD1390" w:rsidRPr="00BA76AF" w:rsidRDefault="00AD1390">
      <w:pPr>
        <w:pStyle w:val="R4"/>
      </w:pPr>
      <w:r w:rsidRPr="00BA76AF">
        <w:t>Ställningstagande</w:t>
      </w:r>
    </w:p>
    <w:p w:rsidR="00AD1390" w:rsidRPr="00BA76AF" w:rsidRDefault="00AD1390">
      <w:r w:rsidRPr="00BA76AF">
        <w:t>Vi anser att en än mer restriktiv lagstiftning än den nuvarande när det gäller svensk krigsmaterielexport bör införas. Hårdare krav på dispenser bör införas. Syftet med den nya lagstiftningen bör vara att vårt lands krigsmaterielexport på lång sikt successivt skall upphöra. Detta bör riksdagen med bifall till m</w:t>
      </w:r>
      <w:r w:rsidRPr="00BA76AF">
        <w:t>o</w:t>
      </w:r>
      <w:r w:rsidRPr="00BA76AF">
        <w:t>tion 2000/01:U16 yrkande 2 ge regeringen till känna.</w:t>
      </w:r>
    </w:p>
    <w:p w:rsidR="00AD1390" w:rsidRPr="00BA76AF" w:rsidRDefault="00AD1390">
      <w:pPr>
        <w:pStyle w:val="Reservationspunkt"/>
        <w:rPr>
          <w:noProof w:val="0"/>
        </w:rPr>
      </w:pPr>
      <w:bookmarkStart w:id="55" w:name="_Toc517757108"/>
      <w:r w:rsidRPr="00BA76AF">
        <w:rPr>
          <w:noProof w:val="0"/>
        </w:rPr>
        <w:t>2.</w:t>
      </w:r>
      <w:r w:rsidRPr="00BA76AF">
        <w:rPr>
          <w:noProof w:val="0"/>
        </w:rPr>
        <w:tab/>
        <w:t>Export av övrig krigsmateriel (punkt 3) (v) och (mp)</w:t>
      </w:r>
      <w:bookmarkEnd w:id="55"/>
    </w:p>
    <w:p w:rsidR="00AD1390" w:rsidRPr="00BA76AF" w:rsidRDefault="00AD1390">
      <w:pPr>
        <w:pStyle w:val="Reservanter"/>
      </w:pPr>
      <w:r w:rsidRPr="00BA76AF">
        <w:t>av Lars Ohly (v), Murad Artin (v) och Marianne Samuelsson (mp).</w:t>
      </w:r>
    </w:p>
    <w:p w:rsidR="00AD1390" w:rsidRPr="00BA76AF" w:rsidRDefault="00AD1390">
      <w:pPr>
        <w:pStyle w:val="R4"/>
      </w:pPr>
      <w:r w:rsidRPr="00BA76AF">
        <w:t>Förslag till riksdagsbeslut</w:t>
      </w:r>
    </w:p>
    <w:p w:rsidR="00AD1390" w:rsidRPr="00BA76AF" w:rsidRDefault="00AD1390">
      <w:r w:rsidRPr="00BA76AF">
        <w:t>Vi anser att utskottets förslag under punkt 3 borde ha följande lydelse:</w:t>
      </w:r>
    </w:p>
    <w:p w:rsidR="00AD1390" w:rsidRPr="00BA76AF" w:rsidRDefault="00AD1390">
      <w:r w:rsidRPr="00BA76AF">
        <w:t>Riksdagen tillkännager för regeringen som sin mening vad som framförs i reservation 2. Därmed bifaller riksdagen motion 2000/01:U16 yrkande 3.</w:t>
      </w:r>
    </w:p>
    <w:p w:rsidR="00AD1390" w:rsidRPr="00BA76AF" w:rsidRDefault="00AD1390">
      <w:pPr>
        <w:pStyle w:val="R4"/>
      </w:pPr>
      <w:r w:rsidRPr="00BA76AF">
        <w:t>Ställningstagande</w:t>
      </w:r>
    </w:p>
    <w:p w:rsidR="00AD1390" w:rsidRPr="00BA76AF" w:rsidRDefault="00AD1390">
      <w:r w:rsidRPr="00BA76AF">
        <w:t>Vi anser att den uppdelning som görs i regelverket mellan krigsmateriel för strid (KS) och övrig krigsmateriel (ÖK) är både olämplig och vilseledande. Den är vilseledande såtillvida att den ger intryck av att den sistnämnda kat</w:t>
      </w:r>
      <w:r w:rsidRPr="00BA76AF">
        <w:t>e</w:t>
      </w:r>
      <w:r w:rsidRPr="00BA76AF">
        <w:t>gorin krigsmateriel inte är lika farlig eller lika hotfull som krigsmateriel för strid (KS). Därigenom skapar den felaktiga föreställningar om den svenska krigsmaterielexportens beskaffenhet. Ofta är s.k. övrig krigsmateriel helt nödvändig för att krigsmateriel för strid skall kunna användas. Eftersom de</w:t>
      </w:r>
      <w:r w:rsidRPr="00BA76AF">
        <w:t>n</w:t>
      </w:r>
      <w:r w:rsidRPr="00BA76AF">
        <w:t>na uppdelning inte har något att göra med de effekter krigsmaterielen har när det gäller att åstadkomma mänskliga lidanden skall inte skilda regler för dem gälla. De regler som gäller för krigsmateriel för</w:t>
      </w:r>
      <w:r w:rsidRPr="00BA76AF">
        <w:t xml:space="preserve"> strid (KS) skall även tillä</w:t>
      </w:r>
      <w:r w:rsidRPr="00BA76AF">
        <w:t>m</w:t>
      </w:r>
      <w:r w:rsidRPr="00BA76AF">
        <w:t>pas för övrig krigsmateriel (ÖK). Detta bör riksdagen med bifall till motion 2000/01:U16 yrkande 3 ge regeringen till känna.</w:t>
      </w:r>
    </w:p>
    <w:p w:rsidR="00AD1390" w:rsidRPr="00BA76AF" w:rsidRDefault="00AD1390">
      <w:pPr>
        <w:pStyle w:val="Reservationspunkt"/>
        <w:rPr>
          <w:noProof w:val="0"/>
        </w:rPr>
      </w:pPr>
      <w:bookmarkStart w:id="56" w:name="_Toc517757109"/>
      <w:r w:rsidRPr="00BA76AF">
        <w:rPr>
          <w:noProof w:val="0"/>
        </w:rPr>
        <w:t>3.</w:t>
      </w:r>
      <w:r w:rsidRPr="00BA76AF">
        <w:rPr>
          <w:noProof w:val="0"/>
        </w:rPr>
        <w:tab/>
        <w:t>Demokratikriteriet (punkt 4) (v) och (mp)</w:t>
      </w:r>
      <w:bookmarkEnd w:id="56"/>
    </w:p>
    <w:p w:rsidR="00AD1390" w:rsidRPr="00BA76AF" w:rsidRDefault="00AD1390">
      <w:pPr>
        <w:pStyle w:val="Reservanter"/>
      </w:pPr>
      <w:r w:rsidRPr="00BA76AF">
        <w:t>av Lars Ohly (v), Murad Artin (v) och Marianne Samuelsson (mp).</w:t>
      </w:r>
    </w:p>
    <w:p w:rsidR="00AD1390" w:rsidRPr="00BA76AF" w:rsidRDefault="00AD1390">
      <w:pPr>
        <w:pStyle w:val="R4"/>
      </w:pPr>
      <w:r w:rsidRPr="00BA76AF">
        <w:t>Förslag till riksdagsbeslut</w:t>
      </w:r>
    </w:p>
    <w:p w:rsidR="00AD1390" w:rsidRPr="00BA76AF" w:rsidRDefault="00AD1390">
      <w:r w:rsidRPr="00BA76AF">
        <w:t>Vi anser att utskottets förslag under punkt 4 borde ha följande lydelse:</w:t>
      </w:r>
    </w:p>
    <w:p w:rsidR="00AD1390" w:rsidRPr="00BA76AF" w:rsidRDefault="00AD1390">
      <w:r w:rsidRPr="00BA76AF">
        <w:t>Riksdagen tillkännager för regeringen som sin mening vad som framförs i reservation 3. Därmed bifaller riksdagen motion 2000/01:U16 yrkande 5 samt förklarar motion 2000/01:U408 besvarad med vad utskottet anfört.</w:t>
      </w:r>
    </w:p>
    <w:p w:rsidR="00AD1390" w:rsidRPr="00BA76AF" w:rsidRDefault="00AD1390">
      <w:pPr>
        <w:pStyle w:val="R4"/>
      </w:pPr>
      <w:r w:rsidRPr="00BA76AF">
        <w:t>Ställningstagande</w:t>
      </w:r>
    </w:p>
    <w:p w:rsidR="00AD1390" w:rsidRPr="00BA76AF" w:rsidRDefault="00AD1390">
      <w:r w:rsidRPr="00BA76AF">
        <w:t>Restriktioner i de svenska riktlinjerna för krigsmaterielexport omfattar endast brott mot mänskliga rättigheter, konfliktsituationer där freden hotas eller krig pågår. Ett utmärkande drag i svensk utrikespolitik som blivit alltmer framtr</w:t>
      </w:r>
      <w:r w:rsidRPr="00BA76AF">
        <w:t>ä</w:t>
      </w:r>
      <w:r w:rsidRPr="00BA76AF">
        <w:t>dande under senare år är att Sverige på olika sätt sökt understödja demokr</w:t>
      </w:r>
      <w:r w:rsidRPr="00BA76AF">
        <w:t>a</w:t>
      </w:r>
      <w:r w:rsidRPr="00BA76AF">
        <w:t>tiska krafter och en demokratisk utveckling i olika delar av världen. I konse- kvens med en sådan politik borde Sverige inte bedriva en politik för krig</w:t>
      </w:r>
      <w:r w:rsidRPr="00BA76AF">
        <w:t>s</w:t>
      </w:r>
      <w:r w:rsidRPr="00BA76AF">
        <w:t xml:space="preserve">materielexport som innebär att man exporterar krigsmateriel till diktaturer. Ett demokratikriterium och ett krav på ett visst mått av folkstyre bör sålunda införas som ett krav när det gäller de länder till vilka Sverige exporterar krigsmateriel. Detta bör riksdagen med bifall till </w:t>
      </w:r>
      <w:r w:rsidRPr="00BA76AF">
        <w:t>motion 2000/01:U16 yrka</w:t>
      </w:r>
      <w:r w:rsidRPr="00BA76AF">
        <w:t>n</w:t>
      </w:r>
      <w:r w:rsidRPr="00BA76AF">
        <w:t>de 5 ge regeringen till känna.</w:t>
      </w:r>
    </w:p>
    <w:p w:rsidR="00AD1390" w:rsidRPr="00BA76AF" w:rsidRDefault="00AD1390">
      <w:pPr>
        <w:pStyle w:val="Reservationspunkt"/>
        <w:rPr>
          <w:noProof w:val="0"/>
        </w:rPr>
      </w:pPr>
      <w:bookmarkStart w:id="57" w:name="_Toc517757110"/>
      <w:r w:rsidRPr="00BA76AF">
        <w:rPr>
          <w:noProof w:val="0"/>
        </w:rPr>
        <w:t>4.</w:t>
      </w:r>
      <w:r w:rsidRPr="00BA76AF">
        <w:rPr>
          <w:noProof w:val="0"/>
        </w:rPr>
        <w:tab/>
        <w:t>Följdleveranser (punkt 5) (v) och (mp)</w:t>
      </w:r>
      <w:bookmarkEnd w:id="57"/>
    </w:p>
    <w:p w:rsidR="00AD1390" w:rsidRPr="00BA76AF" w:rsidRDefault="00AD1390">
      <w:pPr>
        <w:pStyle w:val="Reservanter"/>
      </w:pPr>
      <w:r w:rsidRPr="00BA76AF">
        <w:t>av Lars Ohly (v), Murad Artin (v) och Marianne Samuelsson (mp).</w:t>
      </w:r>
    </w:p>
    <w:p w:rsidR="00AD1390" w:rsidRPr="00BA76AF" w:rsidRDefault="00AD1390">
      <w:pPr>
        <w:pStyle w:val="R4"/>
      </w:pPr>
      <w:r w:rsidRPr="00BA76AF">
        <w:t>Förslag till riksdagsbeslut</w:t>
      </w:r>
    </w:p>
    <w:p w:rsidR="00AD1390" w:rsidRPr="00BA76AF" w:rsidRDefault="00AD1390">
      <w:r w:rsidRPr="00BA76AF">
        <w:t>Vi anser att utskottets förslag under punkt 5 borde ha följande lydelse:</w:t>
      </w:r>
    </w:p>
    <w:p w:rsidR="00AD1390" w:rsidRPr="00BA76AF" w:rsidRDefault="00AD1390">
      <w:r w:rsidRPr="00BA76AF">
        <w:t>Riksdagen tillkännager för regeringen som sin mening vad som framförs i reservation 4. Därmed bifaller riksdagen motion 2000/01:U16 yrkande 10 samt förklarar motion 2000/01:U16 yrkandena 11 och 12 besvarade med vad utskottet anfört.</w:t>
      </w:r>
    </w:p>
    <w:p w:rsidR="00AD1390" w:rsidRPr="00BA76AF" w:rsidRDefault="00AD1390">
      <w:pPr>
        <w:pStyle w:val="R4"/>
      </w:pPr>
      <w:r w:rsidRPr="00BA76AF">
        <w:t>Ställningstagande</w:t>
      </w:r>
    </w:p>
    <w:p w:rsidR="00AD1390" w:rsidRPr="00BA76AF" w:rsidRDefault="00AD1390">
      <w:r w:rsidRPr="00BA76AF">
        <w:t>Vi menar att hela krigsmaterielsystem aldrig får betraktas och exporteras som följdleveranser och kräver stopp av all export av ammunition och reservdelar till stater som kommer i krig eller som av andra orsaker inte uppfyller riktli</w:t>
      </w:r>
      <w:r w:rsidRPr="00BA76AF">
        <w:t>n</w:t>
      </w:r>
      <w:r w:rsidRPr="00BA76AF">
        <w:t>jerna för svensk krigsmaterielexport. Detta bör riksdagen med bifall till m</w:t>
      </w:r>
      <w:r w:rsidRPr="00BA76AF">
        <w:t>o</w:t>
      </w:r>
      <w:r w:rsidRPr="00BA76AF">
        <w:t>tion 2000/01:U16 yrkande 10 ge regeringen till känna.</w:t>
      </w:r>
    </w:p>
    <w:p w:rsidR="00AD1390" w:rsidRPr="00BA76AF" w:rsidRDefault="00AD1390">
      <w:pPr>
        <w:pStyle w:val="Reservationspunkt"/>
        <w:rPr>
          <w:noProof w:val="0"/>
        </w:rPr>
      </w:pPr>
      <w:bookmarkStart w:id="58" w:name="_Toc517757111"/>
      <w:r w:rsidRPr="00BA76AF">
        <w:rPr>
          <w:noProof w:val="0"/>
        </w:rPr>
        <w:t>5.</w:t>
      </w:r>
      <w:r w:rsidRPr="00BA76AF">
        <w:rPr>
          <w:noProof w:val="0"/>
        </w:rPr>
        <w:tab/>
        <w:t>EU-gemensamma regler för krigsmaterielexport (punkt 6) (m)</w:t>
      </w:r>
      <w:bookmarkEnd w:id="58"/>
    </w:p>
    <w:p w:rsidR="00AD1390" w:rsidRPr="00BA76AF" w:rsidRDefault="00AD1390">
      <w:pPr>
        <w:pStyle w:val="Reservanter"/>
      </w:pPr>
      <w:r w:rsidRPr="00BA76AF">
        <w:t>av Bertil Persson (m), Liselotte Wågö (m), Sten Tolgfors (m) och Karin Enström (m).</w:t>
      </w:r>
    </w:p>
    <w:p w:rsidR="00AD1390" w:rsidRPr="00BA76AF" w:rsidRDefault="00AD1390">
      <w:pPr>
        <w:pStyle w:val="R4"/>
      </w:pPr>
      <w:r w:rsidRPr="00BA76AF">
        <w:t>Förslag till riksdagsbeslut</w:t>
      </w:r>
    </w:p>
    <w:p w:rsidR="00AD1390" w:rsidRPr="00BA76AF" w:rsidRDefault="00AD1390">
      <w:r w:rsidRPr="00BA76AF">
        <w:t>Vi anser att utskottets förslag under punkt 6 borde ha följande lydelse:</w:t>
      </w:r>
    </w:p>
    <w:p w:rsidR="00AD1390" w:rsidRPr="00BA76AF" w:rsidRDefault="00AD1390">
      <w:r w:rsidRPr="00BA76AF">
        <w:t>Riksdagen tillkännager för regeringen som sin mening vad som framförs i reservation 5. Därmed bifaller riksdagen motion 2000/01:U15 yrkandena 1 och 2 och motion 2000/01:U411 yrkandena 1 och 2.</w:t>
      </w:r>
    </w:p>
    <w:p w:rsidR="00AD1390" w:rsidRPr="00BA76AF" w:rsidRDefault="00AD1390">
      <w:pPr>
        <w:pStyle w:val="R4"/>
      </w:pPr>
      <w:r w:rsidRPr="00BA76AF">
        <w:t>Ställningstagande</w:t>
      </w:r>
    </w:p>
    <w:p w:rsidR="00AD1390" w:rsidRPr="00BA76AF" w:rsidRDefault="00AD1390">
      <w:pPr>
        <w:rPr>
          <w:snapToGrid w:val="0"/>
          <w:lang w:eastAsia="sv-SE"/>
        </w:rPr>
      </w:pPr>
      <w:r w:rsidRPr="00BA76AF">
        <w:t>Den gemensamma uppförandekod för vapenexport som antagits av EU är ett steg på vägen mot verkligt gemensamma exportregler på krigsmaterielomr</w:t>
      </w:r>
      <w:r w:rsidRPr="00BA76AF">
        <w:t>å</w:t>
      </w:r>
      <w:r w:rsidRPr="00BA76AF">
        <w:t xml:space="preserve">det. Denna process kommer att ta åtskilliga år. </w:t>
      </w:r>
      <w:r w:rsidRPr="00BA76AF">
        <w:rPr>
          <w:snapToGrid w:val="0"/>
          <w:lang w:eastAsia="sv-SE"/>
        </w:rPr>
        <w:t>Vi anser att arbetet redan nu måste inledas för att ta fram dessa regler samt för att bygga upp en gemensam myndighet för tillsyn och export av krigsmateriel och strategiska produkter.</w:t>
      </w:r>
    </w:p>
    <w:p w:rsidR="00AD1390" w:rsidRPr="00BA76AF" w:rsidRDefault="00AD1390">
      <w:r w:rsidRPr="00BA76AF">
        <w:t>Detta bör riksdagen med bifall till motion 2000/01:U15 yrkandena 1 och 2 och motion 2000/01:U411 yrkandena 1 och 2 ge regeringen till känna.</w:t>
      </w:r>
    </w:p>
    <w:p w:rsidR="00AD1390" w:rsidRPr="00BA76AF" w:rsidRDefault="00AD1390">
      <w:pPr>
        <w:pStyle w:val="Reservationspunkt"/>
        <w:rPr>
          <w:noProof w:val="0"/>
        </w:rPr>
      </w:pPr>
      <w:bookmarkStart w:id="59" w:name="_Toc517757112"/>
      <w:r w:rsidRPr="00BA76AF">
        <w:rPr>
          <w:noProof w:val="0"/>
        </w:rPr>
        <w:t>6.</w:t>
      </w:r>
      <w:r w:rsidRPr="00BA76AF">
        <w:rPr>
          <w:noProof w:val="0"/>
        </w:rPr>
        <w:tab/>
        <w:t>Offentlig redovisning av avslagsbeslut (punkt 7) (v) och (mp)</w:t>
      </w:r>
      <w:bookmarkEnd w:id="59"/>
    </w:p>
    <w:p w:rsidR="00AD1390" w:rsidRPr="00BA76AF" w:rsidRDefault="00AD1390">
      <w:pPr>
        <w:pStyle w:val="Reservanter"/>
      </w:pPr>
      <w:r w:rsidRPr="00BA76AF">
        <w:t>av Lars Ohly (v), Murad Artin (v) och Marianne Samuelsson (mp).</w:t>
      </w:r>
    </w:p>
    <w:p w:rsidR="00AD1390" w:rsidRPr="00BA76AF" w:rsidRDefault="00AD1390">
      <w:pPr>
        <w:pStyle w:val="R4"/>
      </w:pPr>
      <w:r w:rsidRPr="00BA76AF">
        <w:t>Förslag till riksdagsbeslut</w:t>
      </w:r>
    </w:p>
    <w:p w:rsidR="00AD1390" w:rsidRPr="00BA76AF" w:rsidRDefault="00AD1390">
      <w:r w:rsidRPr="00BA76AF">
        <w:t>Vi anser att utskottets förslag under punkt 7 borde ha följande lydelse:</w:t>
      </w:r>
    </w:p>
    <w:p w:rsidR="00AD1390" w:rsidRPr="00BA76AF" w:rsidRDefault="00AD1390">
      <w:r w:rsidRPr="00BA76AF">
        <w:t>Riksdagen tillkännager för regeringen som sin mening vad som framförs i reservation 6. Därmed bifaller riksdagen motion 2000/01:U16 yrkande 4.</w:t>
      </w:r>
    </w:p>
    <w:p w:rsidR="00AD1390" w:rsidRPr="00BA76AF" w:rsidRDefault="00AD1390">
      <w:pPr>
        <w:pStyle w:val="R4"/>
      </w:pPr>
      <w:r w:rsidRPr="00BA76AF">
        <w:t>Ställningstagande</w:t>
      </w:r>
    </w:p>
    <w:p w:rsidR="00AD1390" w:rsidRPr="00BA76AF" w:rsidRDefault="00AD1390">
      <w:r w:rsidRPr="00BA76AF">
        <w:t>Enligt EU:s uppförandekod för vapenexport skall medlemsländerna redovisa för varandra vilka licenser man har avslagit. Nederländerna och Storbritann</w:t>
      </w:r>
      <w:r w:rsidRPr="00BA76AF">
        <w:t>i</w:t>
      </w:r>
      <w:r w:rsidRPr="00BA76AF">
        <w:t>en har föregått med gott exempel och redovisar dessa i sina årliga rapporter, något som Sverige bör ta efter. Att rena avslag är sällsynta förstärker arg</w:t>
      </w:r>
      <w:r w:rsidRPr="00BA76AF">
        <w:t>u</w:t>
      </w:r>
      <w:r w:rsidRPr="00BA76AF">
        <w:t>mentationen för att dessa bör offentliggöras. Detta bör riksdagen med bifall till motion 2000/01:U16 yrkande 4 ge regeringen till känna.</w:t>
      </w:r>
    </w:p>
    <w:p w:rsidR="00AD1390" w:rsidRPr="00BA76AF" w:rsidRDefault="00AD1390">
      <w:pPr>
        <w:pStyle w:val="Reservationspunkt"/>
        <w:rPr>
          <w:noProof w:val="0"/>
        </w:rPr>
      </w:pPr>
      <w:bookmarkStart w:id="60" w:name="_Toc517757113"/>
      <w:r w:rsidRPr="00BA76AF">
        <w:rPr>
          <w:noProof w:val="0"/>
        </w:rPr>
        <w:t>7.</w:t>
      </w:r>
      <w:r w:rsidRPr="00BA76AF">
        <w:rPr>
          <w:noProof w:val="0"/>
        </w:rPr>
        <w:tab/>
        <w:t>Utarmat uran i ammunition (punkt 12) (v) och (mp)</w:t>
      </w:r>
      <w:bookmarkEnd w:id="60"/>
    </w:p>
    <w:p w:rsidR="00AD1390" w:rsidRPr="00BA76AF" w:rsidRDefault="00AD1390">
      <w:pPr>
        <w:pStyle w:val="Reservanter"/>
      </w:pPr>
      <w:r w:rsidRPr="00BA76AF">
        <w:t>av Lars Ohly (v), Murad Artin (v) och Marianne Samuelsson (mp).</w:t>
      </w:r>
    </w:p>
    <w:p w:rsidR="00AD1390" w:rsidRPr="00BA76AF" w:rsidRDefault="00AD1390">
      <w:pPr>
        <w:pStyle w:val="R4"/>
      </w:pPr>
      <w:r w:rsidRPr="00BA76AF">
        <w:t>Förslag till riksdagsbeslut</w:t>
      </w:r>
    </w:p>
    <w:p w:rsidR="00AD1390" w:rsidRPr="00BA76AF" w:rsidRDefault="00AD1390">
      <w:r w:rsidRPr="00BA76AF">
        <w:t>Vi anser att utskottets förslag under punkt 12 borde ha följande lydelse:</w:t>
      </w:r>
    </w:p>
    <w:p w:rsidR="00AD1390" w:rsidRPr="00BA76AF" w:rsidRDefault="00AD1390">
      <w:r w:rsidRPr="00BA76AF">
        <w:t>Riksdagen tillkännager för regeringen som sin mening vad som framförs i reservation 7. Därmed bifaller riksdagen motion 2000/01:U401 yrkande 2.</w:t>
      </w:r>
    </w:p>
    <w:p w:rsidR="00AD1390" w:rsidRPr="00BA76AF" w:rsidRDefault="00AD1390">
      <w:pPr>
        <w:pStyle w:val="R4"/>
      </w:pPr>
      <w:r w:rsidRPr="00BA76AF">
        <w:t>Ställningstagande</w:t>
      </w:r>
    </w:p>
    <w:p w:rsidR="00AD1390" w:rsidRPr="00BA76AF" w:rsidRDefault="00AD1390">
      <w:r w:rsidRPr="00BA76AF">
        <w:rPr>
          <w:color w:val="000000"/>
        </w:rPr>
        <w:t>Att utarmat uran skulle vara lika farligt eller ofarligt som bly eller andra tungmetaller stämmer inte enligt många forskare. Man kan förvisso hålla sådan ammunition i handen eller ha den hemma utan risk, men vid detonation blir den farlig. I explosionsögonblicket förvandlas uranet till uranoxid. Om detta andas in sprids det i kroppen. Via lungorna och matsmältningsapparaten sprids sedan dessa partiklar och ger strålskador på vitala organ och ger olika symtom.</w:t>
      </w:r>
    </w:p>
    <w:p w:rsidR="00AD1390" w:rsidRPr="00BA76AF" w:rsidRDefault="00AD1390">
      <w:pPr>
        <w:pStyle w:val="Normaltindrag"/>
      </w:pPr>
      <w:r w:rsidRPr="00BA76AF">
        <w:t>Det finns ett intresse från militären och försvarsindustrin i USA att anvä</w:t>
      </w:r>
      <w:r w:rsidRPr="00BA76AF">
        <w:t>n</w:t>
      </w:r>
      <w:r w:rsidRPr="00BA76AF">
        <w:t>da utarmat uran på grund av att det är billigt och förbättrar projektilernas genomslag betydligt. Men det finns ett humanitärt intresse att förbjuda det på grund av de befarade effekterna på människor och miljö som går långt utanför den akuta skadan och effekten som bomber ger och utanför området och tiden för kriget. Försiktighetsprincipen måste råda i fall där forskningen inte ger entydiga svar på ämnens farlighet. Med anledning av detta bör Sverige i FN driva frågan om förbud mot användning av utarmat u</w:t>
      </w:r>
      <w:r w:rsidRPr="00BA76AF">
        <w:t>ran i ammunition. Detta bör riksdagen med bifall till motion 2000/01:U401 yrkande 2 ge regeringen till känna.</w:t>
      </w:r>
    </w:p>
    <w:p w:rsidR="00AD1390" w:rsidRPr="00BA76AF" w:rsidRDefault="00AD1390">
      <w:pPr>
        <w:pStyle w:val="Reservationspunkt"/>
        <w:rPr>
          <w:noProof w:val="0"/>
        </w:rPr>
      </w:pPr>
      <w:bookmarkStart w:id="61" w:name="_Toc517757114"/>
      <w:r w:rsidRPr="00BA76AF">
        <w:rPr>
          <w:noProof w:val="0"/>
        </w:rPr>
        <w:t>8.</w:t>
      </w:r>
      <w:r w:rsidRPr="00BA76AF">
        <w:rPr>
          <w:noProof w:val="0"/>
        </w:rPr>
        <w:tab/>
        <w:t>WEAG-medlemskap (punkt 14) (v) och (mp)</w:t>
      </w:r>
      <w:bookmarkEnd w:id="61"/>
    </w:p>
    <w:p w:rsidR="00AD1390" w:rsidRPr="00BA76AF" w:rsidRDefault="00AD1390">
      <w:pPr>
        <w:pStyle w:val="Reservanter"/>
      </w:pPr>
      <w:r w:rsidRPr="00BA76AF">
        <w:t>av Lars Ohly (v), Murad Artin (v) och Marianne Samuelsson (mp).</w:t>
      </w:r>
    </w:p>
    <w:p w:rsidR="00AD1390" w:rsidRPr="00BA76AF" w:rsidRDefault="00AD1390">
      <w:pPr>
        <w:pStyle w:val="R4"/>
      </w:pPr>
      <w:r w:rsidRPr="00BA76AF">
        <w:t>Förslag till riksdagsbeslut</w:t>
      </w:r>
    </w:p>
    <w:p w:rsidR="00AD1390" w:rsidRPr="00BA76AF" w:rsidRDefault="00AD1390">
      <w:r w:rsidRPr="00BA76AF">
        <w:t>Vi anser att utskottets förslag under punkt 14 borde ha följande lydelse:</w:t>
      </w:r>
    </w:p>
    <w:p w:rsidR="00AD1390" w:rsidRPr="00BA76AF" w:rsidRDefault="00AD1390">
      <w:r w:rsidRPr="00BA76AF">
        <w:t>Riksdagen tillkännager för regeringen som sin mening vad som framförs i reservation 8. Därmed bifaller riksdagen motion 2000/01:U402 yrkande 9.</w:t>
      </w:r>
    </w:p>
    <w:p w:rsidR="00AD1390" w:rsidRPr="00BA76AF" w:rsidRDefault="00AD1390">
      <w:pPr>
        <w:pStyle w:val="R4"/>
      </w:pPr>
      <w:r w:rsidRPr="00BA76AF">
        <w:t>Ställningstagande</w:t>
      </w:r>
    </w:p>
    <w:p w:rsidR="00AD1390" w:rsidRPr="00BA76AF" w:rsidRDefault="00AD1390">
      <w:r w:rsidRPr="00BA76AF">
        <w:t>Den militära dimensionen av EU innefattar även ett utökat samarbete mellan de europeiska försvarsindustrierna med ”harmonisering av militära krav samt planering och anskaffande av vapen” som mål. Således har Sverige begärt inträde i Västeuropeiska försvarsmaterielgruppen WEAG (Western European Armaments Group). Organisationen har 13 medlemmar, alla Nato-länder. Finland, Österrike och Sverige har för närvarande observatörsstatus. De svenska riktlinjerna för vapenexport ter sig vid en internationell jämförel</w:t>
      </w:r>
      <w:r w:rsidRPr="00BA76AF">
        <w:t>se relativt restriktiva. Uppenbarligen kan inte WEAG-samarbetet undgå att påverka även synen på krigsmaterielexport för medlemsländerna. Ett viktigt villkor för att Sverige skall delta i ett utvidgat europeiskt försvarsindustr</w:t>
      </w:r>
      <w:r w:rsidRPr="00BA76AF">
        <w:t>i</w:t>
      </w:r>
      <w:r w:rsidRPr="00BA76AF">
        <w:t>samarbete är att den svenska hållningen avseende krigsmaterielexport kan upprätthållas. Därför krävs att det genomförs en konsekvensanalys av hur ett svenskt medlemskap i WEAG påverkar efterlevnaden av de svenska riktli</w:t>
      </w:r>
      <w:r w:rsidRPr="00BA76AF">
        <w:t>n</w:t>
      </w:r>
      <w:r w:rsidRPr="00BA76AF">
        <w:t>jerna för krigsmaterielexport. Regeringen bör därför tillsätta en</w:t>
      </w:r>
      <w:r w:rsidRPr="00BA76AF">
        <w:t xml:space="preserve"> parlament</w:t>
      </w:r>
      <w:r w:rsidRPr="00BA76AF">
        <w:t>a</w:t>
      </w:r>
      <w:r w:rsidRPr="00BA76AF">
        <w:t>riskt sammansatt utredning med ett sådant uppdrag. Detta bör riksdagen med bifall till motion 2000/01:U402 yrkande 9 ge regeringen till känna.</w:t>
      </w:r>
      <w:bookmarkStart w:id="62" w:name="Nästa_Reservation"/>
      <w:bookmarkEnd w:id="62"/>
    </w:p>
    <w:p w:rsidR="00AD1390" w:rsidRPr="00BA76AF" w:rsidRDefault="00AD1390">
      <w:pPr>
        <w:pStyle w:val="Normaltindrag"/>
        <w:sectPr w:rsidR="00000000" w:rsidRPr="00BA76A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D1390" w:rsidRPr="00BA76AF" w:rsidRDefault="00AD1390">
      <w:pPr>
        <w:pStyle w:val="Rubrik1"/>
        <w:rPr>
          <w:noProof w:val="0"/>
        </w:rPr>
      </w:pPr>
      <w:bookmarkStart w:id="63" w:name="_Toc517757115"/>
      <w:r w:rsidRPr="00BA76AF">
        <w:rPr>
          <w:noProof w:val="0"/>
        </w:rPr>
        <w:t>Särskilda yttranden</w:t>
      </w:r>
      <w:bookmarkEnd w:id="63"/>
    </w:p>
    <w:p w:rsidR="00AD1390" w:rsidRPr="00BA76AF" w:rsidRDefault="00AD1390">
      <w:r w:rsidRPr="00BA76AF">
        <w:t>Utskottets beredning av ärendet har föranlett följande särskilda yttranden. I rubriken anges inom parentes vilken punkt i utskottets förslag till riksdagsb</w:t>
      </w:r>
      <w:r w:rsidRPr="00BA76AF">
        <w:t>e</w:t>
      </w:r>
      <w:r w:rsidRPr="00BA76AF">
        <w:t>slut som behandlas i avsnittet.</w:t>
      </w:r>
    </w:p>
    <w:p w:rsidR="00AD1390" w:rsidRPr="00BA76AF" w:rsidRDefault="00AD1390">
      <w:pPr>
        <w:pStyle w:val="Yttrandepunkt"/>
        <w:rPr>
          <w:noProof w:val="0"/>
        </w:rPr>
      </w:pPr>
      <w:bookmarkStart w:id="64" w:name="_Toc517757116"/>
      <w:r w:rsidRPr="00BA76AF">
        <w:rPr>
          <w:noProof w:val="0"/>
        </w:rPr>
        <w:t>1. Tolkning av nuvarande regelverk (punkt 1) (v)</w:t>
      </w:r>
      <w:bookmarkEnd w:id="64"/>
    </w:p>
    <w:p w:rsidR="00AD1390" w:rsidRPr="00BA76AF" w:rsidRDefault="00AD1390">
      <w:pPr>
        <w:pStyle w:val="Reservanter"/>
        <w:jc w:val="left"/>
      </w:pPr>
      <w:r w:rsidRPr="00BA76AF">
        <w:t>av Lars Ohly (v) och Murad Artin (v).</w:t>
      </w:r>
    </w:p>
    <w:p w:rsidR="00AD1390" w:rsidRPr="00BA76AF" w:rsidRDefault="00AD1390">
      <w:r w:rsidRPr="00BA76AF">
        <w:t>Enligt svensk lag är export av krigsmateriel förbjuden, men dispenser kan dock beviljas. Grundtanken med ett generellt förbud är att den svenska krig</w:t>
      </w:r>
      <w:r w:rsidRPr="00BA76AF">
        <w:t>s</w:t>
      </w:r>
      <w:r w:rsidRPr="00BA76AF">
        <w:t>materielexporten skall vara restriktiv. Dispenserna får dock inte bli så många eller reglerna för undantag så vaga och oklara att själva grundtanken med det generella förbudet undergrävs. Flera exempel ur den svenska krigsmateriel-exportens historia visar att svenska företag beviljats exporttillstånd till länder som rimligen inte borde ha fått köpa krigsmateriel från Sverige. Detta riskerar att urholka det förbud mot krigsmateriel som enligt svensk lag är grundregel. Vi anser att den nuvarande lagstiftning</w:t>
      </w:r>
      <w:r w:rsidRPr="00BA76AF">
        <w:t>en när det gäller krigsmaterielexporten bör tolkas korrekt och därmed mer restriktivt.</w:t>
      </w:r>
    </w:p>
    <w:p w:rsidR="00AD1390" w:rsidRPr="00BA76AF" w:rsidRDefault="00AD1390">
      <w:pPr>
        <w:pStyle w:val="Yttrandepunkt"/>
        <w:rPr>
          <w:noProof w:val="0"/>
        </w:rPr>
      </w:pPr>
      <w:bookmarkStart w:id="65" w:name="_Toc517757117"/>
      <w:r w:rsidRPr="00BA76AF">
        <w:rPr>
          <w:noProof w:val="0"/>
        </w:rPr>
        <w:t>2. Krigsmaterielexport till enskilda stater och områden (punkt 10) (v)</w:t>
      </w:r>
      <w:bookmarkEnd w:id="65"/>
    </w:p>
    <w:p w:rsidR="00AD1390" w:rsidRPr="00BA76AF" w:rsidRDefault="00AD1390">
      <w:pPr>
        <w:pStyle w:val="Reservanter"/>
      </w:pPr>
      <w:r w:rsidRPr="00BA76AF">
        <w:t>av Lars Ohly (v) och Murad Artin (v).</w:t>
      </w:r>
    </w:p>
    <w:p w:rsidR="00AD1390" w:rsidRPr="00BA76AF" w:rsidRDefault="00AD1390">
      <w:r w:rsidRPr="00BA76AF">
        <w:t>Utskottsmajoriteten säger sig inte kunna ta ställning till förhållandena i e</w:t>
      </w:r>
      <w:r w:rsidRPr="00BA76AF">
        <w:t>n</w:t>
      </w:r>
      <w:r w:rsidRPr="00BA76AF">
        <w:t>skilda länder utan lastar helt och hållet över denna uppgift på ISP och Expor</w:t>
      </w:r>
      <w:r w:rsidRPr="00BA76AF">
        <w:t>t</w:t>
      </w:r>
      <w:r w:rsidRPr="00BA76AF">
        <w:t xml:space="preserve">kontrollrådet, som båda utför viktigt och omfattande granskningsarbete. Men riksdagen har även rätt till insyn och kontroll när det gäller dessa frågor och även en skyldighet att kontrollera hur det regelverk man antagit </w:t>
      </w:r>
      <w:r w:rsidRPr="00BA76AF">
        <w:rPr>
          <w:i/>
        </w:rPr>
        <w:t>i praktiken</w:t>
      </w:r>
      <w:r w:rsidRPr="00BA76AF">
        <w:t xml:space="preserve"> fungerar. Ett sådant ställningstagande kompletterar de övergripande riktlinjer som riksdagen genom lagstiftning ger granskande och beslutande myndigh</w:t>
      </w:r>
      <w:r w:rsidRPr="00BA76AF">
        <w:t>e</w:t>
      </w:r>
      <w:r w:rsidRPr="00BA76AF">
        <w:t>ter.</w:t>
      </w:r>
    </w:p>
    <w:p w:rsidR="00AD1390" w:rsidRPr="00BA76AF" w:rsidRDefault="00AD1390">
      <w:pPr>
        <w:pStyle w:val="Yttrandepunkt"/>
        <w:rPr>
          <w:noProof w:val="0"/>
        </w:rPr>
      </w:pPr>
      <w:bookmarkStart w:id="66" w:name="_Toc517757118"/>
      <w:r w:rsidRPr="00BA76AF">
        <w:rPr>
          <w:noProof w:val="0"/>
        </w:rPr>
        <w:t>3. Krigsmaterielexport till enskilda stater o</w:t>
      </w:r>
      <w:r w:rsidRPr="00BA76AF">
        <w:rPr>
          <w:noProof w:val="0"/>
        </w:rPr>
        <w:t>ch områden (punkt 10) (v), (c) och (fp)</w:t>
      </w:r>
      <w:bookmarkEnd w:id="66"/>
      <w:r w:rsidRPr="00BA76AF">
        <w:rPr>
          <w:noProof w:val="0"/>
        </w:rPr>
        <w:t xml:space="preserve"> </w:t>
      </w:r>
    </w:p>
    <w:p w:rsidR="00AD1390" w:rsidRPr="00BA76AF" w:rsidRDefault="00AD1390">
      <w:pPr>
        <w:pStyle w:val="Reservanter"/>
      </w:pPr>
      <w:r w:rsidRPr="00BA76AF">
        <w:t>av Lars Ohly (v), Murad Artin (v), Agne Hansson (c) och Karl-Göran Biörsmark (fp).</w:t>
      </w:r>
    </w:p>
    <w:p w:rsidR="00AD1390" w:rsidRPr="00BA76AF" w:rsidRDefault="00AD1390">
      <w:pPr>
        <w:rPr>
          <w:snapToGrid w:val="0"/>
          <w:lang w:eastAsia="sv-SE"/>
        </w:rPr>
      </w:pPr>
      <w:r w:rsidRPr="00BA76AF">
        <w:rPr>
          <w:snapToGrid w:val="0"/>
          <w:lang w:eastAsia="sv-SE"/>
        </w:rPr>
        <w:t>Efter Suhartos avgång ökade hoppet om en demokratisk utveckling i Indon</w:t>
      </w:r>
      <w:r w:rsidRPr="00BA76AF">
        <w:rPr>
          <w:snapToGrid w:val="0"/>
          <w:lang w:eastAsia="sv-SE"/>
        </w:rPr>
        <w:t>e</w:t>
      </w:r>
      <w:r w:rsidRPr="00BA76AF">
        <w:rPr>
          <w:snapToGrid w:val="0"/>
          <w:lang w:eastAsia="sv-SE"/>
        </w:rPr>
        <w:t>sien. Nu kan dock konstateras att förmågan till förändring i demokratisk riktning, verkar vara mycket begränsad. De indonesiska säkerhetsstyrkorna fortsätter att agera på ett sätt som tyder på bristande kontroll och definitivt på andra intressen än dem som statsledningen uttalar. Återigen verkar den mörka bilden av ett Indonesien, som antingen går mot en blodig inre upplösning eller där militären på nytt griper in och tar makten också formellt, inte vara så avlägsen.</w:t>
      </w:r>
    </w:p>
    <w:p w:rsidR="00AD1390" w:rsidRPr="00BA76AF" w:rsidRDefault="00AD1390">
      <w:pPr>
        <w:pStyle w:val="Normaltindrag"/>
      </w:pPr>
      <w:r w:rsidRPr="00BA76AF">
        <w:rPr>
          <w:snapToGrid w:val="0"/>
          <w:lang w:eastAsia="sv-SE"/>
        </w:rPr>
        <w:t>Det är viktigt att Sverige inom ramen f</w:t>
      </w:r>
      <w:r w:rsidRPr="00BA76AF">
        <w:rPr>
          <w:snapToGrid w:val="0"/>
          <w:lang w:eastAsia="sv-SE"/>
        </w:rPr>
        <w:t>ör EU-samarbetet i olika samma</w:t>
      </w:r>
      <w:r w:rsidRPr="00BA76AF">
        <w:rPr>
          <w:snapToGrid w:val="0"/>
          <w:lang w:eastAsia="sv-SE"/>
        </w:rPr>
        <w:t>n</w:t>
      </w:r>
      <w:r w:rsidRPr="00BA76AF">
        <w:rPr>
          <w:snapToGrid w:val="0"/>
          <w:lang w:eastAsia="sv-SE"/>
        </w:rPr>
        <w:t>hang verkar för att Indonesien förmås att påbörja en demokratisk utveckling av landet och genomföra fredliga lösningar på sina många territoriella och etniska konflikter. EU bör till detta har skett upprätthålla sitt förbud från septe</w:t>
      </w:r>
      <w:r w:rsidRPr="00BA76AF">
        <w:rPr>
          <w:snapToGrid w:val="0"/>
          <w:lang w:eastAsia="sv-SE"/>
        </w:rPr>
        <w:t>m</w:t>
      </w:r>
      <w:r w:rsidRPr="00BA76AF">
        <w:rPr>
          <w:snapToGrid w:val="0"/>
          <w:lang w:eastAsia="sv-SE"/>
        </w:rPr>
        <w:t>ber 1999 mot vapenexport till Indonesien.</w:t>
      </w:r>
      <w:r w:rsidRPr="00BA76AF">
        <w:t xml:space="preserve"> </w:t>
      </w:r>
    </w:p>
    <w:p w:rsidR="00AD1390" w:rsidRPr="00BA76AF" w:rsidRDefault="00AD1390">
      <w:pPr>
        <w:pStyle w:val="Normaltindrag"/>
        <w:sectPr w:rsidR="00000000" w:rsidRPr="00BA76A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D1390" w:rsidRPr="00BA76AF" w:rsidRDefault="00AD1390">
      <w:pPr>
        <w:pStyle w:val="Bilaga"/>
      </w:pPr>
      <w:r w:rsidRPr="00BA76AF">
        <w:t>Bilaga</w:t>
      </w:r>
    </w:p>
    <w:p w:rsidR="00AD1390" w:rsidRPr="00BA76AF" w:rsidRDefault="00AD1390">
      <w:pPr>
        <w:pStyle w:val="Rubrik1"/>
        <w:spacing w:before="125"/>
        <w:rPr>
          <w:noProof w:val="0"/>
        </w:rPr>
      </w:pPr>
      <w:bookmarkStart w:id="67" w:name="_Toc517757119"/>
      <w:r w:rsidRPr="00BA76AF">
        <w:rPr>
          <w:noProof w:val="0"/>
        </w:rPr>
        <w:t>Förteckning över behandlade förslag</w:t>
      </w:r>
      <w:bookmarkEnd w:id="67"/>
    </w:p>
    <w:p w:rsidR="00AD1390" w:rsidRPr="00BA76AF" w:rsidRDefault="00AD1390">
      <w:pPr>
        <w:pStyle w:val="Rubrik2"/>
        <w:spacing w:before="0"/>
      </w:pPr>
      <w:bookmarkStart w:id="68" w:name="_Toc517757120"/>
      <w:r w:rsidRPr="00BA76AF">
        <w:t>Skrivelsen</w:t>
      </w:r>
      <w:bookmarkEnd w:id="68"/>
    </w:p>
    <w:p w:rsidR="00AD1390" w:rsidRPr="00BA76AF" w:rsidRDefault="00AD1390">
      <w:r w:rsidRPr="00BA76AF">
        <w:t>Regeringen har till riksdagen överlämnat skrivelse 2000/01:114 Redogörelse för den svenska exportkontrollpolitiken och exporten av krigsmateriel år 2000.</w:t>
      </w:r>
    </w:p>
    <w:p w:rsidR="00AD1390" w:rsidRPr="00BA76AF" w:rsidRDefault="00AD1390">
      <w:pPr>
        <w:pStyle w:val="Rubrik2"/>
      </w:pPr>
      <w:bookmarkStart w:id="69" w:name="_Toc517757121"/>
      <w:r w:rsidRPr="00BA76AF">
        <w:t>Följdmotioner</w:t>
      </w:r>
      <w:bookmarkEnd w:id="69"/>
    </w:p>
    <w:p w:rsidR="00AD1390" w:rsidRPr="00BA76AF" w:rsidRDefault="00AD1390">
      <w:pPr>
        <w:rPr>
          <w:i/>
        </w:rPr>
      </w:pPr>
      <w:r w:rsidRPr="00BA76AF">
        <w:rPr>
          <w:i/>
        </w:rPr>
        <w:t>2000/01:U15 av Göran Lennmarker m.fl. (m):</w:t>
      </w:r>
    </w:p>
    <w:p w:rsidR="00AD1390" w:rsidRPr="00BA76AF" w:rsidRDefault="00AD1390">
      <w:pPr>
        <w:pStyle w:val="Yrkanden"/>
      </w:pPr>
      <w:r w:rsidRPr="00BA76AF">
        <w:t>1.</w:t>
      </w:r>
      <w:r w:rsidRPr="00BA76AF">
        <w:tab/>
        <w:t>Riksdagen tillkännager för regeringen som sin mening vad i motionen anförs om gemensamma exportregler för krigsmaterielexport i EU.</w:t>
      </w:r>
    </w:p>
    <w:p w:rsidR="00AD1390" w:rsidRPr="00BA76AF" w:rsidRDefault="00AD1390">
      <w:pPr>
        <w:pStyle w:val="Yrkanden"/>
      </w:pPr>
      <w:r w:rsidRPr="00BA76AF">
        <w:t>2.</w:t>
      </w:r>
      <w:r w:rsidRPr="00BA76AF">
        <w:tab/>
        <w:t>Riksdagen tillkännager för regeringen som sin mening vad i motionen anförs om en gemensam EU-myndighet för kontroll och insyn av export av krigsmateriel och strategiska produkter.</w:t>
      </w:r>
    </w:p>
    <w:p w:rsidR="00AD1390" w:rsidRPr="00BA76AF" w:rsidRDefault="00AD1390">
      <w:pPr>
        <w:rPr>
          <w:i/>
        </w:rPr>
      </w:pPr>
      <w:r w:rsidRPr="00BA76AF">
        <w:rPr>
          <w:i/>
        </w:rPr>
        <w:t>2000/01:U16 av Gudrun Schyman m.fl. (v)</w:t>
      </w:r>
    </w:p>
    <w:p w:rsidR="00AD1390" w:rsidRPr="00BA76AF" w:rsidRDefault="00AD1390">
      <w:pPr>
        <w:pStyle w:val="Yrkanden"/>
      </w:pPr>
      <w:r w:rsidRPr="00BA76AF">
        <w:t>1.</w:t>
      </w:r>
      <w:r w:rsidRPr="00BA76AF">
        <w:tab/>
        <w:t>Riksdagen tillkännager för regeringen som sin mening vad i motionen anförs om att den nuvarande lagstiftningen när det gäller den svenska krigsmaterielexporten tolkas korrekt och därmed restriktivt.</w:t>
      </w:r>
    </w:p>
    <w:p w:rsidR="00AD1390" w:rsidRPr="00BA76AF" w:rsidRDefault="00AD1390">
      <w:pPr>
        <w:pStyle w:val="Yrkanden"/>
      </w:pPr>
      <w:r w:rsidRPr="00BA76AF">
        <w:t>2.</w:t>
      </w:r>
      <w:r w:rsidRPr="00BA76AF">
        <w:tab/>
        <w:t>Riksdagen tillkännager för regeringen som sin mening vad i motionen anförs om att svensk krigsmateriel på kort sikt skall underkastas en mer r</w:t>
      </w:r>
      <w:r w:rsidRPr="00BA76AF">
        <w:t>e</w:t>
      </w:r>
      <w:r w:rsidRPr="00BA76AF">
        <w:t>striktiv lagstiftning syftande till att på längre sikt medföra den svenska krigsmaterielexportens upphörande.</w:t>
      </w:r>
    </w:p>
    <w:p w:rsidR="00AD1390" w:rsidRPr="00BA76AF" w:rsidRDefault="00AD1390">
      <w:pPr>
        <w:pStyle w:val="Yrkanden"/>
      </w:pPr>
      <w:r w:rsidRPr="00BA76AF">
        <w:t>3.</w:t>
      </w:r>
      <w:r w:rsidRPr="00BA76AF">
        <w:tab/>
        <w:t>Riksdagen tillkännager för regeringen som sin mening vad i motionen anförs om att de riktlinjer som gäller för krigsmateriel för strid (KS) också skall tillämpas för övrig krigsmateriel (ÖK).</w:t>
      </w:r>
    </w:p>
    <w:p w:rsidR="00AD1390" w:rsidRPr="00BA76AF" w:rsidRDefault="00AD1390">
      <w:pPr>
        <w:pStyle w:val="Yrkanden"/>
      </w:pPr>
      <w:r w:rsidRPr="00BA76AF">
        <w:t>4.</w:t>
      </w:r>
      <w:r w:rsidRPr="00BA76AF">
        <w:tab/>
        <w:t>Riksdagen tillkännager för regeringen som sin mening vad i motionen anförs om att Sverige i likhet med Nederländerna och Storbritannien – i enlighet med EU:s uppförandekod – offentligt bör redovisa vilka krigsm</w:t>
      </w:r>
      <w:r w:rsidRPr="00BA76AF">
        <w:t>a</w:t>
      </w:r>
      <w:r w:rsidRPr="00BA76AF">
        <w:t>teriellicenser som avslagits.</w:t>
      </w:r>
    </w:p>
    <w:p w:rsidR="00AD1390" w:rsidRPr="00BA76AF" w:rsidRDefault="00AD1390">
      <w:pPr>
        <w:pStyle w:val="Yrkanden"/>
      </w:pPr>
      <w:r w:rsidRPr="00BA76AF">
        <w:t>5.</w:t>
      </w:r>
      <w:r w:rsidRPr="00BA76AF">
        <w:tab/>
        <w:t>Riksdagen tillkännager för regeringen som sin mening vad i motionen anförs om att ett demokratikriterium införs när det gäller restriktionerna för den svenska krigsmaterielexporten.</w:t>
      </w:r>
    </w:p>
    <w:p w:rsidR="00AD1390" w:rsidRPr="00BA76AF" w:rsidRDefault="00AD1390">
      <w:pPr>
        <w:pStyle w:val="Yrkanden"/>
      </w:pPr>
      <w:r w:rsidRPr="00BA76AF">
        <w:t>6.</w:t>
      </w:r>
      <w:r w:rsidRPr="00BA76AF">
        <w:tab/>
        <w:t>Riksdagen tillkännager för regeringen som sin mening vad i motionen anförs om att ett omställningsprogram för industrin utformas med syfte att ersätta krigsmaterielindustrin med annan produktion.</w:t>
      </w:r>
    </w:p>
    <w:p w:rsidR="00AD1390" w:rsidRPr="00BA76AF" w:rsidRDefault="00AD1390">
      <w:pPr>
        <w:pStyle w:val="Yrkanden"/>
      </w:pPr>
      <w:r w:rsidRPr="00BA76AF">
        <w:t>7.</w:t>
      </w:r>
      <w:r w:rsidRPr="00BA76AF">
        <w:tab/>
        <w:t>Riksdagen tillkännager för regeringen som sin mening vad i motionen anförs om att regeringen i sitt fortsatta arbete med EU:s uppförandekod för krigsmaterielexporten verkar för att denna blir mer restriktiv och bindande.</w:t>
      </w:r>
    </w:p>
    <w:p w:rsidR="00AD1390" w:rsidRPr="00BA76AF" w:rsidRDefault="00AD1390">
      <w:pPr>
        <w:pStyle w:val="Yrkanden"/>
      </w:pPr>
      <w:r w:rsidRPr="00BA76AF">
        <w:t>8.</w:t>
      </w:r>
      <w:r w:rsidRPr="00BA76AF">
        <w:tab/>
        <w:t>Riksdagen tillkännager för regeringen som sin mening vad i motionen anförs om att regeringen verkar för att svenska regler skall gälla vid sa</w:t>
      </w:r>
      <w:r w:rsidRPr="00BA76AF">
        <w:t>m</w:t>
      </w:r>
      <w:r w:rsidRPr="00BA76AF">
        <w:t>arbete mellan svenska företag och företag i andra EU-länder när det gäller export av krigsmateriel.</w:t>
      </w:r>
    </w:p>
    <w:p w:rsidR="00AD1390" w:rsidRPr="00BA76AF" w:rsidRDefault="00AD1390">
      <w:pPr>
        <w:pStyle w:val="Yrkanden"/>
      </w:pPr>
      <w:r w:rsidRPr="00BA76AF">
        <w:t>9.</w:t>
      </w:r>
      <w:r w:rsidRPr="00BA76AF">
        <w:tab/>
        <w:t>Riksdagen tillkännager för regeringen som sin mening vad i motionen anförs om att regeringen i det europeiska samarbetet när det gäller krig</w:t>
      </w:r>
      <w:r w:rsidRPr="00BA76AF">
        <w:t>s</w:t>
      </w:r>
      <w:r w:rsidRPr="00BA76AF">
        <w:t>materielproduktion verkar för en övergång från produktion av krigsmater</w:t>
      </w:r>
      <w:r w:rsidRPr="00BA76AF">
        <w:t>i</w:t>
      </w:r>
      <w:r w:rsidRPr="00BA76AF">
        <w:t>el till civil produktion.</w:t>
      </w:r>
    </w:p>
    <w:p w:rsidR="00AD1390" w:rsidRPr="00BA76AF" w:rsidRDefault="00AD1390">
      <w:pPr>
        <w:pStyle w:val="Yrkanden"/>
      </w:pPr>
      <w:r w:rsidRPr="00BA76AF">
        <w:t>10. Riksdagen tillkännager för regeringen som sin mening vad i motionen anförs om att någon åtskillnad i riktlinjer mellan nya leveranser av krig</w:t>
      </w:r>
      <w:r w:rsidRPr="00BA76AF">
        <w:t>s</w:t>
      </w:r>
      <w:r w:rsidRPr="00BA76AF">
        <w:t>materiel och följdleveranser inte görs, utan att samma regler som gäller för nya leveranser även skall gälla för följdleveranser.</w:t>
      </w:r>
    </w:p>
    <w:p w:rsidR="00AD1390" w:rsidRPr="00BA76AF" w:rsidRDefault="00AD1390">
      <w:pPr>
        <w:pStyle w:val="Yrkanden"/>
      </w:pPr>
      <w:r w:rsidRPr="00BA76AF">
        <w:t>11. Riksdagen tillkännager för regeringen som sin mening vad i motionen anförs om att det i riktlinjerna för svensk krigsmaterielexport skall införas en särskild paragraf eller formulering som anger att det inte finns någon given rätt för en köpare av svensk krigsmateriel att erhålla följdlev</w:t>
      </w:r>
      <w:r w:rsidRPr="00BA76AF">
        <w:t>e</w:t>
      </w:r>
      <w:r w:rsidRPr="00BA76AF">
        <w:t>ranser.</w:t>
      </w:r>
    </w:p>
    <w:p w:rsidR="00AD1390" w:rsidRPr="00BA76AF" w:rsidRDefault="00AD1390">
      <w:pPr>
        <w:pStyle w:val="Yrkanden"/>
      </w:pPr>
      <w:r w:rsidRPr="00BA76AF">
        <w:t>12. Riksdagen tillkännager för regeringen som sin mening vad i motionen anförs om att Sverige – ifall föregående yrkande avslås av riksdagen – återgår till den ursprungliga definitionen av begreppet följdleveranser, vi</w:t>
      </w:r>
      <w:r w:rsidRPr="00BA76AF">
        <w:t>l</w:t>
      </w:r>
      <w:r w:rsidRPr="00BA76AF">
        <w:t>ken inte medger så vida tolkningsmöjligheter som den nuvarande defin</w:t>
      </w:r>
      <w:r w:rsidRPr="00BA76AF">
        <w:t>i</w:t>
      </w:r>
      <w:r w:rsidRPr="00BA76AF">
        <w:t>tionen.</w:t>
      </w:r>
    </w:p>
    <w:p w:rsidR="00AD1390" w:rsidRPr="00BA76AF" w:rsidRDefault="00AD1390">
      <w:pPr>
        <w:pStyle w:val="Yrkanden"/>
      </w:pPr>
      <w:r w:rsidRPr="00BA76AF">
        <w:t>13. Riksdagen tillkännager för regeringen som sin mening vad i motionen anförs om att krigsmaterielexporten till Mellanöstern åter skall upphöra.</w:t>
      </w:r>
    </w:p>
    <w:p w:rsidR="00AD1390" w:rsidRPr="00BA76AF" w:rsidRDefault="00AD1390">
      <w:pPr>
        <w:pStyle w:val="Yrkanden"/>
      </w:pPr>
      <w:r w:rsidRPr="00BA76AF">
        <w:t>14. Riksdagen tillkännager för regeringen som sin mening vad i motionen anförs om stopp för krigsmaterielexporten till de länder som i motionen anges under avsnittet Krigsmaterielexport till länder som kränker mänskl</w:t>
      </w:r>
      <w:r w:rsidRPr="00BA76AF">
        <w:t>i</w:t>
      </w:r>
      <w:r w:rsidRPr="00BA76AF">
        <w:t>ga rättigheter.</w:t>
      </w:r>
    </w:p>
    <w:p w:rsidR="00AD1390" w:rsidRPr="00BA76AF" w:rsidRDefault="00AD1390">
      <w:pPr>
        <w:pStyle w:val="Rubrik2"/>
      </w:pPr>
      <w:bookmarkStart w:id="70" w:name="_Toc517757122"/>
      <w:r w:rsidRPr="00BA76AF">
        <w:t>Motioner från allmänna motionstiden</w:t>
      </w:r>
      <w:bookmarkEnd w:id="70"/>
    </w:p>
    <w:p w:rsidR="00AD1390" w:rsidRPr="00BA76AF" w:rsidRDefault="00AD1390">
      <w:pPr>
        <w:rPr>
          <w:i/>
        </w:rPr>
      </w:pPr>
      <w:bookmarkStart w:id="71" w:name="RangeStart"/>
      <w:bookmarkEnd w:id="71"/>
      <w:r w:rsidRPr="00BA76AF">
        <w:rPr>
          <w:i/>
        </w:rPr>
        <w:t>2000/01:U401 av Berit Jóhannesson m.fl. (v):</w:t>
      </w:r>
    </w:p>
    <w:p w:rsidR="00AD1390" w:rsidRPr="00BA76AF" w:rsidRDefault="00AD1390">
      <w:pPr>
        <w:pStyle w:val="Yrkanden"/>
      </w:pPr>
      <w:r w:rsidRPr="00BA76AF">
        <w:t>1. Riksdagen tillkännager för regeringen som sin mening att Sverige i FN skall driva frågan om att klusterbomber förbjuds i enlighet med Ottaw</w:t>
      </w:r>
      <w:r w:rsidRPr="00BA76AF">
        <w:t>a</w:t>
      </w:r>
      <w:r w:rsidRPr="00BA76AF">
        <w:t xml:space="preserve">konventionens regler. </w:t>
      </w:r>
    </w:p>
    <w:p w:rsidR="00AD1390" w:rsidRPr="00BA76AF" w:rsidRDefault="00AD1390">
      <w:pPr>
        <w:pStyle w:val="Yrkanden"/>
      </w:pPr>
      <w:r w:rsidRPr="00BA76AF">
        <w:t xml:space="preserve">2. Riksdagen tillkännager för regeringen som sin mening att Sverige i FN skall driva frågan om förbud mot depleted uranium i ammunition. </w:t>
      </w:r>
    </w:p>
    <w:p w:rsidR="00AD1390" w:rsidRPr="00BA76AF" w:rsidRDefault="00AD1390">
      <w:pPr>
        <w:rPr>
          <w:i/>
        </w:rPr>
      </w:pPr>
      <w:r w:rsidRPr="00BA76AF">
        <w:rPr>
          <w:i/>
        </w:rPr>
        <w:t>2000/01:U402 av Gudrun Schyman m.fl. (v):</w:t>
      </w:r>
    </w:p>
    <w:p w:rsidR="00AD1390" w:rsidRPr="00BA76AF" w:rsidRDefault="00AD1390">
      <w:pPr>
        <w:pStyle w:val="Yrkanden"/>
      </w:pPr>
      <w:r w:rsidRPr="00BA76AF">
        <w:t>9. Riksdagen begär att regeringen tillsätter en parlamentariskt sammansatt utredning med uppdrag att genomföra en konsekvensanalys av hur ett svenskt medlemskap i WEAG påverkar efterlevnaden av de svenska rik</w:t>
      </w:r>
      <w:r w:rsidRPr="00BA76AF">
        <w:t>t</w:t>
      </w:r>
      <w:r w:rsidRPr="00BA76AF">
        <w:t xml:space="preserve">linjerna för krigsmaterielexport. </w:t>
      </w:r>
    </w:p>
    <w:p w:rsidR="00AD1390" w:rsidRPr="00BA76AF" w:rsidRDefault="00AD1390">
      <w:pPr>
        <w:rPr>
          <w:i/>
        </w:rPr>
      </w:pPr>
      <w:r w:rsidRPr="00BA76AF">
        <w:rPr>
          <w:i/>
        </w:rPr>
        <w:t>2000/01:U408 av Lars Ångström m.fl. (mp):</w:t>
      </w:r>
    </w:p>
    <w:p w:rsidR="00AD1390" w:rsidRPr="00BA76AF" w:rsidRDefault="00AD1390">
      <w:r w:rsidRPr="00BA76AF">
        <w:t>Riksdagen tillkännager för regeringen som sin mening vad i motionen anförs om att Sverige inte skall tillåta export av krigsmateriel från Sverige till dikt</w:t>
      </w:r>
      <w:r w:rsidRPr="00BA76AF">
        <w:t>a</w:t>
      </w:r>
      <w:r w:rsidRPr="00BA76AF">
        <w:t xml:space="preserve">turer. </w:t>
      </w:r>
    </w:p>
    <w:p w:rsidR="00AD1390" w:rsidRPr="00BA76AF" w:rsidRDefault="00AD1390">
      <w:pPr>
        <w:rPr>
          <w:i/>
        </w:rPr>
      </w:pPr>
      <w:r w:rsidRPr="00BA76AF">
        <w:rPr>
          <w:i/>
        </w:rPr>
        <w:t>2000/01:U411 av Göran Lennmarker m.fl. (m):</w:t>
      </w:r>
    </w:p>
    <w:p w:rsidR="00AD1390" w:rsidRPr="00BA76AF" w:rsidRDefault="00AD1390">
      <w:pPr>
        <w:pStyle w:val="Yrkanden"/>
      </w:pPr>
      <w:r w:rsidRPr="00BA76AF">
        <w:t xml:space="preserve">1. Riksdagen tillkännager för regeringen som sin mening vad i motionen anförs om EU-gemensamma regler för krigsmaterielexport. </w:t>
      </w:r>
    </w:p>
    <w:p w:rsidR="00AD1390" w:rsidRPr="00BA76AF" w:rsidRDefault="00AD1390">
      <w:pPr>
        <w:pStyle w:val="Yrkanden"/>
      </w:pPr>
      <w:r w:rsidRPr="00BA76AF">
        <w:t>2.</w:t>
      </w:r>
      <w:r w:rsidRPr="00BA76AF">
        <w:tab/>
        <w:t>Riksdagen tillkännager för regeringen som sin mening vad i motionen anförs om en gemensam EU-myndighet.</w:t>
      </w:r>
    </w:p>
    <w:p w:rsidR="00AD1390" w:rsidRPr="00BA76AF" w:rsidRDefault="00AD1390">
      <w:pPr>
        <w:rPr>
          <w:i/>
        </w:rPr>
      </w:pPr>
      <w:r w:rsidRPr="00BA76AF">
        <w:rPr>
          <w:i/>
        </w:rPr>
        <w:t>2000/01:U616 av Murad Artin m.fl. (v):</w:t>
      </w:r>
    </w:p>
    <w:p w:rsidR="00AD1390" w:rsidRPr="00BA76AF" w:rsidRDefault="00AD1390">
      <w:pPr>
        <w:pStyle w:val="Yrkanden"/>
      </w:pPr>
      <w:r w:rsidRPr="00BA76AF">
        <w:t>1. Riksdagen tillkännager för regeringen som sin mening vad i motionen anförs om att Sverige omedelbart avbryter sin krigsmaterielexport till P</w:t>
      </w:r>
      <w:r w:rsidRPr="00BA76AF">
        <w:t>a</w:t>
      </w:r>
      <w:r w:rsidRPr="00BA76AF">
        <w:t xml:space="preserve">kistan och andra grannländer inblandade i Afghanistankonflikten. </w:t>
      </w:r>
    </w:p>
    <w:p w:rsidR="00AD1390" w:rsidRPr="00BA76AF" w:rsidRDefault="00AD1390">
      <w:pPr>
        <w:pStyle w:val="Yrkanden"/>
      </w:pPr>
      <w:r w:rsidRPr="00BA76AF">
        <w:t xml:space="preserve">2. Riksdagen tillkännager för regeringen som sin mening vad i motionen anförs om att Sverige inom EU skall verka för att all krigsmaterielexport till Afghanistans grannländer som är inblandade i Afghanistankonflikten avbryts. </w:t>
      </w:r>
    </w:p>
    <w:p w:rsidR="00AD1390" w:rsidRPr="00BA76AF" w:rsidRDefault="00AD1390">
      <w:pPr>
        <w:rPr>
          <w:i/>
        </w:rPr>
      </w:pPr>
      <w:r w:rsidRPr="00BA76AF">
        <w:rPr>
          <w:i/>
        </w:rPr>
        <w:t>2000/01:U633 av Karl-Göran Biörsmark m.fl. (fp):</w:t>
      </w:r>
    </w:p>
    <w:p w:rsidR="00AD1390" w:rsidRPr="00BA76AF" w:rsidRDefault="00AD1390">
      <w:pPr>
        <w:pStyle w:val="Yrkanden"/>
      </w:pPr>
      <w:r w:rsidRPr="00BA76AF">
        <w:t>2. Riksdagen tillkännager för regeringen som sin mening vad i motionen anförs om att EU bör upprätthålla sitt förbud från september 1999 mot v</w:t>
      </w:r>
      <w:r w:rsidRPr="00BA76AF">
        <w:t>a</w:t>
      </w:r>
      <w:r w:rsidRPr="00BA76AF">
        <w:t xml:space="preserve">penexport till Indonesien. </w:t>
      </w:r>
    </w:p>
    <w:p w:rsidR="00AD1390" w:rsidRPr="00BA76AF" w:rsidRDefault="00AD1390"/>
    <w:p w:rsidR="00AD1390" w:rsidRPr="00BA76AF" w:rsidRDefault="00AD1390">
      <w:pPr>
        <w:pStyle w:val="Tryckort"/>
        <w:framePr w:wrap="around"/>
        <w:jc w:val="right"/>
      </w:pPr>
      <w:r w:rsidRPr="00BA76AF">
        <w:t>Elanders Gotab, Stockholm  2001</w:t>
      </w:r>
    </w:p>
    <w:p w:rsidR="00AD1390" w:rsidRPr="00BA76AF" w:rsidRDefault="00AD1390">
      <w:pPr>
        <w:pStyle w:val="Normaltindrag"/>
      </w:pPr>
    </w:p>
    <w:sectPr w:rsidR="00AD1390" w:rsidRPr="00BA76A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390" w:rsidRPr="00BA76AF" w:rsidRDefault="00AD1390">
      <w:pPr>
        <w:spacing w:before="0" w:line="240" w:lineRule="auto"/>
      </w:pPr>
      <w:r w:rsidRPr="00BA76AF">
        <w:separator/>
      </w:r>
    </w:p>
  </w:endnote>
  <w:endnote w:type="continuationSeparator" w:id="0">
    <w:p w:rsidR="00AD1390" w:rsidRPr="00BA76AF" w:rsidRDefault="00AD1390">
      <w:pPr>
        <w:spacing w:before="0" w:line="240" w:lineRule="auto"/>
      </w:pPr>
      <w:r w:rsidRPr="00BA7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2</w:t>
    </w:r>
    <w:r w:rsidRPr="00BA76AF">
      <w:fldChar w:fldCharType="end"/>
    </w:r>
  </w:p>
  <w:p w:rsidR="00AD1390" w:rsidRPr="00BA76AF" w:rsidRDefault="00AD139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18</w:t>
    </w:r>
    <w:r w:rsidRPr="00BA76AF">
      <w:fldChar w:fldCharType="end"/>
    </w:r>
  </w:p>
  <w:p w:rsidR="00AD1390" w:rsidRPr="00BA76AF" w:rsidRDefault="00AD139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17</w:t>
    </w:r>
    <w:r w:rsidRPr="00BA76AF">
      <w:fldChar w:fldCharType="end"/>
    </w:r>
  </w:p>
  <w:p w:rsidR="00AD1390" w:rsidRPr="00BA76AF" w:rsidRDefault="00AD139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6</w:instrText>
    </w:r>
    <w:r w:rsidRPr="00BA76AF">
      <w:fldChar w:fldCharType="end"/>
    </w:r>
    <w:r w:rsidRPr="00BA76AF">
      <w:instrText xml:space="preserve">/2 </w:instrText>
    </w:r>
    <w:r w:rsidRPr="00BA76AF">
      <w:fldChar w:fldCharType="separate"/>
    </w:r>
    <w:r w:rsidRPr="00BA76AF">
      <w:instrText>3</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6</w:instrText>
    </w:r>
    <w:r w:rsidRPr="00BA76AF">
      <w:fldChar w:fldCharType="end"/>
    </w:r>
    <w:r w:rsidRPr="00BA76AF">
      <w:instrText xml:space="preserve">/2) </w:instrText>
    </w:r>
    <w:r w:rsidRPr="00BA76AF">
      <w:fldChar w:fldCharType="separate"/>
    </w:r>
    <w:r w:rsidRPr="00BA76AF">
      <w:instrText>3</w:instrText>
    </w:r>
    <w:r w:rsidRPr="00BA76AF">
      <w:fldChar w:fldCharType="end"/>
    </w:r>
    <w:r w:rsidRPr="00BA76AF">
      <w:fldChar w:fldCharType="separate"/>
    </w:r>
    <w:r w:rsidRPr="00BA76AF">
      <w:instrText>0</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6</w:instrText>
    </w:r>
    <w:r w:rsidRPr="00BA76AF">
      <w:fldChar w:fldCharType="end"/>
    </w:r>
  </w:p>
  <w:p w:rsidR="00AD1390" w:rsidRPr="00BA76AF" w:rsidRDefault="00AD1390">
    <w:pPr>
      <w:pStyle w:val="SidfotV"/>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7</w:instrText>
    </w:r>
    <w:r w:rsidRPr="00BA76AF">
      <w:fldChar w:fldCharType="end"/>
    </w:r>
    <w:r w:rsidRPr="00BA76AF">
      <w:instrText>"</w:instrText>
    </w:r>
    <w:r w:rsidRPr="00BA76AF">
      <w:fldChar w:fldCharType="separate"/>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6</w:t>
    </w:r>
    <w:r w:rsidRPr="00BA76AF">
      <w:fldChar w:fldCharType="end"/>
    </w:r>
  </w:p>
  <w:p w:rsidR="00AD1390" w:rsidRPr="00BA76AF" w:rsidRDefault="00AD1390">
    <w:pPr>
      <w:pStyle w:val="SidfotH"/>
      <w:framePr w:w="8732" w:h="284" w:hRule="exact" w:hSpace="0" w:vSpace="0" w:wrap="around" w:xAlign="inside" w:y="13042" w:anchorLock="0"/>
    </w:pPr>
    <w:r w:rsidRPr="00BA76AF">
      <w:fldChar w:fldCharType="end"/>
    </w:r>
  </w:p>
  <w:p w:rsidR="00AD1390" w:rsidRPr="00BA76AF" w:rsidRDefault="00AD139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26</w:t>
    </w:r>
    <w:r w:rsidRPr="00BA76AF">
      <w:fldChar w:fldCharType="end"/>
    </w:r>
  </w:p>
  <w:p w:rsidR="00AD1390" w:rsidRPr="00BA76AF" w:rsidRDefault="00AD139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27</w:t>
    </w:r>
    <w:r w:rsidRPr="00BA76AF">
      <w:fldChar w:fldCharType="end"/>
    </w:r>
  </w:p>
  <w:p w:rsidR="00AD1390" w:rsidRPr="00BA76AF" w:rsidRDefault="00AD139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19</w:instrText>
    </w:r>
    <w:r w:rsidRPr="00BA76AF">
      <w:fldChar w:fldCharType="end"/>
    </w:r>
    <w:r w:rsidRPr="00BA76AF">
      <w:instrText xml:space="preserve">/2 </w:instrText>
    </w:r>
    <w:r w:rsidRPr="00BA76AF">
      <w:fldChar w:fldCharType="separate"/>
    </w:r>
    <w:r w:rsidRPr="00BA76AF">
      <w:instrText>9,5</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19</w:instrText>
    </w:r>
    <w:r w:rsidRPr="00BA76AF">
      <w:fldChar w:fldCharType="end"/>
    </w:r>
    <w:r w:rsidRPr="00BA76AF">
      <w:instrText xml:space="preserve">/2) </w:instrText>
    </w:r>
    <w:r w:rsidRPr="00BA76AF">
      <w:fldChar w:fldCharType="separate"/>
    </w:r>
    <w:r w:rsidRPr="00BA76AF">
      <w:instrText>9</w:instrText>
    </w:r>
    <w:r w:rsidRPr="00BA76AF">
      <w:fldChar w:fldCharType="end"/>
    </w:r>
    <w:r w:rsidRPr="00BA76AF">
      <w:fldChar w:fldCharType="separate"/>
    </w:r>
    <w:r w:rsidRPr="00BA76AF">
      <w:instrText>0,5</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20</w:instrText>
    </w:r>
    <w:r w:rsidRPr="00BA76AF">
      <w:fldChar w:fldCharType="end"/>
    </w:r>
  </w:p>
  <w:p w:rsidR="00AD1390" w:rsidRPr="00BA76AF" w:rsidRDefault="00AD1390">
    <w:pPr>
      <w:pStyle w:val="SidfotH"/>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19</w:instrText>
    </w:r>
    <w:r w:rsidRPr="00BA76AF">
      <w:fldChar w:fldCharType="end"/>
    </w:r>
    <w:r w:rsidRPr="00BA76AF">
      <w:instrText>"</w:instrText>
    </w:r>
    <w:r w:rsidRPr="00BA76AF">
      <w:fldChar w:fldCharType="separate"/>
    </w:r>
    <w:r w:rsidRPr="00BA76AF">
      <w:t>19</w:t>
    </w:r>
    <w:r w:rsidRPr="00BA76AF">
      <w:fldChar w:fldCharType="end"/>
    </w:r>
  </w:p>
  <w:p w:rsidR="00AD1390" w:rsidRPr="00BA76AF" w:rsidRDefault="00AD139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30</w:t>
    </w:r>
    <w:r w:rsidRPr="00BA76AF">
      <w:fldChar w:fldCharType="end"/>
    </w:r>
  </w:p>
  <w:p w:rsidR="00AD1390" w:rsidRPr="00BA76AF" w:rsidRDefault="00AD139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31</w:t>
    </w:r>
    <w:r w:rsidRPr="00BA76AF">
      <w:fldChar w:fldCharType="end"/>
    </w:r>
  </w:p>
  <w:p w:rsidR="00AD1390" w:rsidRPr="00BA76AF" w:rsidRDefault="00AD139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28</w:instrText>
    </w:r>
    <w:r w:rsidRPr="00BA76AF">
      <w:fldChar w:fldCharType="end"/>
    </w:r>
    <w:r w:rsidRPr="00BA76AF">
      <w:instrText xml:space="preserve">/2 </w:instrText>
    </w:r>
    <w:r w:rsidRPr="00BA76AF">
      <w:fldChar w:fldCharType="separate"/>
    </w:r>
    <w:r w:rsidRPr="00BA76AF">
      <w:instrText>14</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28</w:instrText>
    </w:r>
    <w:r w:rsidRPr="00BA76AF">
      <w:fldChar w:fldCharType="end"/>
    </w:r>
    <w:r w:rsidRPr="00BA76AF">
      <w:instrText xml:space="preserve">/2) </w:instrText>
    </w:r>
    <w:r w:rsidRPr="00BA76AF">
      <w:fldChar w:fldCharType="separate"/>
    </w:r>
    <w:r w:rsidRPr="00BA76AF">
      <w:instrText>14</w:instrText>
    </w:r>
    <w:r w:rsidRPr="00BA76AF">
      <w:fldChar w:fldCharType="end"/>
    </w:r>
    <w:r w:rsidRPr="00BA76AF">
      <w:fldChar w:fldCharType="separate"/>
    </w:r>
    <w:r w:rsidRPr="00BA76AF">
      <w:instrText>0</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28</w:instrText>
    </w:r>
    <w:r w:rsidRPr="00BA76AF">
      <w:fldChar w:fldCharType="end"/>
    </w:r>
  </w:p>
  <w:p w:rsidR="00AD1390" w:rsidRPr="00BA76AF" w:rsidRDefault="00AD1390">
    <w:pPr>
      <w:pStyle w:val="SidfotV"/>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29</w:instrText>
    </w:r>
    <w:r w:rsidRPr="00BA76AF">
      <w:fldChar w:fldCharType="end"/>
    </w:r>
    <w:r w:rsidRPr="00BA76AF">
      <w:instrText>"</w:instrText>
    </w:r>
    <w:r w:rsidRPr="00BA76AF">
      <w:fldChar w:fldCharType="separate"/>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28</w:t>
    </w:r>
    <w:r w:rsidRPr="00BA76AF">
      <w:fldChar w:fldCharType="end"/>
    </w:r>
  </w:p>
  <w:p w:rsidR="00AD1390" w:rsidRPr="00BA76AF" w:rsidRDefault="00AD1390">
    <w:pPr>
      <w:pStyle w:val="SidfotH"/>
      <w:framePr w:w="8732" w:h="284" w:hRule="exact" w:hSpace="0" w:vSpace="0" w:wrap="around" w:xAlign="inside" w:y="13042" w:anchorLock="0"/>
    </w:pPr>
    <w:r w:rsidRPr="00BA76AF">
      <w:fldChar w:fldCharType="end"/>
    </w:r>
  </w:p>
  <w:p w:rsidR="00AD1390" w:rsidRPr="00BA76AF" w:rsidRDefault="00AD139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34</w:t>
    </w:r>
    <w:r w:rsidRPr="00BA76AF">
      <w:fldChar w:fldCharType="end"/>
    </w:r>
  </w:p>
  <w:p w:rsidR="00AD1390" w:rsidRPr="00BA76AF" w:rsidRDefault="00AD13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w:t>
    </w:r>
    <w:r w:rsidRPr="00BA76AF">
      <w:fldChar w:fldCharType="end"/>
    </w:r>
  </w:p>
  <w:p w:rsidR="00AD1390" w:rsidRPr="00BA76AF" w:rsidRDefault="00AD139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33</w:t>
    </w:r>
    <w:r w:rsidRPr="00BA76AF">
      <w:fldChar w:fldCharType="end"/>
    </w:r>
  </w:p>
  <w:p w:rsidR="00AD1390" w:rsidRPr="00BA76AF" w:rsidRDefault="00AD139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32</w:instrText>
    </w:r>
    <w:r w:rsidRPr="00BA76AF">
      <w:fldChar w:fldCharType="end"/>
    </w:r>
    <w:r w:rsidRPr="00BA76AF">
      <w:instrText xml:space="preserve">/2 </w:instrText>
    </w:r>
    <w:r w:rsidRPr="00BA76AF">
      <w:fldChar w:fldCharType="separate"/>
    </w:r>
    <w:r w:rsidRPr="00BA76AF">
      <w:instrText>16</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32</w:instrText>
    </w:r>
    <w:r w:rsidRPr="00BA76AF">
      <w:fldChar w:fldCharType="end"/>
    </w:r>
    <w:r w:rsidRPr="00BA76AF">
      <w:instrText xml:space="preserve">/2) </w:instrText>
    </w:r>
    <w:r w:rsidRPr="00BA76AF">
      <w:fldChar w:fldCharType="separate"/>
    </w:r>
    <w:r w:rsidRPr="00BA76AF">
      <w:instrText>16</w:instrText>
    </w:r>
    <w:r w:rsidRPr="00BA76AF">
      <w:fldChar w:fldCharType="end"/>
    </w:r>
    <w:r w:rsidRPr="00BA76AF">
      <w:fldChar w:fldCharType="separate"/>
    </w:r>
    <w:r w:rsidRPr="00BA76AF">
      <w:instrText>0</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32</w:instrText>
    </w:r>
    <w:r w:rsidRPr="00BA76AF">
      <w:fldChar w:fldCharType="end"/>
    </w:r>
  </w:p>
  <w:p w:rsidR="00AD1390" w:rsidRPr="00BA76AF" w:rsidRDefault="00AD1390">
    <w:pPr>
      <w:pStyle w:val="SidfotV"/>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33</w:instrText>
    </w:r>
    <w:r w:rsidRPr="00BA76AF">
      <w:fldChar w:fldCharType="end"/>
    </w:r>
    <w:r w:rsidRPr="00BA76AF">
      <w:instrText>"</w:instrText>
    </w:r>
    <w:r w:rsidRPr="00BA76AF">
      <w:fldChar w:fldCharType="separate"/>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32</w:t>
    </w:r>
    <w:r w:rsidRPr="00BA76AF">
      <w:fldChar w:fldCharType="end"/>
    </w:r>
  </w:p>
  <w:p w:rsidR="00AD1390" w:rsidRPr="00BA76AF" w:rsidRDefault="00AD1390">
    <w:pPr>
      <w:pStyle w:val="SidfotH"/>
      <w:framePr w:w="8732" w:h="284" w:hRule="exact" w:hSpace="0" w:vSpace="0" w:wrap="around" w:xAlign="inside" w:y="13042" w:anchorLock="0"/>
    </w:pPr>
    <w:r w:rsidRPr="00BA76AF">
      <w:fldChar w:fldCharType="end"/>
    </w:r>
  </w:p>
  <w:p w:rsidR="00AD1390" w:rsidRPr="00BA76AF" w:rsidRDefault="00AD139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36</w:t>
    </w:r>
    <w:r w:rsidRPr="00BA76AF">
      <w:fldChar w:fldCharType="end"/>
    </w:r>
  </w:p>
  <w:p w:rsidR="00AD1390" w:rsidRPr="00BA76AF" w:rsidRDefault="00AD139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35</w:t>
    </w:r>
    <w:r w:rsidRPr="00BA76AF">
      <w:fldChar w:fldCharType="end"/>
    </w:r>
  </w:p>
  <w:p w:rsidR="00AD1390" w:rsidRPr="00BA76AF" w:rsidRDefault="00AD139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34</w:instrText>
    </w:r>
    <w:r w:rsidRPr="00BA76AF">
      <w:fldChar w:fldCharType="end"/>
    </w:r>
    <w:r w:rsidRPr="00BA76AF">
      <w:instrText xml:space="preserve">/2 </w:instrText>
    </w:r>
    <w:r w:rsidRPr="00BA76AF">
      <w:fldChar w:fldCharType="separate"/>
    </w:r>
    <w:r w:rsidRPr="00BA76AF">
      <w:instrText>17</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34</w:instrText>
    </w:r>
    <w:r w:rsidRPr="00BA76AF">
      <w:fldChar w:fldCharType="end"/>
    </w:r>
    <w:r w:rsidRPr="00BA76AF">
      <w:instrText xml:space="preserve">/2) </w:instrText>
    </w:r>
    <w:r w:rsidRPr="00BA76AF">
      <w:fldChar w:fldCharType="separate"/>
    </w:r>
    <w:r w:rsidRPr="00BA76AF">
      <w:instrText>17</w:instrText>
    </w:r>
    <w:r w:rsidRPr="00BA76AF">
      <w:fldChar w:fldCharType="end"/>
    </w:r>
    <w:r w:rsidRPr="00BA76AF">
      <w:fldChar w:fldCharType="separate"/>
    </w:r>
    <w:r w:rsidRPr="00BA76AF">
      <w:instrText>0</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34</w:instrText>
    </w:r>
    <w:r w:rsidRPr="00BA76AF">
      <w:fldChar w:fldCharType="end"/>
    </w:r>
  </w:p>
  <w:p w:rsidR="00AD1390" w:rsidRPr="00BA76AF" w:rsidRDefault="00AD1390">
    <w:pPr>
      <w:pStyle w:val="SidfotV"/>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35</w:instrText>
    </w:r>
    <w:r w:rsidRPr="00BA76AF">
      <w:fldChar w:fldCharType="end"/>
    </w:r>
    <w:r w:rsidRPr="00BA76AF">
      <w:instrText>"</w:instrText>
    </w:r>
    <w:r w:rsidRPr="00BA76AF">
      <w:fldChar w:fldCharType="separate"/>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34</w:t>
    </w:r>
    <w:r w:rsidRPr="00BA76AF">
      <w:fldChar w:fldCharType="end"/>
    </w:r>
  </w:p>
  <w:p w:rsidR="00AD1390" w:rsidRPr="00BA76AF" w:rsidRDefault="00AD1390">
    <w:pPr>
      <w:pStyle w:val="SidfotH"/>
      <w:framePr w:w="8732" w:h="284" w:hRule="exact" w:hSpace="0" w:vSpace="0" w:wrap="around" w:xAlign="inside" w:y="13042" w:anchorLock="0"/>
    </w:pPr>
    <w:r w:rsidRPr="00BA76AF">
      <w:fldChar w:fldCharType="end"/>
    </w:r>
  </w:p>
  <w:p w:rsidR="00AD1390" w:rsidRPr="00BA76AF" w:rsidRDefault="00AD13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00BA76AF">
      <w:rPr>
        <w:noProof/>
      </w:rPr>
      <w:instrText>1</w:instrText>
    </w:r>
    <w:r w:rsidRPr="00BA76AF">
      <w:fldChar w:fldCharType="end"/>
    </w:r>
    <w:r w:rsidRPr="00BA76AF">
      <w:instrText xml:space="preserve">/2 </w:instrText>
    </w:r>
    <w:r w:rsidRPr="00BA76AF">
      <w:fldChar w:fldCharType="separate"/>
    </w:r>
    <w:r w:rsidR="00BA76AF">
      <w:rPr>
        <w:noProof/>
      </w:rPr>
      <w:instrText>0,5</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00BA76AF">
      <w:rPr>
        <w:noProof/>
      </w:rPr>
      <w:instrText>1</w:instrText>
    </w:r>
    <w:r w:rsidRPr="00BA76AF">
      <w:fldChar w:fldCharType="end"/>
    </w:r>
    <w:r w:rsidRPr="00BA76AF">
      <w:instrText xml:space="preserve">/2) </w:instrText>
    </w:r>
    <w:r w:rsidRPr="00BA76AF">
      <w:fldChar w:fldCharType="separate"/>
    </w:r>
    <w:r w:rsidR="00BA76AF">
      <w:rPr>
        <w:noProof/>
      </w:rPr>
      <w:instrText>0</w:instrText>
    </w:r>
    <w:r w:rsidRPr="00BA76AF">
      <w:fldChar w:fldCharType="end"/>
    </w:r>
    <w:r w:rsidRPr="00BA76AF">
      <w:fldChar w:fldCharType="separate"/>
    </w:r>
    <w:r w:rsidR="00BA76AF">
      <w:rPr>
        <w:noProof/>
      </w:rPr>
      <w:instrText>0,5</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14</w:instrText>
    </w:r>
    <w:r w:rsidRPr="00BA76AF">
      <w:fldChar w:fldCharType="end"/>
    </w:r>
  </w:p>
  <w:p w:rsidR="00AD1390" w:rsidRPr="00BA76AF" w:rsidRDefault="00AD1390">
    <w:pPr>
      <w:pStyle w:val="SidfotH"/>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00BA76AF">
      <w:rPr>
        <w:noProof/>
      </w:rPr>
      <w:instrText>1</w:instrText>
    </w:r>
    <w:r w:rsidRPr="00BA76AF">
      <w:fldChar w:fldCharType="end"/>
    </w:r>
    <w:r w:rsidRPr="00BA76AF">
      <w:instrText>"</w:instrText>
    </w:r>
    <w:r w:rsidRPr="00BA76AF">
      <w:fldChar w:fldCharType="separate"/>
    </w:r>
    <w:r w:rsidR="00BA76AF">
      <w:rPr>
        <w:noProof/>
      </w:rPr>
      <w:t>1</w:t>
    </w:r>
    <w:r w:rsidRPr="00BA76AF">
      <w:fldChar w:fldCharType="end"/>
    </w:r>
  </w:p>
  <w:p w:rsidR="00AD1390" w:rsidRPr="00BA76AF" w:rsidRDefault="00AD139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2</w:t>
    </w:r>
    <w:r w:rsidRPr="00BA76AF">
      <w:fldChar w:fldCharType="end"/>
    </w:r>
  </w:p>
  <w:p w:rsidR="00AD1390" w:rsidRPr="00BA76AF" w:rsidRDefault="00AD139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3</w:t>
    </w:r>
    <w:r w:rsidRPr="00BA76AF">
      <w:fldChar w:fldCharType="end"/>
    </w:r>
  </w:p>
  <w:p w:rsidR="00AD1390" w:rsidRPr="00BA76AF" w:rsidRDefault="00AD139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2</w:instrText>
    </w:r>
    <w:r w:rsidRPr="00BA76AF">
      <w:fldChar w:fldCharType="end"/>
    </w:r>
    <w:r w:rsidRPr="00BA76AF">
      <w:instrText xml:space="preserve">/2 </w:instrText>
    </w:r>
    <w:r w:rsidRPr="00BA76AF">
      <w:fldChar w:fldCharType="separate"/>
    </w:r>
    <w:r w:rsidRPr="00BA76AF">
      <w:instrText>1</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2</w:instrText>
    </w:r>
    <w:r w:rsidRPr="00BA76AF">
      <w:fldChar w:fldCharType="end"/>
    </w:r>
    <w:r w:rsidRPr="00BA76AF">
      <w:instrText xml:space="preserve">/2) </w:instrText>
    </w:r>
    <w:r w:rsidRPr="00BA76AF">
      <w:fldChar w:fldCharType="separate"/>
    </w:r>
    <w:r w:rsidRPr="00BA76AF">
      <w:instrText>1</w:instrText>
    </w:r>
    <w:r w:rsidRPr="00BA76AF">
      <w:fldChar w:fldCharType="end"/>
    </w:r>
    <w:r w:rsidRPr="00BA76AF">
      <w:fldChar w:fldCharType="separate"/>
    </w:r>
    <w:r w:rsidRPr="00BA76AF">
      <w:instrText>0</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2</w:instrText>
    </w:r>
    <w:r w:rsidRPr="00BA76AF">
      <w:fldChar w:fldCharType="end"/>
    </w:r>
  </w:p>
  <w:p w:rsidR="00AD1390" w:rsidRPr="00BA76AF" w:rsidRDefault="00AD1390">
    <w:pPr>
      <w:pStyle w:val="SidfotV"/>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1</w:instrText>
    </w:r>
    <w:r w:rsidRPr="00BA76AF">
      <w:fldChar w:fldCharType="end"/>
    </w:r>
    <w:r w:rsidRPr="00BA76AF">
      <w:instrText>"</w:instrText>
    </w:r>
    <w:r w:rsidRPr="00BA76AF">
      <w:fldChar w:fldCharType="separate"/>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2</w:t>
    </w:r>
    <w:r w:rsidRPr="00BA76AF">
      <w:fldChar w:fldCharType="end"/>
    </w:r>
  </w:p>
  <w:p w:rsidR="00AD1390" w:rsidRPr="00BA76AF" w:rsidRDefault="00AD1390">
    <w:pPr>
      <w:pStyle w:val="SidfotH"/>
      <w:framePr w:w="8732" w:h="284" w:hRule="exact" w:hSpace="0" w:vSpace="0" w:wrap="around" w:xAlign="inside" w:y="13042" w:anchorLock="0"/>
    </w:pPr>
    <w:r w:rsidRPr="00BA76AF">
      <w:fldChar w:fldCharType="end"/>
    </w:r>
    <w:bookmarkStart w:id="5" w:name="_Toc511188598"/>
  </w:p>
  <w:bookmarkEnd w:id="5"/>
  <w:p w:rsidR="00AD1390" w:rsidRPr="00BA76AF" w:rsidRDefault="00AD139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6</w:t>
    </w:r>
    <w:r w:rsidRPr="00BA76AF">
      <w:fldChar w:fldCharType="end"/>
    </w:r>
  </w:p>
  <w:p w:rsidR="00AD1390" w:rsidRPr="00BA76AF" w:rsidRDefault="00AD139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H"/>
      <w:framePr w:w="8732" w:h="284" w:hRule="exact" w:hSpace="0" w:vSpace="0" w:wrap="around" w:xAlign="inside" w:y="13042" w:anchorLock="0"/>
    </w:pP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5</w:t>
    </w:r>
    <w:r w:rsidRPr="00BA76AF">
      <w:fldChar w:fldCharType="end"/>
    </w:r>
  </w:p>
  <w:p w:rsidR="00AD1390" w:rsidRPr="00BA76AF" w:rsidRDefault="00AD139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fotV"/>
      <w:framePr w:w="8732" w:h="284" w:hRule="exact" w:hSpace="0" w:vSpace="0" w:wrap="around" w:xAlign="inside" w:y="13042" w:anchorLock="0"/>
    </w:pPr>
    <w:r w:rsidRPr="00BA76AF">
      <w:fldChar w:fldCharType="begin" w:fldLock="1"/>
    </w:r>
    <w:r w:rsidRPr="00BA76AF">
      <w:instrText xml:space="preserve"> if </w:instrText>
    </w:r>
    <w:r w:rsidRPr="00BA76AF">
      <w:fldChar w:fldCharType="begin" w:fldLock="1"/>
    </w:r>
    <w:r w:rsidRPr="00BA76AF">
      <w:instrText xml:space="preserve"> = </w:instrText>
    </w:r>
    <w:r w:rsidRPr="00BA76AF">
      <w:fldChar w:fldCharType="begin" w:fldLock="1"/>
    </w:r>
    <w:r w:rsidRPr="00BA76AF">
      <w:instrText xml:space="preserve"> = </w:instrText>
    </w:r>
    <w:r w:rsidRPr="00BA76AF">
      <w:fldChar w:fldCharType="begin" w:fldLock="1"/>
    </w:r>
    <w:r w:rsidRPr="00BA76AF">
      <w:instrText xml:space="preserve"> page</w:instrText>
    </w:r>
    <w:r w:rsidRPr="00BA76AF">
      <w:fldChar w:fldCharType="separate"/>
    </w:r>
    <w:r w:rsidRPr="00BA76AF">
      <w:instrText>4</w:instrText>
    </w:r>
    <w:r w:rsidRPr="00BA76AF">
      <w:fldChar w:fldCharType="end"/>
    </w:r>
    <w:r w:rsidRPr="00BA76AF">
      <w:instrText xml:space="preserve">/2 </w:instrText>
    </w:r>
    <w:r w:rsidRPr="00BA76AF">
      <w:fldChar w:fldCharType="separate"/>
    </w:r>
    <w:r w:rsidRPr="00BA76AF">
      <w:instrText>2</w:instrText>
    </w:r>
    <w:r w:rsidRPr="00BA76AF">
      <w:fldChar w:fldCharType="end"/>
    </w:r>
    <w:r w:rsidRPr="00BA76AF">
      <w:instrText xml:space="preserve"> - </w:instrText>
    </w:r>
    <w:r w:rsidRPr="00BA76AF">
      <w:fldChar w:fldCharType="begin" w:fldLock="1"/>
    </w:r>
    <w:r w:rsidRPr="00BA76AF">
      <w:instrText xml:space="preserve"> = int(</w:instrText>
    </w:r>
    <w:r w:rsidRPr="00BA76AF">
      <w:fldChar w:fldCharType="begin" w:fldLock="1"/>
    </w:r>
    <w:r w:rsidRPr="00BA76AF">
      <w:instrText xml:space="preserve"> page</w:instrText>
    </w:r>
    <w:r w:rsidRPr="00BA76AF">
      <w:fldChar w:fldCharType="separate"/>
    </w:r>
    <w:r w:rsidRPr="00BA76AF">
      <w:instrText>4</w:instrText>
    </w:r>
    <w:r w:rsidRPr="00BA76AF">
      <w:fldChar w:fldCharType="end"/>
    </w:r>
    <w:r w:rsidRPr="00BA76AF">
      <w:instrText xml:space="preserve">/2) </w:instrText>
    </w:r>
    <w:r w:rsidRPr="00BA76AF">
      <w:fldChar w:fldCharType="separate"/>
    </w:r>
    <w:r w:rsidRPr="00BA76AF">
      <w:instrText>2</w:instrText>
    </w:r>
    <w:r w:rsidRPr="00BA76AF">
      <w:fldChar w:fldCharType="end"/>
    </w:r>
    <w:r w:rsidRPr="00BA76AF">
      <w:fldChar w:fldCharType="separate"/>
    </w:r>
    <w:r w:rsidRPr="00BA76AF">
      <w:instrText>0</w:instrText>
    </w:r>
    <w:r w:rsidRPr="00BA76AF">
      <w:fldChar w:fldCharType="end"/>
    </w:r>
    <w:r w:rsidRPr="00BA76AF">
      <w:instrText xml:space="preserve"> = 0 "</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4</w:instrText>
    </w:r>
    <w:r w:rsidRPr="00BA76AF">
      <w:fldChar w:fldCharType="end"/>
    </w:r>
  </w:p>
  <w:p w:rsidR="00AD1390" w:rsidRPr="00BA76AF" w:rsidRDefault="00AD1390">
    <w:pPr>
      <w:pStyle w:val="SidfotV"/>
      <w:framePr w:w="8732" w:h="284" w:hRule="exact" w:hSpace="0" w:vSpace="0" w:wrap="around" w:xAlign="inside" w:y="13042" w:anchorLock="0"/>
    </w:pPr>
    <w:r w:rsidRPr="00BA76AF">
      <w:instrText>""</w:instrText>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instrText>3</w:instrText>
    </w:r>
    <w:r w:rsidRPr="00BA76AF">
      <w:fldChar w:fldCharType="end"/>
    </w:r>
    <w:r w:rsidRPr="00BA76AF">
      <w:instrText>"</w:instrText>
    </w:r>
    <w:r w:rsidRPr="00BA76AF">
      <w:fldChar w:fldCharType="separate"/>
    </w:r>
    <w:r w:rsidRPr="00BA76AF">
      <w:fldChar w:fldCharType="begin" w:fldLock="1"/>
    </w:r>
    <w:r w:rsidRPr="00BA76AF">
      <w:instrText xml:space="preserve"> P</w:instrText>
    </w:r>
    <w:r w:rsidRPr="00BA76AF">
      <w:instrText>A</w:instrText>
    </w:r>
    <w:r w:rsidRPr="00BA76AF">
      <w:instrText xml:space="preserve">GE </w:instrText>
    </w:r>
    <w:r w:rsidRPr="00BA76AF">
      <w:fldChar w:fldCharType="separate"/>
    </w:r>
    <w:r w:rsidRPr="00BA76AF">
      <w:t>4</w:t>
    </w:r>
    <w:r w:rsidRPr="00BA76AF">
      <w:fldChar w:fldCharType="end"/>
    </w:r>
  </w:p>
  <w:p w:rsidR="00AD1390" w:rsidRPr="00BA76AF" w:rsidRDefault="00AD1390">
    <w:pPr>
      <w:pStyle w:val="SidfotH"/>
      <w:framePr w:w="8732" w:h="284" w:hRule="exact" w:hSpace="0" w:vSpace="0" w:wrap="around" w:xAlign="inside" w:y="13042" w:anchorLock="0"/>
    </w:pPr>
    <w:r w:rsidRPr="00BA76AF">
      <w:fldChar w:fldCharType="end"/>
    </w:r>
  </w:p>
  <w:p w:rsidR="00AD1390" w:rsidRPr="00BA76AF" w:rsidRDefault="00AD1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390" w:rsidRPr="00BA76AF" w:rsidRDefault="00AD1390">
      <w:pPr>
        <w:pStyle w:val="Sidfot"/>
      </w:pPr>
    </w:p>
  </w:footnote>
  <w:footnote w:type="continuationSeparator" w:id="0">
    <w:p w:rsidR="00AD1390" w:rsidRPr="00BA76AF" w:rsidRDefault="00AD1390">
      <w:pPr>
        <w:spacing w:before="0" w:line="240" w:lineRule="auto"/>
      </w:pPr>
      <w:r w:rsidRPr="00BA7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BetänkandeÅr</w:instrText>
    </w:r>
    <w:r w:rsidRPr="00BA76AF">
      <w:rPr>
        <w:rStyle w:val="SidhuvudUtskott"/>
      </w:rPr>
      <w:fldChar w:fldCharType="separate"/>
    </w:r>
    <w:r w:rsidRPr="00BA76AF">
      <w:rPr>
        <w:rStyle w:val="SidhuvudUtskott"/>
      </w:rPr>
      <w:t>2000/01</w:t>
    </w:r>
    <w:r w:rsidRPr="00BA76AF">
      <w:rPr>
        <w:rStyle w:val="SidhuvudUtskott"/>
      </w:rPr>
      <w:fldChar w:fldCharType="end"/>
    </w:r>
    <w:r w:rsidRPr="00BA76AF">
      <w:rPr>
        <w:rStyle w:val="SidhuvudUtskott"/>
      </w:rPr>
      <w:t>:</w:t>
    </w:r>
    <w:r w:rsidRPr="00BA76AF">
      <w:rPr>
        <w:rStyle w:val="SidhuvudUtskott"/>
      </w:rPr>
      <w:fldChar w:fldCharType="begin" w:fldLock="1"/>
    </w:r>
    <w:r w:rsidRPr="00BA76AF">
      <w:rPr>
        <w:rStyle w:val="SidhuvudUtskott"/>
      </w:rPr>
      <w:instrText xml:space="preserve"> DOCPROPERTY Utskott</w:instrText>
    </w:r>
    <w:r w:rsidRPr="00BA76AF">
      <w:rPr>
        <w:rStyle w:val="SidhuvudUtskott"/>
      </w:rPr>
      <w:fldChar w:fldCharType="separate"/>
    </w:r>
    <w:r w:rsidRPr="00BA76AF">
      <w:rPr>
        <w:rStyle w:val="SidhuvudUtskott"/>
      </w:rPr>
      <w:t>UU</w:t>
    </w:r>
    <w:r w:rsidRPr="00BA76AF">
      <w:rPr>
        <w:rStyle w:val="SidhuvudUtskott"/>
      </w:rPr>
      <w:fldChar w:fldCharType="end"/>
    </w:r>
    <w:r w:rsidRPr="00BA76AF">
      <w:rPr>
        <w:rStyle w:val="SidhuvudUtskott"/>
      </w:rPr>
      <w:fldChar w:fldCharType="begin" w:fldLock="1"/>
    </w:r>
    <w:r w:rsidRPr="00BA76AF">
      <w:rPr>
        <w:rStyle w:val="SidhuvudUtskott"/>
      </w:rPr>
      <w:instrText xml:space="preserve"> DOCPROPERTY BetänkandeNr</w:instrText>
    </w:r>
    <w:r w:rsidRPr="00BA76AF">
      <w:rPr>
        <w:rStyle w:val="SidhuvudUtskott"/>
      </w:rPr>
      <w:fldChar w:fldCharType="separate"/>
    </w:r>
    <w:r w:rsidRPr="00BA76AF">
      <w:rPr>
        <w:rStyle w:val="SidhuvudUtskott"/>
      </w:rPr>
      <w:t>14</w:t>
    </w:r>
    <w:r w:rsidRPr="00BA76AF">
      <w:rPr>
        <w:rStyle w:val="SidhuvudUtskott"/>
      </w:rPr>
      <w:fldChar w:fldCharType="end"/>
    </w:r>
    <w:r w:rsidRPr="00BA76AF">
      <w:t xml:space="preserve">     </w:t>
    </w:r>
    <w:r w:rsidRPr="00BA76AF">
      <w:rPr>
        <w:rStyle w:val="SidhuvudBilaga"/>
      </w:rPr>
      <w:t xml:space="preserve"> </w:t>
    </w:r>
    <w:r w:rsidRPr="00BA76AF">
      <w:rPr>
        <w:rStyle w:val="SidhuvudRubrikReferens"/>
      </w:rPr>
      <w:fldChar w:fldCharType="begin" w:fldLock="1"/>
    </w:r>
    <w:r w:rsidRPr="00BA76AF">
      <w:rPr>
        <w:rStyle w:val="SidhuvudRubrikReferens"/>
      </w:rPr>
      <w:instrText xml:space="preserve"> StyleREF "Rubrik 1" </w:instrText>
    </w:r>
    <w:r w:rsidRPr="00BA76AF">
      <w:rPr>
        <w:rStyle w:val="SidhuvudRubrikReferens"/>
      </w:rPr>
      <w:fldChar w:fldCharType="separate"/>
    </w:r>
    <w:r w:rsidRPr="00BA76AF">
      <w:rPr>
        <w:rStyle w:val="SidhuvudRubrikReferens"/>
      </w:rPr>
      <w:t>Sammanfattning</w:t>
    </w:r>
    <w:r w:rsidRPr="00BA76AF">
      <w:rPr>
        <w:rStyle w:val="SidhuvudRubrikReferens"/>
      </w:rPr>
      <w:fldChar w:fldCharType="end"/>
    </w:r>
  </w:p>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Status</w:instrText>
    </w:r>
    <w:r w:rsidRPr="00BA76AF">
      <w:rPr>
        <w:rStyle w:val="SidhuvudUtskott"/>
      </w:rPr>
      <w:fldChar w:fldCharType="end"/>
    </w:r>
    <w:r w:rsidRPr="00BA76AF">
      <w:rPr>
        <w:rStyle w:val="SidhuvudUtskott"/>
      </w:rPr>
      <w:fldChar w:fldCharType="begin" w:fldLock="1"/>
    </w:r>
    <w:r w:rsidRPr="00BA76AF">
      <w:rPr>
        <w:rStyle w:val="SidhuvudUtskott"/>
      </w:rPr>
      <w:instrText xml:space="preserve"> if </w:instrText>
    </w:r>
    <w:r w:rsidRPr="00BA76AF">
      <w:rPr>
        <w:rStyle w:val="SidhuvudUtskott"/>
      </w:rPr>
      <w:fldChar w:fldCharType="begin" w:fldLock="1"/>
    </w:r>
    <w:r w:rsidRPr="00BA76AF">
      <w:rPr>
        <w:rStyle w:val="SidhuvudUtskott"/>
      </w:rPr>
      <w:instrText xml:space="preserve"> DOCPROPERTY "UtkastDatum"</w:instrText>
    </w:r>
    <w:r w:rsidRPr="00BA76AF">
      <w:rPr>
        <w:rStyle w:val="SidhuvudUtskott"/>
      </w:rPr>
      <w:fldChar w:fldCharType="separate"/>
    </w:r>
    <w:r w:rsidRPr="00BA76AF">
      <w:rPr>
        <w:rStyle w:val="SidhuvudUtskott"/>
      </w:rPr>
      <w:instrText>Nej</w:instrText>
    </w:r>
    <w:r w:rsidRPr="00BA76AF">
      <w:rPr>
        <w:rStyle w:val="SidhuvudUtskott"/>
      </w:rPr>
      <w:fldChar w:fldCharType="end"/>
    </w:r>
    <w:r w:rsidRPr="00BA76AF">
      <w:rPr>
        <w:rStyle w:val="SidhuvudUtskott"/>
      </w:rPr>
      <w:instrText xml:space="preserve"> = "Ja" "    </w:instrText>
    </w:r>
    <w:r w:rsidRPr="00BA76AF">
      <w:rPr>
        <w:rStyle w:val="SidhuvudUtskott"/>
      </w:rPr>
      <w:fldChar w:fldCharType="begin" w:fldLock="1"/>
    </w:r>
    <w:r w:rsidRPr="00BA76AF">
      <w:rPr>
        <w:rStyle w:val="SidhuvudUtskott"/>
      </w:rPr>
      <w:instrText xml:space="preserve"> PRINTDATE \@ "yyyy-MM-dd HH.mm" </w:instrText>
    </w:r>
    <w:r w:rsidRPr="00BA76AF">
      <w:rPr>
        <w:rStyle w:val="SidhuvudUtskott"/>
      </w:rPr>
      <w:fldChar w:fldCharType="separate"/>
    </w:r>
    <w:r w:rsidRPr="00BA76AF">
      <w:rPr>
        <w:rStyle w:val="SidhuvudUtskott"/>
      </w:rPr>
      <w:instrText>2000-08-11 16.42</w:instrText>
    </w:r>
    <w:r w:rsidRPr="00BA76AF">
      <w:rPr>
        <w:rStyle w:val="SidhuvudUtskott"/>
      </w:rPr>
      <w:fldChar w:fldCharType="end"/>
    </w:r>
    <w:r w:rsidRPr="00BA76AF">
      <w:rPr>
        <w:rStyle w:val="SidhuvudUtskott"/>
      </w:rPr>
      <w:instrText xml:space="preserve">" </w:instrText>
    </w:r>
    <w:r w:rsidRPr="00BA76AF">
      <w:rPr>
        <w:rStyle w:val="SidhuvudUtskott"/>
      </w:rPr>
      <w:fldChar w:fldCharType="end"/>
    </w:r>
  </w:p>
  <w:p w:rsidR="00AD1390" w:rsidRPr="00BA76AF" w:rsidRDefault="00AD139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r w:rsidRPr="00BA76AF">
      <w:rPr>
        <w:rStyle w:val="SidhuvudBilaga"/>
      </w:rPr>
      <w:t xml:space="preserve"> </w:t>
    </w:r>
    <w:r w:rsidRPr="00BA76AF">
      <w:rPr>
        <w:rStyle w:val="SidhuvudRubrikReferens"/>
      </w:rPr>
      <w:t>Redogörelse för ärendet</w:t>
    </w:r>
  </w:p>
  <w:p w:rsidR="00AD1390" w:rsidRPr="00BA76AF" w:rsidRDefault="00AD1390">
    <w:pPr>
      <w:pStyle w:val="SidhuvudKantJmn"/>
      <w:framePr w:w="8732" w:h="567" w:hRule="exact" w:vSpace="0" w:wrap="around" w:vAnchor="page" w:y="341" w:anchorLock="0"/>
    </w:pPr>
  </w:p>
  <w:p w:rsidR="00AD1390" w:rsidRPr="00BA76AF" w:rsidRDefault="00AD139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Redogörelse för ärendet</w:t>
    </w:r>
    <w:r w:rsidRPr="00BA76AF">
      <w:rPr>
        <w:rStyle w:val="SidhuvudBilaga"/>
      </w:rPr>
      <w:t xml:space="preserve">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p>
  <w:p w:rsidR="00AD1390" w:rsidRPr="00BA76AF" w:rsidRDefault="00AD1390">
    <w:pPr>
      <w:pStyle w:val="SidhuvudKantJmn"/>
      <w:framePr w:w="8732" w:h="567" w:hRule="exact" w:vSpace="0" w:wrap="around" w:vAnchor="page" w:y="341" w:anchorLock="0"/>
    </w:pPr>
  </w:p>
  <w:p w:rsidR="00AD1390" w:rsidRPr="00BA76AF" w:rsidRDefault="00AD1390">
    <w:pPr>
      <w:pStyle w:val="SidhuvudKantUdda"/>
      <w:framePr w:w="8732" w:h="567" w:hRule="exact" w:vSpace="0" w:wrap="around" w:vAnchor="page" w:y="341" w:anchorLock="0"/>
    </w:pPr>
    <w:r w:rsidRPr="00BA76AF">
      <w:rPr>
        <w:rStyle w:val="SidhuvudRubrikReferens"/>
        <w:smallCaps w:val="0"/>
        <w:spacing w:val="0"/>
        <w:sz w:val="19"/>
      </w:rPr>
      <w:t xml:space="preserve"> </w:t>
    </w:r>
  </w:p>
  <w:p w:rsidR="00AD1390" w:rsidRPr="00BA76AF" w:rsidRDefault="00AD139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r w:rsidRPr="00BA76AF">
      <w:rPr>
        <w:rStyle w:val="SidhuvudBilaga"/>
      </w:rPr>
      <w:t xml:space="preserve"> </w:t>
    </w:r>
    <w:r w:rsidRPr="00BA76AF">
      <w:rPr>
        <w:rStyle w:val="SidhuvudRubrikReferens"/>
      </w:rPr>
      <w:t>Utskottets överväganden</w:t>
    </w:r>
  </w:p>
  <w:p w:rsidR="00AD1390" w:rsidRPr="00BA76AF" w:rsidRDefault="00AD1390">
    <w:pPr>
      <w:pStyle w:val="SidhuvudKantJmn"/>
      <w:framePr w:w="8732" w:h="567" w:hRule="exact" w:vSpace="0" w:wrap="around" w:vAnchor="page" w:y="341" w:anchorLock="0"/>
    </w:pPr>
  </w:p>
  <w:p w:rsidR="00AD1390" w:rsidRPr="00BA76AF" w:rsidRDefault="00AD139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Utskottets överväganden</w:t>
    </w:r>
    <w:r w:rsidRPr="00BA76AF">
      <w:rPr>
        <w:rStyle w:val="SidhuvudBilaga"/>
      </w:rPr>
      <w:t xml:space="preserve">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r w:rsidRPr="00BA76AF">
      <w:rPr>
        <w:rStyle w:val="SidhuvudBilaga"/>
      </w:rPr>
      <w:t xml:space="preserve"> </w:t>
    </w:r>
    <w:r w:rsidRPr="00BA76AF">
      <w:rPr>
        <w:rStyle w:val="SidhuvudRubrikReferens"/>
      </w:rPr>
      <w:t>Reservationer</w:t>
    </w:r>
  </w:p>
  <w:p w:rsidR="00AD1390" w:rsidRPr="00BA76AF" w:rsidRDefault="00AD1390">
    <w:pPr>
      <w:pStyle w:val="SidhuvudKantJmn"/>
      <w:framePr w:w="8732" w:h="567" w:hRule="exact" w:vSpace="0" w:wrap="around" w:vAnchor="page" w:y="341" w:anchorLock="0"/>
    </w:pPr>
  </w:p>
  <w:p w:rsidR="00AD1390" w:rsidRPr="00BA76AF" w:rsidRDefault="00AD139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Reservationer</w:t>
    </w:r>
    <w:r w:rsidRPr="00BA76AF">
      <w:rPr>
        <w:rStyle w:val="SidhuvudBilaga"/>
      </w:rPr>
      <w:t xml:space="preserve">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p>
  <w:p w:rsidR="00AD1390" w:rsidRPr="00BA76AF" w:rsidRDefault="00AD1390">
    <w:pPr>
      <w:pStyle w:val="SidhuvudKantJmn"/>
      <w:framePr w:w="8732" w:h="567" w:hRule="exact" w:vSpace="0" w:wrap="around" w:vAnchor="page" w:y="341" w:anchorLock="0"/>
    </w:pPr>
  </w:p>
  <w:p w:rsidR="00AD1390" w:rsidRPr="00BA76AF" w:rsidRDefault="00AD1390">
    <w:pPr>
      <w:pStyle w:val="SidhuvudKantUdda"/>
      <w:framePr w:w="8732" w:h="567" w:hRule="exact" w:vSpace="0" w:wrap="around" w:vAnchor="page" w:y="341" w:anchorLock="0"/>
    </w:pPr>
    <w:r w:rsidRPr="00BA76AF">
      <w:rPr>
        <w:rStyle w:val="SidhuvudRubrikReferens"/>
        <w:smallCaps w:val="0"/>
        <w:spacing w:val="0"/>
        <w:sz w:val="19"/>
      </w:rPr>
      <w:t xml:space="preserve"> </w:t>
    </w:r>
  </w:p>
  <w:p w:rsidR="00AD1390" w:rsidRPr="00BA76AF" w:rsidRDefault="00AD139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BetänkandeÅr</w:instrText>
    </w:r>
    <w:r w:rsidRPr="00BA76AF">
      <w:rPr>
        <w:rStyle w:val="SidhuvudUtskott"/>
      </w:rPr>
      <w:fldChar w:fldCharType="separate"/>
    </w:r>
    <w:r w:rsidRPr="00BA76AF">
      <w:rPr>
        <w:rStyle w:val="SidhuvudUtskott"/>
      </w:rPr>
      <w:t>2000/01</w:t>
    </w:r>
    <w:r w:rsidRPr="00BA76AF">
      <w:rPr>
        <w:rStyle w:val="SidhuvudUtskott"/>
      </w:rPr>
      <w:fldChar w:fldCharType="end"/>
    </w:r>
    <w:r w:rsidRPr="00BA76AF">
      <w:rPr>
        <w:rStyle w:val="SidhuvudUtskott"/>
      </w:rPr>
      <w:t>:</w:t>
    </w:r>
    <w:r w:rsidRPr="00BA76AF">
      <w:rPr>
        <w:rStyle w:val="SidhuvudUtskott"/>
      </w:rPr>
      <w:fldChar w:fldCharType="begin" w:fldLock="1"/>
    </w:r>
    <w:r w:rsidRPr="00BA76AF">
      <w:rPr>
        <w:rStyle w:val="SidhuvudUtskott"/>
      </w:rPr>
      <w:instrText xml:space="preserve"> DOCPROPERTY Utskott</w:instrText>
    </w:r>
    <w:r w:rsidRPr="00BA76AF">
      <w:rPr>
        <w:rStyle w:val="SidhuvudUtskott"/>
      </w:rPr>
      <w:fldChar w:fldCharType="separate"/>
    </w:r>
    <w:r w:rsidRPr="00BA76AF">
      <w:rPr>
        <w:rStyle w:val="SidhuvudUtskott"/>
      </w:rPr>
      <w:t>UU</w:t>
    </w:r>
    <w:r w:rsidRPr="00BA76AF">
      <w:rPr>
        <w:rStyle w:val="SidhuvudUtskott"/>
      </w:rPr>
      <w:fldChar w:fldCharType="end"/>
    </w:r>
    <w:r w:rsidRPr="00BA76AF">
      <w:rPr>
        <w:rStyle w:val="SidhuvudUtskott"/>
      </w:rPr>
      <w:fldChar w:fldCharType="begin" w:fldLock="1"/>
    </w:r>
    <w:r w:rsidRPr="00BA76AF">
      <w:rPr>
        <w:rStyle w:val="SidhuvudUtskott"/>
      </w:rPr>
      <w:instrText xml:space="preserve"> DOCPROPERTY BetänkandeNr</w:instrText>
    </w:r>
    <w:r w:rsidRPr="00BA76AF">
      <w:rPr>
        <w:rStyle w:val="SidhuvudUtskott"/>
      </w:rPr>
      <w:fldChar w:fldCharType="separate"/>
    </w:r>
    <w:r w:rsidRPr="00BA76AF">
      <w:rPr>
        <w:rStyle w:val="SidhuvudUtskott"/>
      </w:rPr>
      <w:t>14</w:t>
    </w:r>
    <w:r w:rsidRPr="00BA76AF">
      <w:rPr>
        <w:rStyle w:val="SidhuvudUtskott"/>
      </w:rPr>
      <w:fldChar w:fldCharType="end"/>
    </w:r>
    <w:r w:rsidRPr="00BA76AF">
      <w:t xml:space="preserve">     </w:t>
    </w:r>
    <w:r w:rsidRPr="00BA76AF">
      <w:rPr>
        <w:rStyle w:val="SidhuvudBilaga"/>
      </w:rPr>
      <w:t xml:space="preserve"> </w:t>
    </w:r>
    <w:r w:rsidRPr="00BA76AF">
      <w:rPr>
        <w:rStyle w:val="SidhuvudRubrikReferens"/>
      </w:rPr>
      <w:fldChar w:fldCharType="begin" w:fldLock="1"/>
    </w:r>
    <w:r w:rsidRPr="00BA76AF">
      <w:rPr>
        <w:rStyle w:val="SidhuvudRubrikReferens"/>
      </w:rPr>
      <w:instrText xml:space="preserve"> StyleREF "Rubrik 1" </w:instrText>
    </w:r>
    <w:r w:rsidRPr="00BA76AF">
      <w:rPr>
        <w:rStyle w:val="SidhuvudRubrikReferens"/>
      </w:rPr>
      <w:fldChar w:fldCharType="separate"/>
    </w:r>
    <w:r w:rsidRPr="00BA76AF">
      <w:rPr>
        <w:rStyle w:val="SidhuvudRubrikReferens"/>
      </w:rPr>
      <w:t>Reservationer</w:t>
    </w:r>
    <w:r w:rsidRPr="00BA76AF">
      <w:rPr>
        <w:rStyle w:val="SidhuvudRubrikReferens"/>
      </w:rPr>
      <w:fldChar w:fldCharType="end"/>
    </w:r>
  </w:p>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Status</w:instrText>
    </w:r>
    <w:r w:rsidRPr="00BA76AF">
      <w:rPr>
        <w:rStyle w:val="SidhuvudUtskott"/>
      </w:rPr>
      <w:fldChar w:fldCharType="end"/>
    </w:r>
    <w:r w:rsidRPr="00BA76AF">
      <w:rPr>
        <w:rStyle w:val="SidhuvudUtskott"/>
      </w:rPr>
      <w:fldChar w:fldCharType="begin" w:fldLock="1"/>
    </w:r>
    <w:r w:rsidRPr="00BA76AF">
      <w:rPr>
        <w:rStyle w:val="SidhuvudUtskott"/>
      </w:rPr>
      <w:instrText xml:space="preserve"> if </w:instrText>
    </w:r>
    <w:r w:rsidRPr="00BA76AF">
      <w:rPr>
        <w:rStyle w:val="SidhuvudUtskott"/>
      </w:rPr>
      <w:fldChar w:fldCharType="begin" w:fldLock="1"/>
    </w:r>
    <w:r w:rsidRPr="00BA76AF">
      <w:rPr>
        <w:rStyle w:val="SidhuvudUtskott"/>
      </w:rPr>
      <w:instrText xml:space="preserve"> DOCPROPERTY "UtkastDatum"</w:instrText>
    </w:r>
    <w:r w:rsidRPr="00BA76AF">
      <w:rPr>
        <w:rStyle w:val="SidhuvudUtskott"/>
      </w:rPr>
      <w:fldChar w:fldCharType="separate"/>
    </w:r>
    <w:r w:rsidRPr="00BA76AF">
      <w:rPr>
        <w:rStyle w:val="SidhuvudUtskott"/>
      </w:rPr>
      <w:instrText>Nej</w:instrText>
    </w:r>
    <w:r w:rsidRPr="00BA76AF">
      <w:rPr>
        <w:rStyle w:val="SidhuvudUtskott"/>
      </w:rPr>
      <w:fldChar w:fldCharType="end"/>
    </w:r>
    <w:r w:rsidRPr="00BA76AF">
      <w:rPr>
        <w:rStyle w:val="SidhuvudUtskott"/>
      </w:rPr>
      <w:instrText xml:space="preserve"> = "Ja" "    </w:instrText>
    </w:r>
    <w:r w:rsidRPr="00BA76AF">
      <w:rPr>
        <w:rStyle w:val="SidhuvudUtskott"/>
      </w:rPr>
      <w:fldChar w:fldCharType="begin" w:fldLock="1"/>
    </w:r>
    <w:r w:rsidRPr="00BA76AF">
      <w:rPr>
        <w:rStyle w:val="SidhuvudUtskott"/>
      </w:rPr>
      <w:instrText xml:space="preserve"> PRINTDATE \@ "yyyy-MM-dd HH.mm" </w:instrText>
    </w:r>
    <w:r w:rsidRPr="00BA76AF">
      <w:rPr>
        <w:rStyle w:val="SidhuvudUtskott"/>
      </w:rPr>
      <w:fldChar w:fldCharType="separate"/>
    </w:r>
    <w:r w:rsidRPr="00BA76AF">
      <w:rPr>
        <w:rStyle w:val="SidhuvudUtskott"/>
      </w:rPr>
      <w:instrText>2000-08-11 16.42</w:instrText>
    </w:r>
    <w:r w:rsidRPr="00BA76AF">
      <w:rPr>
        <w:rStyle w:val="SidhuvudUtskott"/>
      </w:rPr>
      <w:fldChar w:fldCharType="end"/>
    </w:r>
    <w:r w:rsidRPr="00BA76AF">
      <w:rPr>
        <w:rStyle w:val="SidhuvudUtskott"/>
      </w:rPr>
      <w:instrText xml:space="preserve">" </w:instrText>
    </w:r>
    <w:r w:rsidRPr="00BA76AF">
      <w:rPr>
        <w:rStyle w:val="SidhuvudUtskott"/>
      </w:rPr>
      <w:fldChar w:fldCharType="end"/>
    </w:r>
  </w:p>
  <w:p w:rsidR="00AD1390" w:rsidRPr="00BA76AF" w:rsidRDefault="00AD139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fldChar w:fldCharType="begin" w:fldLock="1"/>
    </w:r>
    <w:r w:rsidRPr="00BA76AF">
      <w:rPr>
        <w:rStyle w:val="SidhuvudRubrikReferens"/>
      </w:rPr>
      <w:instrText xml:space="preserve"> StyleREF "Rubrik 1" </w:instrText>
    </w:r>
    <w:r w:rsidRPr="00BA76AF">
      <w:rPr>
        <w:rStyle w:val="SidhuvudRubrikReferens"/>
      </w:rPr>
      <w:fldChar w:fldCharType="separate"/>
    </w:r>
    <w:r w:rsidRPr="00BA76AF">
      <w:rPr>
        <w:rStyle w:val="SidhuvudRubrikReferens"/>
      </w:rPr>
      <w:t>Sammanfattning</w:t>
    </w:r>
    <w:r w:rsidRPr="00BA76AF">
      <w:rPr>
        <w:rStyle w:val="SidhuvudRubrikReferens"/>
      </w:rPr>
      <w:fldChar w:fldCharType="end"/>
    </w:r>
    <w:r w:rsidRPr="00BA76AF">
      <w:rPr>
        <w:rStyle w:val="SidhuvudBilaga"/>
      </w:rPr>
      <w:t xml:space="preserve"> </w:t>
    </w:r>
    <w:r w:rsidRPr="00BA76AF">
      <w:t xml:space="preserve">     </w:t>
    </w:r>
    <w:r w:rsidRPr="00BA76AF">
      <w:rPr>
        <w:rStyle w:val="SidhuvudUtskott"/>
      </w:rPr>
      <w:fldChar w:fldCharType="begin" w:fldLock="1"/>
    </w:r>
    <w:r w:rsidRPr="00BA76AF">
      <w:rPr>
        <w:rStyle w:val="SidhuvudUtskott"/>
      </w:rPr>
      <w:instrText xml:space="preserve"> DOCPROPERTY BetänkandeÅr</w:instrText>
    </w:r>
    <w:r w:rsidRPr="00BA76AF">
      <w:rPr>
        <w:rStyle w:val="SidhuvudUtskott"/>
      </w:rPr>
      <w:fldChar w:fldCharType="separate"/>
    </w:r>
    <w:r w:rsidRPr="00BA76AF">
      <w:rPr>
        <w:rStyle w:val="SidhuvudUtskott"/>
      </w:rPr>
      <w:t>2000/01</w:t>
    </w:r>
    <w:r w:rsidRPr="00BA76AF">
      <w:rPr>
        <w:rStyle w:val="SidhuvudUtskott"/>
      </w:rPr>
      <w:fldChar w:fldCharType="end"/>
    </w:r>
    <w:r w:rsidRPr="00BA76AF">
      <w:rPr>
        <w:rStyle w:val="SidhuvudUtskott"/>
      </w:rPr>
      <w:t>:</w:t>
    </w:r>
    <w:r w:rsidRPr="00BA76AF">
      <w:rPr>
        <w:rStyle w:val="SidhuvudUtskott"/>
      </w:rPr>
      <w:fldChar w:fldCharType="begin" w:fldLock="1"/>
    </w:r>
    <w:r w:rsidRPr="00BA76AF">
      <w:rPr>
        <w:rStyle w:val="SidhuvudUtskott"/>
      </w:rPr>
      <w:instrText xml:space="preserve"> DOCPROPERTY</w:instrText>
    </w:r>
    <w:r w:rsidRPr="00BA76AF">
      <w:instrText xml:space="preserve"> </w:instrText>
    </w:r>
    <w:r w:rsidRPr="00BA76AF">
      <w:rPr>
        <w:rStyle w:val="SidhuvudUtskott"/>
      </w:rPr>
      <w:instrText>Utskott</w:instrText>
    </w:r>
    <w:r w:rsidRPr="00BA76AF">
      <w:rPr>
        <w:rStyle w:val="SidhuvudUtskott"/>
      </w:rPr>
      <w:fldChar w:fldCharType="separate"/>
    </w:r>
    <w:r w:rsidRPr="00BA76AF">
      <w:rPr>
        <w:rStyle w:val="SidhuvudUtskott"/>
      </w:rPr>
      <w:t>UU</w:t>
    </w:r>
    <w:r w:rsidRPr="00BA76AF">
      <w:rPr>
        <w:rStyle w:val="SidhuvudUtskott"/>
      </w:rPr>
      <w:fldChar w:fldCharType="end"/>
    </w:r>
    <w:r w:rsidRPr="00BA76AF">
      <w:rPr>
        <w:rStyle w:val="SidhuvudUtskott"/>
      </w:rPr>
      <w:fldChar w:fldCharType="begin" w:fldLock="1"/>
    </w:r>
    <w:r w:rsidRPr="00BA76AF">
      <w:rPr>
        <w:rStyle w:val="SidhuvudUtskott"/>
      </w:rPr>
      <w:instrText xml:space="preserve"> DOCPROPERTY Betä</w:instrText>
    </w:r>
    <w:r w:rsidRPr="00BA76AF">
      <w:rPr>
        <w:rStyle w:val="SidhuvudUtskott"/>
      </w:rPr>
      <w:instrText>n</w:instrText>
    </w:r>
    <w:r w:rsidRPr="00BA76AF">
      <w:rPr>
        <w:rStyle w:val="SidhuvudUtskott"/>
      </w:rPr>
      <w:instrText>kandeNr</w:instrText>
    </w:r>
    <w:r w:rsidRPr="00BA76AF">
      <w:rPr>
        <w:rStyle w:val="SidhuvudUtskott"/>
      </w:rPr>
      <w:fldChar w:fldCharType="separate"/>
    </w:r>
    <w:r w:rsidRPr="00BA76AF">
      <w:rPr>
        <w:rStyle w:val="SidhuvudUtskott"/>
      </w:rPr>
      <w:t>14</w:t>
    </w:r>
    <w:r w:rsidRPr="00BA76AF">
      <w:rPr>
        <w:rStyle w:val="SidhuvudUtskott"/>
      </w:rPr>
      <w:fldChar w:fldCharType="end"/>
    </w:r>
  </w:p>
  <w:p w:rsidR="00AD1390" w:rsidRPr="00BA76AF" w:rsidRDefault="00AD1390">
    <w:pPr>
      <w:pStyle w:val="SidhuvudKantUdda"/>
      <w:framePr w:w="8732" w:h="567" w:hRule="exact" w:vSpace="0" w:wrap="around" w:vAnchor="page" w:y="341" w:anchorLock="0"/>
    </w:pPr>
    <w:r w:rsidRPr="00BA76AF">
      <w:rPr>
        <w:rStyle w:val="SidhuvudUtskott"/>
      </w:rPr>
      <w:fldChar w:fldCharType="begin" w:fldLock="1"/>
    </w:r>
    <w:r w:rsidRPr="00BA76AF">
      <w:rPr>
        <w:rStyle w:val="SidhuvudUtskott"/>
      </w:rPr>
      <w:instrText xml:space="preserve"> if </w:instrText>
    </w:r>
    <w:r w:rsidRPr="00BA76AF">
      <w:rPr>
        <w:rStyle w:val="SidhuvudUtskott"/>
      </w:rPr>
      <w:fldChar w:fldCharType="begin" w:fldLock="1"/>
    </w:r>
    <w:r w:rsidRPr="00BA76AF">
      <w:rPr>
        <w:rStyle w:val="SidhuvudUtskott"/>
      </w:rPr>
      <w:instrText xml:space="preserve"> DOCPROPERTY "UtkastDatum"</w:instrText>
    </w:r>
    <w:r w:rsidRPr="00BA76AF">
      <w:rPr>
        <w:rStyle w:val="SidhuvudUtskott"/>
      </w:rPr>
      <w:fldChar w:fldCharType="separate"/>
    </w:r>
    <w:r w:rsidRPr="00BA76AF">
      <w:rPr>
        <w:rStyle w:val="SidhuvudUtskott"/>
      </w:rPr>
      <w:instrText>Nej</w:instrText>
    </w:r>
    <w:r w:rsidRPr="00BA76AF">
      <w:rPr>
        <w:rStyle w:val="SidhuvudUtskott"/>
      </w:rPr>
      <w:fldChar w:fldCharType="end"/>
    </w:r>
    <w:r w:rsidRPr="00BA76AF">
      <w:rPr>
        <w:rStyle w:val="SidhuvudUtskott"/>
      </w:rPr>
      <w:instrText xml:space="preserve"> = "Ja" "</w:instrText>
    </w:r>
    <w:r w:rsidRPr="00BA76AF">
      <w:rPr>
        <w:rStyle w:val="SidhuvudUtskott"/>
      </w:rPr>
      <w:fldChar w:fldCharType="begin" w:fldLock="1"/>
    </w:r>
    <w:r w:rsidRPr="00BA76AF">
      <w:rPr>
        <w:rStyle w:val="SidhuvudUtskott"/>
      </w:rPr>
      <w:instrText xml:space="preserve"> PRINTDATE \@ "yyyy-MM-dd HH.mm    " </w:instrText>
    </w:r>
    <w:r w:rsidRPr="00BA76AF">
      <w:rPr>
        <w:rStyle w:val="SidhuvudUtskott"/>
      </w:rPr>
      <w:fldChar w:fldCharType="separate"/>
    </w:r>
    <w:r w:rsidRPr="00BA76AF">
      <w:rPr>
        <w:rStyle w:val="SidhuvudUtskott"/>
      </w:rPr>
      <w:instrText>2000-08-11 16.42</w:instrText>
    </w:r>
    <w:r w:rsidRPr="00BA76AF">
      <w:rPr>
        <w:rStyle w:val="SidhuvudUtskott"/>
      </w:rPr>
      <w:fldChar w:fldCharType="end"/>
    </w:r>
    <w:r w:rsidRPr="00BA76AF">
      <w:rPr>
        <w:rStyle w:val="SidhuvudUtskott"/>
      </w:rPr>
      <w:instrText xml:space="preserve">" </w:instrText>
    </w:r>
    <w:r w:rsidRPr="00BA76AF">
      <w:rPr>
        <w:rStyle w:val="SidhuvudUtskott"/>
      </w:rPr>
      <w:fldChar w:fldCharType="end"/>
    </w:r>
    <w:r w:rsidRPr="00BA76AF">
      <w:rPr>
        <w:rStyle w:val="SidhuvudUtskott"/>
      </w:rPr>
      <w:fldChar w:fldCharType="begin" w:fldLock="1"/>
    </w:r>
    <w:r w:rsidRPr="00BA76AF">
      <w:rPr>
        <w:rStyle w:val="SidhuvudUtskott"/>
      </w:rPr>
      <w:instrText xml:space="preserve"> DOCPR</w:instrText>
    </w:r>
    <w:r w:rsidRPr="00BA76AF">
      <w:rPr>
        <w:rStyle w:val="SidhuvudUtskott"/>
      </w:rPr>
      <w:instrText>O</w:instrText>
    </w:r>
    <w:r w:rsidRPr="00BA76AF">
      <w:rPr>
        <w:rStyle w:val="SidhuvudUtskott"/>
      </w:rPr>
      <w:instrText>PERTY Status</w:instrText>
    </w:r>
    <w:r w:rsidRPr="00BA76AF">
      <w:rPr>
        <w:rStyle w:val="SidhuvudUtskott"/>
      </w:rPr>
      <w:fldChar w:fldCharType="end"/>
    </w:r>
  </w:p>
  <w:p w:rsidR="00AD1390" w:rsidRPr="00BA76AF" w:rsidRDefault="00AD139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Särskilda yttranden</w:t>
    </w:r>
    <w:r w:rsidRPr="00BA76AF">
      <w:rPr>
        <w:rStyle w:val="SidhuvudBilaga"/>
      </w:rPr>
      <w:t xml:space="preserve">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p>
  <w:p w:rsidR="00AD1390" w:rsidRPr="00BA76AF" w:rsidRDefault="00AD1390">
    <w:pPr>
      <w:pStyle w:val="SidhuvudKantJmn"/>
      <w:framePr w:w="8732" w:h="567" w:hRule="exact" w:vSpace="0" w:wrap="around" w:vAnchor="page" w:y="341" w:anchorLock="0"/>
    </w:pPr>
  </w:p>
  <w:p w:rsidR="00AD1390" w:rsidRPr="00BA76AF" w:rsidRDefault="00AD1390">
    <w:pPr>
      <w:pStyle w:val="SidhuvudKantUdda"/>
      <w:framePr w:w="8732" w:h="567" w:hRule="exact" w:vSpace="0" w:wrap="around" w:vAnchor="page" w:y="341" w:anchorLock="0"/>
    </w:pPr>
    <w:r w:rsidRPr="00BA76AF">
      <w:rPr>
        <w:rStyle w:val="SidhuvudRubrikReferens"/>
        <w:smallCaps w:val="0"/>
        <w:spacing w:val="0"/>
        <w:sz w:val="19"/>
      </w:rPr>
      <w:t xml:space="preserve"> </w:t>
    </w:r>
  </w:p>
  <w:p w:rsidR="00AD1390" w:rsidRPr="00BA76AF" w:rsidRDefault="00AD139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r w:rsidRPr="00BA76AF">
      <w:rPr>
        <w:rStyle w:val="SidhuvudBilaga"/>
      </w:rPr>
      <w:t xml:space="preserve"> Bilaga   </w:t>
    </w:r>
    <w:r w:rsidRPr="00BA76AF">
      <w:rPr>
        <w:rStyle w:val="SidhuvudRubrikReferens"/>
      </w:rPr>
      <w:t>Förteckning över behandlade förslag</w:t>
    </w:r>
  </w:p>
  <w:p w:rsidR="00AD1390" w:rsidRPr="00BA76AF" w:rsidRDefault="00AD1390">
    <w:pPr>
      <w:pStyle w:val="SidhuvudKantJmn"/>
      <w:framePr w:w="8732" w:h="567" w:hRule="exact" w:vSpace="0" w:wrap="around" w:vAnchor="page" w:y="341" w:anchorLock="0"/>
    </w:pPr>
  </w:p>
  <w:p w:rsidR="00AD1390" w:rsidRPr="00BA76AF" w:rsidRDefault="00AD139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Förteckning över behandlade förslag</w:t>
    </w:r>
    <w:r w:rsidRPr="00BA76AF">
      <w:rPr>
        <w:rStyle w:val="SidhuvudBilaga"/>
      </w:rPr>
      <w:t xml:space="preserve">   Bilaga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p>
  <w:p w:rsidR="00AD1390" w:rsidRPr="00BA76AF" w:rsidRDefault="00AD1390">
    <w:pPr>
      <w:pStyle w:val="SidhuvudKantJmn"/>
      <w:framePr w:w="8732" w:h="567" w:hRule="exact" w:vSpace="0" w:wrap="around" w:vAnchor="page" w:y="341" w:anchorLock="0"/>
    </w:pPr>
  </w:p>
  <w:p w:rsidR="00AD1390" w:rsidRPr="00BA76AF" w:rsidRDefault="00AD1390">
    <w:pPr>
      <w:pStyle w:val="SidhuvudKantUdda"/>
      <w:framePr w:w="8732" w:h="567" w:hRule="exact" w:vSpace="0" w:wrap="around" w:vAnchor="page" w:y="341" w:anchorLock="0"/>
    </w:pPr>
    <w:r w:rsidRPr="00BA76AF">
      <w:rPr>
        <w:rStyle w:val="SidhuvudRubrikReferens"/>
        <w:smallCaps w:val="0"/>
        <w:spacing w:val="0"/>
        <w:sz w:val="19"/>
      </w:rPr>
      <w:t xml:space="preserve"> </w:t>
    </w:r>
  </w:p>
  <w:p w:rsidR="00AD1390" w:rsidRPr="00BA76AF" w:rsidRDefault="00AD139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t xml:space="preserve"> </w:t>
    </w:r>
  </w:p>
  <w:p w:rsidR="00AD1390" w:rsidRPr="00BA76AF" w:rsidRDefault="00AD139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BetänkandeÅr</w:instrText>
    </w:r>
    <w:r w:rsidRPr="00BA76AF">
      <w:rPr>
        <w:rStyle w:val="SidhuvudUtskott"/>
      </w:rPr>
      <w:fldChar w:fldCharType="separate"/>
    </w:r>
    <w:r w:rsidRPr="00BA76AF">
      <w:rPr>
        <w:rStyle w:val="SidhuvudUtskott"/>
      </w:rPr>
      <w:t>2000/01</w:t>
    </w:r>
    <w:r w:rsidRPr="00BA76AF">
      <w:rPr>
        <w:rStyle w:val="SidhuvudUtskott"/>
      </w:rPr>
      <w:fldChar w:fldCharType="end"/>
    </w:r>
    <w:r w:rsidRPr="00BA76AF">
      <w:rPr>
        <w:rStyle w:val="SidhuvudUtskott"/>
      </w:rPr>
      <w:t>:</w:t>
    </w:r>
    <w:r w:rsidRPr="00BA76AF">
      <w:rPr>
        <w:rStyle w:val="SidhuvudUtskott"/>
      </w:rPr>
      <w:fldChar w:fldCharType="begin" w:fldLock="1"/>
    </w:r>
    <w:r w:rsidRPr="00BA76AF">
      <w:rPr>
        <w:rStyle w:val="SidhuvudUtskott"/>
      </w:rPr>
      <w:instrText xml:space="preserve"> DOCPROPERTY Utskott</w:instrText>
    </w:r>
    <w:r w:rsidRPr="00BA76AF">
      <w:rPr>
        <w:rStyle w:val="SidhuvudUtskott"/>
      </w:rPr>
      <w:fldChar w:fldCharType="separate"/>
    </w:r>
    <w:r w:rsidRPr="00BA76AF">
      <w:rPr>
        <w:rStyle w:val="SidhuvudUtskott"/>
      </w:rPr>
      <w:t>UU</w:t>
    </w:r>
    <w:r w:rsidRPr="00BA76AF">
      <w:rPr>
        <w:rStyle w:val="SidhuvudUtskott"/>
      </w:rPr>
      <w:fldChar w:fldCharType="end"/>
    </w:r>
    <w:r w:rsidRPr="00BA76AF">
      <w:rPr>
        <w:rStyle w:val="SidhuvudUtskott"/>
      </w:rPr>
      <w:fldChar w:fldCharType="begin" w:fldLock="1"/>
    </w:r>
    <w:r w:rsidRPr="00BA76AF">
      <w:rPr>
        <w:rStyle w:val="SidhuvudUtskott"/>
      </w:rPr>
      <w:instrText xml:space="preserve"> DOCPROPERTY BetänkandeNr</w:instrText>
    </w:r>
    <w:r w:rsidRPr="00BA76AF">
      <w:rPr>
        <w:rStyle w:val="SidhuvudUtskott"/>
      </w:rPr>
      <w:fldChar w:fldCharType="separate"/>
    </w:r>
    <w:r w:rsidRPr="00BA76AF">
      <w:rPr>
        <w:rStyle w:val="SidhuvudUtskott"/>
      </w:rPr>
      <w:t>14</w:t>
    </w:r>
    <w:r w:rsidRPr="00BA76AF">
      <w:rPr>
        <w:rStyle w:val="SidhuvudUtskott"/>
      </w:rPr>
      <w:fldChar w:fldCharType="end"/>
    </w:r>
    <w:r w:rsidRPr="00BA76AF">
      <w:t xml:space="preserve">     </w:t>
    </w:r>
    <w:r w:rsidRPr="00BA76AF">
      <w:rPr>
        <w:rStyle w:val="SidhuvudBilaga"/>
      </w:rPr>
      <w:t xml:space="preserve"> </w:t>
    </w:r>
    <w:r w:rsidRPr="00BA76AF">
      <w:rPr>
        <w:rStyle w:val="SidhuvudRubrikReferens"/>
      </w:rPr>
      <w:fldChar w:fldCharType="begin" w:fldLock="1"/>
    </w:r>
    <w:r w:rsidRPr="00BA76AF">
      <w:rPr>
        <w:rStyle w:val="SidhuvudRubrikReferens"/>
      </w:rPr>
      <w:instrText xml:space="preserve"> StyleREF "Rubrik 1" </w:instrText>
    </w:r>
    <w:r w:rsidRPr="00BA76AF">
      <w:rPr>
        <w:rStyle w:val="SidhuvudRubrikReferens"/>
      </w:rPr>
      <w:fldChar w:fldCharType="separate"/>
    </w:r>
    <w:r w:rsidRPr="00BA76AF">
      <w:rPr>
        <w:rStyle w:val="SidhuvudRubrikReferens"/>
      </w:rPr>
      <w:t>Sammanfattning</w:t>
    </w:r>
    <w:r w:rsidRPr="00BA76AF">
      <w:rPr>
        <w:rStyle w:val="SidhuvudRubrikReferens"/>
      </w:rPr>
      <w:fldChar w:fldCharType="end"/>
    </w:r>
  </w:p>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Status</w:instrText>
    </w:r>
    <w:r w:rsidRPr="00BA76AF">
      <w:rPr>
        <w:rStyle w:val="SidhuvudUtskott"/>
      </w:rPr>
      <w:fldChar w:fldCharType="end"/>
    </w:r>
    <w:r w:rsidRPr="00BA76AF">
      <w:rPr>
        <w:rStyle w:val="SidhuvudUtskott"/>
      </w:rPr>
      <w:fldChar w:fldCharType="begin" w:fldLock="1"/>
    </w:r>
    <w:r w:rsidRPr="00BA76AF">
      <w:rPr>
        <w:rStyle w:val="SidhuvudUtskott"/>
      </w:rPr>
      <w:instrText xml:space="preserve"> if </w:instrText>
    </w:r>
    <w:r w:rsidRPr="00BA76AF">
      <w:rPr>
        <w:rStyle w:val="SidhuvudUtskott"/>
      </w:rPr>
      <w:fldChar w:fldCharType="begin" w:fldLock="1"/>
    </w:r>
    <w:r w:rsidRPr="00BA76AF">
      <w:rPr>
        <w:rStyle w:val="SidhuvudUtskott"/>
      </w:rPr>
      <w:instrText xml:space="preserve"> DOCPROPERTY "UtkastDatum"</w:instrText>
    </w:r>
    <w:r w:rsidRPr="00BA76AF">
      <w:rPr>
        <w:rStyle w:val="SidhuvudUtskott"/>
      </w:rPr>
      <w:fldChar w:fldCharType="separate"/>
    </w:r>
    <w:r w:rsidRPr="00BA76AF">
      <w:rPr>
        <w:rStyle w:val="SidhuvudUtskott"/>
      </w:rPr>
      <w:instrText>Nej</w:instrText>
    </w:r>
    <w:r w:rsidRPr="00BA76AF">
      <w:rPr>
        <w:rStyle w:val="SidhuvudUtskott"/>
      </w:rPr>
      <w:fldChar w:fldCharType="end"/>
    </w:r>
    <w:r w:rsidRPr="00BA76AF">
      <w:rPr>
        <w:rStyle w:val="SidhuvudUtskott"/>
      </w:rPr>
      <w:instrText xml:space="preserve"> = "Ja" "    </w:instrText>
    </w:r>
    <w:r w:rsidRPr="00BA76AF">
      <w:rPr>
        <w:rStyle w:val="SidhuvudUtskott"/>
      </w:rPr>
      <w:fldChar w:fldCharType="begin" w:fldLock="1"/>
    </w:r>
    <w:r w:rsidRPr="00BA76AF">
      <w:rPr>
        <w:rStyle w:val="SidhuvudUtskott"/>
      </w:rPr>
      <w:instrText xml:space="preserve"> PRINTDATE \@ "yyyy-MM-dd HH.mm" </w:instrText>
    </w:r>
    <w:r w:rsidRPr="00BA76AF">
      <w:rPr>
        <w:rStyle w:val="SidhuvudUtskott"/>
      </w:rPr>
      <w:fldChar w:fldCharType="separate"/>
    </w:r>
    <w:r w:rsidRPr="00BA76AF">
      <w:rPr>
        <w:rStyle w:val="SidhuvudUtskott"/>
      </w:rPr>
      <w:instrText>2000-08-11 16.42</w:instrText>
    </w:r>
    <w:r w:rsidRPr="00BA76AF">
      <w:rPr>
        <w:rStyle w:val="SidhuvudUtskott"/>
      </w:rPr>
      <w:fldChar w:fldCharType="end"/>
    </w:r>
    <w:r w:rsidRPr="00BA76AF">
      <w:rPr>
        <w:rStyle w:val="SidhuvudUtskott"/>
      </w:rPr>
      <w:instrText xml:space="preserve">" </w:instrText>
    </w:r>
    <w:r w:rsidRPr="00BA76AF">
      <w:rPr>
        <w:rStyle w:val="SidhuvudUtskott"/>
      </w:rPr>
      <w:fldChar w:fldCharType="end"/>
    </w:r>
  </w:p>
  <w:p w:rsidR="00AD1390" w:rsidRPr="00BA76AF" w:rsidRDefault="00AD139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Innehållsförteckning</w:t>
    </w:r>
    <w:r w:rsidRPr="00BA76AF">
      <w:rPr>
        <w:rStyle w:val="SidhuvudBilaga"/>
      </w:rPr>
      <w:t xml:space="preserve">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p>
  <w:p w:rsidR="00AD1390" w:rsidRPr="00BA76AF" w:rsidRDefault="00AD1390">
    <w:pPr>
      <w:pStyle w:val="SidhuvudKantJmn"/>
      <w:framePr w:w="8732" w:h="567" w:hRule="exact" w:vSpace="0" w:wrap="around" w:vAnchor="page" w:y="341" w:anchorLock="0"/>
    </w:pPr>
  </w:p>
  <w:p w:rsidR="00AD1390" w:rsidRPr="00BA76AF" w:rsidRDefault="00AD1390">
    <w:pPr>
      <w:pStyle w:val="SidhuvudKantUdda"/>
      <w:framePr w:w="8732" w:h="567" w:hRule="exact" w:vSpace="0" w:wrap="around" w:vAnchor="page" w:y="341" w:anchorLock="0"/>
    </w:pPr>
    <w:r w:rsidRPr="00BA76AF">
      <w:rPr>
        <w:rStyle w:val="SidhuvudRubrikReferens"/>
        <w:smallCaps w:val="0"/>
        <w:spacing w:val="0"/>
        <w:sz w:val="19"/>
      </w:rPr>
      <w:t xml:space="preserve"> </w:t>
    </w:r>
  </w:p>
  <w:p w:rsidR="00AD1390" w:rsidRPr="00BA76AF" w:rsidRDefault="00AD139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BetänkandeÅr</w:instrText>
    </w:r>
    <w:r w:rsidRPr="00BA76AF">
      <w:rPr>
        <w:rStyle w:val="SidhuvudUtskott"/>
      </w:rPr>
      <w:fldChar w:fldCharType="separate"/>
    </w:r>
    <w:r w:rsidRPr="00BA76AF">
      <w:rPr>
        <w:rStyle w:val="SidhuvudUtskott"/>
      </w:rPr>
      <w:t>2000/01</w:t>
    </w:r>
    <w:r w:rsidRPr="00BA76AF">
      <w:rPr>
        <w:rStyle w:val="SidhuvudUtskott"/>
      </w:rPr>
      <w:fldChar w:fldCharType="end"/>
    </w:r>
    <w:r w:rsidRPr="00BA76AF">
      <w:rPr>
        <w:rStyle w:val="SidhuvudUtskott"/>
      </w:rPr>
      <w:t>:</w:t>
    </w:r>
    <w:r w:rsidRPr="00BA76AF">
      <w:rPr>
        <w:rStyle w:val="SidhuvudUtskott"/>
      </w:rPr>
      <w:fldChar w:fldCharType="begin" w:fldLock="1"/>
    </w:r>
    <w:r w:rsidRPr="00BA76AF">
      <w:rPr>
        <w:rStyle w:val="SidhuvudUtskott"/>
      </w:rPr>
      <w:instrText xml:space="preserve"> DOCPROPERTY Utskott</w:instrText>
    </w:r>
    <w:r w:rsidRPr="00BA76AF">
      <w:rPr>
        <w:rStyle w:val="SidhuvudUtskott"/>
      </w:rPr>
      <w:fldChar w:fldCharType="separate"/>
    </w:r>
    <w:r w:rsidRPr="00BA76AF">
      <w:rPr>
        <w:rStyle w:val="SidhuvudUtskott"/>
      </w:rPr>
      <w:t>UU</w:t>
    </w:r>
    <w:r w:rsidRPr="00BA76AF">
      <w:rPr>
        <w:rStyle w:val="SidhuvudUtskott"/>
      </w:rPr>
      <w:fldChar w:fldCharType="end"/>
    </w:r>
    <w:r w:rsidRPr="00BA76AF">
      <w:rPr>
        <w:rStyle w:val="SidhuvudUtskott"/>
      </w:rPr>
      <w:fldChar w:fldCharType="begin" w:fldLock="1"/>
    </w:r>
    <w:r w:rsidRPr="00BA76AF">
      <w:rPr>
        <w:rStyle w:val="SidhuvudUtskott"/>
      </w:rPr>
      <w:instrText xml:space="preserve"> DOCPROPERTY BetänkandeNr</w:instrText>
    </w:r>
    <w:r w:rsidRPr="00BA76AF">
      <w:rPr>
        <w:rStyle w:val="SidhuvudUtskott"/>
      </w:rPr>
      <w:fldChar w:fldCharType="separate"/>
    </w:r>
    <w:r w:rsidRPr="00BA76AF">
      <w:rPr>
        <w:rStyle w:val="SidhuvudUtskott"/>
      </w:rPr>
      <w:t>14</w:t>
    </w:r>
    <w:r w:rsidRPr="00BA76AF">
      <w:rPr>
        <w:rStyle w:val="SidhuvudUtskott"/>
      </w:rPr>
      <w:fldChar w:fldCharType="end"/>
    </w:r>
    <w:r w:rsidRPr="00BA76AF">
      <w:t xml:space="preserve">     </w:t>
    </w:r>
    <w:r w:rsidRPr="00BA76AF">
      <w:rPr>
        <w:rStyle w:val="SidhuvudBilaga"/>
      </w:rPr>
      <w:t xml:space="preserve"> </w:t>
    </w:r>
    <w:r w:rsidRPr="00BA76AF">
      <w:rPr>
        <w:rStyle w:val="SidhuvudRubrikReferens"/>
      </w:rPr>
      <w:fldChar w:fldCharType="begin" w:fldLock="1"/>
    </w:r>
    <w:r w:rsidRPr="00BA76AF">
      <w:rPr>
        <w:rStyle w:val="SidhuvudRubrikReferens"/>
      </w:rPr>
      <w:instrText xml:space="preserve"> StyleREF "Rubrik 1" </w:instrText>
    </w:r>
    <w:r w:rsidRPr="00BA76AF">
      <w:rPr>
        <w:rStyle w:val="SidhuvudRubrikReferens"/>
      </w:rPr>
      <w:fldChar w:fldCharType="separate"/>
    </w:r>
    <w:r w:rsidRPr="00BA76AF">
      <w:rPr>
        <w:rStyle w:val="SidhuvudRubrikReferens"/>
      </w:rPr>
      <w:t>Innehållsförteckning</w:t>
    </w:r>
    <w:r w:rsidRPr="00BA76AF">
      <w:rPr>
        <w:rStyle w:val="SidhuvudRubrikReferens"/>
      </w:rPr>
      <w:fldChar w:fldCharType="end"/>
    </w:r>
  </w:p>
  <w:p w:rsidR="00AD1390" w:rsidRPr="00BA76AF" w:rsidRDefault="00AD1390">
    <w:pPr>
      <w:pStyle w:val="SidhuvudKantJmn"/>
      <w:framePr w:w="8732" w:h="567" w:hRule="exact" w:vSpace="0" w:wrap="around" w:vAnchor="page" w:y="341" w:anchorLock="0"/>
    </w:pPr>
    <w:r w:rsidRPr="00BA76AF">
      <w:rPr>
        <w:rStyle w:val="SidhuvudUtskott"/>
      </w:rPr>
      <w:fldChar w:fldCharType="begin" w:fldLock="1"/>
    </w:r>
    <w:r w:rsidRPr="00BA76AF">
      <w:rPr>
        <w:rStyle w:val="SidhuvudUtskott"/>
      </w:rPr>
      <w:instrText xml:space="preserve"> DOCPROPERTY Status</w:instrText>
    </w:r>
    <w:r w:rsidRPr="00BA76AF">
      <w:rPr>
        <w:rStyle w:val="SidhuvudUtskott"/>
      </w:rPr>
      <w:fldChar w:fldCharType="end"/>
    </w:r>
    <w:r w:rsidRPr="00BA76AF">
      <w:rPr>
        <w:rStyle w:val="SidhuvudUtskott"/>
      </w:rPr>
      <w:fldChar w:fldCharType="begin" w:fldLock="1"/>
    </w:r>
    <w:r w:rsidRPr="00BA76AF">
      <w:rPr>
        <w:rStyle w:val="SidhuvudUtskott"/>
      </w:rPr>
      <w:instrText xml:space="preserve"> if </w:instrText>
    </w:r>
    <w:r w:rsidRPr="00BA76AF">
      <w:rPr>
        <w:rStyle w:val="SidhuvudUtskott"/>
      </w:rPr>
      <w:fldChar w:fldCharType="begin" w:fldLock="1"/>
    </w:r>
    <w:r w:rsidRPr="00BA76AF">
      <w:rPr>
        <w:rStyle w:val="SidhuvudUtskott"/>
      </w:rPr>
      <w:instrText xml:space="preserve"> DOCPROPERTY "UtkastDatum"</w:instrText>
    </w:r>
    <w:r w:rsidRPr="00BA76AF">
      <w:rPr>
        <w:rStyle w:val="SidhuvudUtskott"/>
      </w:rPr>
      <w:fldChar w:fldCharType="separate"/>
    </w:r>
    <w:r w:rsidRPr="00BA76AF">
      <w:rPr>
        <w:rStyle w:val="SidhuvudUtskott"/>
      </w:rPr>
      <w:instrText>Nej</w:instrText>
    </w:r>
    <w:r w:rsidRPr="00BA76AF">
      <w:rPr>
        <w:rStyle w:val="SidhuvudUtskott"/>
      </w:rPr>
      <w:fldChar w:fldCharType="end"/>
    </w:r>
    <w:r w:rsidRPr="00BA76AF">
      <w:rPr>
        <w:rStyle w:val="SidhuvudUtskott"/>
      </w:rPr>
      <w:instrText xml:space="preserve"> = "Ja" "    </w:instrText>
    </w:r>
    <w:r w:rsidRPr="00BA76AF">
      <w:rPr>
        <w:rStyle w:val="SidhuvudUtskott"/>
      </w:rPr>
      <w:fldChar w:fldCharType="begin" w:fldLock="1"/>
    </w:r>
    <w:r w:rsidRPr="00BA76AF">
      <w:rPr>
        <w:rStyle w:val="SidhuvudUtskott"/>
      </w:rPr>
      <w:instrText xml:space="preserve"> PRINTDATE \@ "yyyy-MM-dd HH.mm" </w:instrText>
    </w:r>
    <w:r w:rsidRPr="00BA76AF">
      <w:rPr>
        <w:rStyle w:val="SidhuvudUtskott"/>
      </w:rPr>
      <w:fldChar w:fldCharType="separate"/>
    </w:r>
    <w:r w:rsidRPr="00BA76AF">
      <w:rPr>
        <w:rStyle w:val="SidhuvudUtskott"/>
      </w:rPr>
      <w:instrText>2000-08-11 16.42</w:instrText>
    </w:r>
    <w:r w:rsidRPr="00BA76AF">
      <w:rPr>
        <w:rStyle w:val="SidhuvudUtskott"/>
      </w:rPr>
      <w:fldChar w:fldCharType="end"/>
    </w:r>
    <w:r w:rsidRPr="00BA76AF">
      <w:rPr>
        <w:rStyle w:val="SidhuvudUtskott"/>
      </w:rPr>
      <w:instrText xml:space="preserve">" </w:instrText>
    </w:r>
    <w:r w:rsidRPr="00BA76AF">
      <w:rPr>
        <w:rStyle w:val="SidhuvudUtskott"/>
      </w:rPr>
      <w:fldChar w:fldCharType="end"/>
    </w:r>
  </w:p>
  <w:p w:rsidR="00AD1390" w:rsidRPr="00BA76AF" w:rsidRDefault="00AD139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Udda"/>
      <w:framePr w:w="8732" w:h="567" w:hRule="exact" w:vSpace="0" w:wrap="around" w:vAnchor="page" w:y="341" w:anchorLock="0"/>
    </w:pPr>
    <w:r w:rsidRPr="00BA76AF">
      <w:rPr>
        <w:rStyle w:val="SidhuvudRubrikReferens"/>
      </w:rPr>
      <w:t>Utskottets förslag till riksdagsbeslut</w:t>
    </w:r>
    <w:r w:rsidRPr="00BA76AF">
      <w:rPr>
        <w:rStyle w:val="SidhuvudBilaga"/>
      </w:rPr>
      <w:t xml:space="preserve"> </w:t>
    </w:r>
    <w:r w:rsidRPr="00BA76AF">
      <w:t xml:space="preserve">     </w:t>
    </w:r>
    <w:r w:rsidRPr="00BA76AF">
      <w:rPr>
        <w:rStyle w:val="SidhuvudUtskott"/>
      </w:rPr>
      <w:t>2000/01:UU14</w:t>
    </w:r>
  </w:p>
  <w:p w:rsidR="00AD1390" w:rsidRPr="00BA76AF" w:rsidRDefault="00AD1390">
    <w:pPr>
      <w:pStyle w:val="SidhuvudKantUdda"/>
      <w:framePr w:w="8732" w:h="567" w:hRule="exact" w:vSpace="0" w:wrap="around" w:vAnchor="page" w:y="341" w:anchorLock="0"/>
    </w:pPr>
  </w:p>
  <w:p w:rsidR="00AD1390" w:rsidRPr="00BA76AF" w:rsidRDefault="00AD139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390" w:rsidRPr="00BA76AF" w:rsidRDefault="00AD1390">
    <w:pPr>
      <w:pStyle w:val="SidhuvudKantJmn"/>
      <w:framePr w:w="8732" w:h="567" w:hRule="exact" w:vSpace="0" w:wrap="around" w:vAnchor="page" w:y="341" w:anchorLock="0"/>
    </w:pPr>
    <w:r w:rsidRPr="00BA76AF">
      <w:rPr>
        <w:rStyle w:val="SidhuvudUtskott"/>
      </w:rPr>
      <w:t>2000/01:UU14</w:t>
    </w:r>
    <w:r w:rsidRPr="00BA76AF">
      <w:t xml:space="preserve">    </w:t>
    </w:r>
  </w:p>
  <w:p w:rsidR="00AD1390" w:rsidRPr="00BA76AF" w:rsidRDefault="00AD1390">
    <w:pPr>
      <w:pStyle w:val="SidhuvudKantJmn"/>
      <w:framePr w:w="8732" w:h="567" w:hRule="exact" w:vSpace="0" w:wrap="around" w:vAnchor="page" w:y="341" w:anchorLock="0"/>
    </w:pPr>
  </w:p>
  <w:p w:rsidR="00AD1390" w:rsidRPr="00BA76AF" w:rsidRDefault="00AD1390">
    <w:pPr>
      <w:pStyle w:val="SidhuvudKantUdda"/>
      <w:framePr w:w="8732" w:h="567" w:hRule="exact" w:vSpace="0" w:wrap="around" w:vAnchor="page" w:y="341" w:anchorLock="0"/>
    </w:pPr>
    <w:r w:rsidRPr="00BA76AF">
      <w:rPr>
        <w:rStyle w:val="SidhuvudRubrikReferens"/>
        <w:smallCaps w:val="0"/>
        <w:spacing w:val="0"/>
        <w:sz w:val="19"/>
      </w:rPr>
      <w:t xml:space="preserve"> </w:t>
    </w:r>
  </w:p>
  <w:p w:rsidR="00AD1390" w:rsidRPr="00BA76AF" w:rsidRDefault="00AD139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5648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275EB3"/>
    <w:rsid w:val="00275EB3"/>
    <w:rsid w:val="00AD1390"/>
    <w:rsid w:val="00BA76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727957-B14E-453D-B496-0455D5A0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styleId="Brdtext">
    <w:name w:val="Body Text"/>
    <w:basedOn w:val="Normal"/>
    <w:semiHidden/>
    <w:pPr>
      <w:spacing w:before="0" w:line="320" w:lineRule="exac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11807</Words>
  <Characters>72027</Characters>
  <Application>Microsoft Office Word</Application>
  <DocSecurity>4</DocSecurity>
  <Lines>1800</Lines>
  <Paragraphs>952</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2001-06-21T10:51:00Z</cp:lastPrinted>
  <dcterms:created xsi:type="dcterms:W3CDTF">2025-12-15T23:47:00Z</dcterms:created>
  <dcterms:modified xsi:type="dcterms:W3CDTF">2025-12-15T23:47:00Z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