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394CEC">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394CEC" w:rsidRDefault="00394CEC">
            <w:pPr>
              <w:pStyle w:val="EntLogo"/>
            </w:pPr>
            <w:r w:rsidRPr="00394CE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394CEC">
        <w:tblPrEx>
          <w:tblCellMar>
            <w:top w:w="0" w:type="dxa"/>
            <w:left w:w="0" w:type="dxa"/>
            <w:bottom w:w="0" w:type="dxa"/>
            <w:right w:w="0" w:type="dxa"/>
          </w:tblCellMar>
        </w:tblPrEx>
        <w:trPr>
          <w:cantSplit/>
          <w:trHeight w:val="1120"/>
        </w:trPr>
        <w:tc>
          <w:tcPr>
            <w:tcW w:w="4821" w:type="dxa"/>
            <w:gridSpan w:val="2"/>
          </w:tcPr>
          <w:p w:rsidR="00762866" w:rsidRPr="00394CEC" w:rsidRDefault="00762866">
            <w:pPr>
              <w:pStyle w:val="EntInstit"/>
            </w:pPr>
            <w:bookmarkStart w:id="0" w:name="Entete"/>
            <w:bookmarkEnd w:id="0"/>
            <w:r w:rsidRPr="00394CEC">
              <w:t>EUROPEISKA</w:t>
            </w:r>
          </w:p>
          <w:p w:rsidR="004D77A5" w:rsidRPr="00394CEC" w:rsidRDefault="00762866">
            <w:pPr>
              <w:pStyle w:val="EntInstit"/>
            </w:pPr>
            <w:r w:rsidRPr="00394CEC">
              <w:t>UNIONENS RÅD</w:t>
            </w:r>
          </w:p>
        </w:tc>
        <w:tc>
          <w:tcPr>
            <w:tcW w:w="1701" w:type="dxa"/>
          </w:tcPr>
          <w:p w:rsidR="004D77A5" w:rsidRPr="00394CEC" w:rsidRDefault="004D77A5">
            <w:pPr>
              <w:spacing w:line="240" w:lineRule="auto"/>
              <w:jc w:val="right"/>
              <w:rPr>
                <w:b/>
              </w:rPr>
            </w:pPr>
          </w:p>
        </w:tc>
        <w:tc>
          <w:tcPr>
            <w:tcW w:w="4820" w:type="dxa"/>
            <w:gridSpan w:val="2"/>
          </w:tcPr>
          <w:p w:rsidR="004D77A5" w:rsidRPr="00394CEC" w:rsidRDefault="00762866">
            <w:pPr>
              <w:pStyle w:val="EntRefer"/>
            </w:pPr>
            <w:bookmarkStart w:id="1" w:name="Lieu"/>
            <w:bookmarkEnd w:id="1"/>
            <w:r w:rsidRPr="00394CEC">
              <w:t>Bryssel den</w:t>
            </w:r>
            <w:r w:rsidR="004D77A5" w:rsidRPr="00394CEC">
              <w:t xml:space="preserve"> </w:t>
            </w:r>
            <w:bookmarkStart w:id="2" w:name="Date"/>
            <w:bookmarkEnd w:id="2"/>
            <w:r w:rsidRPr="00394CEC">
              <w:t>21 november 2005</w:t>
            </w:r>
            <w:r w:rsidR="004D77A5" w:rsidRPr="00394CEC">
              <w:t xml:space="preserve"> </w:t>
            </w:r>
            <w:bookmarkStart w:id="3" w:name="DateEntree"/>
            <w:bookmarkEnd w:id="3"/>
            <w:r w:rsidRPr="00394CEC">
              <w:t>(6.1)</w:t>
            </w:r>
          </w:p>
          <w:p w:rsidR="004D77A5" w:rsidRPr="00394CEC" w:rsidRDefault="00762866">
            <w:pPr>
              <w:pStyle w:val="EntRefer"/>
            </w:pPr>
            <w:bookmarkStart w:id="4" w:name="LangueOrig"/>
            <w:bookmarkEnd w:id="4"/>
            <w:r w:rsidRPr="00394CEC">
              <w:t>(OR. en)</w:t>
            </w:r>
          </w:p>
        </w:tc>
      </w:tr>
      <w:tr w:rsidR="004D77A5" w:rsidRPr="00394CEC">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762866" w:rsidRPr="00394CEC" w:rsidRDefault="00762866" w:rsidP="00762866">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394CEC">
              <w:t>Interinstitutionellt ärende:</w:t>
            </w:r>
          </w:p>
          <w:p w:rsidR="004D77A5" w:rsidRPr="00394CEC" w:rsidRDefault="00762866" w:rsidP="00762866">
            <w:pPr>
              <w:pStyle w:val="EntRefer"/>
              <w:pBdr>
                <w:top w:val="double" w:sz="4" w:space="4" w:color="auto"/>
                <w:left w:val="double" w:sz="4" w:space="0" w:color="auto"/>
                <w:bottom w:val="double" w:sz="4" w:space="4" w:color="auto"/>
                <w:right w:val="double" w:sz="4" w:space="0" w:color="auto"/>
              </w:pBdr>
              <w:jc w:val="center"/>
            </w:pPr>
            <w:r w:rsidRPr="00394CEC">
              <w:t>2004/0153 (COD)</w:t>
            </w:r>
          </w:p>
        </w:tc>
        <w:tc>
          <w:tcPr>
            <w:tcW w:w="1701" w:type="dxa"/>
            <w:vAlign w:val="center"/>
          </w:tcPr>
          <w:p w:rsidR="004D77A5" w:rsidRPr="00394CEC" w:rsidRDefault="004D77A5">
            <w:pPr>
              <w:spacing w:line="240" w:lineRule="auto"/>
              <w:rPr>
                <w:b/>
              </w:rPr>
            </w:pPr>
          </w:p>
        </w:tc>
        <w:tc>
          <w:tcPr>
            <w:tcW w:w="3970" w:type="dxa"/>
          </w:tcPr>
          <w:p w:rsidR="004D77A5" w:rsidRPr="00394CEC" w:rsidRDefault="00762866">
            <w:pPr>
              <w:pStyle w:val="EntRefer"/>
            </w:pPr>
            <w:bookmarkStart w:id="6" w:name="Cote"/>
            <w:bookmarkEnd w:id="6"/>
            <w:r w:rsidRPr="00394CEC">
              <w:t>14690/05</w:t>
            </w:r>
          </w:p>
          <w:p w:rsidR="004D77A5" w:rsidRPr="00394CEC" w:rsidRDefault="004D77A5">
            <w:pPr>
              <w:pStyle w:val="EntRefer"/>
            </w:pPr>
            <w:bookmarkStart w:id="7" w:name="CoteRev"/>
            <w:bookmarkEnd w:id="7"/>
          </w:p>
          <w:p w:rsidR="004D77A5" w:rsidRPr="00394CEC" w:rsidRDefault="004D77A5">
            <w:pPr>
              <w:pStyle w:val="EntRefer"/>
            </w:pPr>
          </w:p>
          <w:p w:rsidR="004D77A5" w:rsidRPr="00394CEC" w:rsidRDefault="004D77A5">
            <w:pPr>
              <w:pStyle w:val="EntRefer"/>
            </w:pPr>
            <w:bookmarkStart w:id="8" w:name="CoteSec"/>
            <w:bookmarkEnd w:id="8"/>
          </w:p>
          <w:p w:rsidR="004D77A5" w:rsidRPr="00394CEC" w:rsidRDefault="004D77A5">
            <w:pPr>
              <w:pStyle w:val="EntRefer"/>
            </w:pPr>
          </w:p>
        </w:tc>
      </w:tr>
      <w:tr w:rsidR="004D77A5" w:rsidRPr="00394CEC">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394CEC" w:rsidRDefault="004D77A5">
            <w:pPr>
              <w:pStyle w:val="EntRefer"/>
              <w:jc w:val="center"/>
            </w:pPr>
            <w:bookmarkStart w:id="9" w:name="SousEmbargo"/>
            <w:bookmarkEnd w:id="9"/>
          </w:p>
        </w:tc>
        <w:tc>
          <w:tcPr>
            <w:tcW w:w="1701" w:type="dxa"/>
            <w:vAlign w:val="center"/>
          </w:tcPr>
          <w:p w:rsidR="004D77A5" w:rsidRPr="00394CEC" w:rsidRDefault="004D77A5">
            <w:pPr>
              <w:spacing w:line="240" w:lineRule="auto"/>
              <w:rPr>
                <w:b/>
              </w:rPr>
            </w:pPr>
          </w:p>
        </w:tc>
        <w:tc>
          <w:tcPr>
            <w:tcW w:w="3970" w:type="dxa"/>
          </w:tcPr>
          <w:p w:rsidR="004D77A5" w:rsidRPr="00394CEC" w:rsidRDefault="005E1750">
            <w:pPr>
              <w:pStyle w:val="EntRefer"/>
              <w:tabs>
                <w:tab w:val="right" w:pos="1984"/>
              </w:tabs>
            </w:pPr>
            <w:r w:rsidRPr="00394CEC">
              <w:t>EDUC 174</w:t>
            </w:r>
          </w:p>
          <w:p w:rsidR="005E1750" w:rsidRPr="00394CEC" w:rsidRDefault="005E1750">
            <w:pPr>
              <w:pStyle w:val="EntRefer"/>
              <w:tabs>
                <w:tab w:val="right" w:pos="1984"/>
              </w:tabs>
            </w:pPr>
            <w:r w:rsidRPr="00394CEC">
              <w:t>SOC 447</w:t>
            </w:r>
          </w:p>
          <w:p w:rsidR="005E1750" w:rsidRPr="00394CEC" w:rsidRDefault="005E1750">
            <w:pPr>
              <w:pStyle w:val="EntRefer"/>
              <w:tabs>
                <w:tab w:val="right" w:pos="1984"/>
              </w:tabs>
            </w:pPr>
            <w:r w:rsidRPr="00394CEC">
              <w:t>CODEC 1049</w:t>
            </w:r>
          </w:p>
          <w:p w:rsidR="005E1750" w:rsidRPr="00394CEC" w:rsidRDefault="005E1750">
            <w:pPr>
              <w:pStyle w:val="EntRefer"/>
              <w:tabs>
                <w:tab w:val="right" w:pos="1984"/>
              </w:tabs>
            </w:pPr>
            <w:r w:rsidRPr="00394CEC">
              <w:t>CADREFIN 244</w:t>
            </w:r>
          </w:p>
        </w:tc>
      </w:tr>
    </w:tbl>
    <w:p w:rsidR="004D77A5" w:rsidRPr="00394CEC" w:rsidRDefault="004D77A5">
      <w:pPr>
        <w:pStyle w:val="EntRefer"/>
      </w:pPr>
      <w:bookmarkStart w:id="10" w:name="AC"/>
    </w:p>
    <w:p w:rsidR="004D77A5" w:rsidRPr="00394CEC" w:rsidRDefault="00762866" w:rsidP="005E1750">
      <w:pPr>
        <w:pStyle w:val="EntRefer"/>
        <w:outlineLvl w:val="0"/>
      </w:pPr>
      <w:bookmarkStart w:id="11" w:name="Title"/>
      <w:bookmarkEnd w:id="11"/>
      <w:r w:rsidRPr="00394CEC">
        <w:t>LÄGESRAPPORT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394CEC">
        <w:tblPrEx>
          <w:tblCellMar>
            <w:top w:w="0" w:type="dxa"/>
            <w:left w:w="0" w:type="dxa"/>
            <w:bottom w:w="0" w:type="dxa"/>
            <w:right w:w="0" w:type="dxa"/>
          </w:tblCellMar>
        </w:tblPrEx>
        <w:tc>
          <w:tcPr>
            <w:tcW w:w="1985" w:type="dxa"/>
            <w:tcBorders>
              <w:top w:val="single" w:sz="4" w:space="0" w:color="auto"/>
            </w:tcBorders>
          </w:tcPr>
          <w:p w:rsidR="004D77A5" w:rsidRPr="00394CEC" w:rsidRDefault="004D77A5">
            <w:pPr>
              <w:pStyle w:val="EntEmet"/>
            </w:pPr>
            <w:bookmarkStart w:id="12" w:name="Ref"/>
            <w:bookmarkStart w:id="13" w:name="RefDu"/>
            <w:r w:rsidRPr="00394CEC">
              <w:t>från:</w:t>
            </w:r>
            <w:bookmarkEnd w:id="13"/>
          </w:p>
        </w:tc>
        <w:tc>
          <w:tcPr>
            <w:tcW w:w="7654" w:type="dxa"/>
            <w:tcBorders>
              <w:top w:val="single" w:sz="4" w:space="0" w:color="auto"/>
            </w:tcBorders>
          </w:tcPr>
          <w:p w:rsidR="004D77A5" w:rsidRPr="00394CEC" w:rsidRDefault="005E1750">
            <w:pPr>
              <w:pStyle w:val="EntEmet"/>
            </w:pPr>
            <w:r w:rsidRPr="00394CEC">
              <w:t>Rådet (utbildning, ungdom och kultur)</w:t>
            </w:r>
          </w:p>
        </w:tc>
      </w:tr>
      <w:tr w:rsidR="004D77A5" w:rsidRPr="00394CEC">
        <w:tblPrEx>
          <w:tblCellMar>
            <w:top w:w="0" w:type="dxa"/>
            <w:left w:w="0" w:type="dxa"/>
            <w:bottom w:w="0" w:type="dxa"/>
            <w:right w:w="0" w:type="dxa"/>
          </w:tblCellMar>
        </w:tblPrEx>
        <w:tc>
          <w:tcPr>
            <w:tcW w:w="1985" w:type="dxa"/>
            <w:tcBorders>
              <w:bottom w:val="single" w:sz="4" w:space="0" w:color="auto"/>
            </w:tcBorders>
          </w:tcPr>
          <w:p w:rsidR="004D77A5" w:rsidRPr="00394CEC" w:rsidRDefault="004D77A5">
            <w:pPr>
              <w:pStyle w:val="EntEmet"/>
            </w:pPr>
            <w:bookmarkStart w:id="14" w:name="RefEnDateDu"/>
            <w:r w:rsidRPr="00394CEC">
              <w:t>av den:</w:t>
            </w:r>
            <w:bookmarkEnd w:id="14"/>
          </w:p>
        </w:tc>
        <w:tc>
          <w:tcPr>
            <w:tcW w:w="7654" w:type="dxa"/>
            <w:tcBorders>
              <w:bottom w:val="single" w:sz="4" w:space="0" w:color="auto"/>
            </w:tcBorders>
          </w:tcPr>
          <w:p w:rsidR="004D77A5" w:rsidRPr="00394CEC" w:rsidRDefault="005E1750">
            <w:pPr>
              <w:pStyle w:val="EntEmet"/>
            </w:pPr>
            <w:r w:rsidRPr="00394CEC">
              <w:t>15 november 2005</w:t>
            </w:r>
          </w:p>
        </w:tc>
      </w:tr>
      <w:tr w:rsidR="004D77A5" w:rsidRPr="00394CEC">
        <w:tblPrEx>
          <w:tblCellMar>
            <w:top w:w="0" w:type="dxa"/>
            <w:left w:w="0" w:type="dxa"/>
            <w:bottom w:w="0" w:type="dxa"/>
            <w:right w:w="0" w:type="dxa"/>
          </w:tblCellMar>
        </w:tblPrEx>
        <w:tc>
          <w:tcPr>
            <w:tcW w:w="1985" w:type="dxa"/>
            <w:tcBorders>
              <w:top w:val="single" w:sz="4" w:space="0" w:color="auto"/>
            </w:tcBorders>
          </w:tcPr>
          <w:p w:rsidR="004D77A5" w:rsidRPr="00394CEC" w:rsidRDefault="004D77A5">
            <w:pPr>
              <w:pStyle w:val="EntEmet"/>
            </w:pPr>
            <w:bookmarkStart w:id="15" w:name="RefRow_NDocPrec"/>
            <w:r w:rsidRPr="00394CEC">
              <w:t>Föreg. dok. nr:</w:t>
            </w:r>
          </w:p>
        </w:tc>
        <w:tc>
          <w:tcPr>
            <w:tcW w:w="7654" w:type="dxa"/>
            <w:tcBorders>
              <w:top w:val="single" w:sz="4" w:space="0" w:color="auto"/>
            </w:tcBorders>
          </w:tcPr>
          <w:p w:rsidR="004D77A5" w:rsidRPr="00394CEC" w:rsidRDefault="005E1750">
            <w:pPr>
              <w:pStyle w:val="EntEmet"/>
            </w:pPr>
            <w:r w:rsidRPr="00394CEC">
              <w:t>13830/05 EDUC 166 SOC 418 CODEC 958 CADREFIN 224 + ADD 1 + COR 1</w:t>
            </w:r>
          </w:p>
        </w:tc>
      </w:tr>
      <w:tr w:rsidR="004D77A5" w:rsidRPr="00394CEC">
        <w:tblPrEx>
          <w:tblCellMar>
            <w:top w:w="0" w:type="dxa"/>
            <w:left w:w="0" w:type="dxa"/>
            <w:bottom w:w="0" w:type="dxa"/>
            <w:right w:w="0" w:type="dxa"/>
          </w:tblCellMar>
        </w:tblPrEx>
        <w:tc>
          <w:tcPr>
            <w:tcW w:w="1985" w:type="dxa"/>
          </w:tcPr>
          <w:p w:rsidR="004D77A5" w:rsidRPr="00394CEC" w:rsidRDefault="004D77A5">
            <w:pPr>
              <w:pStyle w:val="EntEmet"/>
            </w:pPr>
            <w:bookmarkStart w:id="16" w:name="RefRow_NPropCion"/>
            <w:bookmarkEnd w:id="15"/>
            <w:r w:rsidRPr="00394CEC">
              <w:t>Komm. förslag nr:</w:t>
            </w:r>
          </w:p>
        </w:tc>
        <w:tc>
          <w:tcPr>
            <w:tcW w:w="7654" w:type="dxa"/>
          </w:tcPr>
          <w:p w:rsidR="004D77A5" w:rsidRPr="00394CEC" w:rsidRDefault="005E1750" w:rsidP="005E1750">
            <w:pPr>
              <w:pStyle w:val="EntEmet"/>
            </w:pPr>
            <w:r w:rsidRPr="00394CEC">
              <w:t>11587/04 EDUC 144 SOC 365 CODEC 924 CADREFIN 18</w:t>
            </w:r>
            <w:r w:rsidRPr="00394CEC">
              <w:br/>
              <w:t>−</w:t>
            </w:r>
            <w:r w:rsidRPr="00394CEC">
              <w:tab/>
              <w:t>KOM(2004) 474 slutlig</w:t>
            </w:r>
          </w:p>
        </w:tc>
      </w:tr>
      <w:bookmarkEnd w:id="12"/>
      <w:bookmarkEnd w:id="16"/>
      <w:tr w:rsidR="004D77A5" w:rsidRPr="00394CEC">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394CEC" w:rsidRDefault="004D77A5">
            <w:pPr>
              <w:pStyle w:val="EntEmet"/>
            </w:pPr>
            <w:r w:rsidRPr="00394CEC">
              <w:t>Ärende:</w:t>
            </w:r>
          </w:p>
        </w:tc>
        <w:tc>
          <w:tcPr>
            <w:tcW w:w="7654" w:type="dxa"/>
            <w:tcBorders>
              <w:top w:val="single" w:sz="4" w:space="0" w:color="auto"/>
              <w:bottom w:val="single" w:sz="4" w:space="0" w:color="auto"/>
            </w:tcBorders>
          </w:tcPr>
          <w:p w:rsidR="004D77A5" w:rsidRPr="00394CEC" w:rsidRDefault="005E1750" w:rsidP="005E1750">
            <w:pPr>
              <w:pStyle w:val="EntEmet"/>
            </w:pPr>
            <w:bookmarkStart w:id="17" w:name="Subject"/>
            <w:bookmarkEnd w:id="17"/>
            <w:r w:rsidRPr="00394CEC">
              <w:t>Förslag till Europaparlamentets och rådets beslut om inrättande av ett integrerat handlingsprogram för livslångt lärande</w:t>
            </w:r>
            <w:r w:rsidRPr="00394CEC">
              <w:br/>
              <w:t>–</w:t>
            </w:r>
            <w:r w:rsidR="009D54F0" w:rsidRPr="00394CEC">
              <w:t xml:space="preserve"> </w:t>
            </w:r>
            <w:r w:rsidR="009D54F0" w:rsidRPr="00394CEC">
              <w:tab/>
            </w:r>
            <w:r w:rsidRPr="00394CEC">
              <w:t>Partiell politisk överenskommelse</w:t>
            </w:r>
          </w:p>
        </w:tc>
      </w:tr>
    </w:tbl>
    <w:p w:rsidR="004D77A5" w:rsidRPr="00394CEC" w:rsidRDefault="004D77A5">
      <w:pPr>
        <w:spacing w:line="240" w:lineRule="auto"/>
      </w:pPr>
    </w:p>
    <w:p w:rsidR="004D77A5" w:rsidRPr="00394CEC" w:rsidRDefault="004D77A5">
      <w:pPr>
        <w:tabs>
          <w:tab w:val="left" w:pos="3969"/>
        </w:tabs>
      </w:pPr>
    </w:p>
    <w:bookmarkEnd w:id="10"/>
    <w:p w:rsidR="00893675" w:rsidRPr="00394CEC" w:rsidRDefault="00893675" w:rsidP="00893675">
      <w:r w:rsidRPr="00394CEC">
        <w:t xml:space="preserve">För delegationerna bifogas utkastet till beslut om vilket en partiell politisk överenskommelse </w:t>
      </w:r>
      <w:r w:rsidR="003539B3" w:rsidRPr="00394CEC">
        <w:t>–</w:t>
      </w:r>
      <w:r w:rsidRPr="00394CEC">
        <w:t xml:space="preserve"> dvs.</w:t>
      </w:r>
      <w:r w:rsidR="003F6B42" w:rsidRPr="00394CEC">
        <w:t> </w:t>
      </w:r>
      <w:r w:rsidRPr="00394CEC">
        <w:t xml:space="preserve">med undantag av budgetbestämmelserna (se rådets uttalande i bilaga II) </w:t>
      </w:r>
      <w:r w:rsidR="003539B3" w:rsidRPr="00394CEC">
        <w:t>–</w:t>
      </w:r>
      <w:r w:rsidRPr="00394CEC">
        <w:t xml:space="preserve"> nåddes vid mötet i rådet (utbildning, ungdom och kultur) den 15 november 2005. De därtill hörande uttalandena till protokollet återges i bilagorna II−IV.</w:t>
      </w:r>
    </w:p>
    <w:p w:rsidR="009D54F0" w:rsidRPr="00394CEC" w:rsidRDefault="009D54F0" w:rsidP="00893675"/>
    <w:p w:rsidR="009D54F0" w:rsidRPr="00394CEC" w:rsidRDefault="009D54F0" w:rsidP="00893675"/>
    <w:p w:rsidR="009D54F0" w:rsidRPr="00394CEC" w:rsidRDefault="009D54F0">
      <w:pPr>
        <w:jc w:val="center"/>
      </w:pPr>
      <w:r w:rsidRPr="00394CEC">
        <w:t>___________</w:t>
      </w:r>
    </w:p>
    <w:p w:rsidR="009D54F0" w:rsidRPr="00394CEC" w:rsidRDefault="009D54F0" w:rsidP="00893675"/>
    <w:p w:rsidR="009D54F0" w:rsidRPr="00394CEC" w:rsidRDefault="009D54F0" w:rsidP="00893675">
      <w:pPr>
        <w:rPr>
          <w:u w:val="single"/>
        </w:rPr>
      </w:pPr>
    </w:p>
    <w:p w:rsidR="009D54F0" w:rsidRPr="00394CEC" w:rsidRDefault="009D54F0" w:rsidP="009D54F0">
      <w:pPr>
        <w:jc w:val="right"/>
        <w:rPr>
          <w:u w:val="single"/>
        </w:rPr>
        <w:sectPr w:rsidR="009D54F0" w:rsidRPr="00394CEC">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893675" w:rsidRPr="00394CEC" w:rsidRDefault="00893675" w:rsidP="009D54F0">
      <w:pPr>
        <w:jc w:val="right"/>
        <w:rPr>
          <w:u w:val="single"/>
        </w:rPr>
      </w:pPr>
      <w:r w:rsidRPr="00394CEC">
        <w:rPr>
          <w:u w:val="single"/>
        </w:rPr>
        <w:lastRenderedPageBreak/>
        <w:t>BILAGA I</w:t>
      </w:r>
    </w:p>
    <w:p w:rsidR="00893675" w:rsidRPr="00394CEC" w:rsidRDefault="00893675" w:rsidP="009D54F0">
      <w:pPr>
        <w:jc w:val="center"/>
        <w:rPr>
          <w:b/>
        </w:rPr>
      </w:pPr>
      <w:r w:rsidRPr="00394CEC">
        <w:rPr>
          <w:b/>
        </w:rPr>
        <w:t>Utkast</w:t>
      </w:r>
      <w:r w:rsidRPr="00394CEC">
        <w:rPr>
          <w:b/>
        </w:rPr>
        <w:br/>
        <w:t>till Europaparlamentets och rådets beslut</w:t>
      </w:r>
      <w:r w:rsidRPr="00394CEC">
        <w:rPr>
          <w:b/>
        </w:rPr>
        <w:br/>
        <w:t>om inrättande av ett handlingsprogram för livslångt lärande</w:t>
      </w:r>
      <w:r w:rsidRPr="00394CEC">
        <w:rPr>
          <w:rStyle w:val="Fotnotsreferens"/>
        </w:rPr>
        <w:footnoteReference w:id="1"/>
      </w:r>
    </w:p>
    <w:p w:rsidR="00893675" w:rsidRPr="00394CEC" w:rsidRDefault="00893675" w:rsidP="00893675"/>
    <w:p w:rsidR="00893675" w:rsidRPr="00394CEC" w:rsidRDefault="00893675" w:rsidP="00893675">
      <w:r w:rsidRPr="00394CEC">
        <w:t>EUROPAPARLAMENTET OCH EUROPEISKA UNIONENS RÅD HAR BESLUTAT FÖLJANDE</w:t>
      </w:r>
    </w:p>
    <w:p w:rsidR="00893675" w:rsidRPr="00394CEC" w:rsidRDefault="00893675" w:rsidP="00893675"/>
    <w:p w:rsidR="00893675" w:rsidRPr="00394CEC" w:rsidRDefault="00893675" w:rsidP="00893675">
      <w:r w:rsidRPr="00394CEC">
        <w:t>med beaktande av fördraget om upprättandet av Europeiska gemenskapen, särskilt artiklarna 149.4 och 150.4,</w:t>
      </w:r>
    </w:p>
    <w:p w:rsidR="00893675" w:rsidRPr="00394CEC" w:rsidRDefault="00893675" w:rsidP="00893675"/>
    <w:p w:rsidR="00893675" w:rsidRPr="00394CEC" w:rsidRDefault="00893675" w:rsidP="00893675">
      <w:r w:rsidRPr="00394CEC">
        <w:t>med beaktande av kommissionens förslag</w:t>
      </w:r>
      <w:r w:rsidRPr="00394CEC">
        <w:rPr>
          <w:rStyle w:val="Fotnotsreferens"/>
        </w:rPr>
        <w:footnoteReference w:id="2"/>
      </w:r>
      <w:r w:rsidRPr="00394CEC">
        <w:t>,</w:t>
      </w:r>
    </w:p>
    <w:p w:rsidR="00893675" w:rsidRPr="00394CEC" w:rsidRDefault="00893675" w:rsidP="00893675"/>
    <w:p w:rsidR="00893675" w:rsidRPr="00394CEC" w:rsidRDefault="00893675" w:rsidP="00893675">
      <w:r w:rsidRPr="00394CEC">
        <w:t>med beaktande av Europeiska ekonomiska och sociala kommitténs yttrande</w:t>
      </w:r>
      <w:r w:rsidRPr="00394CEC">
        <w:rPr>
          <w:rStyle w:val="Fotnotsreferens"/>
        </w:rPr>
        <w:footnoteReference w:id="3"/>
      </w:r>
      <w:r w:rsidRPr="00394CEC">
        <w:t>,</w:t>
      </w:r>
    </w:p>
    <w:p w:rsidR="00893675" w:rsidRPr="00394CEC" w:rsidRDefault="00893675" w:rsidP="00893675"/>
    <w:p w:rsidR="00893675" w:rsidRPr="00394CEC" w:rsidRDefault="00893675" w:rsidP="00893675">
      <w:r w:rsidRPr="00394CEC">
        <w:t>med beaktande av Regionkommitténs yttrande</w:t>
      </w:r>
      <w:r w:rsidRPr="00394CEC">
        <w:rPr>
          <w:rStyle w:val="Fotnotsreferens"/>
        </w:rPr>
        <w:footnoteReference w:id="4"/>
      </w:r>
      <w:r w:rsidRPr="00394CEC">
        <w:t>, och</w:t>
      </w:r>
    </w:p>
    <w:p w:rsidR="00893675" w:rsidRPr="00394CEC" w:rsidRDefault="00893675" w:rsidP="00893675"/>
    <w:p w:rsidR="00893675" w:rsidRPr="00394CEC" w:rsidRDefault="00893675" w:rsidP="00893675">
      <w:r w:rsidRPr="00394CEC">
        <w:t>i enlighet med förfarandet i artikel 251 i fördraget</w:t>
      </w:r>
      <w:r w:rsidRPr="00394CEC">
        <w:rPr>
          <w:rStyle w:val="Fotnotsreferens"/>
        </w:rPr>
        <w:footnoteReference w:id="5"/>
      </w:r>
      <w:r w:rsidRPr="00394CEC">
        <w:t>, och</w:t>
      </w:r>
    </w:p>
    <w:p w:rsidR="00893675" w:rsidRPr="00394CEC" w:rsidRDefault="00893675" w:rsidP="00893675"/>
    <w:p w:rsidR="00893675" w:rsidRPr="00394CEC" w:rsidRDefault="00893675" w:rsidP="00893675">
      <w:r w:rsidRPr="00394CEC">
        <w:t>av följande skäl:</w:t>
      </w:r>
    </w:p>
    <w:p w:rsidR="00893675" w:rsidRPr="00394CEC" w:rsidRDefault="00893675" w:rsidP="00893675"/>
    <w:p w:rsidR="00893675" w:rsidRPr="00394CEC" w:rsidRDefault="00893675" w:rsidP="009D54F0">
      <w:pPr>
        <w:ind w:left="567" w:hanging="567"/>
      </w:pPr>
      <w:r w:rsidRPr="00394CEC">
        <w:t>(1)</w:t>
      </w:r>
      <w:r w:rsidRPr="00394CEC">
        <w:tab/>
        <w:t>Genom rådets beslut 382/1999/EG</w:t>
      </w:r>
      <w:r w:rsidRPr="00394CEC">
        <w:rPr>
          <w:rStyle w:val="Fotnotsreferens"/>
        </w:rPr>
        <w:footnoteReference w:id="6"/>
      </w:r>
      <w:r w:rsidRPr="00394CEC">
        <w:t xml:space="preserve"> inrättades den andra etappen av gemenskapens åtgärdsprogram för yrkesutbildning "Leonardo da Vinci".</w:t>
      </w:r>
    </w:p>
    <w:p w:rsidR="00893675" w:rsidRPr="00394CEC" w:rsidRDefault="00893675" w:rsidP="009D54F0">
      <w:pPr>
        <w:ind w:left="567" w:hanging="567"/>
      </w:pPr>
    </w:p>
    <w:p w:rsidR="00893675" w:rsidRPr="00394CEC" w:rsidRDefault="00893675" w:rsidP="009D54F0">
      <w:pPr>
        <w:ind w:left="567" w:hanging="567"/>
      </w:pPr>
      <w:r w:rsidRPr="00394CEC">
        <w:t>(2)</w:t>
      </w:r>
      <w:r w:rsidRPr="00394CEC">
        <w:tab/>
        <w:t>Genom Europaparlamentets och rådets beslut 253/2000/EG</w:t>
      </w:r>
      <w:r w:rsidRPr="00394CEC">
        <w:rPr>
          <w:rStyle w:val="Fotnotsreferens"/>
        </w:rPr>
        <w:footnoteReference w:id="7"/>
      </w:r>
      <w:r w:rsidRPr="00394CEC">
        <w:t xml:space="preserve"> inrättades den andra etappen av gemenskapens åtgärdsprogram för utbildning Sokrates.</w:t>
      </w:r>
    </w:p>
    <w:p w:rsidR="00893675" w:rsidRPr="00394CEC" w:rsidRDefault="00893675" w:rsidP="009D54F0">
      <w:pPr>
        <w:ind w:left="567" w:hanging="567"/>
      </w:pPr>
      <w:r w:rsidRPr="00394CEC">
        <w:br w:type="page"/>
        <w:t>(3)</w:t>
      </w:r>
      <w:r w:rsidRPr="00394CEC">
        <w:tab/>
        <w:t>Genom Europaparlamentets och rådets beslut nr 2318/2003/EG</w:t>
      </w:r>
      <w:r w:rsidRPr="00394CEC">
        <w:rPr>
          <w:rStyle w:val="Fotnotsreferens"/>
        </w:rPr>
        <w:footnoteReference w:id="8"/>
      </w:r>
      <w:r w:rsidRPr="00394CEC">
        <w:t xml:space="preserve"> inrättades ett flerårigt program för en effektiv </w:t>
      </w:r>
      <w:bookmarkStart w:id="23" w:name="0"/>
      <w:r w:rsidRPr="00394CEC">
        <w:t>integrering av informations</w:t>
      </w:r>
      <w:r w:rsidRPr="00394CEC">
        <w:noBreakHyphen/>
        <w:t xml:space="preserve"> och kommunikationsteknik (IKT) i de europeiska utbildningssystemen (eLearning</w:t>
      </w:r>
      <w:r w:rsidRPr="00394CEC">
        <w:noBreakHyphen/>
        <w:t>programmet)</w:t>
      </w:r>
      <w:bookmarkEnd w:id="23"/>
      <w:r w:rsidRPr="00394CEC">
        <w:t>.</w:t>
      </w:r>
    </w:p>
    <w:p w:rsidR="00893675" w:rsidRPr="00394CEC" w:rsidRDefault="00893675" w:rsidP="009D54F0">
      <w:pPr>
        <w:ind w:left="567" w:hanging="567"/>
      </w:pPr>
    </w:p>
    <w:p w:rsidR="00893675" w:rsidRPr="00394CEC" w:rsidRDefault="00893675" w:rsidP="009D54F0">
      <w:pPr>
        <w:ind w:left="567" w:hanging="567"/>
      </w:pPr>
      <w:r w:rsidRPr="00394CEC">
        <w:t>(4)</w:t>
      </w:r>
      <w:r w:rsidRPr="00394CEC">
        <w:tab/>
        <w:t>Genom Europaparlamentets och rådets beslut nr 791/2004/EG</w:t>
      </w:r>
      <w:r w:rsidRPr="00394CEC">
        <w:rPr>
          <w:rStyle w:val="Fotnotsreferens"/>
        </w:rPr>
        <w:footnoteReference w:id="9"/>
      </w:r>
      <w:r w:rsidRPr="00394CEC">
        <w:t xml:space="preserve"> inrättades ett handlingsprogram för gemenskapen för att främja organ verksamma på europeisk nivå inom utbildningsområdet och för att stödja särskilda insatser på samma område.</w:t>
      </w:r>
    </w:p>
    <w:p w:rsidR="00893675" w:rsidRPr="00394CEC" w:rsidRDefault="00893675" w:rsidP="009D54F0">
      <w:pPr>
        <w:ind w:left="567" w:hanging="567"/>
      </w:pPr>
    </w:p>
    <w:p w:rsidR="00893675" w:rsidRPr="00394CEC" w:rsidRDefault="00893675" w:rsidP="009D54F0">
      <w:pPr>
        <w:ind w:left="567" w:hanging="567"/>
      </w:pPr>
      <w:r w:rsidRPr="00394CEC">
        <w:t>(5)</w:t>
      </w:r>
      <w:r w:rsidRPr="00394CEC">
        <w:tab/>
        <w:t>Genom Europaparlamentets och rådets beslut nr 2241/2004/EG</w:t>
      </w:r>
      <w:r w:rsidRPr="00394CEC">
        <w:rPr>
          <w:rStyle w:val="Fotnotsreferens"/>
        </w:rPr>
        <w:footnoteReference w:id="10"/>
      </w:r>
      <w:r w:rsidRPr="00394CEC">
        <w:t xml:space="preserve"> inrättades en enhetlig ram för tydlighet i kvalifikationer och meriter (Europass).</w:t>
      </w:r>
    </w:p>
    <w:p w:rsidR="00893675" w:rsidRPr="00394CEC" w:rsidRDefault="00893675" w:rsidP="009D54F0">
      <w:pPr>
        <w:ind w:left="567" w:hanging="567"/>
      </w:pPr>
    </w:p>
    <w:p w:rsidR="00893675" w:rsidRPr="00394CEC" w:rsidRDefault="00893675" w:rsidP="009D54F0">
      <w:pPr>
        <w:ind w:left="567" w:hanging="567"/>
      </w:pPr>
      <w:r w:rsidRPr="00394CEC">
        <w:t>(5a)</w:t>
      </w:r>
      <w:r w:rsidRPr="00394CEC">
        <w:tab/>
        <w:t>Genom Europaparlamentets och rådets beslut nr 2317/2003/EG</w:t>
      </w:r>
      <w:r w:rsidRPr="00394CEC">
        <w:rPr>
          <w:rStyle w:val="Fotnotsreferens"/>
        </w:rPr>
        <w:footnoteReference w:id="11"/>
      </w:r>
      <w:r w:rsidRPr="00394CEC">
        <w:t xml:space="preserve"> inrättades ett program för att höja kvaliteten i den högre utbildningen och främja interkulturell förståelse genom samarbete med tredjeland (Erasmus Mundus) (2004–2008).</w:t>
      </w:r>
    </w:p>
    <w:p w:rsidR="00893675" w:rsidRPr="00394CEC" w:rsidRDefault="00893675" w:rsidP="009D54F0">
      <w:pPr>
        <w:ind w:left="567" w:hanging="567"/>
      </w:pPr>
    </w:p>
    <w:p w:rsidR="00893675" w:rsidRPr="00394CEC" w:rsidRDefault="00893675" w:rsidP="009D54F0">
      <w:pPr>
        <w:ind w:left="567" w:hanging="567"/>
      </w:pPr>
      <w:r w:rsidRPr="00394CEC">
        <w:t>(6)</w:t>
      </w:r>
      <w:r w:rsidRPr="00394CEC">
        <w:tab/>
        <w:t>I Bolognaförklaringen som undertecknades den 19 juni 1999 av utbildningsministrarna från 29 europeiska länder fastställdes en mellanstatlig process för att senast 2010 inrätta ett "europeiskt område för högre utbildning", vilket fordrar stöd på gemenskapsnivå.</w:t>
      </w:r>
    </w:p>
    <w:p w:rsidR="00893675" w:rsidRPr="00394CEC" w:rsidRDefault="00893675" w:rsidP="009D54F0">
      <w:pPr>
        <w:ind w:left="567" w:hanging="567"/>
      </w:pPr>
    </w:p>
    <w:p w:rsidR="00893675" w:rsidRPr="00394CEC" w:rsidRDefault="00893675" w:rsidP="009D54F0">
      <w:pPr>
        <w:ind w:left="567" w:hanging="567"/>
      </w:pPr>
      <w:r w:rsidRPr="00394CEC">
        <w:t>(7)</w:t>
      </w:r>
      <w:r w:rsidRPr="00394CEC">
        <w:tab/>
        <w:t>Vid Europeiska rådets särskilda möte i Lissabon den 23</w:t>
      </w:r>
      <w:r w:rsidRPr="00394CEC">
        <w:sym w:font="Symbol" w:char="F02D"/>
      </w:r>
      <w:r w:rsidRPr="00394CEC">
        <w:t>24 mars 2000 fastställdes ett strategiskt mål för Europeiska unionen, nämligen att bli världens mest konkurrenskraftiga och dynamiska kunskapsbaserade ekonomi, med möjlighet till hållbar ekonomisk tillväxt med fler och bättre arbetstillfällen och en högre grad av social sammanhållning, och rådet (utbildning) uppmanades att allmänt dryfta utbildningssystemen med fokusering på gemensamma intressen och prioriteringar, med respekt för nationell mångfald.</w:t>
      </w:r>
    </w:p>
    <w:p w:rsidR="00893675" w:rsidRPr="00394CEC" w:rsidRDefault="00893675" w:rsidP="009D54F0">
      <w:pPr>
        <w:ind w:left="567" w:hanging="567"/>
      </w:pPr>
    </w:p>
    <w:p w:rsidR="00893675" w:rsidRPr="00394CEC" w:rsidRDefault="00893675" w:rsidP="009D54F0">
      <w:pPr>
        <w:ind w:left="567" w:hanging="567"/>
      </w:pPr>
      <w:r w:rsidRPr="00394CEC">
        <w:rPr>
          <w:b/>
          <w:i/>
        </w:rPr>
        <w:br w:type="page"/>
      </w:r>
      <w:r w:rsidRPr="00394CEC">
        <w:t>(7a)</w:t>
      </w:r>
      <w:r w:rsidRPr="00394CEC">
        <w:tab/>
        <w:t>Ett avancerat kunskapssamhälle är nyckeln till högre tillväxt och ökad sysselsättning. Utbildning är en viktig prioritering för Europeiska unionen för att uppnå Lissabonmålen.</w:t>
      </w:r>
    </w:p>
    <w:p w:rsidR="00893675" w:rsidRPr="00394CEC" w:rsidRDefault="00893675" w:rsidP="009D54F0">
      <w:pPr>
        <w:ind w:left="567" w:hanging="567"/>
      </w:pPr>
    </w:p>
    <w:p w:rsidR="00893675" w:rsidRPr="00394CEC" w:rsidRDefault="00893675" w:rsidP="009D54F0">
      <w:pPr>
        <w:ind w:left="567" w:hanging="567"/>
      </w:pPr>
      <w:r w:rsidRPr="00394CEC">
        <w:t>(8)</w:t>
      </w:r>
      <w:r w:rsidRPr="00394CEC">
        <w:tab/>
        <w:t>Rådet antog den 12 februari 2001 en rapport om utbildningssystemens konkreta framtidsmål. Den 14 juni 2002 antog rådet ett detaljerat arbetsprogram om uppföljningen av dessa mål, vilket fordrar stöd på gemenskapsnivå.</w:t>
      </w:r>
    </w:p>
    <w:p w:rsidR="00893675" w:rsidRPr="00394CEC" w:rsidRDefault="00893675" w:rsidP="009D54F0">
      <w:pPr>
        <w:ind w:left="567" w:hanging="567"/>
      </w:pPr>
    </w:p>
    <w:p w:rsidR="00893675" w:rsidRPr="00394CEC" w:rsidRDefault="00893675" w:rsidP="009D54F0">
      <w:pPr>
        <w:ind w:left="567" w:hanging="567"/>
      </w:pPr>
      <w:r w:rsidRPr="00394CEC">
        <w:t>(9)</w:t>
      </w:r>
      <w:r w:rsidRPr="00394CEC">
        <w:tab/>
        <w:t>Vid Europeiska rådets möte i Göteborg den 15</w:t>
      </w:r>
      <w:r w:rsidRPr="00394CEC">
        <w:sym w:font="Symbol" w:char="F02D"/>
      </w:r>
      <w:r w:rsidRPr="00394CEC">
        <w:t>16 juni 2001 enades man om en strategi för hållbar utveckling, och en miljödimension fogades till Lissabonprocessen för sysselsättning, ekonomisk reform och social sammanhållning.</w:t>
      </w:r>
    </w:p>
    <w:p w:rsidR="00893675" w:rsidRPr="00394CEC" w:rsidRDefault="00893675" w:rsidP="009D54F0">
      <w:pPr>
        <w:ind w:left="567" w:hanging="567"/>
      </w:pPr>
    </w:p>
    <w:p w:rsidR="00893675" w:rsidRPr="00394CEC" w:rsidRDefault="00893675" w:rsidP="009D54F0">
      <w:pPr>
        <w:ind w:left="567" w:hanging="567"/>
      </w:pPr>
      <w:r w:rsidRPr="00394CEC">
        <w:t>(10)</w:t>
      </w:r>
      <w:r w:rsidRPr="00394CEC">
        <w:tab/>
        <w:t>Vid Europeiska rådets möte i Barcelona den 15</w:t>
      </w:r>
      <w:r w:rsidRPr="00394CEC">
        <w:sym w:font="Symbol" w:char="F02D"/>
      </w:r>
      <w:r w:rsidRPr="00394CEC">
        <w:t>16 mars 2002 fastställdes målet att senast 2010 göra Europeiska unionens utbildningssystem till en kvalitetsreferens för hela världen, och man efterlyste insatser för att förbättra grundläggande kompetens, i synnerhet genom undervisning i minst två främmande språk från mycket tidig ålder.</w:t>
      </w:r>
    </w:p>
    <w:p w:rsidR="00893675" w:rsidRPr="00394CEC" w:rsidRDefault="00893675" w:rsidP="009D54F0">
      <w:pPr>
        <w:ind w:left="567" w:hanging="567"/>
      </w:pPr>
    </w:p>
    <w:p w:rsidR="00893675" w:rsidRPr="00394CEC" w:rsidRDefault="00893675" w:rsidP="009D54F0">
      <w:pPr>
        <w:ind w:left="567" w:hanging="567"/>
      </w:pPr>
      <w:r w:rsidRPr="00394CEC">
        <w:t>(11)</w:t>
      </w:r>
      <w:r w:rsidRPr="00394CEC">
        <w:tab/>
        <w:t>I meddelandet från kommissionen</w:t>
      </w:r>
      <w:r w:rsidRPr="00394CEC">
        <w:rPr>
          <w:rStyle w:val="Fotnotsreferens"/>
        </w:rPr>
        <w:footnoteReference w:id="12"/>
      </w:r>
      <w:r w:rsidRPr="00394CEC">
        <w:t xml:space="preserve"> och rådets resolution</w:t>
      </w:r>
      <w:r w:rsidRPr="00394CEC">
        <w:rPr>
          <w:rStyle w:val="Fotnotsreferens"/>
        </w:rPr>
        <w:footnoteReference w:id="13"/>
      </w:r>
      <w:r w:rsidRPr="00394CEC">
        <w:t xml:space="preserve"> om livslångt lärande står det att livslångt lärande bör främjas via insatser och åtgärder som utarbetas inom ramen för gemenskapsprogram på området.</w:t>
      </w:r>
    </w:p>
    <w:p w:rsidR="00893675" w:rsidRPr="00394CEC" w:rsidRDefault="00893675" w:rsidP="009D54F0">
      <w:pPr>
        <w:ind w:left="567" w:hanging="567"/>
      </w:pPr>
    </w:p>
    <w:p w:rsidR="00893675" w:rsidRPr="00394CEC" w:rsidRDefault="00893675" w:rsidP="009D54F0">
      <w:pPr>
        <w:ind w:left="567" w:hanging="567"/>
      </w:pPr>
      <w:r w:rsidRPr="00394CEC">
        <w:t>(12)</w:t>
      </w:r>
      <w:r w:rsidRPr="00394CEC">
        <w:tab/>
        <w:t>Genom rådets resolution av den 19 december 2002 om främjande av ett närmare europeiskt samarbete i fråga om yrkesutbildning</w:t>
      </w:r>
      <w:r w:rsidRPr="00394CEC">
        <w:rPr>
          <w:rStyle w:val="Fotnotsreferens"/>
        </w:rPr>
        <w:footnoteReference w:id="14"/>
      </w:r>
      <w:r w:rsidRPr="00394CEC">
        <w:t xml:space="preserve"> fastställdes en process för utökat europeiskt samarbete inom yrkesutbildning, vilken fordrar stöd på gemenskapsnivå. I Köpenhamnsförklaringen som utbildningsministrarna i 31 europeiska länder enades om den 30 november 2002 kopplades arbetsmarknadens parter och kandidatländerna till denna process.</w:t>
      </w:r>
    </w:p>
    <w:p w:rsidR="00893675" w:rsidRPr="00394CEC" w:rsidRDefault="00893675" w:rsidP="009D54F0">
      <w:pPr>
        <w:ind w:left="567" w:hanging="567"/>
      </w:pPr>
    </w:p>
    <w:p w:rsidR="00893675" w:rsidRPr="00394CEC" w:rsidRDefault="00893675" w:rsidP="009D54F0">
      <w:pPr>
        <w:ind w:left="567" w:hanging="567"/>
      </w:pPr>
      <w:r w:rsidRPr="00394CEC">
        <w:br w:type="page"/>
        <w:t>(13)</w:t>
      </w:r>
      <w:r w:rsidRPr="00394CEC">
        <w:tab/>
        <w:t>I meddelandet från kommissionen om en handlingsplan för kompetens och rörlighet</w:t>
      </w:r>
      <w:r w:rsidRPr="00394CEC">
        <w:rPr>
          <w:rStyle w:val="Fotnotsreferens"/>
        </w:rPr>
        <w:footnoteReference w:id="15"/>
      </w:r>
      <w:r w:rsidRPr="00394CEC">
        <w:t xml:space="preserve"> noteras det ständiga behovet av insatser på europeisk nivå för att förbättra erkännandet av meriter inom allmän och yrkesinriktad utbildning.</w:t>
      </w:r>
    </w:p>
    <w:p w:rsidR="00893675" w:rsidRPr="00394CEC" w:rsidRDefault="00893675" w:rsidP="009D54F0">
      <w:pPr>
        <w:ind w:left="567" w:hanging="567"/>
      </w:pPr>
    </w:p>
    <w:p w:rsidR="00893675" w:rsidRPr="00394CEC" w:rsidRDefault="00893675" w:rsidP="009D54F0">
      <w:pPr>
        <w:ind w:left="567" w:hanging="567"/>
      </w:pPr>
      <w:r w:rsidRPr="00394CEC">
        <w:t>(14)</w:t>
      </w:r>
      <w:r w:rsidRPr="00394CEC">
        <w:tab/>
        <w:t>I meddelandet från kommissionen om en handlingsplan för att främja språkinlärning och språklig mångfald</w:t>
      </w:r>
      <w:r w:rsidRPr="00394CEC">
        <w:rPr>
          <w:rStyle w:val="Fotnotsreferens"/>
        </w:rPr>
        <w:footnoteReference w:id="16"/>
      </w:r>
      <w:r w:rsidRPr="00394CEC">
        <w:t xml:space="preserve"> fastställs insatser som skall genomföras på europeisk nivå under åren 2004</w:t>
      </w:r>
      <w:r w:rsidRPr="00394CEC">
        <w:sym w:font="Symbol" w:char="F02D"/>
      </w:r>
      <w:r w:rsidRPr="00394CEC">
        <w:t>2006 och som kräver uppföljning.</w:t>
      </w:r>
    </w:p>
    <w:p w:rsidR="00893675" w:rsidRPr="00394CEC" w:rsidRDefault="00893675" w:rsidP="009D54F0">
      <w:pPr>
        <w:ind w:left="567" w:hanging="567"/>
      </w:pPr>
    </w:p>
    <w:p w:rsidR="00893675" w:rsidRPr="00394CEC" w:rsidRDefault="00893675" w:rsidP="009D54F0">
      <w:pPr>
        <w:ind w:left="567" w:hanging="567"/>
        <w:rPr>
          <w:i/>
        </w:rPr>
      </w:pPr>
      <w:r w:rsidRPr="00394CEC">
        <w:t>(14a)</w:t>
      </w:r>
      <w:r w:rsidRPr="00394CEC">
        <w:tab/>
        <w:t>Gemenskapens insatser på utbildningsområdet bör prioritera och främja språkundervisning och språkinlärning samt språklig mångfald. Språkundervisning och språkinlärning är av särskild betydelse i angränsande medlemsstater.</w:t>
      </w:r>
    </w:p>
    <w:p w:rsidR="00893675" w:rsidRPr="00394CEC" w:rsidRDefault="00893675" w:rsidP="009D54F0">
      <w:pPr>
        <w:ind w:left="567" w:hanging="567"/>
      </w:pPr>
    </w:p>
    <w:p w:rsidR="00893675" w:rsidRPr="00394CEC" w:rsidRDefault="00893675" w:rsidP="009D54F0">
      <w:pPr>
        <w:ind w:left="567" w:hanging="567"/>
      </w:pPr>
      <w:r w:rsidRPr="00394CEC">
        <w:t>(15)</w:t>
      </w:r>
      <w:r w:rsidRPr="00394CEC">
        <w:tab/>
        <w:t>Halvtidsrapporterna med utvärdering av de aktuella Sokrates</w:t>
      </w:r>
      <w:r w:rsidRPr="00394CEC">
        <w:noBreakHyphen/>
        <w:t xml:space="preserve"> och Leonardo da Vinci</w:t>
      </w:r>
      <w:r w:rsidRPr="00394CEC">
        <w:noBreakHyphen/>
        <w:t>programmen samt det offentliga samrådet om gemenskapens verksamhet i framtiden inom allmän och yrkesinriktad utbildning visade att det finns ett betydande och på vissa punkter allt större behov av fortsatt samarbete och utbytesverksamhet inom dessa områden på europeisk nivå. De underströk vikten av en närmare koppling mellan gemenskapens program och utvecklingen av utbildningspolitiken, framförde önskemålet att gemenskapens verksamhet skulle struktureras på ett sätt som bättre motsvarar modellen med livslångt lärande och efterlyste enklare, mer användarvänliga och mer flexibla metoder.</w:t>
      </w:r>
    </w:p>
    <w:p w:rsidR="00893675" w:rsidRPr="00394CEC" w:rsidRDefault="00893675" w:rsidP="009D54F0">
      <w:pPr>
        <w:ind w:left="567" w:hanging="567"/>
      </w:pPr>
    </w:p>
    <w:p w:rsidR="00893675" w:rsidRPr="00394CEC" w:rsidRDefault="00893675" w:rsidP="009D54F0">
      <w:pPr>
        <w:ind w:left="567" w:hanging="567"/>
      </w:pPr>
      <w:r w:rsidRPr="00394CEC">
        <w:t>(16)</w:t>
      </w:r>
      <w:r w:rsidRPr="00394CEC">
        <w:tab/>
        <w:t>Att integrera gemenskapens stöd till gränsöverskridande samarbete och utbytesverksamhet inom allmän och yrkesinriktad utbildning i ett enda program skulle ge betydande fördelar och möjliggöra bättre samverkan mellan de olika verksamhetsområdena, större kapacitet att stödja utvecklingen av livslångt lärande, samt mer konsekventa, enhetliga och effektiva administrationssätt. Ett enda program skulle dessutom främja ett samarbete mellan olika utbildningsnivåer.</w:t>
      </w:r>
    </w:p>
    <w:p w:rsidR="00893675" w:rsidRPr="00394CEC" w:rsidRDefault="00893675" w:rsidP="009D54F0">
      <w:pPr>
        <w:ind w:left="567" w:hanging="567"/>
      </w:pPr>
    </w:p>
    <w:p w:rsidR="00893675" w:rsidRPr="00394CEC" w:rsidRDefault="00893675" w:rsidP="009D54F0">
      <w:pPr>
        <w:ind w:left="567" w:hanging="567"/>
      </w:pPr>
      <w:r w:rsidRPr="00394CEC">
        <w:br w:type="page"/>
        <w:t>(17)</w:t>
      </w:r>
      <w:r w:rsidRPr="00394CEC">
        <w:tab/>
        <w:t>Ett program för livslångt lärande bör därför inrättas för att genom livslångt lärande bidra till utvecklingen av Europeiska unionen som ett avancerat kunskapssamhälle med hållbar ekonomisk utveckling, fler och bättre arbetstillfällen samt större social sammanhållning.</w:t>
      </w:r>
    </w:p>
    <w:p w:rsidR="00893675" w:rsidRPr="00394CEC" w:rsidRDefault="00893675" w:rsidP="009D54F0">
      <w:pPr>
        <w:ind w:left="567" w:hanging="567"/>
      </w:pPr>
    </w:p>
    <w:p w:rsidR="00893675" w:rsidRPr="00394CEC" w:rsidRDefault="00893675" w:rsidP="009D54F0">
      <w:pPr>
        <w:ind w:left="567" w:hanging="567"/>
      </w:pPr>
      <w:r w:rsidRPr="00394CEC">
        <w:t>(18)</w:t>
      </w:r>
      <w:r w:rsidRPr="00394CEC">
        <w:tab/>
        <w:t>Med hänsyn till särdragen i sektorerna för skolor, högre utbildning, yrkesutbildning och vuxenutbildning, vilka leder till att gemenskapens insatser måste grundas på mål, typer av insatser och organisatoriska strukturer som är skräddarsydda för dem, är det lämpligt att inom ramen för programmet för livslångt lärande bibehålla enskilda program som riktar sig till var och en av dessa fyra sektorer, alltmedan enhetligheten och det som är gemensamt för dem maximeras.</w:t>
      </w:r>
    </w:p>
    <w:p w:rsidR="00893675" w:rsidRPr="00394CEC" w:rsidRDefault="00893675" w:rsidP="009D54F0">
      <w:pPr>
        <w:ind w:left="567" w:hanging="567"/>
      </w:pPr>
    </w:p>
    <w:p w:rsidR="00893675" w:rsidRPr="00394CEC" w:rsidRDefault="00893675" w:rsidP="009D54F0">
      <w:pPr>
        <w:ind w:left="567" w:hanging="567"/>
      </w:pPr>
      <w:r w:rsidRPr="00394CEC">
        <w:t>(19)</w:t>
      </w:r>
      <w:r w:rsidRPr="00394CEC">
        <w:tab/>
        <w:t xml:space="preserve">I sitt meddelande </w:t>
      </w:r>
      <w:bookmarkStart w:id="24" w:name="1"/>
      <w:r w:rsidRPr="00394CEC">
        <w:t>"Bygga en gemensam framtid – Politiska utmaningar och budgetmedel i ett utvidgat EU 2007</w:t>
      </w:r>
      <w:r w:rsidRPr="00394CEC">
        <w:sym w:font="Symbol" w:char="F02D"/>
      </w:r>
      <w:r w:rsidRPr="00394CEC">
        <w:t>2013</w:t>
      </w:r>
      <w:bookmarkEnd w:id="24"/>
      <w:r w:rsidRPr="00394CEC">
        <w:t>"</w:t>
      </w:r>
      <w:r w:rsidRPr="00394CEC">
        <w:rPr>
          <w:rStyle w:val="Fotnotsreferens"/>
        </w:rPr>
        <w:footnoteReference w:id="17"/>
      </w:r>
      <w:r w:rsidRPr="00394CEC">
        <w:t xml:space="preserve"> angav kommissionen en rad kvantifierade mål som skall uppnås genom den nya omgången av gemenskapens utbildningsprogram, vilka kräver en betydande ökning i volymen av insatser inom utbyte och partnerskap.</w:t>
      </w:r>
    </w:p>
    <w:p w:rsidR="00893675" w:rsidRPr="00394CEC" w:rsidRDefault="00893675" w:rsidP="009D54F0">
      <w:pPr>
        <w:ind w:left="567" w:hanging="567"/>
      </w:pPr>
    </w:p>
    <w:p w:rsidR="00893675" w:rsidRPr="00394CEC" w:rsidRDefault="00893675" w:rsidP="009D54F0">
      <w:pPr>
        <w:ind w:left="567" w:hanging="567"/>
        <w:rPr>
          <w:b/>
        </w:rPr>
      </w:pPr>
      <w:r w:rsidRPr="00394CEC">
        <w:t>(20)</w:t>
      </w:r>
      <w:r w:rsidRPr="00394CEC">
        <w:tab/>
        <w:t>[För närvarande uteslutet ur texten.]</w:t>
      </w:r>
      <w:r w:rsidRPr="00394CEC">
        <w:rPr>
          <w:rStyle w:val="Fotnotsreferens"/>
        </w:rPr>
        <w:footnoteReference w:id="18"/>
      </w:r>
    </w:p>
    <w:p w:rsidR="00893675" w:rsidRPr="00394CEC" w:rsidRDefault="00893675" w:rsidP="009D54F0">
      <w:pPr>
        <w:ind w:left="567" w:hanging="567"/>
      </w:pPr>
    </w:p>
    <w:p w:rsidR="00893675" w:rsidRPr="00394CEC" w:rsidRDefault="00893675" w:rsidP="009D54F0">
      <w:pPr>
        <w:ind w:left="567" w:hanging="567"/>
      </w:pPr>
      <w:r w:rsidRPr="00394CEC">
        <w:t>(20a)</w:t>
      </w:r>
      <w:r w:rsidRPr="00394CEC">
        <w:tab/>
        <w:t>Mer bör göras för behoven av rörlighet bland enskilda gymnasieelever och enskilda vuxenstuderande, som hittills inte täckts av gemenskapsprogram, genom att införa nya typer av rörlighetsinsatser i programmen Comenius och Grundtvig. De möjligheter som rörlighet för enskilda lärare skapar för utvecklingen av långsiktigt samarbete mellan skolor i angränsande regioner i medlemsstaterna kan också beaktas bättre.</w:t>
      </w:r>
    </w:p>
    <w:p w:rsidR="00893675" w:rsidRPr="00394CEC" w:rsidRDefault="00893675" w:rsidP="009D54F0">
      <w:pPr>
        <w:ind w:left="567" w:hanging="567"/>
      </w:pPr>
      <w:r w:rsidRPr="00394CEC">
        <w:rPr>
          <w:b/>
          <w:i/>
        </w:rPr>
        <w:br w:type="page"/>
      </w:r>
      <w:r w:rsidRPr="00394CEC">
        <w:t>(20b)</w:t>
      </w:r>
      <w:r w:rsidRPr="00394CEC">
        <w:tab/>
        <w:t>Små och medelstora företag spelar en viktig roll i Europas ekonomi. Hittills har emellertid sådana företag i liten utsträckning deltagit i programmet Leonardo da Vinci. Åtgärder bör vidtas för att höja gemenskapsåtgärdernas attraktionskraft för små och medelstora företag, framför allt genom att öka möjligheterna till rörlighet för lärlingar. Det bör anordnas lämpliga arrangemang, liknande dem för Erasmus, för erkännande av resultaten av sådan rörlighet.</w:t>
      </w:r>
    </w:p>
    <w:p w:rsidR="00893675" w:rsidRPr="00394CEC" w:rsidRDefault="00893675" w:rsidP="009D54F0">
      <w:pPr>
        <w:ind w:left="567" w:hanging="567"/>
      </w:pPr>
    </w:p>
    <w:p w:rsidR="00893675" w:rsidRPr="00394CEC" w:rsidRDefault="00893675" w:rsidP="009D54F0">
      <w:pPr>
        <w:ind w:left="567" w:hanging="567"/>
      </w:pPr>
      <w:r w:rsidRPr="00394CEC">
        <w:t>(20c)</w:t>
      </w:r>
      <w:r w:rsidRPr="00394CEC">
        <w:tab/>
        <w:t>Mot bakgrund av de särskilda utbildningssvårigheterna för barn till arbetstagare utan fast arbetsplats och till mobila arbetstagare i Europa bör de möjligheter som programmet Comenius ger utnyttjas fullt ut för att stödja gränsöverskridande verksamheter som är inriktade på deras behov.</w:t>
      </w:r>
    </w:p>
    <w:p w:rsidR="00893675" w:rsidRPr="00394CEC" w:rsidRDefault="00893675" w:rsidP="009D54F0">
      <w:pPr>
        <w:ind w:left="567" w:hanging="567"/>
        <w:rPr>
          <w:b/>
          <w:i/>
        </w:rPr>
      </w:pPr>
    </w:p>
    <w:p w:rsidR="00893675" w:rsidRPr="00394CEC" w:rsidRDefault="00893675" w:rsidP="009D54F0">
      <w:pPr>
        <w:ind w:left="567" w:hanging="567"/>
      </w:pPr>
      <w:r w:rsidRPr="00394CEC">
        <w:t>(20d)</w:t>
      </w:r>
      <w:r w:rsidRPr="00394CEC">
        <w:tab/>
        <w:t>En ökad rörlighet inom hela Europa måste åtföljas av ständigt högre normer.</w:t>
      </w:r>
    </w:p>
    <w:p w:rsidR="00893675" w:rsidRPr="00394CEC" w:rsidRDefault="00893675" w:rsidP="009D54F0">
      <w:pPr>
        <w:ind w:left="567" w:hanging="567"/>
      </w:pPr>
    </w:p>
    <w:p w:rsidR="00893675" w:rsidRPr="00394CEC" w:rsidRDefault="00893675" w:rsidP="009D54F0">
      <w:pPr>
        <w:ind w:left="567" w:hanging="567"/>
      </w:pPr>
      <w:r w:rsidRPr="00394CEC">
        <w:t>(21)</w:t>
      </w:r>
      <w:r w:rsidRPr="00394CEC">
        <w:tab/>
        <w:t>För att möta det ökade behovet att stödja sådan verksamhet på europeisk nivå som skall uppfylla dessa mål för utbildningspolitiken, tillhandahålla ett sätt att stödja verksamhet över sektorsgränserna inom språk och IKT samt stärka spridningen och utnyttjandet av programmets resultat, är det lämpligt att komplettera de fyra programmen för de olika sektorerna med ett övergripande program.</w:t>
      </w:r>
    </w:p>
    <w:p w:rsidR="00893675" w:rsidRPr="00394CEC" w:rsidRDefault="00893675" w:rsidP="009D54F0">
      <w:pPr>
        <w:ind w:left="567" w:hanging="567"/>
      </w:pPr>
    </w:p>
    <w:p w:rsidR="00893675" w:rsidRPr="00394CEC" w:rsidRDefault="00893675" w:rsidP="009D54F0">
      <w:pPr>
        <w:ind w:left="567" w:hanging="567"/>
      </w:pPr>
      <w:r w:rsidRPr="00394CEC">
        <w:t>(22)</w:t>
      </w:r>
      <w:r w:rsidRPr="00394CEC">
        <w:tab/>
        <w:t>För att möta det tilltagande behovet av kunskap och dialog om den europeiska integrationsprocessen och dess utveckling är det viktigt att främja högsta kvalitet inom undervisning, forskning och analyser på detta område genom att stödja högskolor som specialiserar sig på studier av den europeiska integrationsprocessen, europeiska sammanslutningar inom allmän och yrkesinriktad utbildning och Jean Monnet</w:t>
      </w:r>
      <w:r w:rsidRPr="00394CEC">
        <w:noBreakHyphen/>
        <w:t>insatsen.</w:t>
      </w:r>
    </w:p>
    <w:p w:rsidR="00893675" w:rsidRPr="00394CEC" w:rsidRDefault="00893675" w:rsidP="009D54F0">
      <w:pPr>
        <w:ind w:left="567" w:hanging="567"/>
      </w:pPr>
    </w:p>
    <w:p w:rsidR="00893675" w:rsidRPr="00394CEC" w:rsidRDefault="00893675" w:rsidP="009D54F0">
      <w:pPr>
        <w:ind w:left="567" w:hanging="567"/>
      </w:pPr>
      <w:r w:rsidRPr="00394CEC">
        <w:t>(23)</w:t>
      </w:r>
      <w:r w:rsidRPr="00394CEC">
        <w:tab/>
        <w:t>Det är nödvändigt att skapa tillräcklig flexibilitet i detta beslut så att lämpliga justeringar kan göras i åtgärderna inom programmet för livslångt lärande för att möta ändrade behov under tiden 2007</w:t>
      </w:r>
      <w:r w:rsidRPr="00394CEC">
        <w:sym w:font="Symbol" w:char="F02D"/>
      </w:r>
      <w:r w:rsidRPr="00394CEC">
        <w:t>2013, och undvika de alltför detaljerade bestämmelserna under de tidigare etapperna i Sokrates och Leonardo da Vinci.</w:t>
      </w:r>
    </w:p>
    <w:p w:rsidR="00893675" w:rsidRPr="00394CEC" w:rsidRDefault="00893675" w:rsidP="009D54F0">
      <w:pPr>
        <w:ind w:left="567" w:hanging="567"/>
      </w:pPr>
    </w:p>
    <w:p w:rsidR="00893675" w:rsidRPr="00394CEC" w:rsidRDefault="00893675" w:rsidP="009D54F0">
      <w:pPr>
        <w:ind w:left="567" w:hanging="567"/>
      </w:pPr>
      <w:r w:rsidRPr="00394CEC">
        <w:br w:type="page"/>
        <w:t>(24)</w:t>
      </w:r>
      <w:r w:rsidRPr="00394CEC">
        <w:tab/>
        <w:t>I all sin verksamhet måste gemenskapen undanröja bristande jämställdhet mellan kvinnor och män och främja jämställdhet mellan dem, enligt artikel 3 i fördraget.</w:t>
      </w:r>
    </w:p>
    <w:p w:rsidR="00893675" w:rsidRPr="00394CEC" w:rsidRDefault="00893675" w:rsidP="009D54F0">
      <w:pPr>
        <w:ind w:left="567" w:hanging="567"/>
      </w:pPr>
    </w:p>
    <w:p w:rsidR="00893675" w:rsidRPr="00394CEC" w:rsidRDefault="00893675" w:rsidP="009D54F0">
      <w:pPr>
        <w:ind w:left="567" w:hanging="567"/>
      </w:pPr>
      <w:r w:rsidRPr="00394CEC">
        <w:t>(25)</w:t>
      </w:r>
      <w:r w:rsidRPr="00394CEC">
        <w:tab/>
        <w:t>Enligt artikel 151 i fördraget måste gemenskapen beakta de kulturella aspekterna då den handlar enligt andra bestämmelser i fördraget, särskilt för att respektera och främja sin kulturella mångfald. Särskild uppmärksamhet bör ägnas åt samverkan mellan kultur och utbildning. Även den interkulturella dialogen bör främjas.</w:t>
      </w:r>
    </w:p>
    <w:p w:rsidR="00893675" w:rsidRPr="00394CEC" w:rsidRDefault="00893675" w:rsidP="009D54F0">
      <w:pPr>
        <w:ind w:left="567" w:hanging="567"/>
      </w:pPr>
    </w:p>
    <w:p w:rsidR="00893675" w:rsidRPr="00394CEC" w:rsidRDefault="00893675" w:rsidP="009D54F0">
      <w:pPr>
        <w:ind w:left="567" w:hanging="567"/>
      </w:pPr>
      <w:r w:rsidRPr="00394CEC">
        <w:t>(26)</w:t>
      </w:r>
      <w:r w:rsidRPr="00394CEC">
        <w:tab/>
        <w:t>Det finns ett behov av att främja ett aktivt medborgarskap och respekten för mänskliga rättigheter och demokrati samt att intensifiera kampen mot alla former av utslagning, inbegripet rasism och främlingsfientlighet.</w:t>
      </w:r>
    </w:p>
    <w:p w:rsidR="00893675" w:rsidRPr="00394CEC" w:rsidRDefault="00893675" w:rsidP="009D54F0">
      <w:pPr>
        <w:ind w:left="567" w:hanging="567"/>
      </w:pPr>
    </w:p>
    <w:p w:rsidR="00893675" w:rsidRPr="00394CEC" w:rsidRDefault="00893675" w:rsidP="009D54F0">
      <w:pPr>
        <w:ind w:left="567" w:hanging="567"/>
      </w:pPr>
      <w:r w:rsidRPr="00394CEC">
        <w:t>(27)</w:t>
      </w:r>
      <w:r w:rsidRPr="00394CEC">
        <w:tab/>
        <w:t>Det finns ett behov av att bredda tillträdet för missgynnade grupper och aktivt ta itu med</w:t>
      </w:r>
      <w:r w:rsidRPr="00394CEC">
        <w:rPr>
          <w:b/>
        </w:rPr>
        <w:t xml:space="preserve"> </w:t>
      </w:r>
      <w:r w:rsidRPr="00394CEC">
        <w:t>de särskilda inlärningsbehoven hos personer</w:t>
      </w:r>
      <w:r w:rsidRPr="00394CEC">
        <w:rPr>
          <w:b/>
        </w:rPr>
        <w:t xml:space="preserve"> </w:t>
      </w:r>
      <w:r w:rsidRPr="00394CEC">
        <w:t>med funktionshinder vid genomförandet av alla delar av programmet, bland annat genom högre bidrag för att spegla de extra kostnader som funktionshindrade deltagare ger samt stöd till inlärning och användning av teckenspråk och punktskrift.</w:t>
      </w:r>
    </w:p>
    <w:p w:rsidR="00893675" w:rsidRPr="00394CEC" w:rsidRDefault="00893675" w:rsidP="009D54F0">
      <w:pPr>
        <w:ind w:left="567" w:hanging="567"/>
      </w:pPr>
    </w:p>
    <w:p w:rsidR="00893675" w:rsidRPr="00394CEC" w:rsidRDefault="00893675" w:rsidP="009D54F0">
      <w:pPr>
        <w:ind w:left="567" w:hanging="567"/>
      </w:pPr>
      <w:r w:rsidRPr="00394CEC">
        <w:t>(27a)</w:t>
      </w:r>
      <w:r w:rsidRPr="00394CEC">
        <w:tab/>
        <w:t>Man bör notera resultaten av Europeiska året för utbildning genom idrott (2004) och de potentiella utbildningsfördelar med samarbete mellan utbildningsanstalter och idrottsorganisationer som lyftes fram inom ramen för detta.</w:t>
      </w:r>
    </w:p>
    <w:p w:rsidR="00893675" w:rsidRPr="00394CEC" w:rsidRDefault="00893675" w:rsidP="009D54F0">
      <w:pPr>
        <w:ind w:left="567" w:hanging="567"/>
        <w:rPr>
          <w:b/>
          <w:i/>
        </w:rPr>
      </w:pPr>
    </w:p>
    <w:p w:rsidR="00893675" w:rsidRPr="00394CEC" w:rsidRDefault="00893675" w:rsidP="009D54F0">
      <w:pPr>
        <w:ind w:left="567" w:hanging="567"/>
      </w:pPr>
      <w:r w:rsidRPr="00394CEC">
        <w:t>(28)</w:t>
      </w:r>
      <w:r w:rsidRPr="00394CEC">
        <w:tab/>
        <w:t>De länder som kandiderar till EU</w:t>
      </w:r>
      <w:r w:rsidRPr="00394CEC">
        <w:noBreakHyphen/>
        <w:t>medlemskap samt de Eftaländer som ingår i EES får delta i gemenskapens program i enlighet med avtal som skall upprättas mellan gemenskapen och dessa länder.</w:t>
      </w:r>
    </w:p>
    <w:p w:rsidR="00893675" w:rsidRPr="00394CEC" w:rsidRDefault="00893675" w:rsidP="009D54F0">
      <w:pPr>
        <w:ind w:left="567" w:hanging="567"/>
      </w:pPr>
    </w:p>
    <w:p w:rsidR="00893675" w:rsidRPr="00394CEC" w:rsidRDefault="00893675" w:rsidP="009D54F0">
      <w:pPr>
        <w:ind w:left="567" w:hanging="567"/>
      </w:pPr>
      <w:r w:rsidRPr="00394CEC">
        <w:br w:type="page"/>
        <w:t>(29)</w:t>
      </w:r>
      <w:r w:rsidRPr="00394CEC">
        <w:tab/>
        <w:t>Europeiska rådet i Thessaloniki den 19</w:t>
      </w:r>
      <w:r w:rsidRPr="00394CEC">
        <w:sym w:font="Symbol" w:char="F02D"/>
      </w:r>
      <w:r w:rsidRPr="00394CEC">
        <w:t>20 juni 2003 godkände rådets slutsatser av den 16 juni angående västra Balkan, inbegripet bilagan "Thessaloniki</w:t>
      </w:r>
      <w:r w:rsidRPr="00394CEC">
        <w:noBreakHyphen/>
        <w:t>agendan för västra</w:t>
      </w:r>
      <w:r w:rsidR="003F6B42" w:rsidRPr="00394CEC">
        <w:t> </w:t>
      </w:r>
      <w:r w:rsidRPr="00394CEC">
        <w:t>Balkan: i riktning mot en europeisk integration", där man föreskriver att gemenskapens program bör öppnas för de länder som deltar i stabiliserings</w:t>
      </w:r>
      <w:r w:rsidRPr="00394CEC">
        <w:noBreakHyphen/>
        <w:t xml:space="preserve"> och associeringsprocessen på grundval av ramavtal som skall upprättas mellan gemenskapen och dessa länder.</w:t>
      </w:r>
    </w:p>
    <w:p w:rsidR="00893675" w:rsidRPr="00394CEC" w:rsidRDefault="00893675" w:rsidP="009D54F0">
      <w:pPr>
        <w:ind w:left="567" w:hanging="567"/>
      </w:pPr>
    </w:p>
    <w:p w:rsidR="00893675" w:rsidRPr="00394CEC" w:rsidRDefault="00893675" w:rsidP="009D54F0">
      <w:pPr>
        <w:ind w:left="567" w:hanging="567"/>
      </w:pPr>
      <w:r w:rsidRPr="00394CEC">
        <w:t>(30)</w:t>
      </w:r>
      <w:r w:rsidRPr="00394CEC">
        <w:tab/>
        <w:t>Europeiska gemenskapen och Schweiz har uttryckt sin avsikt att inleda förhandlingar för att sluta avtal på områden av gemensamt intresse, till exempel gemenskapens program inom allmän och yrkesinriktad utbildning samt ungdomsfrågor.</w:t>
      </w:r>
    </w:p>
    <w:p w:rsidR="00893675" w:rsidRPr="00394CEC" w:rsidRDefault="00893675" w:rsidP="009D54F0">
      <w:pPr>
        <w:ind w:left="567" w:hanging="567"/>
      </w:pPr>
    </w:p>
    <w:p w:rsidR="00893675" w:rsidRPr="00394CEC" w:rsidRDefault="00893675" w:rsidP="009D54F0">
      <w:pPr>
        <w:ind w:left="567" w:hanging="567"/>
      </w:pPr>
      <w:r w:rsidRPr="00394CEC">
        <w:t>(31)</w:t>
      </w:r>
      <w:r w:rsidRPr="00394CEC">
        <w:tab/>
        <w:t>Programmet för livslångt lärande bör regelbundet övervakas och utvärderas i samarbete mellan kommissionen och medlemsstaterna, så att man kan göra anpassningar, i synnerhet vad gäller prioriteringar för åtgärdernas genomförande. Utvärderingen bör inbegripa en extern utvärdering genomförd av oberoende och opartiska organ.</w:t>
      </w:r>
    </w:p>
    <w:p w:rsidR="00893675" w:rsidRPr="00394CEC" w:rsidRDefault="00893675" w:rsidP="009D54F0">
      <w:pPr>
        <w:ind w:left="567" w:hanging="567"/>
      </w:pPr>
    </w:p>
    <w:p w:rsidR="00893675" w:rsidRPr="00394CEC" w:rsidRDefault="00893675" w:rsidP="009D54F0">
      <w:pPr>
        <w:ind w:left="567" w:hanging="567"/>
      </w:pPr>
      <w:r w:rsidRPr="00394CEC">
        <w:t>(32)</w:t>
      </w:r>
      <w:r w:rsidRPr="00394CEC">
        <w:tab/>
        <w:t>I Europaparlamentets resolution 2000/2315(INI) om genomförandet av Sokratesprogrammet</w:t>
      </w:r>
      <w:r w:rsidRPr="00394CEC">
        <w:rPr>
          <w:rStyle w:val="Fotnotsreferens"/>
        </w:rPr>
        <w:footnoteReference w:id="19"/>
      </w:r>
      <w:r w:rsidRPr="00394CEC">
        <w:t xml:space="preserve"> påpekas de oproportionerligt tunga administrativa förfarandena för dem som sökte stipendier under programmets andra etapp.</w:t>
      </w:r>
    </w:p>
    <w:p w:rsidR="00893675" w:rsidRPr="00394CEC" w:rsidRDefault="00893675" w:rsidP="009D54F0">
      <w:pPr>
        <w:ind w:left="567" w:hanging="567"/>
      </w:pPr>
    </w:p>
    <w:p w:rsidR="00893675" w:rsidRPr="00394CEC" w:rsidRDefault="00893675" w:rsidP="009D54F0">
      <w:pPr>
        <w:ind w:left="567" w:hanging="567"/>
      </w:pPr>
      <w:r w:rsidRPr="00394CEC">
        <w:t>(33)</w:t>
      </w:r>
      <w:r w:rsidRPr="00394CEC">
        <w:tab/>
        <w:t>Rådets förordning (EG, Euratom) nr 1605/2002 av den 25 juni 2002 med budgetförordning för Europeiska gemenskapernas allmänna budget</w:t>
      </w:r>
      <w:r w:rsidRPr="00394CEC">
        <w:rPr>
          <w:rStyle w:val="Fotnotsreferens"/>
        </w:rPr>
        <w:footnoteReference w:id="20"/>
      </w:r>
      <w:r w:rsidRPr="00394CEC">
        <w:t xml:space="preserve"> samt kommissionens förordning (EG, Euratom) nr 2342/2002 av den 23 december 2002 om genomförandebestämmelser för rådets förordning (EG, Euratom) nr 1605/2002</w:t>
      </w:r>
      <w:r w:rsidRPr="00394CEC">
        <w:rPr>
          <w:rStyle w:val="Fotnotsreferens"/>
        </w:rPr>
        <w:footnoteReference w:id="21"/>
      </w:r>
      <w:r w:rsidRPr="00394CEC">
        <w:t>, som skyddar gemenskapens ekonomiska intressen, måste tillämpas med beaktande av principerna om enkelhet och konsekvens i valet av budgetinstrument, en begränsning av antalet fall där kommissionen behåller direkt ansvar för genomförandet och administrationen, och den nödvändiga proportionaliteten mellan mängden resurser och den administrativa bördan i samband med användningen av dessa.</w:t>
      </w:r>
    </w:p>
    <w:p w:rsidR="00893675" w:rsidRPr="00394CEC" w:rsidRDefault="00893675" w:rsidP="009D54F0">
      <w:pPr>
        <w:ind w:left="567" w:hanging="567"/>
      </w:pPr>
    </w:p>
    <w:p w:rsidR="00893675" w:rsidRPr="00394CEC" w:rsidRDefault="00893675" w:rsidP="009D54F0">
      <w:pPr>
        <w:ind w:left="567" w:hanging="567"/>
      </w:pPr>
      <w:r w:rsidRPr="00394CEC">
        <w:br w:type="page"/>
        <w:t>(33a)</w:t>
      </w:r>
      <w:r w:rsidRPr="00394CEC">
        <w:tab/>
        <w:t>För att programmet framgångsrikt skall kunna genomföras är det mycket viktigt att ansökningsförfarandena radikalt förenklas. Administrations</w:t>
      </w:r>
      <w:r w:rsidRPr="00394CEC">
        <w:noBreakHyphen/>
        <w:t xml:space="preserve"> och redovisningskraven bör stå i proportion till bidragets storlek.</w:t>
      </w:r>
    </w:p>
    <w:p w:rsidR="00893675" w:rsidRPr="00394CEC" w:rsidRDefault="00893675" w:rsidP="009D54F0">
      <w:pPr>
        <w:ind w:left="567" w:hanging="567"/>
      </w:pPr>
    </w:p>
    <w:p w:rsidR="00893675" w:rsidRPr="00394CEC" w:rsidRDefault="00893675" w:rsidP="009D54F0">
      <w:pPr>
        <w:ind w:left="567" w:hanging="567"/>
      </w:pPr>
      <w:r w:rsidRPr="00394CEC">
        <w:t>(34)</w:t>
      </w:r>
      <w:r w:rsidRPr="00394CEC">
        <w:tab/>
        <w:t>Lämpliga åtgärder bör också vidtas för att förebygga oegentligheter och bedrägerier, och nödvändiga åtgärder bör vidtas för att kräva tillbaka belopp som förlorats, betalats ut på felaktiga grunder eller använts felaktigt eller använts otillbörligt.</w:t>
      </w:r>
    </w:p>
    <w:p w:rsidR="00893675" w:rsidRPr="00394CEC" w:rsidRDefault="00893675" w:rsidP="009D54F0">
      <w:pPr>
        <w:ind w:left="567" w:hanging="567"/>
      </w:pPr>
    </w:p>
    <w:p w:rsidR="00893675" w:rsidRPr="00394CEC" w:rsidRDefault="00893675" w:rsidP="009D54F0">
      <w:pPr>
        <w:ind w:left="567" w:hanging="567"/>
      </w:pPr>
      <w:r w:rsidRPr="00394CEC">
        <w:t>(35)</w:t>
      </w:r>
      <w:r w:rsidRPr="00394CEC">
        <w:tab/>
        <w:t>Eftersom målen i den föreslagna verksamheten som gäller det europeiska samarbetets bidrag till utbildning av hög kvalitet inte i tillräcklig utsträckning kan uppnås av medlemsstaterna, då det krävs multilaterala partnerskap, rörlighet över gränserna och informationsutbyte i hela gemenskapen och de nödvändiga insatserna och åtgärderna bättre kan uppnås på gemenskapsnivå, får gemenskapen vidta åtgärder i enlighet med subsidiaritetsprincipen i artikel 5 i fördraget. I enlighet med proportionalitetsprincipen i samma artikel går detta beslut inte utöver vad som är nödvändigt för att uppnå de målen.</w:t>
      </w:r>
    </w:p>
    <w:p w:rsidR="00893675" w:rsidRPr="00394CEC" w:rsidRDefault="00893675" w:rsidP="009D54F0">
      <w:pPr>
        <w:ind w:left="567" w:hanging="567"/>
      </w:pPr>
    </w:p>
    <w:p w:rsidR="00893675" w:rsidRPr="00394CEC" w:rsidRDefault="00893675" w:rsidP="009D54F0">
      <w:pPr>
        <w:ind w:left="567" w:hanging="567"/>
      </w:pPr>
      <w:r w:rsidRPr="00394CEC">
        <w:t>(36)</w:t>
      </w:r>
      <w:r w:rsidRPr="00394CEC">
        <w:tab/>
        <w:t>I detta beslut fastställs för hela den tid programmet pågår en finansieringsram som skall utgöra den huvudsakliga referensen för budgetmyndigheten enligt punkt 33 i det interinstitutionella avtalet av den 6 maj 1999 mellan Europaparlamentet, rådet och kommissionen om budgetdisciplin och förbättring av budgetförfarandet</w:t>
      </w:r>
      <w:r w:rsidRPr="00394CEC">
        <w:rPr>
          <w:rStyle w:val="Fotnotsreferens"/>
        </w:rPr>
        <w:footnoteReference w:id="22"/>
      </w:r>
      <w:r w:rsidRPr="00394CEC">
        <w:t>.</w:t>
      </w:r>
    </w:p>
    <w:p w:rsidR="00893675" w:rsidRPr="00394CEC" w:rsidRDefault="00893675" w:rsidP="009D54F0">
      <w:pPr>
        <w:ind w:left="567" w:hanging="567"/>
      </w:pPr>
    </w:p>
    <w:p w:rsidR="00893675" w:rsidRPr="00394CEC" w:rsidRDefault="00893675" w:rsidP="009D54F0">
      <w:pPr>
        <w:ind w:left="567" w:hanging="567"/>
      </w:pPr>
      <w:r w:rsidRPr="00394CEC">
        <w:t>(37)</w:t>
      </w:r>
      <w:r w:rsidRPr="00394CEC">
        <w:tab/>
        <w:t>De åtgärder som är nödvändiga för att genomföra detta beslut bör antas i enlighet med rådets</w:t>
      </w:r>
      <w:r w:rsidR="003F6B42" w:rsidRPr="00394CEC">
        <w:t> </w:t>
      </w:r>
      <w:r w:rsidRPr="00394CEC">
        <w:t>beslut 1999/468/EG av den 28 juni 1999 om de förfaranden som skall tillämpas vid utövandet av kommissionens genomförandebefogenheter</w:t>
      </w:r>
      <w:r w:rsidRPr="00394CEC">
        <w:rPr>
          <w:rStyle w:val="Fotnotsreferens"/>
        </w:rPr>
        <w:footnoteReference w:id="23"/>
      </w:r>
      <w:r w:rsidRPr="00394CEC">
        <w:t>.</w:t>
      </w:r>
    </w:p>
    <w:p w:rsidR="00893675" w:rsidRPr="00394CEC" w:rsidRDefault="00893675" w:rsidP="00893675"/>
    <w:p w:rsidR="00893675" w:rsidRPr="00394CEC" w:rsidRDefault="00893675" w:rsidP="00893675">
      <w:r w:rsidRPr="00394CEC">
        <w:rPr>
          <w:b/>
        </w:rPr>
        <w:br w:type="page"/>
      </w:r>
      <w:r w:rsidRPr="00394CEC">
        <w:t>HÄRIGENOM FÖRESKRIVS FÖLJANDE.</w:t>
      </w:r>
    </w:p>
    <w:p w:rsidR="00893675" w:rsidRPr="00394CEC" w:rsidRDefault="00893675" w:rsidP="00893675">
      <w:pPr>
        <w:rPr>
          <w:b/>
        </w:rPr>
      </w:pPr>
    </w:p>
    <w:p w:rsidR="00893675" w:rsidRPr="00394CEC" w:rsidRDefault="00893675" w:rsidP="009D54F0">
      <w:pPr>
        <w:jc w:val="center"/>
        <w:rPr>
          <w:b/>
        </w:rPr>
      </w:pPr>
      <w:r w:rsidRPr="00394CEC">
        <w:rPr>
          <w:b/>
        </w:rPr>
        <w:t>AVDELNING I</w:t>
      </w:r>
      <w:r w:rsidRPr="00394CEC">
        <w:rPr>
          <w:b/>
        </w:rPr>
        <w:br/>
        <w:t>ALLMÄNNA BESTÄMMELSER</w:t>
      </w:r>
    </w:p>
    <w:p w:rsidR="00893675" w:rsidRPr="00394CEC" w:rsidRDefault="00893675" w:rsidP="00893675">
      <w:pPr>
        <w:rPr>
          <w:b/>
        </w:rPr>
      </w:pPr>
    </w:p>
    <w:p w:rsidR="00893675" w:rsidRPr="00394CEC" w:rsidRDefault="00893675" w:rsidP="009D54F0">
      <w:pPr>
        <w:jc w:val="center"/>
        <w:rPr>
          <w:b/>
        </w:rPr>
      </w:pPr>
      <w:r w:rsidRPr="00394CEC">
        <w:rPr>
          <w:b/>
        </w:rPr>
        <w:t>Kapitel I</w:t>
      </w:r>
    </w:p>
    <w:p w:rsidR="00893675" w:rsidRPr="00394CEC" w:rsidRDefault="00893675" w:rsidP="009D54F0">
      <w:pPr>
        <w:jc w:val="center"/>
        <w:rPr>
          <w:b/>
        </w:rPr>
      </w:pPr>
      <w:r w:rsidRPr="00394CEC">
        <w:rPr>
          <w:b/>
        </w:rPr>
        <w:t>Programmet för livslångt lärande</w:t>
      </w:r>
    </w:p>
    <w:p w:rsidR="00893675" w:rsidRPr="00394CEC" w:rsidRDefault="00893675" w:rsidP="00893675">
      <w:pPr>
        <w:rPr>
          <w:b/>
        </w:rPr>
      </w:pPr>
    </w:p>
    <w:p w:rsidR="00893675" w:rsidRPr="00394CEC" w:rsidRDefault="00893675" w:rsidP="009D54F0">
      <w:pPr>
        <w:jc w:val="center"/>
      </w:pPr>
      <w:bookmarkStart w:id="25" w:name="Art1"/>
      <w:bookmarkEnd w:id="25"/>
      <w:r w:rsidRPr="00394CEC">
        <w:rPr>
          <w:i/>
        </w:rPr>
        <w:t>Artikel 1</w:t>
      </w:r>
      <w:r w:rsidRPr="00394CEC">
        <w:rPr>
          <w:i/>
        </w:rPr>
        <w:br/>
      </w:r>
      <w:r w:rsidRPr="00394CEC">
        <w:t>Inrättande av programmet för livslångt lärande</w:t>
      </w:r>
    </w:p>
    <w:p w:rsidR="00893675" w:rsidRPr="00394CEC" w:rsidRDefault="00893675" w:rsidP="00893675">
      <w:pPr>
        <w:rPr>
          <w:i/>
        </w:rPr>
      </w:pPr>
    </w:p>
    <w:p w:rsidR="00893675" w:rsidRPr="00394CEC" w:rsidRDefault="00893675" w:rsidP="009D54F0">
      <w:pPr>
        <w:ind w:left="567" w:hanging="567"/>
      </w:pPr>
      <w:r w:rsidRPr="00394CEC">
        <w:t>1.</w:t>
      </w:r>
      <w:r w:rsidRPr="00394CEC">
        <w:tab/>
        <w:t>Genom detta beslut inrättas ett program för livslångt lärande för gemenskapens verksamhet på området för livslångt lärande, nedan kallat "programmet för livslångt lärande".</w:t>
      </w:r>
    </w:p>
    <w:p w:rsidR="00893675" w:rsidRPr="00394CEC" w:rsidRDefault="00893675" w:rsidP="009D54F0">
      <w:pPr>
        <w:ind w:left="567" w:hanging="567"/>
      </w:pPr>
    </w:p>
    <w:p w:rsidR="00893675" w:rsidRPr="00394CEC" w:rsidRDefault="00893675" w:rsidP="009D54F0">
      <w:pPr>
        <w:ind w:left="567" w:hanging="567"/>
      </w:pPr>
      <w:r w:rsidRPr="00394CEC">
        <w:t>2.</w:t>
      </w:r>
      <w:r w:rsidRPr="00394CEC">
        <w:tab/>
        <w:t>Det allmänna målet för programmet för livslångt lärande är att ett livslångt lärande skall bidra till gemenskapens utveckling mot ett avancerat kunskapssamhälle, med hållbar ekonomisk utveckling, fler och bättre arbetstillfällen och bättre social sammanhållning, samtidigt som ett gott miljöskydd för kommande generationer säkerställs. I synnerhet syftar det till att främja utbyte, samarbete och rörlighet mellan utbildningssystemen i gemenskapen, så att de görs till en kvalitetsreferens för hela världen.</w:t>
      </w:r>
    </w:p>
    <w:p w:rsidR="00893675" w:rsidRPr="00394CEC" w:rsidRDefault="00893675" w:rsidP="009D54F0">
      <w:pPr>
        <w:ind w:left="567" w:hanging="567"/>
      </w:pPr>
    </w:p>
    <w:p w:rsidR="00893675" w:rsidRPr="00394CEC" w:rsidRDefault="00893675" w:rsidP="009D54F0">
      <w:pPr>
        <w:ind w:left="567" w:hanging="567"/>
      </w:pPr>
      <w:r w:rsidRPr="00394CEC">
        <w:t>3.</w:t>
      </w:r>
      <w:r w:rsidRPr="00394CEC">
        <w:tab/>
        <w:t>Programmet för livslångt lärande skall ha följande särskilda mål:</w:t>
      </w:r>
    </w:p>
    <w:p w:rsidR="00893675" w:rsidRPr="00394CEC" w:rsidRDefault="00893675" w:rsidP="009D54F0">
      <w:pPr>
        <w:ind w:left="567" w:hanging="567"/>
      </w:pPr>
    </w:p>
    <w:p w:rsidR="00893675" w:rsidRPr="00394CEC" w:rsidRDefault="00893675" w:rsidP="009D54F0">
      <w:pPr>
        <w:ind w:left="1134" w:hanging="567"/>
        <w:rPr>
          <w:b/>
          <w:i/>
        </w:rPr>
      </w:pPr>
      <w:r w:rsidRPr="00394CEC">
        <w:t>a)</w:t>
      </w:r>
      <w:r w:rsidRPr="00394CEC">
        <w:tab/>
        <w:t>Att bidra till utvecklingen av livslångt lärande av hög kvalitet och främja hög prestanda, innovation och en europeisk dimension i system och praxis på området.</w:t>
      </w:r>
    </w:p>
    <w:p w:rsidR="00893675" w:rsidRPr="00394CEC" w:rsidRDefault="00893675" w:rsidP="009D54F0">
      <w:pPr>
        <w:ind w:left="1134" w:hanging="567"/>
        <w:rPr>
          <w:b/>
          <w:i/>
        </w:rPr>
      </w:pPr>
    </w:p>
    <w:p w:rsidR="00893675" w:rsidRPr="00394CEC" w:rsidRDefault="00893675" w:rsidP="009D54F0">
      <w:pPr>
        <w:ind w:left="1134" w:hanging="567"/>
      </w:pPr>
      <w:r w:rsidRPr="00394CEC">
        <w:t>aa)</w:t>
      </w:r>
      <w:r w:rsidRPr="00394CEC">
        <w:tab/>
        <w:t>Att stödja inrättandet av ett europeiskt område för livslångt lärande.</w:t>
      </w:r>
    </w:p>
    <w:p w:rsidR="00893675" w:rsidRPr="00394CEC" w:rsidRDefault="00893675" w:rsidP="00893675"/>
    <w:p w:rsidR="00893675" w:rsidRPr="00394CEC" w:rsidRDefault="00893675" w:rsidP="009D54F0">
      <w:pPr>
        <w:ind w:left="1134" w:hanging="567"/>
      </w:pPr>
      <w:r w:rsidRPr="00394CEC">
        <w:br w:type="page"/>
        <w:t>b)</w:t>
      </w:r>
      <w:r w:rsidRPr="00394CEC">
        <w:tab/>
        <w:t>Att bidra till att göra de möjligheter till livslångt lärande som finns i medlemsstaterna bättre, mer attraktiva och mer tillgängliga.</w:t>
      </w:r>
    </w:p>
    <w:p w:rsidR="00893675" w:rsidRPr="00394CEC" w:rsidRDefault="00893675" w:rsidP="009D54F0">
      <w:pPr>
        <w:ind w:left="1134" w:hanging="567"/>
      </w:pPr>
    </w:p>
    <w:p w:rsidR="00893675" w:rsidRPr="00394CEC" w:rsidRDefault="00893675" w:rsidP="009D54F0">
      <w:pPr>
        <w:ind w:left="1134" w:hanging="567"/>
      </w:pPr>
      <w:r w:rsidRPr="00394CEC">
        <w:t>c)</w:t>
      </w:r>
      <w:r w:rsidRPr="00394CEC">
        <w:tab/>
        <w:t>Att öka det livslånga lärandets bidrag till social sammanhållning, aktivt medborgarskap, interkulturell dialog, jämställdhet och självförverkligande.</w:t>
      </w:r>
    </w:p>
    <w:p w:rsidR="00893675" w:rsidRPr="00394CEC" w:rsidRDefault="00893675" w:rsidP="009D54F0">
      <w:pPr>
        <w:ind w:left="1134" w:hanging="567"/>
      </w:pPr>
    </w:p>
    <w:p w:rsidR="00893675" w:rsidRPr="00394CEC" w:rsidRDefault="00893675" w:rsidP="009D54F0">
      <w:pPr>
        <w:ind w:left="1134" w:hanging="567"/>
      </w:pPr>
      <w:r w:rsidRPr="00394CEC">
        <w:t>d)</w:t>
      </w:r>
      <w:r w:rsidRPr="00394CEC">
        <w:tab/>
        <w:t>Att bidra till att främja kreativitet, konkurrenskraft, anställbarhet och växande företagaranda.</w:t>
      </w:r>
    </w:p>
    <w:p w:rsidR="00893675" w:rsidRPr="00394CEC" w:rsidRDefault="00893675" w:rsidP="009D54F0">
      <w:pPr>
        <w:ind w:left="1134" w:hanging="567"/>
      </w:pPr>
    </w:p>
    <w:p w:rsidR="00893675" w:rsidRPr="00394CEC" w:rsidRDefault="00893675" w:rsidP="009D54F0">
      <w:pPr>
        <w:ind w:left="1134" w:hanging="567"/>
      </w:pPr>
      <w:r w:rsidRPr="00394CEC">
        <w:t>e)</w:t>
      </w:r>
      <w:r w:rsidRPr="00394CEC">
        <w:tab/>
        <w:t>Att bidra till att personer i alla åldrar i större utsträckning deltar i livslångt lärande, även personer med särskilda behov och mindre gynnade grupper, oavsett deras socioekonomiska bakgrund.</w:t>
      </w:r>
    </w:p>
    <w:p w:rsidR="00893675" w:rsidRPr="00394CEC" w:rsidRDefault="00893675" w:rsidP="009D54F0">
      <w:pPr>
        <w:ind w:left="1134" w:hanging="567"/>
      </w:pPr>
    </w:p>
    <w:p w:rsidR="00893675" w:rsidRPr="00394CEC" w:rsidRDefault="00893675" w:rsidP="009D54F0">
      <w:pPr>
        <w:ind w:left="1134" w:hanging="567"/>
      </w:pPr>
      <w:r w:rsidRPr="00394CEC">
        <w:t>f)</w:t>
      </w:r>
      <w:r w:rsidRPr="00394CEC">
        <w:tab/>
        <w:t>Att främja språkinlärning och språklig mångfald.</w:t>
      </w:r>
    </w:p>
    <w:p w:rsidR="00893675" w:rsidRPr="00394CEC" w:rsidRDefault="00893675" w:rsidP="009D54F0">
      <w:pPr>
        <w:ind w:left="1134" w:hanging="567"/>
      </w:pPr>
    </w:p>
    <w:p w:rsidR="00893675" w:rsidRPr="00394CEC" w:rsidRDefault="00893675" w:rsidP="009D54F0">
      <w:pPr>
        <w:ind w:left="1134" w:hanging="567"/>
      </w:pPr>
      <w:r w:rsidRPr="00394CEC">
        <w:t>fa)</w:t>
      </w:r>
      <w:r w:rsidRPr="00394CEC">
        <w:tab/>
        <w:t>Att stödja utvecklingen av innovativt innehåll, tjänster, pedagogik och praktik för livslångt lärande, grundat på informations</w:t>
      </w:r>
      <w:r w:rsidRPr="00394CEC">
        <w:noBreakHyphen/>
        <w:t xml:space="preserve"> och kommunikationsteknik.</w:t>
      </w:r>
    </w:p>
    <w:p w:rsidR="00893675" w:rsidRPr="00394CEC" w:rsidRDefault="00893675" w:rsidP="009D54F0">
      <w:pPr>
        <w:ind w:left="1134" w:hanging="567"/>
      </w:pPr>
    </w:p>
    <w:p w:rsidR="00893675" w:rsidRPr="00394CEC" w:rsidRDefault="00893675" w:rsidP="009D54F0">
      <w:pPr>
        <w:ind w:left="1134" w:hanging="567"/>
      </w:pPr>
      <w:r w:rsidRPr="00394CEC">
        <w:t>g)</w:t>
      </w:r>
      <w:r w:rsidRPr="00394CEC">
        <w:tab/>
        <w:t>Att stärka det livslånga lärandets bidrag till skapandet av en känsla av europeiskt medborgarskap grundat på förståelse och respekt för mänskliga rättigheter och demokrati, och till uppmuntran av tolerans och respekt för andra folk och kulturer.</w:t>
      </w:r>
    </w:p>
    <w:p w:rsidR="00893675" w:rsidRPr="00394CEC" w:rsidRDefault="00893675" w:rsidP="009D54F0">
      <w:pPr>
        <w:ind w:left="1134" w:hanging="567"/>
      </w:pPr>
    </w:p>
    <w:p w:rsidR="00893675" w:rsidRPr="00394CEC" w:rsidRDefault="00893675" w:rsidP="009D54F0">
      <w:pPr>
        <w:ind w:left="1134" w:hanging="567"/>
      </w:pPr>
      <w:r w:rsidRPr="00394CEC">
        <w:t>h)</w:t>
      </w:r>
      <w:r w:rsidRPr="00394CEC">
        <w:tab/>
        <w:t>Att främja samarbete inom kvalitetssäkring i alla utbildningssektorer i Europa.</w:t>
      </w:r>
    </w:p>
    <w:p w:rsidR="00893675" w:rsidRPr="00394CEC" w:rsidRDefault="00893675" w:rsidP="009D54F0">
      <w:pPr>
        <w:ind w:left="1134" w:hanging="567"/>
      </w:pPr>
    </w:p>
    <w:p w:rsidR="00893675" w:rsidRPr="00394CEC" w:rsidRDefault="00893675" w:rsidP="009D54F0">
      <w:pPr>
        <w:ind w:left="1134" w:hanging="567"/>
      </w:pPr>
      <w:r w:rsidRPr="00394CEC">
        <w:t>i)</w:t>
      </w:r>
      <w:r w:rsidRPr="00394CEC">
        <w:tab/>
        <w:t>Att uppmuntra till ett optimalt utnyttjande av resultat, innovativa produkter och processer och utbyta god praxis inom de områden som täcks av programmet för livslångt lärande i syfte att förbättra utbildningens kvalitet.</w:t>
      </w:r>
    </w:p>
    <w:p w:rsidR="00893675" w:rsidRPr="00394CEC" w:rsidRDefault="00893675" w:rsidP="00893675"/>
    <w:p w:rsidR="00893675" w:rsidRPr="00394CEC" w:rsidRDefault="00893675" w:rsidP="009D54F0">
      <w:pPr>
        <w:ind w:left="567" w:hanging="567"/>
      </w:pPr>
      <w:r w:rsidRPr="00394CEC">
        <w:br w:type="page"/>
        <w:t>4.</w:t>
      </w:r>
      <w:r w:rsidRPr="00394CEC">
        <w:tab/>
        <w:t>Enligt de administrativa bestämmelserna i bilagan skall programmet för livslångt lärande stödja och komplettera den verksamhet som företas av medlemsstaterna, vars ansvar för utbildningssystemens innehåll och kulturella och språkliga mångfald samtidigt skall respekteras fullt ut.</w:t>
      </w:r>
    </w:p>
    <w:p w:rsidR="00893675" w:rsidRPr="00394CEC" w:rsidRDefault="00893675" w:rsidP="009D54F0">
      <w:pPr>
        <w:ind w:left="567" w:hanging="567"/>
      </w:pPr>
    </w:p>
    <w:p w:rsidR="00893675" w:rsidRPr="00394CEC" w:rsidRDefault="00893675" w:rsidP="009D54F0">
      <w:pPr>
        <w:ind w:left="567" w:hanging="567"/>
      </w:pPr>
      <w:r w:rsidRPr="00394CEC">
        <w:t>5.</w:t>
      </w:r>
      <w:r w:rsidRPr="00394CEC">
        <w:tab/>
        <w:t>Enligt artikel 3 skall målen för programmet för livslångt lärande fullföljas via genomförandet av fyra sektorsprogram, ett övergripande program samt Jean Monnet</w:t>
      </w:r>
      <w:r w:rsidRPr="00394CEC">
        <w:noBreakHyphen/>
        <w:t>programmet, nedan gemensamt kallade "delprogrammen".</w:t>
      </w:r>
    </w:p>
    <w:p w:rsidR="00893675" w:rsidRPr="00394CEC" w:rsidRDefault="00893675" w:rsidP="009D54F0">
      <w:pPr>
        <w:ind w:left="567" w:hanging="567"/>
      </w:pPr>
    </w:p>
    <w:p w:rsidR="00893675" w:rsidRPr="00394CEC" w:rsidRDefault="00893675" w:rsidP="009D54F0">
      <w:pPr>
        <w:ind w:left="567" w:hanging="567"/>
      </w:pPr>
      <w:r w:rsidRPr="00394CEC">
        <w:t>6.</w:t>
      </w:r>
      <w:r w:rsidRPr="00394CEC">
        <w:tab/>
        <w:t>Beslutet skall genomföras under tiden från och med den 1 januari 2007 till och med den 31 december 2013. Förberedande åtgärder, inbegripet kommissionens beslut i enlighet med artikel 9, får dock genomföras så snart detta beslut träder i kraft.</w:t>
      </w:r>
    </w:p>
    <w:p w:rsidR="00893675" w:rsidRPr="00394CEC" w:rsidRDefault="00893675" w:rsidP="00893675"/>
    <w:p w:rsidR="00893675" w:rsidRPr="00394CEC" w:rsidRDefault="00893675" w:rsidP="009D54F0">
      <w:pPr>
        <w:jc w:val="center"/>
      </w:pPr>
      <w:bookmarkStart w:id="26" w:name="Art2"/>
      <w:bookmarkEnd w:id="26"/>
      <w:r w:rsidRPr="00394CEC">
        <w:rPr>
          <w:i/>
        </w:rPr>
        <w:t>Artikel 2</w:t>
      </w:r>
      <w:r w:rsidRPr="00394CEC">
        <w:br/>
        <w:t>Definitioner</w:t>
      </w:r>
    </w:p>
    <w:p w:rsidR="00893675" w:rsidRPr="00394CEC" w:rsidRDefault="00893675" w:rsidP="00893675"/>
    <w:p w:rsidR="00893675" w:rsidRPr="00394CEC" w:rsidRDefault="00893675" w:rsidP="00893675">
      <w:r w:rsidRPr="00394CEC">
        <w:t>I detta beslut gäller följande definitioner:</w:t>
      </w:r>
    </w:p>
    <w:p w:rsidR="00893675" w:rsidRPr="00394CEC" w:rsidRDefault="00893675" w:rsidP="00893675"/>
    <w:p w:rsidR="00893675" w:rsidRPr="00394CEC" w:rsidRDefault="00893675" w:rsidP="009D54F0">
      <w:pPr>
        <w:ind w:left="567" w:hanging="567"/>
      </w:pPr>
      <w:r w:rsidRPr="00394CEC">
        <w:t>1.</w:t>
      </w:r>
      <w:r w:rsidRPr="00394CEC">
        <w:tab/>
      </w:r>
      <w:r w:rsidRPr="00394CEC">
        <w:rPr>
          <w:i/>
        </w:rPr>
        <w:t>förskola</w:t>
      </w:r>
      <w:r w:rsidRPr="00394CEC">
        <w:t>: organiserad utbildningsverksamhet före den obligatoriska skolgången.</w:t>
      </w:r>
    </w:p>
    <w:p w:rsidR="00893675" w:rsidRPr="00394CEC" w:rsidRDefault="00893675" w:rsidP="009D54F0">
      <w:pPr>
        <w:ind w:left="567" w:hanging="567"/>
      </w:pPr>
    </w:p>
    <w:p w:rsidR="00893675" w:rsidRPr="00394CEC" w:rsidRDefault="00893675" w:rsidP="009D54F0">
      <w:pPr>
        <w:ind w:left="567" w:hanging="567"/>
      </w:pPr>
      <w:r w:rsidRPr="00394CEC">
        <w:t>2.</w:t>
      </w:r>
      <w:r w:rsidRPr="00394CEC">
        <w:tab/>
      </w:r>
      <w:r w:rsidRPr="00394CEC">
        <w:rPr>
          <w:i/>
        </w:rPr>
        <w:t>elev</w:t>
      </w:r>
      <w:r w:rsidRPr="00394CEC">
        <w:t>: person som är inskriven för studier vid en skola.</w:t>
      </w:r>
    </w:p>
    <w:p w:rsidR="00893675" w:rsidRPr="00394CEC" w:rsidRDefault="00893675" w:rsidP="009D54F0">
      <w:pPr>
        <w:ind w:left="567" w:hanging="567"/>
      </w:pPr>
    </w:p>
    <w:p w:rsidR="00893675" w:rsidRPr="00394CEC" w:rsidRDefault="00893675" w:rsidP="009D54F0">
      <w:pPr>
        <w:ind w:left="567" w:hanging="567"/>
      </w:pPr>
      <w:r w:rsidRPr="00394CEC">
        <w:t>3.</w:t>
      </w:r>
      <w:r w:rsidRPr="00394CEC">
        <w:tab/>
      </w:r>
      <w:r w:rsidRPr="00394CEC">
        <w:rPr>
          <w:i/>
        </w:rPr>
        <w:t>skola</w:t>
      </w:r>
      <w:r w:rsidRPr="00394CEC">
        <w:t>: varje slag av inrättning som meddelar allmän utbildning (förskola, primär</w:t>
      </w:r>
      <w:r w:rsidRPr="00394CEC">
        <w:noBreakHyphen/>
        <w:t xml:space="preserve"> eller sekundärskola), yrkesinriktad eller teknisk utbildning och, i undantagsfall, inrättningar som inte meddelar skolundervisning men som tillhandahåller lärlingsutbildning när det gäller åtgärder för att främja språkinlärning.</w:t>
      </w:r>
    </w:p>
    <w:p w:rsidR="00893675" w:rsidRPr="00394CEC" w:rsidRDefault="00893675" w:rsidP="009D54F0">
      <w:pPr>
        <w:ind w:left="567" w:hanging="567"/>
      </w:pPr>
    </w:p>
    <w:p w:rsidR="00893675" w:rsidRPr="00394CEC" w:rsidRDefault="00893675" w:rsidP="009D54F0">
      <w:pPr>
        <w:ind w:left="567" w:hanging="567"/>
      </w:pPr>
      <w:r w:rsidRPr="00394CEC">
        <w:t>4.</w:t>
      </w:r>
      <w:r w:rsidRPr="00394CEC">
        <w:tab/>
      </w:r>
      <w:r w:rsidRPr="00394CEC">
        <w:rPr>
          <w:i/>
        </w:rPr>
        <w:t>undervisande personal</w:t>
      </w:r>
      <w:r w:rsidRPr="00394CEC">
        <w:t>: personer som på grund av sina arbetsuppgifter är direkt engagerade i utbildningsprocessen i medlemsstaterna.</w:t>
      </w:r>
    </w:p>
    <w:p w:rsidR="00893675" w:rsidRPr="00394CEC" w:rsidRDefault="00893675" w:rsidP="009D54F0">
      <w:pPr>
        <w:ind w:left="567" w:hanging="567"/>
      </w:pPr>
      <w:r w:rsidRPr="00394CEC">
        <w:br w:type="page"/>
        <w:t>4a.</w:t>
      </w:r>
      <w:r w:rsidRPr="00394CEC">
        <w:tab/>
      </w:r>
      <w:r w:rsidRPr="00394CEC">
        <w:rPr>
          <w:i/>
        </w:rPr>
        <w:t>utbildare</w:t>
      </w:r>
      <w:r w:rsidRPr="00394CEC">
        <w:t>: person som genom sina åligganden direkt medverkar i yrkesutbildningen och utbildningsprocessen i medlemsstaterna.</w:t>
      </w:r>
    </w:p>
    <w:p w:rsidR="00893675" w:rsidRPr="00394CEC" w:rsidRDefault="00893675" w:rsidP="009D54F0">
      <w:pPr>
        <w:ind w:left="567" w:hanging="567"/>
      </w:pPr>
    </w:p>
    <w:p w:rsidR="00893675" w:rsidRPr="00394CEC" w:rsidRDefault="00893675" w:rsidP="009D54F0">
      <w:pPr>
        <w:ind w:left="567" w:hanging="567"/>
      </w:pPr>
      <w:r w:rsidRPr="00394CEC">
        <w:t>5.</w:t>
      </w:r>
      <w:r w:rsidRPr="00394CEC">
        <w:tab/>
      </w:r>
      <w:r w:rsidRPr="00394CEC">
        <w:rPr>
          <w:i/>
        </w:rPr>
        <w:t>student</w:t>
      </w:r>
      <w:r w:rsidRPr="00394CEC">
        <w:t>: en person inskriven vid en högre utbildningsanstalt, oavsett studieområde, i syfte att bedriva högre studier som leder till erkänd examen eller annan erkänd eftergymnasial behörighet, till och med doktorsexamen.</w:t>
      </w:r>
    </w:p>
    <w:p w:rsidR="00893675" w:rsidRPr="00394CEC" w:rsidRDefault="00893675" w:rsidP="009D54F0">
      <w:pPr>
        <w:ind w:left="567" w:hanging="567"/>
      </w:pPr>
    </w:p>
    <w:p w:rsidR="00893675" w:rsidRPr="00394CEC" w:rsidRDefault="00893675" w:rsidP="009D54F0">
      <w:pPr>
        <w:ind w:left="567" w:hanging="567"/>
      </w:pPr>
      <w:r w:rsidRPr="00394CEC">
        <w:t>6.</w:t>
      </w:r>
      <w:r w:rsidRPr="00394CEC">
        <w:tab/>
      </w:r>
      <w:r w:rsidRPr="00394CEC">
        <w:rPr>
          <w:i/>
        </w:rPr>
        <w:t>praktikant</w:t>
      </w:r>
      <w:r w:rsidRPr="00394CEC">
        <w:t>: en person som genomgår yrkesutbildning antingen vid en utbildningsinrättning eller utbildningsorganisation eller på arbetsplatsen.</w:t>
      </w:r>
    </w:p>
    <w:p w:rsidR="00893675" w:rsidRPr="00394CEC" w:rsidRDefault="00893675" w:rsidP="009D54F0">
      <w:pPr>
        <w:ind w:left="567" w:hanging="567"/>
      </w:pPr>
    </w:p>
    <w:p w:rsidR="00893675" w:rsidRPr="00394CEC" w:rsidRDefault="00893675" w:rsidP="009D54F0">
      <w:pPr>
        <w:ind w:left="567" w:hanging="567"/>
      </w:pPr>
      <w:r w:rsidRPr="00394CEC">
        <w:t>7.</w:t>
      </w:r>
      <w:r w:rsidRPr="00394CEC">
        <w:tab/>
      </w:r>
      <w:r w:rsidRPr="00394CEC">
        <w:rPr>
          <w:i/>
        </w:rPr>
        <w:t>vuxen inlärare</w:t>
      </w:r>
      <w:r w:rsidRPr="00394CEC">
        <w:t>: en inlärare som deltar i vuxenutbildning.</w:t>
      </w:r>
    </w:p>
    <w:p w:rsidR="00893675" w:rsidRPr="00394CEC" w:rsidRDefault="00893675" w:rsidP="009D54F0">
      <w:pPr>
        <w:ind w:left="567" w:hanging="567"/>
      </w:pPr>
    </w:p>
    <w:p w:rsidR="00893675" w:rsidRPr="00394CEC" w:rsidRDefault="00893675" w:rsidP="009D54F0">
      <w:pPr>
        <w:ind w:left="567" w:hanging="567"/>
      </w:pPr>
      <w:r w:rsidRPr="00394CEC">
        <w:t>8.</w:t>
      </w:r>
      <w:r w:rsidRPr="00394CEC">
        <w:tab/>
      </w:r>
      <w:r w:rsidRPr="00394CEC">
        <w:rPr>
          <w:i/>
        </w:rPr>
        <w:t>personer på arbetsmarknaden</w:t>
      </w:r>
      <w:r w:rsidRPr="00394CEC">
        <w:t>: arbetstagare, egenföretagare, personer som står till arbetsmarknadens förfogande.</w:t>
      </w:r>
    </w:p>
    <w:p w:rsidR="00893675" w:rsidRPr="00394CEC" w:rsidRDefault="00893675" w:rsidP="009D54F0">
      <w:pPr>
        <w:ind w:left="567" w:hanging="567"/>
      </w:pPr>
    </w:p>
    <w:p w:rsidR="00893675" w:rsidRPr="00394CEC" w:rsidRDefault="00893675" w:rsidP="009D54F0">
      <w:pPr>
        <w:ind w:left="567" w:hanging="567"/>
      </w:pPr>
      <w:r w:rsidRPr="00394CEC">
        <w:t>9.</w:t>
      </w:r>
      <w:r w:rsidRPr="00394CEC">
        <w:tab/>
      </w:r>
      <w:r w:rsidRPr="00394CEC">
        <w:rPr>
          <w:i/>
        </w:rPr>
        <w:t>högre utbildningsanstalt</w:t>
      </w:r>
      <w:r w:rsidRPr="00394CEC">
        <w:t>:</w:t>
      </w:r>
    </w:p>
    <w:p w:rsidR="00893675" w:rsidRPr="00394CEC" w:rsidRDefault="00893675" w:rsidP="00893675"/>
    <w:p w:rsidR="00893675" w:rsidRPr="00394CEC" w:rsidRDefault="00893675" w:rsidP="009D54F0">
      <w:pPr>
        <w:ind w:left="1134" w:hanging="567"/>
      </w:pPr>
      <w:r w:rsidRPr="00394CEC">
        <w:t>a)</w:t>
      </w:r>
      <w:r w:rsidRPr="00394CEC">
        <w:tab/>
        <w:t>Alla slags inrättningar för högre utbildning enligt nationell lagstiftning eller praxis, som utfärdar erkänd examen eller annan erkänd eftergymnasial behörighet, oavsett vad dessa inrättningar kallas i medlemsstaterna.</w:t>
      </w:r>
    </w:p>
    <w:p w:rsidR="00893675" w:rsidRPr="00394CEC" w:rsidRDefault="00893675" w:rsidP="009D54F0">
      <w:pPr>
        <w:ind w:left="1134" w:hanging="567"/>
      </w:pPr>
    </w:p>
    <w:p w:rsidR="00893675" w:rsidRPr="00394CEC" w:rsidRDefault="00893675" w:rsidP="009D54F0">
      <w:pPr>
        <w:ind w:left="1134" w:hanging="567"/>
      </w:pPr>
      <w:r w:rsidRPr="00394CEC">
        <w:t>b)</w:t>
      </w:r>
      <w:r w:rsidRPr="00394CEC">
        <w:tab/>
        <w:t>Alla inrättningar, enligt nationell lagstiftning eller praxis, som tillhandahåller yrkesinriktad utbildning på eftergymnasial nivå.</w:t>
      </w:r>
    </w:p>
    <w:p w:rsidR="00893675" w:rsidRPr="00394CEC" w:rsidRDefault="00893675" w:rsidP="00893675"/>
    <w:p w:rsidR="00893675" w:rsidRPr="00394CEC" w:rsidRDefault="00893675" w:rsidP="00893675">
      <w:r w:rsidRPr="00394CEC">
        <w:t>10.</w:t>
      </w:r>
      <w:r w:rsidRPr="00394CEC">
        <w:tab/>
      </w:r>
      <w:r w:rsidRPr="00394CEC">
        <w:rPr>
          <w:i/>
        </w:rPr>
        <w:t>gemensamma magisterkurser</w:t>
      </w:r>
      <w:r w:rsidRPr="00394CEC">
        <w:t>: magisterkurser vid högre utbildningsanstalt som</w:t>
      </w:r>
    </w:p>
    <w:p w:rsidR="00893675" w:rsidRPr="00394CEC" w:rsidRDefault="00893675" w:rsidP="00893675"/>
    <w:p w:rsidR="00893675" w:rsidRPr="00394CEC" w:rsidRDefault="00893675" w:rsidP="009D54F0">
      <w:pPr>
        <w:ind w:left="1134" w:hanging="567"/>
      </w:pPr>
      <w:r w:rsidRPr="00394CEC">
        <w:t>a)</w:t>
      </w:r>
      <w:r w:rsidRPr="00394CEC">
        <w:tab/>
        <w:t>omfattar minst tre högre utbildningsanstalter från tre olika medlemsstater,</w:t>
      </w:r>
    </w:p>
    <w:p w:rsidR="00893675" w:rsidRPr="00394CEC" w:rsidRDefault="00893675" w:rsidP="00893675"/>
    <w:p w:rsidR="00893675" w:rsidRPr="00394CEC" w:rsidRDefault="00893675" w:rsidP="009D54F0">
      <w:pPr>
        <w:ind w:left="1134" w:hanging="567"/>
      </w:pPr>
      <w:r w:rsidRPr="00394CEC">
        <w:br w:type="page"/>
        <w:t>b)</w:t>
      </w:r>
      <w:r w:rsidRPr="00394CEC">
        <w:tab/>
        <w:t>innebär ett studieprogram som inbegriper en studieperiod vid minst två av dessa tre högskolor,</w:t>
      </w:r>
    </w:p>
    <w:p w:rsidR="00893675" w:rsidRPr="00394CEC" w:rsidRDefault="00893675" w:rsidP="009D54F0">
      <w:pPr>
        <w:ind w:left="1134" w:hanging="567"/>
      </w:pPr>
    </w:p>
    <w:p w:rsidR="00893675" w:rsidRPr="00394CEC" w:rsidRDefault="00893675" w:rsidP="009D54F0">
      <w:pPr>
        <w:ind w:left="1134" w:hanging="567"/>
      </w:pPr>
      <w:r w:rsidRPr="00394CEC">
        <w:t>c)</w:t>
      </w:r>
      <w:r w:rsidRPr="00394CEC">
        <w:tab/>
        <w:t>inbegriper mekanismer för erkännande av studieperioder vid partnerhögskolor, vilka bygger på eller är förenliga med det europeiska systemet för överföring av studiemeriter,</w:t>
      </w:r>
    </w:p>
    <w:p w:rsidR="00893675" w:rsidRPr="00394CEC" w:rsidRDefault="00893675" w:rsidP="009D54F0">
      <w:pPr>
        <w:ind w:left="1134" w:hanging="567"/>
      </w:pPr>
    </w:p>
    <w:p w:rsidR="00893675" w:rsidRPr="00394CEC" w:rsidRDefault="00893675" w:rsidP="009D54F0">
      <w:pPr>
        <w:ind w:left="1134" w:hanging="567"/>
      </w:pPr>
      <w:r w:rsidRPr="00394CEC">
        <w:t>d)</w:t>
      </w:r>
      <w:r w:rsidRPr="00394CEC">
        <w:tab/>
        <w:t>leder till tilldelning av medlemsstaterna erkända eller godkända, gemensamma, dubbla eller flerfaldiga examensbevis från de deltagande utbildningsinrättningarna.</w:t>
      </w:r>
    </w:p>
    <w:p w:rsidR="00893675" w:rsidRPr="00394CEC" w:rsidRDefault="00893675" w:rsidP="00893675"/>
    <w:p w:rsidR="00893675" w:rsidRPr="00394CEC" w:rsidRDefault="00893675" w:rsidP="009D54F0">
      <w:pPr>
        <w:ind w:left="567" w:hanging="567"/>
      </w:pPr>
      <w:r w:rsidRPr="00394CEC">
        <w:t>11.</w:t>
      </w:r>
      <w:r w:rsidRPr="00394CEC">
        <w:tab/>
      </w:r>
      <w:r w:rsidRPr="00394CEC">
        <w:rPr>
          <w:i/>
        </w:rPr>
        <w:t>yrkesutbildning</w:t>
      </w:r>
      <w:r w:rsidRPr="00394CEC">
        <w:t>: varje form av grundläggande yrkesutbildning, inbegripet teknisk och yrkesinriktad undervisning, och lärlingsutbildning som bidrar till yrkeskvalifikationer som erkänns av de behöriga myndigheterna i den medlemsstat där de har förvärvats, samt yrkesinriktad fortbildning som en person genomgår under sitt arbetsliv.</w:t>
      </w:r>
    </w:p>
    <w:p w:rsidR="00893675" w:rsidRPr="00394CEC" w:rsidRDefault="00893675" w:rsidP="009D54F0">
      <w:pPr>
        <w:ind w:left="567" w:hanging="567"/>
      </w:pPr>
    </w:p>
    <w:p w:rsidR="00893675" w:rsidRPr="00394CEC" w:rsidRDefault="00893675" w:rsidP="009D54F0">
      <w:pPr>
        <w:ind w:left="567" w:hanging="567"/>
      </w:pPr>
      <w:r w:rsidRPr="00394CEC">
        <w:t>12.</w:t>
      </w:r>
      <w:r w:rsidRPr="00394CEC">
        <w:tab/>
      </w:r>
      <w:r w:rsidRPr="00394CEC">
        <w:rPr>
          <w:b/>
        </w:rPr>
        <w:t>[...]</w:t>
      </w:r>
    </w:p>
    <w:p w:rsidR="00893675" w:rsidRPr="00394CEC" w:rsidRDefault="00893675" w:rsidP="009D54F0">
      <w:pPr>
        <w:ind w:left="567" w:hanging="567"/>
      </w:pPr>
    </w:p>
    <w:p w:rsidR="00893675" w:rsidRPr="00394CEC" w:rsidRDefault="00893675" w:rsidP="009D54F0">
      <w:pPr>
        <w:ind w:left="567" w:hanging="567"/>
      </w:pPr>
      <w:r w:rsidRPr="00394CEC">
        <w:t>13.</w:t>
      </w:r>
      <w:r w:rsidRPr="00394CEC">
        <w:tab/>
      </w:r>
      <w:r w:rsidRPr="00394CEC">
        <w:rPr>
          <w:i/>
        </w:rPr>
        <w:t>vuxenutbildning</w:t>
      </w:r>
      <w:r w:rsidRPr="00394CEC">
        <w:t>: alla former av icke</w:t>
      </w:r>
      <w:r w:rsidRPr="00394CEC">
        <w:noBreakHyphen/>
        <w:t>yrkesinriktat lärande för vuxna, såväl formellt, icke</w:t>
      </w:r>
      <w:r w:rsidRPr="00394CEC">
        <w:noBreakHyphen/>
        <w:t>formellt som informellt.</w:t>
      </w:r>
    </w:p>
    <w:p w:rsidR="00893675" w:rsidRPr="00394CEC" w:rsidRDefault="00893675" w:rsidP="009D54F0">
      <w:pPr>
        <w:ind w:left="567" w:hanging="567"/>
      </w:pPr>
    </w:p>
    <w:p w:rsidR="00893675" w:rsidRPr="00394CEC" w:rsidRDefault="00893675" w:rsidP="009D54F0">
      <w:pPr>
        <w:ind w:left="567" w:hanging="567"/>
      </w:pPr>
      <w:r w:rsidRPr="00394CEC">
        <w:t>14.</w:t>
      </w:r>
      <w:r w:rsidRPr="00394CEC">
        <w:tab/>
      </w:r>
      <w:r w:rsidRPr="00394CEC">
        <w:rPr>
          <w:i/>
        </w:rPr>
        <w:t>studiebesök</w:t>
      </w:r>
      <w:r w:rsidRPr="00394CEC">
        <w:t>: kort besök för att studera en viss aspekt av livslångt lärande i en annan medlemsstat.</w:t>
      </w:r>
    </w:p>
    <w:p w:rsidR="00893675" w:rsidRPr="00394CEC" w:rsidRDefault="00893675" w:rsidP="009D54F0">
      <w:pPr>
        <w:ind w:left="567" w:hanging="567"/>
      </w:pPr>
    </w:p>
    <w:p w:rsidR="00893675" w:rsidRPr="00394CEC" w:rsidRDefault="00893675" w:rsidP="009D54F0">
      <w:pPr>
        <w:ind w:left="567" w:hanging="567"/>
        <w:rPr>
          <w:b/>
          <w:i/>
        </w:rPr>
      </w:pPr>
      <w:r w:rsidRPr="00394CEC">
        <w:t>15.</w:t>
      </w:r>
      <w:r w:rsidRPr="00394CEC">
        <w:tab/>
      </w:r>
      <w:r w:rsidRPr="00394CEC">
        <w:rPr>
          <w:i/>
        </w:rPr>
        <w:t>rörlighet</w:t>
      </w:r>
      <w:r w:rsidRPr="00394CEC">
        <w:t>: en tids vistelse i en annan medlemsstat för studier, arbetserfarenhet, annat lärande eller annan undervisning eller därtill kopplad administrativ verksamhet, som på lämpligt sätt stöds genom förberedande kurser eller fortbildningskurser i värdlandets språk eller arbetsspråk.</w:t>
      </w:r>
    </w:p>
    <w:p w:rsidR="00893675" w:rsidRPr="00394CEC" w:rsidRDefault="00893675" w:rsidP="00893675"/>
    <w:p w:rsidR="00893675" w:rsidRPr="00394CEC" w:rsidRDefault="00893675" w:rsidP="009D54F0">
      <w:pPr>
        <w:ind w:left="567" w:hanging="567"/>
      </w:pPr>
      <w:r w:rsidRPr="00394CEC">
        <w:br w:type="page"/>
        <w:t>16.</w:t>
      </w:r>
      <w:r w:rsidRPr="00394CEC">
        <w:tab/>
      </w:r>
      <w:r w:rsidRPr="00394CEC">
        <w:rPr>
          <w:i/>
        </w:rPr>
        <w:t>praktik</w:t>
      </w:r>
      <w:r w:rsidRPr="00394CEC">
        <w:t>: en tids vistelse</w:t>
      </w:r>
      <w:r w:rsidRPr="00394CEC">
        <w:rPr>
          <w:b/>
        </w:rPr>
        <w:t xml:space="preserve"> </w:t>
      </w:r>
      <w:r w:rsidRPr="00394CEC">
        <w:t>vid ett företag eller en organisation i en annan medlemsstat, som på lämpligt sätt stöds genom förberedande kurser eller fortbildningskurser i värdlandets språk eller arbetsspråk och syftar till att hjälpa enskilda att anpassa sig till kraven på en arbetsmarknad som omfattar hela gemenskapen, förvärva en bestämd färdighet eller förbättra kunskaperna om den ekonomiska och sociala kulturen i landet i fråga i samband med förvärvande av yrkeserfarenhet.</w:t>
      </w:r>
    </w:p>
    <w:p w:rsidR="00893675" w:rsidRPr="00394CEC" w:rsidRDefault="00893675" w:rsidP="009D54F0">
      <w:pPr>
        <w:ind w:left="567" w:hanging="567"/>
      </w:pPr>
    </w:p>
    <w:p w:rsidR="00893675" w:rsidRPr="00394CEC" w:rsidRDefault="00893675" w:rsidP="009D54F0">
      <w:pPr>
        <w:ind w:left="567" w:hanging="567"/>
      </w:pPr>
      <w:r w:rsidRPr="00394CEC">
        <w:t>17.</w:t>
      </w:r>
      <w:r w:rsidRPr="00394CEC">
        <w:tab/>
      </w:r>
      <w:r w:rsidRPr="00394CEC">
        <w:rPr>
          <w:i/>
        </w:rPr>
        <w:t>unilateral</w:t>
      </w:r>
      <w:r w:rsidRPr="00394CEC">
        <w:t>: som gäller en enda inrättning</w:t>
      </w:r>
      <w:r w:rsidRPr="00394CEC">
        <w:rPr>
          <w:i/>
        </w:rPr>
        <w:t>.</w:t>
      </w:r>
    </w:p>
    <w:p w:rsidR="00893675" w:rsidRPr="00394CEC" w:rsidRDefault="00893675" w:rsidP="009D54F0">
      <w:pPr>
        <w:ind w:left="567" w:hanging="567"/>
      </w:pPr>
    </w:p>
    <w:p w:rsidR="00893675" w:rsidRPr="00394CEC" w:rsidRDefault="00893675" w:rsidP="009D54F0">
      <w:pPr>
        <w:ind w:left="567" w:hanging="567"/>
      </w:pPr>
      <w:r w:rsidRPr="00394CEC">
        <w:t>18.</w:t>
      </w:r>
      <w:r w:rsidRPr="00394CEC">
        <w:tab/>
      </w:r>
      <w:r w:rsidRPr="00394CEC">
        <w:rPr>
          <w:i/>
        </w:rPr>
        <w:t>bilateral</w:t>
      </w:r>
      <w:r w:rsidRPr="00394CEC">
        <w:t>: med deltagande av partner från två medlemsstater.</w:t>
      </w:r>
    </w:p>
    <w:p w:rsidR="00893675" w:rsidRPr="00394CEC" w:rsidRDefault="00893675" w:rsidP="009D54F0">
      <w:pPr>
        <w:ind w:left="567" w:hanging="567"/>
      </w:pPr>
    </w:p>
    <w:p w:rsidR="00893675" w:rsidRPr="00394CEC" w:rsidRDefault="00893675" w:rsidP="009D54F0">
      <w:pPr>
        <w:ind w:left="567" w:hanging="567"/>
      </w:pPr>
      <w:r w:rsidRPr="00394CEC">
        <w:t>19.</w:t>
      </w:r>
      <w:r w:rsidRPr="00394CEC">
        <w:tab/>
      </w:r>
      <w:r w:rsidRPr="00394CEC">
        <w:rPr>
          <w:i/>
        </w:rPr>
        <w:t>multilateral</w:t>
      </w:r>
      <w:r w:rsidRPr="00394CEC">
        <w:t>: med deltagande av partner från minst tre medlemsstater. Kommissionen kan betrakta sammanslutningar eller andra organ med medlemmar från tre eller fler medlemsstater som multilaterala.</w:t>
      </w:r>
    </w:p>
    <w:p w:rsidR="00893675" w:rsidRPr="00394CEC" w:rsidRDefault="00893675" w:rsidP="009D54F0">
      <w:pPr>
        <w:ind w:left="567" w:hanging="567"/>
      </w:pPr>
    </w:p>
    <w:p w:rsidR="00893675" w:rsidRPr="00394CEC" w:rsidRDefault="00893675" w:rsidP="009D54F0">
      <w:pPr>
        <w:ind w:left="567" w:hanging="567"/>
      </w:pPr>
      <w:r w:rsidRPr="00394CEC">
        <w:t>20.</w:t>
      </w:r>
      <w:r w:rsidRPr="00394CEC">
        <w:tab/>
      </w:r>
      <w:r w:rsidRPr="00394CEC">
        <w:rPr>
          <w:i/>
        </w:rPr>
        <w:t>partnerskap</w:t>
      </w:r>
      <w:r w:rsidRPr="00394CEC">
        <w:t>: en bilateral eller multilateral överenskommelse mellan en grupp inrättningar eller organisationer i olika medlemsstater om att genomföra gemensam europeisk verksamhet för livslångt lärande.</w:t>
      </w:r>
    </w:p>
    <w:p w:rsidR="00893675" w:rsidRPr="00394CEC" w:rsidRDefault="00893675" w:rsidP="009D54F0">
      <w:pPr>
        <w:ind w:left="567" w:hanging="567"/>
      </w:pPr>
    </w:p>
    <w:p w:rsidR="00893675" w:rsidRPr="00394CEC" w:rsidRDefault="00893675" w:rsidP="009D54F0">
      <w:pPr>
        <w:ind w:left="567" w:hanging="567"/>
      </w:pPr>
      <w:r w:rsidRPr="00394CEC">
        <w:t>21.</w:t>
      </w:r>
      <w:r w:rsidRPr="00394CEC">
        <w:tab/>
      </w:r>
      <w:r w:rsidRPr="00394CEC">
        <w:rPr>
          <w:i/>
        </w:rPr>
        <w:t>nätverk</w:t>
      </w:r>
      <w:r w:rsidRPr="00394CEC">
        <w:t>: en formell eller informell gruppering av organ som är verksamma inom särskilda områden, ämnen eller sektorer för livslångt lärande.</w:t>
      </w:r>
    </w:p>
    <w:p w:rsidR="00893675" w:rsidRPr="00394CEC" w:rsidRDefault="00893675" w:rsidP="009D54F0">
      <w:pPr>
        <w:ind w:left="567" w:hanging="567"/>
      </w:pPr>
    </w:p>
    <w:p w:rsidR="00893675" w:rsidRPr="00394CEC" w:rsidRDefault="00893675" w:rsidP="009D54F0">
      <w:pPr>
        <w:ind w:left="567" w:hanging="567"/>
      </w:pPr>
      <w:r w:rsidRPr="00394CEC">
        <w:t>22.</w:t>
      </w:r>
      <w:r w:rsidRPr="00394CEC">
        <w:tab/>
      </w:r>
      <w:r w:rsidRPr="00394CEC">
        <w:rPr>
          <w:i/>
        </w:rPr>
        <w:t>projekt</w:t>
      </w:r>
      <w:r w:rsidRPr="00394CEC">
        <w:t>: samarbetsverksamhet med fastställt resultat som utarbetas gemensamt av en formell eller informell gruppering av inrättningar eller organisationer.</w:t>
      </w:r>
    </w:p>
    <w:p w:rsidR="00893675" w:rsidRPr="00394CEC" w:rsidRDefault="00893675" w:rsidP="009D54F0">
      <w:pPr>
        <w:ind w:left="567" w:hanging="567"/>
      </w:pPr>
    </w:p>
    <w:p w:rsidR="00893675" w:rsidRPr="00394CEC" w:rsidRDefault="00893675" w:rsidP="009D54F0">
      <w:pPr>
        <w:ind w:left="567" w:hanging="567"/>
      </w:pPr>
      <w:r w:rsidRPr="00394CEC">
        <w:t>23.</w:t>
      </w:r>
      <w:r w:rsidRPr="00394CEC">
        <w:tab/>
      </w:r>
      <w:r w:rsidRPr="00394CEC">
        <w:rPr>
          <w:i/>
        </w:rPr>
        <w:t>projektsamordnare</w:t>
      </w:r>
      <w:r w:rsidRPr="00394CEC">
        <w:t>: den inrättning eller organisation som är ansvarig för genomförandet av den multilaterala</w:t>
      </w:r>
      <w:r w:rsidRPr="00394CEC">
        <w:rPr>
          <w:b/>
        </w:rPr>
        <w:t xml:space="preserve"> </w:t>
      </w:r>
      <w:r w:rsidRPr="00394CEC">
        <w:t>grupperingens genomförande av projektet.</w:t>
      </w:r>
    </w:p>
    <w:p w:rsidR="00893675" w:rsidRPr="00394CEC" w:rsidRDefault="00893675" w:rsidP="009D54F0">
      <w:pPr>
        <w:ind w:left="567" w:hanging="567"/>
      </w:pPr>
    </w:p>
    <w:p w:rsidR="00893675" w:rsidRPr="00394CEC" w:rsidRDefault="00893675" w:rsidP="009D54F0">
      <w:pPr>
        <w:ind w:left="567" w:hanging="567"/>
      </w:pPr>
      <w:r w:rsidRPr="00394CEC">
        <w:t>24.</w:t>
      </w:r>
      <w:r w:rsidRPr="00394CEC">
        <w:tab/>
      </w:r>
      <w:r w:rsidRPr="00394CEC">
        <w:rPr>
          <w:i/>
        </w:rPr>
        <w:t>projektpartner</w:t>
      </w:r>
      <w:r w:rsidRPr="00394CEC">
        <w:t>: andra inrättningar eller organisationer än samordnaren, vilka utgör den multilaterala grupperingen.</w:t>
      </w:r>
    </w:p>
    <w:p w:rsidR="00893675" w:rsidRPr="00394CEC" w:rsidRDefault="00893675" w:rsidP="009D54F0">
      <w:pPr>
        <w:ind w:left="567" w:hanging="567"/>
      </w:pPr>
    </w:p>
    <w:p w:rsidR="00893675" w:rsidRPr="00394CEC" w:rsidRDefault="00893675" w:rsidP="009D54F0">
      <w:pPr>
        <w:ind w:left="567" w:hanging="567"/>
      </w:pPr>
      <w:r w:rsidRPr="00394CEC">
        <w:br w:type="page"/>
        <w:t>25.</w:t>
      </w:r>
      <w:r w:rsidRPr="00394CEC">
        <w:tab/>
      </w:r>
      <w:r w:rsidRPr="00394CEC">
        <w:rPr>
          <w:i/>
        </w:rPr>
        <w:t>företag</w:t>
      </w:r>
      <w:r w:rsidRPr="00394CEC">
        <w:t>: alla företag som är engagerade i ekonomisk verksamhet inom den offentliga eller privata sektorn, oavsett storlek, rättslig ställning eller den ekonomiska sektor inom vilken de är verksamma, inbegripet den sociala ekonomin.</w:t>
      </w:r>
    </w:p>
    <w:p w:rsidR="00893675" w:rsidRPr="00394CEC" w:rsidRDefault="00893675" w:rsidP="009D54F0">
      <w:pPr>
        <w:ind w:left="567" w:hanging="567"/>
      </w:pPr>
    </w:p>
    <w:p w:rsidR="00893675" w:rsidRPr="00394CEC" w:rsidRDefault="00893675" w:rsidP="009D54F0">
      <w:pPr>
        <w:ind w:left="567" w:hanging="567"/>
      </w:pPr>
      <w:r w:rsidRPr="00394CEC">
        <w:t>26.</w:t>
      </w:r>
      <w:r w:rsidRPr="00394CEC">
        <w:tab/>
      </w:r>
      <w:r w:rsidRPr="00394CEC">
        <w:rPr>
          <w:i/>
        </w:rPr>
        <w:t>arbetsmarknadens parter</w:t>
      </w:r>
      <w:r w:rsidRPr="00394CEC">
        <w:t>: på nationell nivå, arbetsgivares och arbetstagares organisationer i enlighet med nationell lagstiftning och/eller praxis; på gemenskapsnivå, arbetsgivares och arbetstagares organisationer som deltar i dialogen mellan arbetsmarknadens parter på gemenskapsnivå.</w:t>
      </w:r>
    </w:p>
    <w:p w:rsidR="00893675" w:rsidRPr="00394CEC" w:rsidRDefault="00893675" w:rsidP="009D54F0">
      <w:pPr>
        <w:ind w:left="567" w:hanging="567"/>
      </w:pPr>
    </w:p>
    <w:p w:rsidR="00893675" w:rsidRPr="00394CEC" w:rsidRDefault="00893675" w:rsidP="009D54F0">
      <w:pPr>
        <w:ind w:left="567" w:hanging="567"/>
      </w:pPr>
      <w:r w:rsidRPr="00394CEC">
        <w:t>27.</w:t>
      </w:r>
      <w:r w:rsidRPr="00394CEC">
        <w:tab/>
        <w:t>[...]</w:t>
      </w:r>
    </w:p>
    <w:p w:rsidR="00893675" w:rsidRPr="00394CEC" w:rsidRDefault="00893675" w:rsidP="009D54F0">
      <w:pPr>
        <w:ind w:left="567" w:hanging="567"/>
      </w:pPr>
    </w:p>
    <w:p w:rsidR="00893675" w:rsidRPr="00394CEC" w:rsidRDefault="00893675" w:rsidP="009D54F0">
      <w:pPr>
        <w:ind w:left="567" w:hanging="567"/>
        <w:rPr>
          <w:b/>
          <w:i/>
        </w:rPr>
      </w:pPr>
      <w:r w:rsidRPr="00394CEC">
        <w:t>28.</w:t>
      </w:r>
      <w:r w:rsidRPr="00394CEC">
        <w:tab/>
      </w:r>
      <w:r w:rsidRPr="00394CEC">
        <w:rPr>
          <w:i/>
        </w:rPr>
        <w:t>vägledning och rådgivning</w:t>
      </w:r>
      <w:r w:rsidRPr="00394CEC">
        <w:t>: olika slags verksamhet, till exempel information, bedömning, orientering och råd för att hjälpa inlärare</w:t>
      </w:r>
      <w:r w:rsidRPr="00394CEC">
        <w:rPr>
          <w:b/>
        </w:rPr>
        <w:t xml:space="preserve">, </w:t>
      </w:r>
      <w:r w:rsidRPr="00394CEC">
        <w:t>utbildare och övrig personal att välja utbildningsprogram eller anställningsmöjligheter.</w:t>
      </w:r>
    </w:p>
    <w:p w:rsidR="00893675" w:rsidRPr="00394CEC" w:rsidRDefault="00893675" w:rsidP="009D54F0">
      <w:pPr>
        <w:ind w:left="567" w:hanging="567"/>
      </w:pPr>
    </w:p>
    <w:p w:rsidR="00893675" w:rsidRPr="00394CEC" w:rsidRDefault="00893675" w:rsidP="009D54F0">
      <w:pPr>
        <w:ind w:left="567" w:hanging="567"/>
      </w:pPr>
      <w:r w:rsidRPr="00394CEC">
        <w:t>29.</w:t>
      </w:r>
      <w:r w:rsidRPr="00394CEC">
        <w:tab/>
      </w:r>
      <w:r w:rsidRPr="00394CEC">
        <w:rPr>
          <w:i/>
        </w:rPr>
        <w:t>spridning och utnyttjande av resultat</w:t>
      </w:r>
      <w:r w:rsidRPr="00394CEC">
        <w:t>: insatser för att se till att resultaten från programmet för livslångt lärande och dess föregångare erkänns, visas och genomförs i stor skala.</w:t>
      </w:r>
    </w:p>
    <w:p w:rsidR="00893675" w:rsidRPr="00394CEC" w:rsidRDefault="00893675" w:rsidP="009D54F0">
      <w:pPr>
        <w:ind w:left="567" w:hanging="567"/>
      </w:pPr>
    </w:p>
    <w:p w:rsidR="00893675" w:rsidRPr="00394CEC" w:rsidRDefault="00893675" w:rsidP="009D54F0">
      <w:pPr>
        <w:ind w:left="567" w:hanging="567"/>
      </w:pPr>
      <w:r w:rsidRPr="00394CEC">
        <w:t>30.</w:t>
      </w:r>
      <w:r w:rsidRPr="00394CEC">
        <w:tab/>
      </w:r>
      <w:r w:rsidRPr="00394CEC">
        <w:rPr>
          <w:i/>
        </w:rPr>
        <w:t>livslångt lärande</w:t>
      </w:r>
      <w:r w:rsidRPr="00394CEC">
        <w:t>: allmän utbildning, yrkesinriktad utbildning, icke</w:t>
      </w:r>
      <w:r w:rsidRPr="00394CEC">
        <w:noBreakHyphen/>
        <w:t>formell utbildning och informellt lärande, som företas under hela livet och leder till bättre kunskaper och färdigheter ur ett personligt, medborgerligt, samhälleligt och/eller arbetsmarknadsrelaterat perspektiv. Det inkluderar tillhandahållande av vägledning och rådgivning.</w:t>
      </w:r>
    </w:p>
    <w:p w:rsidR="00893675" w:rsidRPr="00394CEC" w:rsidRDefault="00893675" w:rsidP="009D54F0"/>
    <w:p w:rsidR="00893675" w:rsidRPr="00394CEC" w:rsidRDefault="00893675" w:rsidP="009D54F0">
      <w:pPr>
        <w:jc w:val="center"/>
      </w:pPr>
      <w:r w:rsidRPr="00394CEC">
        <w:br w:type="page"/>
      </w:r>
      <w:r w:rsidRPr="00394CEC">
        <w:rPr>
          <w:i/>
        </w:rPr>
        <w:t>Artikel 3</w:t>
      </w:r>
      <w:r w:rsidRPr="00394CEC">
        <w:br/>
        <w:t>Delprogram</w:t>
      </w:r>
    </w:p>
    <w:p w:rsidR="00893675" w:rsidRPr="00394CEC" w:rsidRDefault="00893675" w:rsidP="00893675"/>
    <w:p w:rsidR="00893675" w:rsidRPr="00394CEC" w:rsidRDefault="00893675" w:rsidP="00893675">
      <w:r w:rsidRPr="00394CEC">
        <w:t>1.</w:t>
      </w:r>
      <w:r w:rsidRPr="00394CEC">
        <w:tab/>
        <w:t>Följande sektorsspecifika delprogram skall införas:</w:t>
      </w:r>
    </w:p>
    <w:p w:rsidR="00893675" w:rsidRPr="00394CEC" w:rsidRDefault="00893675" w:rsidP="00893675"/>
    <w:p w:rsidR="00893675" w:rsidRPr="00394CEC" w:rsidRDefault="00893675" w:rsidP="009D54F0">
      <w:pPr>
        <w:ind w:left="1134" w:hanging="567"/>
      </w:pPr>
      <w:r w:rsidRPr="00394CEC">
        <w:t>a)</w:t>
      </w:r>
      <w:r w:rsidRPr="00394CEC">
        <w:tab/>
        <w:t>Programmet Comenius, som skall ta upp behoven inom undervisning och lärande hos alla som deltar i förskole</w:t>
      </w:r>
      <w:r w:rsidRPr="00394CEC">
        <w:noBreakHyphen/>
        <w:t xml:space="preserve"> och skolutbildning, till och med gymnasiet, samt de inrättningar och organisationer som tillhandahåller sådan utbildning.</w:t>
      </w:r>
    </w:p>
    <w:p w:rsidR="00893675" w:rsidRPr="00394CEC" w:rsidRDefault="00893675" w:rsidP="009D54F0">
      <w:pPr>
        <w:ind w:left="1134" w:hanging="567"/>
      </w:pPr>
    </w:p>
    <w:p w:rsidR="00893675" w:rsidRPr="00394CEC" w:rsidRDefault="00893675" w:rsidP="009D54F0">
      <w:pPr>
        <w:ind w:left="1134" w:hanging="567"/>
      </w:pPr>
      <w:r w:rsidRPr="00394CEC">
        <w:t>b)</w:t>
      </w:r>
      <w:r w:rsidRPr="00394CEC">
        <w:tab/>
        <w:t>Programmet Erasmus, som skall ta upp behoven inom undervisning och lärande hos alla som deltar i formell högskoleutbildning och yrkesinriktad utbildning på eftergymnasial nivå, oavsett kursens eller utbildningens längd och inbegripet doktorandutbildning, samt de inrättningar och organisationer som tillhandahåller eller främjar sådan utbildning.</w:t>
      </w:r>
    </w:p>
    <w:p w:rsidR="00893675" w:rsidRPr="00394CEC" w:rsidRDefault="00893675" w:rsidP="009D54F0">
      <w:pPr>
        <w:ind w:left="1134" w:hanging="567"/>
      </w:pPr>
    </w:p>
    <w:p w:rsidR="00893675" w:rsidRPr="00394CEC" w:rsidRDefault="00893675" w:rsidP="009D54F0">
      <w:pPr>
        <w:ind w:left="1134" w:hanging="567"/>
      </w:pPr>
      <w:r w:rsidRPr="00394CEC">
        <w:t>c)</w:t>
      </w:r>
      <w:r w:rsidRPr="00394CEC">
        <w:tab/>
        <w:t>Programmet Leonardo da Vinci, i vilket man skall möta behoven inom undervisning och lärande hos alla som deltar i yrkesinriktad utbildning, utom på eftergymnasial nivå, samt de inrättningar och organisationer som tillhandahåller sådan utbildning.</w:t>
      </w:r>
    </w:p>
    <w:p w:rsidR="00893675" w:rsidRPr="00394CEC" w:rsidRDefault="00893675" w:rsidP="009D54F0">
      <w:pPr>
        <w:ind w:left="1134" w:hanging="567"/>
      </w:pPr>
    </w:p>
    <w:p w:rsidR="00893675" w:rsidRPr="00394CEC" w:rsidRDefault="00893675" w:rsidP="009D54F0">
      <w:pPr>
        <w:ind w:left="1134" w:hanging="567"/>
      </w:pPr>
      <w:r w:rsidRPr="00394CEC">
        <w:t>d)</w:t>
      </w:r>
      <w:r w:rsidRPr="00394CEC">
        <w:tab/>
        <w:t>Programmet Grundtvig, i vilket man skall möta behoven inom undervisning och lärande hos dem som deltar i alla former av vuxenutbildning samt de inrättningar och organisationer som tillhandahåller eller främjar sådan utbildning.</w:t>
      </w:r>
    </w:p>
    <w:p w:rsidR="00893675" w:rsidRPr="00394CEC" w:rsidRDefault="00893675" w:rsidP="00893675"/>
    <w:p w:rsidR="00893675" w:rsidRPr="00394CEC" w:rsidRDefault="00893675" w:rsidP="00893675">
      <w:r w:rsidRPr="00394CEC">
        <w:t>2.</w:t>
      </w:r>
      <w:r w:rsidRPr="00394CEC">
        <w:tab/>
        <w:t>Det övergripande programmet skall omfatta följande fyra centrala verksamhetsområden:</w:t>
      </w:r>
    </w:p>
    <w:p w:rsidR="00893675" w:rsidRPr="00394CEC" w:rsidRDefault="00893675" w:rsidP="00893675"/>
    <w:p w:rsidR="00893675" w:rsidRPr="00394CEC" w:rsidRDefault="00893675" w:rsidP="009D54F0">
      <w:pPr>
        <w:ind w:left="567"/>
      </w:pPr>
      <w:r w:rsidRPr="00394CEC">
        <w:t>a)</w:t>
      </w:r>
      <w:r w:rsidRPr="00394CEC">
        <w:tab/>
        <w:t>Policysamarbete och innovation</w:t>
      </w:r>
      <w:r w:rsidRPr="00394CEC">
        <w:rPr>
          <w:b/>
        </w:rPr>
        <w:t xml:space="preserve"> </w:t>
      </w:r>
      <w:r w:rsidRPr="00394CEC">
        <w:t>för livslångt lärande.</w:t>
      </w:r>
    </w:p>
    <w:p w:rsidR="00893675" w:rsidRPr="00394CEC" w:rsidRDefault="00893675" w:rsidP="009D54F0">
      <w:pPr>
        <w:ind w:left="567"/>
      </w:pPr>
    </w:p>
    <w:p w:rsidR="00893675" w:rsidRPr="00394CEC" w:rsidRDefault="00893675" w:rsidP="009D54F0">
      <w:pPr>
        <w:ind w:left="567"/>
      </w:pPr>
      <w:r w:rsidRPr="00394CEC">
        <w:t>b)</w:t>
      </w:r>
      <w:r w:rsidRPr="00394CEC">
        <w:tab/>
        <w:t>Främjande av språkinlärning.</w:t>
      </w:r>
    </w:p>
    <w:p w:rsidR="00893675" w:rsidRPr="00394CEC" w:rsidRDefault="00893675" w:rsidP="009D54F0">
      <w:pPr>
        <w:ind w:left="567"/>
      </w:pPr>
    </w:p>
    <w:p w:rsidR="00893675" w:rsidRPr="00394CEC" w:rsidRDefault="00893675" w:rsidP="009D54F0">
      <w:pPr>
        <w:ind w:left="1134" w:hanging="567"/>
      </w:pPr>
      <w:r w:rsidRPr="00394CEC">
        <w:t>c)</w:t>
      </w:r>
      <w:r w:rsidRPr="00394CEC">
        <w:tab/>
        <w:t>Utarbetande av nyskapande innehåll, tjänster, undervisningsmetoder och rutiner för livslångt lärande som bygger på IKT.</w:t>
      </w:r>
    </w:p>
    <w:p w:rsidR="00893675" w:rsidRPr="00394CEC" w:rsidRDefault="00893675" w:rsidP="00893675"/>
    <w:p w:rsidR="00893675" w:rsidRPr="00394CEC" w:rsidRDefault="00893675" w:rsidP="003044AB">
      <w:pPr>
        <w:ind w:left="1134" w:hanging="567"/>
      </w:pPr>
      <w:r w:rsidRPr="00394CEC">
        <w:br w:type="page"/>
        <w:t>d)</w:t>
      </w:r>
      <w:r w:rsidRPr="00394CEC">
        <w:tab/>
        <w:t>Spridning och utnyttjande av resultat från insatser som fått bidrag ur programmet och tidigare liknande program samt utbyte av god praxis.</w:t>
      </w:r>
    </w:p>
    <w:p w:rsidR="00893675" w:rsidRPr="00394CEC" w:rsidRDefault="00893675" w:rsidP="00893675"/>
    <w:p w:rsidR="00893675" w:rsidRPr="00394CEC" w:rsidRDefault="00893675" w:rsidP="003044AB">
      <w:pPr>
        <w:ind w:left="567" w:hanging="567"/>
      </w:pPr>
      <w:r w:rsidRPr="00394CEC">
        <w:t>3.</w:t>
      </w:r>
      <w:r w:rsidRPr="00394CEC">
        <w:tab/>
        <w:t>Programmet Jean Monnet skall stödja institut och verksamhet inom europeisk integration. Programmet skall omfatta följande tre centrala verksamheter:</w:t>
      </w:r>
    </w:p>
    <w:p w:rsidR="00893675" w:rsidRPr="00394CEC" w:rsidRDefault="00893675" w:rsidP="00893675"/>
    <w:p w:rsidR="00893675" w:rsidRPr="00394CEC" w:rsidRDefault="00893675" w:rsidP="003044AB">
      <w:pPr>
        <w:ind w:left="1134" w:hanging="567"/>
      </w:pPr>
      <w:r w:rsidRPr="00394CEC">
        <w:t>a)</w:t>
      </w:r>
      <w:r w:rsidRPr="00394CEC">
        <w:tab/>
        <w:t>Jean Monnet</w:t>
      </w:r>
      <w:r w:rsidRPr="00394CEC">
        <w:noBreakHyphen/>
        <w:t>insatsen.</w:t>
      </w:r>
    </w:p>
    <w:p w:rsidR="00893675" w:rsidRPr="00394CEC" w:rsidRDefault="00893675" w:rsidP="003044AB">
      <w:pPr>
        <w:ind w:left="1134" w:hanging="567"/>
      </w:pPr>
    </w:p>
    <w:p w:rsidR="00893675" w:rsidRPr="00394CEC" w:rsidRDefault="00893675" w:rsidP="003044AB">
      <w:pPr>
        <w:ind w:left="1134" w:hanging="567"/>
      </w:pPr>
      <w:r w:rsidRPr="00394CEC">
        <w:t>b)</w:t>
      </w:r>
      <w:r w:rsidRPr="00394CEC">
        <w:tab/>
        <w:t>Administrationsbidrag till namngivna institut som sysslar med frågor som rör europeisk integration.</w:t>
      </w:r>
    </w:p>
    <w:p w:rsidR="00893675" w:rsidRPr="00394CEC" w:rsidRDefault="00893675" w:rsidP="003044AB">
      <w:pPr>
        <w:ind w:left="1134" w:hanging="567"/>
      </w:pPr>
    </w:p>
    <w:p w:rsidR="00893675" w:rsidRPr="00394CEC" w:rsidRDefault="00893675" w:rsidP="003044AB">
      <w:pPr>
        <w:ind w:left="1134" w:hanging="567"/>
      </w:pPr>
      <w:r w:rsidRPr="00394CEC">
        <w:t>c)</w:t>
      </w:r>
      <w:r w:rsidRPr="00394CEC">
        <w:tab/>
        <w:t>Administrationsbidrag till andra europeiska institut och sammanslutningar inom allmän och yrkesinriktad utbildning.</w:t>
      </w:r>
    </w:p>
    <w:p w:rsidR="00893675" w:rsidRPr="00394CEC" w:rsidRDefault="00893675" w:rsidP="00893675"/>
    <w:p w:rsidR="00893675" w:rsidRPr="00394CEC" w:rsidRDefault="00893675" w:rsidP="003044AB">
      <w:pPr>
        <w:jc w:val="center"/>
        <w:rPr>
          <w:i/>
        </w:rPr>
      </w:pPr>
      <w:r w:rsidRPr="00394CEC">
        <w:rPr>
          <w:i/>
        </w:rPr>
        <w:t>Artikel 4</w:t>
      </w:r>
      <w:r w:rsidRPr="00394CEC">
        <w:rPr>
          <w:i/>
        </w:rPr>
        <w:br/>
      </w:r>
      <w:r w:rsidRPr="00394CEC">
        <w:t>Tillträde till programmet för livslångt lärande</w:t>
      </w:r>
    </w:p>
    <w:p w:rsidR="00893675" w:rsidRPr="00394CEC" w:rsidRDefault="00893675" w:rsidP="00893675"/>
    <w:p w:rsidR="00893675" w:rsidRPr="00394CEC" w:rsidRDefault="00893675" w:rsidP="00893675">
      <w:r w:rsidRPr="00394CEC">
        <w:t>Programmet för livslångt lärande riktar sig följande grupper:</w:t>
      </w:r>
    </w:p>
    <w:p w:rsidR="00893675" w:rsidRPr="00394CEC" w:rsidRDefault="00893675" w:rsidP="00893675"/>
    <w:p w:rsidR="00893675" w:rsidRPr="00394CEC" w:rsidRDefault="00893675" w:rsidP="00893675">
      <w:r w:rsidRPr="00394CEC">
        <w:t>a)</w:t>
      </w:r>
      <w:r w:rsidRPr="00394CEC">
        <w:tab/>
        <w:t>Elever, studenter, praktikanter och vuxna inlärare.</w:t>
      </w:r>
    </w:p>
    <w:p w:rsidR="00893675" w:rsidRPr="00394CEC" w:rsidRDefault="00893675" w:rsidP="00893675"/>
    <w:p w:rsidR="00893675" w:rsidRPr="00394CEC" w:rsidRDefault="00893675" w:rsidP="00893675">
      <w:r w:rsidRPr="00394CEC">
        <w:t>b)</w:t>
      </w:r>
      <w:r w:rsidRPr="00394CEC">
        <w:tab/>
        <w:t>Lärare, utbildare och annan personal som arbetar med livslångt lärande ur någon aspekt.</w:t>
      </w:r>
    </w:p>
    <w:p w:rsidR="00893675" w:rsidRPr="00394CEC" w:rsidRDefault="00893675" w:rsidP="00893675"/>
    <w:p w:rsidR="00893675" w:rsidRPr="00394CEC" w:rsidRDefault="00893675" w:rsidP="00893675">
      <w:r w:rsidRPr="00394CEC">
        <w:t>c)</w:t>
      </w:r>
      <w:r w:rsidRPr="00394CEC">
        <w:tab/>
        <w:t>Personer på arbetsmarknaden.</w:t>
      </w:r>
    </w:p>
    <w:p w:rsidR="00893675" w:rsidRPr="00394CEC" w:rsidRDefault="00893675" w:rsidP="00893675"/>
    <w:p w:rsidR="00893675" w:rsidRPr="00394CEC" w:rsidRDefault="00893675" w:rsidP="003044AB">
      <w:pPr>
        <w:ind w:left="567" w:hanging="567"/>
      </w:pPr>
      <w:r w:rsidRPr="00394CEC">
        <w:t>d)</w:t>
      </w:r>
      <w:r w:rsidRPr="00394CEC">
        <w:tab/>
        <w:t>Institut och organisationer som erbjuder möjligheter till lärande inom</w:t>
      </w:r>
      <w:r w:rsidRPr="00394CEC">
        <w:rPr>
          <w:b/>
        </w:rPr>
        <w:t xml:space="preserve"> </w:t>
      </w:r>
      <w:r w:rsidRPr="00394CEC">
        <w:t>programmet</w:t>
      </w:r>
      <w:r w:rsidRPr="00394CEC">
        <w:rPr>
          <w:b/>
        </w:rPr>
        <w:t xml:space="preserve"> </w:t>
      </w:r>
      <w:r w:rsidRPr="00394CEC">
        <w:t>för livslångt lärande eller inom ramen för dess delprogram.</w:t>
      </w:r>
    </w:p>
    <w:p w:rsidR="00893675" w:rsidRPr="00394CEC" w:rsidRDefault="00893675" w:rsidP="00893675"/>
    <w:p w:rsidR="00893675" w:rsidRPr="00394CEC" w:rsidRDefault="00893675" w:rsidP="003044AB">
      <w:pPr>
        <w:ind w:left="567" w:hanging="567"/>
      </w:pPr>
      <w:r w:rsidRPr="00394CEC">
        <w:br w:type="page"/>
        <w:t>e)</w:t>
      </w:r>
      <w:r w:rsidRPr="00394CEC">
        <w:tab/>
        <w:t>Personer och organ som ansvarar för system och policy vad gäller livslångt lärande ur någon aspekt på lokal, regional och nationell nivå.</w:t>
      </w:r>
    </w:p>
    <w:p w:rsidR="00893675" w:rsidRPr="00394CEC" w:rsidRDefault="00893675" w:rsidP="003044AB">
      <w:pPr>
        <w:ind w:left="567" w:hanging="567"/>
      </w:pPr>
    </w:p>
    <w:p w:rsidR="00893675" w:rsidRPr="00394CEC" w:rsidRDefault="00893675" w:rsidP="003044AB">
      <w:pPr>
        <w:ind w:left="567" w:hanging="567"/>
      </w:pPr>
      <w:r w:rsidRPr="00394CEC">
        <w:t>f)</w:t>
      </w:r>
      <w:r w:rsidRPr="00394CEC">
        <w:tab/>
        <w:t>Företag, arbetsmarknadens parter och deras organisationer på alla nivåer, inbegripet handelsorganisationer och handels</w:t>
      </w:r>
      <w:r w:rsidRPr="00394CEC">
        <w:noBreakHyphen/>
        <w:t xml:space="preserve"> och industrikammare.</w:t>
      </w:r>
    </w:p>
    <w:p w:rsidR="00893675" w:rsidRPr="00394CEC" w:rsidRDefault="00893675" w:rsidP="003044AB">
      <w:pPr>
        <w:ind w:left="567" w:hanging="567"/>
      </w:pPr>
    </w:p>
    <w:p w:rsidR="00893675" w:rsidRPr="00394CEC" w:rsidRDefault="00893675" w:rsidP="003044AB">
      <w:pPr>
        <w:ind w:left="567" w:hanging="567"/>
      </w:pPr>
      <w:r w:rsidRPr="00394CEC">
        <w:t>g)</w:t>
      </w:r>
      <w:r w:rsidRPr="00394CEC">
        <w:tab/>
        <w:t>Organ som tillhandahåller vägledning, rådgivning och information inom alla aspekter av livslångt lärande.</w:t>
      </w:r>
    </w:p>
    <w:p w:rsidR="00893675" w:rsidRPr="00394CEC" w:rsidRDefault="00893675" w:rsidP="003044AB">
      <w:pPr>
        <w:ind w:left="567" w:hanging="567"/>
      </w:pPr>
    </w:p>
    <w:p w:rsidR="00893675" w:rsidRPr="00394CEC" w:rsidRDefault="00893675" w:rsidP="003044AB">
      <w:pPr>
        <w:ind w:left="567" w:hanging="567"/>
      </w:pPr>
      <w:r w:rsidRPr="00394CEC">
        <w:t>h)</w:t>
      </w:r>
      <w:r w:rsidRPr="00394CEC">
        <w:tab/>
        <w:t>Sammanslutningar som arbetar med livslångt lärande, inbegripet sammanslutningar för studenter, praktikanter, elever, lärare, föräldrar och vuxna inlärare.</w:t>
      </w:r>
    </w:p>
    <w:p w:rsidR="00893675" w:rsidRPr="00394CEC" w:rsidRDefault="00893675" w:rsidP="00893675"/>
    <w:p w:rsidR="00893675" w:rsidRPr="00394CEC" w:rsidRDefault="00893675" w:rsidP="00893675">
      <w:r w:rsidRPr="00394CEC">
        <w:t>i)</w:t>
      </w:r>
      <w:r w:rsidRPr="00394CEC">
        <w:tab/>
        <w:t>Forskningscentrum och forskningsorgan som sysslar med frågor som rör livslångt lärande.</w:t>
      </w:r>
    </w:p>
    <w:p w:rsidR="00893675" w:rsidRPr="00394CEC" w:rsidRDefault="00893675" w:rsidP="00893675"/>
    <w:p w:rsidR="00893675" w:rsidRPr="00394CEC" w:rsidRDefault="00893675" w:rsidP="00893675">
      <w:r w:rsidRPr="00394CEC">
        <w:t>j)</w:t>
      </w:r>
      <w:r w:rsidRPr="00394CEC">
        <w:tab/>
        <w:t>Ideella organisationer, frivilliga organisationer och icke</w:t>
      </w:r>
      <w:r w:rsidRPr="00394CEC">
        <w:noBreakHyphen/>
        <w:t>statliga organisationer.</w:t>
      </w:r>
    </w:p>
    <w:p w:rsidR="00893675" w:rsidRPr="00394CEC" w:rsidRDefault="00893675" w:rsidP="00893675"/>
    <w:p w:rsidR="00893675" w:rsidRPr="00394CEC" w:rsidRDefault="00893675" w:rsidP="003044AB">
      <w:pPr>
        <w:jc w:val="center"/>
        <w:rPr>
          <w:i/>
        </w:rPr>
      </w:pPr>
      <w:r w:rsidRPr="00394CEC">
        <w:rPr>
          <w:i/>
        </w:rPr>
        <w:t>Artikel 5</w:t>
      </w:r>
      <w:r w:rsidRPr="00394CEC">
        <w:rPr>
          <w:i/>
        </w:rPr>
        <w:br/>
      </w:r>
      <w:r w:rsidRPr="00394CEC">
        <w:t>Gemenskapens insatser</w:t>
      </w:r>
    </w:p>
    <w:p w:rsidR="00893675" w:rsidRPr="00394CEC" w:rsidRDefault="00893675" w:rsidP="00893675"/>
    <w:p w:rsidR="00893675" w:rsidRPr="00394CEC" w:rsidRDefault="00893675" w:rsidP="00893675">
      <w:r w:rsidRPr="00394CEC">
        <w:t>1.</w:t>
      </w:r>
      <w:r w:rsidRPr="00394CEC">
        <w:tab/>
        <w:t>Programmet för livslångt lärande skall omfatta bidrag till följande insatser:</w:t>
      </w:r>
    </w:p>
    <w:p w:rsidR="00893675" w:rsidRPr="00394CEC" w:rsidRDefault="00893675" w:rsidP="00893675"/>
    <w:p w:rsidR="00893675" w:rsidRPr="00394CEC" w:rsidRDefault="00893675" w:rsidP="003044AB">
      <w:pPr>
        <w:ind w:left="567"/>
      </w:pPr>
      <w:r w:rsidRPr="00394CEC">
        <w:t>a)</w:t>
      </w:r>
      <w:r w:rsidRPr="00394CEC">
        <w:tab/>
        <w:t>Rörlighet för personer som deltar i livslångt lärande.</w:t>
      </w:r>
    </w:p>
    <w:p w:rsidR="00893675" w:rsidRPr="00394CEC" w:rsidRDefault="00893675" w:rsidP="003044AB">
      <w:pPr>
        <w:ind w:left="567"/>
      </w:pPr>
    </w:p>
    <w:p w:rsidR="00893675" w:rsidRPr="00394CEC" w:rsidRDefault="00893675" w:rsidP="003044AB">
      <w:pPr>
        <w:ind w:left="567"/>
      </w:pPr>
      <w:r w:rsidRPr="00394CEC">
        <w:t>b)</w:t>
      </w:r>
      <w:r w:rsidRPr="00394CEC">
        <w:tab/>
        <w:t>Bilaterala och multilaterala partnerskap.</w:t>
      </w:r>
    </w:p>
    <w:p w:rsidR="00893675" w:rsidRPr="00394CEC" w:rsidRDefault="00893675" w:rsidP="003044AB">
      <w:pPr>
        <w:ind w:left="567"/>
      </w:pPr>
    </w:p>
    <w:p w:rsidR="00893675" w:rsidRPr="00394CEC" w:rsidRDefault="00893675" w:rsidP="003044AB">
      <w:pPr>
        <w:ind w:left="1134" w:hanging="567"/>
      </w:pPr>
      <w:r w:rsidRPr="00394CEC">
        <w:t>c)</w:t>
      </w:r>
      <w:r w:rsidRPr="00394CEC">
        <w:tab/>
        <w:t>Multilaterala projekt särskilt avsedda att främja</w:t>
      </w:r>
      <w:r w:rsidRPr="00394CEC">
        <w:rPr>
          <w:i/>
        </w:rPr>
        <w:t xml:space="preserve"> </w:t>
      </w:r>
      <w:r w:rsidRPr="00394CEC">
        <w:t>kvaliteten i utbildningssystemen genom överföring av innovationer över nationsgränserna.</w:t>
      </w:r>
    </w:p>
    <w:p w:rsidR="00893675" w:rsidRPr="00394CEC" w:rsidRDefault="00893675" w:rsidP="003044AB">
      <w:pPr>
        <w:ind w:left="567"/>
      </w:pPr>
    </w:p>
    <w:p w:rsidR="00893675" w:rsidRPr="00394CEC" w:rsidRDefault="00893675" w:rsidP="003044AB">
      <w:pPr>
        <w:ind w:left="567"/>
      </w:pPr>
      <w:r w:rsidRPr="00394CEC">
        <w:t>d)</w:t>
      </w:r>
      <w:r w:rsidRPr="00394CEC">
        <w:tab/>
        <w:t>Unilaterala och nationella projekt.</w:t>
      </w:r>
    </w:p>
    <w:p w:rsidR="00893675" w:rsidRPr="00394CEC" w:rsidRDefault="00893675" w:rsidP="00893675"/>
    <w:p w:rsidR="00893675" w:rsidRPr="00394CEC" w:rsidRDefault="00893675" w:rsidP="003044AB">
      <w:pPr>
        <w:ind w:left="1134" w:hanging="567"/>
      </w:pPr>
      <w:r w:rsidRPr="00394CEC">
        <w:br w:type="page"/>
        <w:t>e)</w:t>
      </w:r>
      <w:r w:rsidRPr="00394CEC">
        <w:tab/>
        <w:t>Multilaterala projekt och nätverk.</w:t>
      </w:r>
    </w:p>
    <w:p w:rsidR="00893675" w:rsidRPr="00394CEC" w:rsidRDefault="00893675" w:rsidP="003044AB">
      <w:pPr>
        <w:ind w:left="1134" w:hanging="567"/>
      </w:pPr>
    </w:p>
    <w:p w:rsidR="00893675" w:rsidRPr="00394CEC" w:rsidRDefault="00893675" w:rsidP="003044AB">
      <w:pPr>
        <w:ind w:left="1134" w:hanging="567"/>
      </w:pPr>
      <w:r w:rsidRPr="00394CEC">
        <w:t>f)</w:t>
      </w:r>
      <w:r w:rsidRPr="00394CEC">
        <w:tab/>
        <w:t>Iakttagelser och analys av policy och system för livslångt lärande, upprättande och fortlöpande förbättring av referensmaterial, inbegripet undersökningar, statistik, analyser och indikatorer, insatser för att stödja öppenhet och erkännande av kvalifikationer och tidigare lärande samt insatser för att stödja samarbete inom kvalitetssäkring.</w:t>
      </w:r>
    </w:p>
    <w:p w:rsidR="00893675" w:rsidRPr="00394CEC" w:rsidRDefault="00893675" w:rsidP="003044AB">
      <w:pPr>
        <w:ind w:left="1134" w:hanging="567"/>
      </w:pPr>
    </w:p>
    <w:p w:rsidR="00893675" w:rsidRPr="00394CEC" w:rsidRDefault="00893675" w:rsidP="003044AB">
      <w:pPr>
        <w:ind w:left="1134" w:hanging="567"/>
      </w:pPr>
      <w:r w:rsidRPr="00394CEC">
        <w:t>g)</w:t>
      </w:r>
      <w:r w:rsidRPr="00394CEC">
        <w:tab/>
        <w:t>Administrationsbidrag för vissa drifts</w:t>
      </w:r>
      <w:r w:rsidRPr="00394CEC">
        <w:noBreakHyphen/>
        <w:t xml:space="preserve"> och förvaltningskostnader till organisationer som är verksamma inom det område som omfattas av programmet för livslångt lärande.</w:t>
      </w:r>
    </w:p>
    <w:p w:rsidR="00893675" w:rsidRPr="00394CEC" w:rsidRDefault="00893675" w:rsidP="003044AB">
      <w:pPr>
        <w:ind w:left="1134" w:hanging="567"/>
      </w:pPr>
    </w:p>
    <w:p w:rsidR="00893675" w:rsidRPr="00394CEC" w:rsidRDefault="00893675" w:rsidP="003044AB">
      <w:pPr>
        <w:ind w:left="1134" w:hanging="567"/>
      </w:pPr>
      <w:r w:rsidRPr="00394CEC">
        <w:t>h)</w:t>
      </w:r>
      <w:r w:rsidRPr="00394CEC">
        <w:tab/>
        <w:t>Andra initiativ som syftar till att främja målen för programmet för livslångt lärande ("Kompletterande åtgärder").</w:t>
      </w:r>
    </w:p>
    <w:p w:rsidR="00893675" w:rsidRPr="00394CEC" w:rsidRDefault="00893675" w:rsidP="00893675"/>
    <w:p w:rsidR="00893675" w:rsidRPr="00394CEC" w:rsidRDefault="00893675" w:rsidP="003044AB">
      <w:pPr>
        <w:ind w:left="567" w:hanging="567"/>
        <w:rPr>
          <w:b/>
        </w:rPr>
      </w:pPr>
      <w:r w:rsidRPr="00394CEC">
        <w:t>2.</w:t>
      </w:r>
      <w:r w:rsidRPr="00394CEC">
        <w:tab/>
        <w:t>Bidrag från gemenskapen kan beviljas till förberedande besök inför någon av de insatser som anges i denna artikel.</w:t>
      </w:r>
    </w:p>
    <w:p w:rsidR="00893675" w:rsidRPr="00394CEC" w:rsidRDefault="00893675" w:rsidP="003044AB">
      <w:pPr>
        <w:ind w:left="567" w:hanging="567"/>
      </w:pPr>
    </w:p>
    <w:p w:rsidR="00893675" w:rsidRPr="00394CEC" w:rsidRDefault="00893675" w:rsidP="003044AB">
      <w:pPr>
        <w:ind w:left="567" w:hanging="567"/>
        <w:rPr>
          <w:b/>
        </w:rPr>
      </w:pPr>
      <w:r w:rsidRPr="00394CEC">
        <w:t>3.</w:t>
      </w:r>
      <w:r w:rsidRPr="00394CEC">
        <w:tab/>
        <w:t>Kommissionen kan anordna seminarier, symposier eller möten som kan underlätta genomförandet av programmet för livslångt lärande samt genomföra lämplig informations</w:t>
      </w:r>
      <w:r w:rsidRPr="00394CEC">
        <w:noBreakHyphen/>
        <w:t>, publikations</w:t>
      </w:r>
      <w:r w:rsidRPr="00394CEC">
        <w:noBreakHyphen/>
        <w:t xml:space="preserve"> och spridningsverksamhet och åtgärder för att öka medvetenheten om programmet samt övervakning och utvärdering av programmet.</w:t>
      </w:r>
    </w:p>
    <w:p w:rsidR="00893675" w:rsidRPr="00394CEC" w:rsidRDefault="00893675" w:rsidP="003044AB">
      <w:pPr>
        <w:ind w:left="567" w:hanging="567"/>
      </w:pPr>
    </w:p>
    <w:p w:rsidR="00893675" w:rsidRPr="00394CEC" w:rsidRDefault="00893675" w:rsidP="003044AB">
      <w:pPr>
        <w:ind w:left="567" w:hanging="567"/>
      </w:pPr>
      <w:r w:rsidRPr="00394CEC">
        <w:t>4.</w:t>
      </w:r>
      <w:r w:rsidRPr="00394CEC">
        <w:tab/>
        <w:t>De insatser som omnämns i denna artikel får genomföras via inbjudningar att lämna förslag, anbudsförfaranden eller direkt av kommissionen.</w:t>
      </w:r>
    </w:p>
    <w:p w:rsidR="00893675" w:rsidRPr="00394CEC" w:rsidRDefault="00893675" w:rsidP="00893675">
      <w:pPr>
        <w:rPr>
          <w:b/>
        </w:rPr>
      </w:pPr>
    </w:p>
    <w:p w:rsidR="00893675" w:rsidRPr="00394CEC" w:rsidRDefault="00893675" w:rsidP="003044AB">
      <w:pPr>
        <w:jc w:val="center"/>
        <w:rPr>
          <w:i/>
        </w:rPr>
      </w:pPr>
      <w:bookmarkStart w:id="27" w:name="Art5"/>
      <w:bookmarkEnd w:id="27"/>
      <w:r w:rsidRPr="00394CEC">
        <w:rPr>
          <w:i/>
        </w:rPr>
        <w:t>Artikel 6</w:t>
      </w:r>
      <w:r w:rsidRPr="00394CEC">
        <w:rPr>
          <w:i/>
        </w:rPr>
        <w:br/>
      </w:r>
      <w:r w:rsidRPr="00394CEC">
        <w:t>Kommissionens och medlemsstaternas uppgifter</w:t>
      </w:r>
    </w:p>
    <w:p w:rsidR="00893675" w:rsidRPr="00394CEC" w:rsidRDefault="00893675" w:rsidP="00893675"/>
    <w:p w:rsidR="00893675" w:rsidRPr="00394CEC" w:rsidRDefault="00893675" w:rsidP="003044AB">
      <w:pPr>
        <w:ind w:left="567" w:hanging="567"/>
        <w:rPr>
          <w:b/>
        </w:rPr>
      </w:pPr>
      <w:r w:rsidRPr="00394CEC">
        <w:t>1.</w:t>
      </w:r>
      <w:r w:rsidRPr="00394CEC">
        <w:tab/>
        <w:t>Kommissionen skall garantera ett effektivt</w:t>
      </w:r>
      <w:r w:rsidRPr="00394CEC">
        <w:rPr>
          <w:b/>
        </w:rPr>
        <w:t xml:space="preserve"> </w:t>
      </w:r>
      <w:r w:rsidRPr="00394CEC">
        <w:t>och ändamålsenligt genomförande av de gemenskapsinsatser som ingår i programmet för livslångt lärande.</w:t>
      </w:r>
    </w:p>
    <w:p w:rsidR="00893675" w:rsidRPr="00394CEC" w:rsidRDefault="00893675" w:rsidP="00893675"/>
    <w:p w:rsidR="00893675" w:rsidRPr="00394CEC" w:rsidRDefault="00893675" w:rsidP="00893675">
      <w:r w:rsidRPr="00394CEC">
        <w:br w:type="page"/>
        <w:t>2.</w:t>
      </w:r>
      <w:r w:rsidRPr="00394CEC">
        <w:tab/>
        <w:t>Medlemsstaterna skall göra följande:</w:t>
      </w:r>
    </w:p>
    <w:p w:rsidR="00893675" w:rsidRPr="00394CEC" w:rsidRDefault="00893675" w:rsidP="00893675"/>
    <w:p w:rsidR="00893675" w:rsidRPr="00394CEC" w:rsidRDefault="00893675" w:rsidP="003044AB">
      <w:pPr>
        <w:ind w:left="1134" w:hanging="567"/>
      </w:pPr>
      <w:r w:rsidRPr="00394CEC">
        <w:t>a)</w:t>
      </w:r>
      <w:r w:rsidRPr="00394CEC">
        <w:tab/>
        <w:t>Vidta de åtgärder som är nödvändiga för ett effektivt genomförande av programmet för livslångt lärande på medlemsstatsnivå och engagera alla parter som berörs av någon aspekt av livslångt lärande i enlighet med nationell praxis eller lagstiftning.</w:t>
      </w:r>
    </w:p>
    <w:p w:rsidR="00893675" w:rsidRPr="00394CEC" w:rsidRDefault="00893675" w:rsidP="003044AB">
      <w:pPr>
        <w:ind w:left="1134" w:hanging="567"/>
      </w:pPr>
    </w:p>
    <w:p w:rsidR="00893675" w:rsidRPr="00394CEC" w:rsidRDefault="00893675" w:rsidP="003044AB">
      <w:pPr>
        <w:ind w:left="1134" w:hanging="567"/>
      </w:pPr>
      <w:r w:rsidRPr="00394CEC">
        <w:t>b)</w:t>
      </w:r>
      <w:r w:rsidRPr="00394CEC">
        <w:tab/>
        <w:t>Inrätta eller utse och övervaka en lämplig struktur för samordnad ledning av genomförandet av insatserna på medlemsstatsnivå inom programmet för livslångt lärande (nationella programkontor), inbegripet budgetförvaltning, i enlighet med föreskrifterna i artikel 54.2 c i rådets förordning (EG, Euratom) nr 1605/2002</w:t>
      </w:r>
      <w:r w:rsidRPr="00394CEC">
        <w:rPr>
          <w:rStyle w:val="Fotnotsreferens"/>
        </w:rPr>
        <w:footnoteReference w:id="24"/>
      </w:r>
      <w:r w:rsidRPr="00394CEC">
        <w:t xml:space="preserve"> och artikel 38 i kommissionens förordning (EG, Euratom) nr 2342/2002</w:t>
      </w:r>
      <w:r w:rsidRPr="00394CEC">
        <w:rPr>
          <w:rStyle w:val="Fotnotsreferens"/>
        </w:rPr>
        <w:footnoteReference w:id="25"/>
      </w:r>
      <w:r w:rsidRPr="00394CEC">
        <w:t>, i enlighet med följande kriterier:</w:t>
      </w:r>
    </w:p>
    <w:p w:rsidR="00893675" w:rsidRPr="00394CEC" w:rsidRDefault="00893675" w:rsidP="003044AB">
      <w:pPr>
        <w:ind w:left="1134" w:hanging="567"/>
      </w:pPr>
    </w:p>
    <w:p w:rsidR="00893675" w:rsidRPr="00394CEC" w:rsidRDefault="00893675" w:rsidP="003044AB">
      <w:pPr>
        <w:ind w:left="1701" w:hanging="567"/>
      </w:pPr>
      <w:r w:rsidRPr="00394CEC">
        <w:t>i)</w:t>
      </w:r>
      <w:r w:rsidRPr="00394CEC">
        <w:tab/>
        <w:t>En organisation som inrättas eller utses till nationellt programkontor skall vara en juridisk person eller vara en del av ett organ som är en juridisk person</w:t>
      </w:r>
      <w:r w:rsidRPr="00394CEC">
        <w:rPr>
          <w:b/>
        </w:rPr>
        <w:t xml:space="preserve"> </w:t>
      </w:r>
      <w:r w:rsidRPr="00394CEC">
        <w:t>och omfattas av den berörda medlemsstatens lagstiftning. Ett ministerium får inte utses till nationellt programkontor.</w:t>
      </w:r>
    </w:p>
    <w:p w:rsidR="00893675" w:rsidRPr="00394CEC" w:rsidRDefault="00893675" w:rsidP="003044AB">
      <w:pPr>
        <w:ind w:left="1701" w:hanging="567"/>
      </w:pPr>
    </w:p>
    <w:p w:rsidR="00893675" w:rsidRPr="00394CEC" w:rsidRDefault="00893675" w:rsidP="003044AB">
      <w:pPr>
        <w:ind w:left="1701" w:hanging="567"/>
      </w:pPr>
      <w:r w:rsidRPr="00394CEC">
        <w:t>ii)</w:t>
      </w:r>
      <w:r w:rsidRPr="00394CEC">
        <w:tab/>
        <w:t>Varje</w:t>
      </w:r>
      <w:r w:rsidRPr="00394CEC">
        <w:rPr>
          <w:b/>
        </w:rPr>
        <w:t xml:space="preserve"> </w:t>
      </w:r>
      <w:r w:rsidRPr="00394CEC">
        <w:t>nationellt programkontor måste ha en tillräcklig personalstyrka för att kunna utföra sina uppgifter, med yrkes</w:t>
      </w:r>
      <w:r w:rsidRPr="00394CEC">
        <w:noBreakHyphen/>
        <w:t xml:space="preserve"> och språkkunskaper som är lämpliga för internationellt samarbete inom utbildning.</w:t>
      </w:r>
    </w:p>
    <w:p w:rsidR="00893675" w:rsidRPr="00394CEC" w:rsidRDefault="00893675" w:rsidP="003044AB">
      <w:pPr>
        <w:ind w:left="1701" w:hanging="567"/>
      </w:pPr>
    </w:p>
    <w:p w:rsidR="00893675" w:rsidRPr="00394CEC" w:rsidRDefault="00893675" w:rsidP="003044AB">
      <w:pPr>
        <w:ind w:left="1701" w:hanging="567"/>
      </w:pPr>
      <w:r w:rsidRPr="00394CEC">
        <w:t>iii)</w:t>
      </w:r>
      <w:r w:rsidRPr="00394CEC">
        <w:tab/>
        <w:t>Det måste ha en lämplig infrastruktur, särskilt vad gäller informationsteknik och kommunikation.</w:t>
      </w:r>
    </w:p>
    <w:p w:rsidR="00893675" w:rsidRPr="00394CEC" w:rsidRDefault="00893675" w:rsidP="003044AB">
      <w:pPr>
        <w:ind w:left="1701" w:hanging="567"/>
      </w:pPr>
    </w:p>
    <w:p w:rsidR="00893675" w:rsidRPr="00394CEC" w:rsidRDefault="00893675" w:rsidP="003044AB">
      <w:pPr>
        <w:ind w:left="1701" w:hanging="567"/>
      </w:pPr>
      <w:r w:rsidRPr="00394CEC">
        <w:t>iv)</w:t>
      </w:r>
      <w:r w:rsidRPr="00394CEC">
        <w:tab/>
        <w:t>Det måste fungera inom ett administrativt sammanhang som gör det möjligt för det</w:t>
      </w:r>
      <w:r w:rsidRPr="00394CEC">
        <w:rPr>
          <w:b/>
        </w:rPr>
        <w:t xml:space="preserve"> </w:t>
      </w:r>
      <w:r w:rsidRPr="00394CEC">
        <w:t>att utföra uppgifterna på ett tillfredsställande sätt och undvika intressekonflikter.</w:t>
      </w:r>
    </w:p>
    <w:p w:rsidR="00893675" w:rsidRPr="00394CEC" w:rsidRDefault="00893675" w:rsidP="00893675"/>
    <w:p w:rsidR="00893675" w:rsidRPr="00394CEC" w:rsidRDefault="00893675" w:rsidP="003044AB">
      <w:pPr>
        <w:ind w:left="1701" w:hanging="567"/>
      </w:pPr>
      <w:r w:rsidRPr="00394CEC">
        <w:br w:type="page"/>
        <w:t>v)</w:t>
      </w:r>
      <w:r w:rsidRPr="00394CEC">
        <w:tab/>
        <w:t>Det måste kunna tillämpa de bestämmelser om ekonomisk förvaltning och de avtalsbestämmelser som fastställs på gemenskapsnivå.</w:t>
      </w:r>
    </w:p>
    <w:p w:rsidR="00893675" w:rsidRPr="00394CEC" w:rsidRDefault="00893675" w:rsidP="003044AB">
      <w:pPr>
        <w:ind w:left="1701" w:hanging="567"/>
      </w:pPr>
    </w:p>
    <w:p w:rsidR="00893675" w:rsidRPr="00394CEC" w:rsidRDefault="00893675" w:rsidP="003044AB">
      <w:pPr>
        <w:ind w:left="1701" w:hanging="567"/>
      </w:pPr>
      <w:r w:rsidRPr="00394CEC">
        <w:t>vi)</w:t>
      </w:r>
      <w:r w:rsidRPr="00394CEC">
        <w:tab/>
        <w:t>Det måste erbjuda lämpliga finansiella garantier, helst utfärdade av en offentlig myndighet, och dess förvaltningsförmåga måste stämma överens med nivån på de gemenskapsmedel som det</w:t>
      </w:r>
      <w:r w:rsidRPr="00394CEC">
        <w:rPr>
          <w:b/>
        </w:rPr>
        <w:t xml:space="preserve"> </w:t>
      </w:r>
      <w:r w:rsidRPr="00394CEC">
        <w:t>får i uppdrag att förvalta.</w:t>
      </w:r>
    </w:p>
    <w:p w:rsidR="00893675" w:rsidRPr="00394CEC" w:rsidRDefault="00893675" w:rsidP="00893675"/>
    <w:p w:rsidR="00893675" w:rsidRPr="00394CEC" w:rsidRDefault="00893675" w:rsidP="003044AB">
      <w:pPr>
        <w:ind w:left="1134" w:hanging="567"/>
      </w:pPr>
      <w:r w:rsidRPr="00394CEC">
        <w:t>c)</w:t>
      </w:r>
      <w:r w:rsidRPr="00394CEC">
        <w:tab/>
        <w:t>Ansvara för att de nationella programkontor som avses i led b på ett korrekt sätt förvaltar de anslag som överförs till de nationella programkontoren för att stödja projekt, och särskilt för att de nationella programkontoren efterlever principerna om öppenhet och likabehandling och undviker dubbel finansiering ur andra gemenskapskällor samt övervakar projekt och återkräver alla medel som bidragsmottagarna är skyldiga att återbetala.</w:t>
      </w:r>
    </w:p>
    <w:p w:rsidR="00893675" w:rsidRPr="00394CEC" w:rsidRDefault="00893675" w:rsidP="003044AB">
      <w:pPr>
        <w:ind w:left="1134" w:hanging="567"/>
      </w:pPr>
    </w:p>
    <w:p w:rsidR="00893675" w:rsidRPr="00394CEC" w:rsidRDefault="00893675" w:rsidP="003044AB">
      <w:pPr>
        <w:ind w:left="1134" w:hanging="567"/>
      </w:pPr>
      <w:r w:rsidRPr="00394CEC">
        <w:t>d)</w:t>
      </w:r>
      <w:r w:rsidRPr="00394CEC">
        <w:tab/>
        <w:t>Vidta nödvändiga åtgärder för att säkerställa lämplig revision och finansiell övervakning av de nationella programkontor som avses i led b, i synnerhet följande åtgärder:</w:t>
      </w:r>
    </w:p>
    <w:p w:rsidR="00893675" w:rsidRPr="00394CEC" w:rsidRDefault="00893675" w:rsidP="00893675"/>
    <w:p w:rsidR="00893675" w:rsidRPr="00394CEC" w:rsidRDefault="00893675" w:rsidP="003044AB">
      <w:pPr>
        <w:ind w:left="1701" w:hanging="567"/>
      </w:pPr>
      <w:r w:rsidRPr="00394CEC">
        <w:t>i)</w:t>
      </w:r>
      <w:r w:rsidRPr="00394CEC">
        <w:tab/>
        <w:t>Innan det nationella programkontoret påbörjar sitt arbete skall de, i överensstämmelse med reglerna för en sund ekonomisk förvaltning, ge kommissionen nödvändiga försäkringar om att det finns lämpliga och väl fungerande förfaranden, kontrollsystem, räkenskapssystem och tillvägagångssätt för anbudsförfaranden och bidragsbeviljande vid det nationella programkontoret.</w:t>
      </w:r>
    </w:p>
    <w:p w:rsidR="00893675" w:rsidRPr="00394CEC" w:rsidRDefault="00893675" w:rsidP="003044AB">
      <w:pPr>
        <w:ind w:left="1701" w:hanging="567"/>
      </w:pPr>
    </w:p>
    <w:p w:rsidR="00893675" w:rsidRPr="00394CEC" w:rsidRDefault="00893675" w:rsidP="003044AB">
      <w:pPr>
        <w:ind w:left="1701" w:hanging="567"/>
      </w:pPr>
      <w:r w:rsidRPr="00394CEC">
        <w:t>ii)</w:t>
      </w:r>
      <w:r w:rsidRPr="00394CEC">
        <w:tab/>
        <w:t>Varje år skall de till kommissionen lämna en försäkran om att de finansiella systemen och förfarandena vid de nationella programkontoren är tillförlitliga och att deras räkenskaper stämmer.</w:t>
      </w:r>
    </w:p>
    <w:p w:rsidR="00893675" w:rsidRPr="00394CEC" w:rsidRDefault="00893675" w:rsidP="00893675"/>
    <w:p w:rsidR="00893675" w:rsidRPr="00394CEC" w:rsidRDefault="00893675" w:rsidP="003044AB">
      <w:pPr>
        <w:ind w:left="1134" w:hanging="567"/>
        <w:rPr>
          <w:rStyle w:val="Fotnotsreferens"/>
        </w:rPr>
      </w:pPr>
      <w:r w:rsidRPr="00394CEC">
        <w:rPr>
          <w:b/>
        </w:rPr>
        <w:br w:type="page"/>
      </w:r>
      <w:r w:rsidRPr="00394CEC">
        <w:t>e)</w:t>
      </w:r>
      <w:r w:rsidRPr="00394CEC">
        <w:tab/>
        <w:t>Ansvara för de medel som inte återfås, om det förekommer oegentligheter, försummelser eller bedrägeri som kan tillskrivas en nationell struktur som inrättats eller utsetts enligt led b, och detta leder till krav från kommissionen mot det nationella programkontoret, vilka inte fullständigt återbetalas.</w:t>
      </w:r>
    </w:p>
    <w:p w:rsidR="00893675" w:rsidRPr="00394CEC" w:rsidRDefault="00893675" w:rsidP="003044AB">
      <w:pPr>
        <w:ind w:left="1134" w:hanging="567"/>
      </w:pPr>
    </w:p>
    <w:p w:rsidR="00893675" w:rsidRPr="00394CEC" w:rsidRDefault="00893675" w:rsidP="003044AB">
      <w:pPr>
        <w:ind w:left="1134" w:hanging="567"/>
      </w:pPr>
      <w:r w:rsidRPr="00394CEC">
        <w:t>f)</w:t>
      </w:r>
      <w:r w:rsidRPr="00394CEC">
        <w:tab/>
        <w:t>På kommissionens begäran utse de institutioner eller organisationer som erbjuder utbildningsmöjligheter eller de kategorier av sådana institutioner eller organisationer som kan delta i programmet för livslångt lärande på sina respektive territorier.</w:t>
      </w:r>
    </w:p>
    <w:p w:rsidR="00893675" w:rsidRPr="00394CEC" w:rsidRDefault="00893675" w:rsidP="003044AB">
      <w:pPr>
        <w:ind w:left="1134" w:hanging="567"/>
      </w:pPr>
    </w:p>
    <w:p w:rsidR="00893675" w:rsidRPr="00394CEC" w:rsidRDefault="00893675" w:rsidP="003044AB">
      <w:pPr>
        <w:ind w:left="1134" w:hanging="567"/>
      </w:pPr>
      <w:r w:rsidRPr="00394CEC">
        <w:t>g)</w:t>
      </w:r>
      <w:r w:rsidRPr="00394CEC">
        <w:tab/>
        <w:t>Sträva efter att vidta alla lämpliga åtgärder för att undanröja juridiska och administrativa hinder för att programmet för livslångt lärande skall fungera väl.</w:t>
      </w:r>
    </w:p>
    <w:p w:rsidR="00893675" w:rsidRPr="00394CEC" w:rsidRDefault="00893675" w:rsidP="003044AB">
      <w:pPr>
        <w:ind w:left="1134" w:hanging="567"/>
      </w:pPr>
    </w:p>
    <w:p w:rsidR="00893675" w:rsidRPr="00394CEC" w:rsidRDefault="00893675" w:rsidP="003044AB">
      <w:pPr>
        <w:ind w:left="1134" w:hanging="567"/>
      </w:pPr>
      <w:r w:rsidRPr="00394CEC">
        <w:t>h)</w:t>
      </w:r>
      <w:r w:rsidRPr="00394CEC">
        <w:tab/>
        <w:t>Vidta åtgärder för att se till att möjliga synergieffekter med övriga gemenskapsprogram och finansiella instrument samt med andra relevanta program i den berörda medlemsstaten förverkligas på medlemsstatsnivå.</w:t>
      </w:r>
    </w:p>
    <w:p w:rsidR="00893675" w:rsidRPr="00394CEC" w:rsidRDefault="00893675" w:rsidP="00893675"/>
    <w:p w:rsidR="00893675" w:rsidRPr="00394CEC" w:rsidRDefault="00893675" w:rsidP="00893675">
      <w:r w:rsidRPr="00394CEC">
        <w:t>3.</w:t>
      </w:r>
      <w:r w:rsidRPr="00394CEC">
        <w:tab/>
        <w:t>Kommissionen skall i samarbete med medlemsstaterna ansvara för</w:t>
      </w:r>
    </w:p>
    <w:p w:rsidR="00893675" w:rsidRPr="00394CEC" w:rsidRDefault="00893675" w:rsidP="00893675"/>
    <w:p w:rsidR="00893675" w:rsidRPr="00394CEC" w:rsidRDefault="00893675" w:rsidP="003044AB">
      <w:pPr>
        <w:ind w:left="1134" w:hanging="567"/>
      </w:pPr>
      <w:r w:rsidRPr="00394CEC">
        <w:t>a)</w:t>
      </w:r>
      <w:r w:rsidRPr="00394CEC">
        <w:tab/>
        <w:t>övergången mellan de insatser som genomförs inom ramen för de tidigare programmen inom allmän och yrkesinriktad utbildning samt livslångt lärande och de insatser som genomförs inom programmet för livslångt lärande,</w:t>
      </w:r>
    </w:p>
    <w:p w:rsidR="00893675" w:rsidRPr="00394CEC" w:rsidRDefault="00893675" w:rsidP="003044AB">
      <w:pPr>
        <w:ind w:left="1134" w:hanging="567"/>
      </w:pPr>
    </w:p>
    <w:p w:rsidR="00893675" w:rsidRPr="00394CEC" w:rsidRDefault="00893675" w:rsidP="003044AB">
      <w:pPr>
        <w:ind w:left="1134" w:hanging="567"/>
      </w:pPr>
      <w:r w:rsidRPr="00394CEC">
        <w:t>b)</w:t>
      </w:r>
      <w:r w:rsidRPr="00394CEC">
        <w:tab/>
        <w:t>ett fullgott skydd av gemenskapens ekonomiska intressen, i synnerhet genom att införa effektiva, proportionella och avskräckande åtgärder, administrativa kontroller och sanktioner,</w:t>
      </w:r>
    </w:p>
    <w:p w:rsidR="00893675" w:rsidRPr="00394CEC" w:rsidRDefault="00893675" w:rsidP="003044AB">
      <w:pPr>
        <w:ind w:left="1134" w:hanging="567"/>
      </w:pPr>
    </w:p>
    <w:p w:rsidR="00893675" w:rsidRPr="00394CEC" w:rsidRDefault="00893675" w:rsidP="003044AB">
      <w:pPr>
        <w:ind w:left="1134" w:hanging="567"/>
      </w:pPr>
      <w:r w:rsidRPr="00394CEC">
        <w:t>c)</w:t>
      </w:r>
      <w:r w:rsidRPr="00394CEC">
        <w:tab/>
        <w:t>lämplig information, reklam och uppföljning vad gäller insatser som får bidrag ur programmet för livslångt lärande,</w:t>
      </w:r>
    </w:p>
    <w:p w:rsidR="00893675" w:rsidRPr="00394CEC" w:rsidRDefault="00893675" w:rsidP="00893675"/>
    <w:p w:rsidR="00893675" w:rsidRPr="00394CEC" w:rsidRDefault="00893675" w:rsidP="003044AB">
      <w:pPr>
        <w:ind w:left="1134" w:hanging="567"/>
      </w:pPr>
      <w:r w:rsidRPr="00394CEC">
        <w:rPr>
          <w:b/>
        </w:rPr>
        <w:br w:type="page"/>
      </w:r>
      <w:r w:rsidRPr="00394CEC">
        <w:t>d)</w:t>
      </w:r>
      <w:r w:rsidRPr="00394CEC">
        <w:tab/>
        <w:t>den insamling, analys och behandling av tillgängliga data som krävs för att mäta programmets resultat och verkan samt övervaka och utvärdera den verksamhet som avses i artikel 16,</w:t>
      </w:r>
    </w:p>
    <w:p w:rsidR="00893675" w:rsidRPr="00394CEC" w:rsidRDefault="00893675" w:rsidP="003044AB">
      <w:pPr>
        <w:ind w:left="1134" w:hanging="567"/>
      </w:pPr>
    </w:p>
    <w:p w:rsidR="00893675" w:rsidRPr="00394CEC" w:rsidRDefault="00893675" w:rsidP="003044AB">
      <w:pPr>
        <w:ind w:left="1134" w:hanging="567"/>
      </w:pPr>
      <w:r w:rsidRPr="00394CEC">
        <w:t>e)</w:t>
      </w:r>
      <w:r w:rsidRPr="00394CEC">
        <w:tab/>
        <w:t>spridning av resultaten av den föregående generationen av utbildningsprogram och av programmet för livslångt lärande.</w:t>
      </w:r>
    </w:p>
    <w:p w:rsidR="00893675" w:rsidRPr="00394CEC" w:rsidRDefault="00893675" w:rsidP="00893675"/>
    <w:p w:rsidR="00893675" w:rsidRPr="00394CEC" w:rsidRDefault="00893675" w:rsidP="003044AB">
      <w:pPr>
        <w:jc w:val="center"/>
        <w:rPr>
          <w:i/>
        </w:rPr>
      </w:pPr>
      <w:r w:rsidRPr="00394CEC">
        <w:rPr>
          <w:i/>
        </w:rPr>
        <w:t>Artikel 7</w:t>
      </w:r>
      <w:r w:rsidRPr="00394CEC">
        <w:rPr>
          <w:i/>
        </w:rPr>
        <w:br/>
      </w:r>
      <w:r w:rsidRPr="00394CEC">
        <w:t>Deltagande av tredjeländer</w:t>
      </w:r>
    </w:p>
    <w:p w:rsidR="00893675" w:rsidRPr="00394CEC" w:rsidRDefault="00893675" w:rsidP="00893675"/>
    <w:p w:rsidR="00893675" w:rsidRPr="00394CEC" w:rsidRDefault="00893675" w:rsidP="00893675">
      <w:r w:rsidRPr="00394CEC">
        <w:t>1.</w:t>
      </w:r>
      <w:r w:rsidRPr="00394CEC">
        <w:tab/>
        <w:t>Programmet för livslångt lärande skall vara öppet för deltagande av följande länder:</w:t>
      </w:r>
    </w:p>
    <w:p w:rsidR="00893675" w:rsidRPr="00394CEC" w:rsidRDefault="00893675" w:rsidP="00893675"/>
    <w:p w:rsidR="00893675" w:rsidRPr="00394CEC" w:rsidRDefault="00893675" w:rsidP="003044AB">
      <w:pPr>
        <w:ind w:left="1134" w:hanging="567"/>
        <w:rPr>
          <w:i/>
        </w:rPr>
      </w:pPr>
      <w:r w:rsidRPr="00394CEC">
        <w:t>a)</w:t>
      </w:r>
      <w:r w:rsidRPr="00394CEC">
        <w:tab/>
        <w:t>Eftaländer som ingår i EES, enligt villkoren i EES</w:t>
      </w:r>
      <w:r w:rsidRPr="00394CEC">
        <w:noBreakHyphen/>
        <w:t>avtalet.</w:t>
      </w:r>
    </w:p>
    <w:p w:rsidR="00893675" w:rsidRPr="00394CEC" w:rsidRDefault="00893675" w:rsidP="003044AB">
      <w:pPr>
        <w:ind w:left="1134" w:hanging="567"/>
      </w:pPr>
    </w:p>
    <w:p w:rsidR="00893675" w:rsidRPr="00394CEC" w:rsidRDefault="00893675" w:rsidP="003044AB">
      <w:pPr>
        <w:ind w:left="1134" w:hanging="567"/>
        <w:rPr>
          <w:i/>
        </w:rPr>
      </w:pPr>
      <w:r w:rsidRPr="00394CEC">
        <w:t>b)</w:t>
      </w:r>
      <w:r w:rsidRPr="00394CEC">
        <w:tab/>
        <w:t>Turkiet och de kandidatländer som omfattas av en föranslutningsstrategi, i enlighet med de allmänna principerna och villkoren för dessa länders deltagande i gemenskapens program, vilka fastställs i respektive ramavtal och beslut av associeringsrådet.</w:t>
      </w:r>
    </w:p>
    <w:p w:rsidR="00893675" w:rsidRPr="00394CEC" w:rsidRDefault="00893675" w:rsidP="003044AB">
      <w:pPr>
        <w:ind w:left="1134" w:hanging="567"/>
      </w:pPr>
    </w:p>
    <w:p w:rsidR="00893675" w:rsidRPr="00394CEC" w:rsidRDefault="00893675" w:rsidP="003044AB">
      <w:pPr>
        <w:ind w:left="1134" w:hanging="567"/>
      </w:pPr>
      <w:r w:rsidRPr="00394CEC">
        <w:t>c)</w:t>
      </w:r>
      <w:r w:rsidRPr="00394CEC">
        <w:tab/>
        <w:t>Länderna på västra Balkan i enlighet med de bestämmelser som skall fastställas med dessa länder efter det att ramavtal för deras deltagande i gemenskapens program upprättats.</w:t>
      </w:r>
    </w:p>
    <w:p w:rsidR="00893675" w:rsidRPr="00394CEC" w:rsidRDefault="00893675" w:rsidP="003044AB">
      <w:pPr>
        <w:ind w:left="1134" w:hanging="567"/>
      </w:pPr>
    </w:p>
    <w:p w:rsidR="00893675" w:rsidRPr="00394CEC" w:rsidRDefault="00893675" w:rsidP="003044AB">
      <w:pPr>
        <w:ind w:left="1134" w:hanging="567"/>
      </w:pPr>
      <w:r w:rsidRPr="00394CEC">
        <w:t>d)</w:t>
      </w:r>
      <w:r w:rsidRPr="00394CEC">
        <w:tab/>
        <w:t>Schweiziska edsförbundet på grundval av ett bilateralt avtal som skall slutas med landet.</w:t>
      </w:r>
    </w:p>
    <w:p w:rsidR="00893675" w:rsidRPr="00394CEC" w:rsidRDefault="00893675" w:rsidP="00893675"/>
    <w:p w:rsidR="00893675" w:rsidRPr="00394CEC" w:rsidRDefault="00893675" w:rsidP="003044AB">
      <w:pPr>
        <w:ind w:left="567" w:hanging="567"/>
      </w:pPr>
      <w:r w:rsidRPr="00394CEC">
        <w:t>2.</w:t>
      </w:r>
      <w:r w:rsidRPr="00394CEC">
        <w:tab/>
        <w:t>Centralverksamhet nr 1 i programmet Jean Monnet enligt artikel 3.3 a skall också vara öppen för högskolor i alla övriga tredjeländer.</w:t>
      </w:r>
    </w:p>
    <w:p w:rsidR="00893675" w:rsidRPr="00394CEC" w:rsidRDefault="00893675" w:rsidP="003044AB">
      <w:pPr>
        <w:ind w:left="567" w:hanging="567"/>
      </w:pPr>
    </w:p>
    <w:p w:rsidR="00893675" w:rsidRPr="00394CEC" w:rsidRDefault="00893675" w:rsidP="003044AB">
      <w:pPr>
        <w:ind w:left="567" w:hanging="567"/>
      </w:pPr>
      <w:r w:rsidRPr="00394CEC">
        <w:t>3.</w:t>
      </w:r>
      <w:r w:rsidRPr="00394CEC">
        <w:tab/>
        <w:t>Länder utanför EU som deltar i programmet för livslångt lärande skall omfattas av alla skyldigheter och fullgöra alla uppgifter som fastställs i detta beslut i förhållande till medlemsstaterna.</w:t>
      </w:r>
    </w:p>
    <w:p w:rsidR="00893675" w:rsidRPr="00394CEC" w:rsidRDefault="00893675" w:rsidP="00893675">
      <w:pPr>
        <w:rPr>
          <w:i/>
        </w:rPr>
      </w:pPr>
    </w:p>
    <w:p w:rsidR="00893675" w:rsidRPr="00394CEC" w:rsidRDefault="00893675" w:rsidP="003044AB">
      <w:pPr>
        <w:jc w:val="center"/>
      </w:pPr>
      <w:r w:rsidRPr="00394CEC">
        <w:rPr>
          <w:i/>
        </w:rPr>
        <w:br w:type="page"/>
        <w:t>Artikel 8</w:t>
      </w:r>
      <w:r w:rsidRPr="00394CEC">
        <w:rPr>
          <w:i/>
        </w:rPr>
        <w:br/>
      </w:r>
      <w:r w:rsidRPr="00394CEC">
        <w:t>Internationellt samarbete</w:t>
      </w:r>
    </w:p>
    <w:p w:rsidR="00893675" w:rsidRPr="00394CEC" w:rsidRDefault="00893675" w:rsidP="00893675"/>
    <w:p w:rsidR="00893675" w:rsidRPr="00394CEC" w:rsidRDefault="00893675" w:rsidP="00893675">
      <w:r w:rsidRPr="00394CEC">
        <w:t>Inom programmet för livslångt lärande får kommissionen i enlighet med artikel 9 samarbeta med tredjeländer och med behöriga internationella organisationer, i synnerhet Europarådet, Organisationen för ekonomiskt samarbete och utveckling (OECD) samt FN:s organisation för utbildning, vetenskap och kultur (Unesco).</w:t>
      </w:r>
    </w:p>
    <w:p w:rsidR="00893675" w:rsidRPr="00394CEC" w:rsidRDefault="00893675" w:rsidP="00893675"/>
    <w:p w:rsidR="00893675" w:rsidRPr="00394CEC" w:rsidRDefault="00893675" w:rsidP="003044AB">
      <w:pPr>
        <w:jc w:val="center"/>
        <w:rPr>
          <w:b/>
        </w:rPr>
      </w:pPr>
      <w:r w:rsidRPr="00394CEC">
        <w:rPr>
          <w:b/>
        </w:rPr>
        <w:br w:type="page"/>
        <w:t>Kapitel II</w:t>
      </w:r>
    </w:p>
    <w:p w:rsidR="00893675" w:rsidRPr="00394CEC" w:rsidRDefault="00893675" w:rsidP="003044AB">
      <w:pPr>
        <w:jc w:val="center"/>
        <w:rPr>
          <w:b/>
        </w:rPr>
      </w:pPr>
      <w:r w:rsidRPr="00394CEC">
        <w:rPr>
          <w:b/>
        </w:rPr>
        <w:t>Genomförande av programmet för livslångt lärande</w:t>
      </w:r>
    </w:p>
    <w:p w:rsidR="00893675" w:rsidRPr="00394CEC" w:rsidRDefault="00893675" w:rsidP="003044AB">
      <w:pPr>
        <w:jc w:val="center"/>
      </w:pPr>
    </w:p>
    <w:p w:rsidR="00893675" w:rsidRPr="00394CEC" w:rsidRDefault="00893675" w:rsidP="003044AB">
      <w:pPr>
        <w:jc w:val="center"/>
        <w:rPr>
          <w:i/>
        </w:rPr>
      </w:pPr>
      <w:r w:rsidRPr="00394CEC">
        <w:rPr>
          <w:i/>
        </w:rPr>
        <w:t>Artikel 9</w:t>
      </w:r>
      <w:r w:rsidRPr="00394CEC">
        <w:br/>
        <w:t>Genomförandeåtgärder</w:t>
      </w:r>
    </w:p>
    <w:p w:rsidR="00893675" w:rsidRPr="00394CEC" w:rsidRDefault="00893675" w:rsidP="00893675"/>
    <w:p w:rsidR="00893675" w:rsidRPr="00394CEC" w:rsidRDefault="00893675" w:rsidP="003044AB">
      <w:pPr>
        <w:ind w:left="567" w:hanging="567"/>
      </w:pPr>
      <w:r w:rsidRPr="00394CEC">
        <w:t>1.</w:t>
      </w:r>
      <w:r w:rsidRPr="00394CEC">
        <w:tab/>
        <w:t>De åtgärder som är nödvändiga för att genomföra programmet för livslångt lärande när det gäller följande frågor skall antas av kommissionen i enlighet med det förvaltningsförfarande som avses i artikel 10.2:</w:t>
      </w:r>
    </w:p>
    <w:p w:rsidR="00893675" w:rsidRPr="00394CEC" w:rsidRDefault="00893675" w:rsidP="00893675"/>
    <w:p w:rsidR="00893675" w:rsidRPr="00394CEC" w:rsidRDefault="00893675" w:rsidP="003044AB">
      <w:pPr>
        <w:ind w:left="1134" w:hanging="567"/>
      </w:pPr>
      <w:r w:rsidRPr="00394CEC">
        <w:t>a)</w:t>
      </w:r>
      <w:r w:rsidRPr="00394CEC">
        <w:tab/>
        <w:t>Det årliga arbetsprogrammet, inbegripet</w:t>
      </w:r>
      <w:r w:rsidRPr="00394CEC">
        <w:rPr>
          <w:b/>
        </w:rPr>
        <w:t xml:space="preserve"> </w:t>
      </w:r>
      <w:r w:rsidRPr="00394CEC">
        <w:t>prioriteringar.</w:t>
      </w:r>
    </w:p>
    <w:p w:rsidR="00893675" w:rsidRPr="00394CEC" w:rsidRDefault="00893675" w:rsidP="003044AB">
      <w:pPr>
        <w:ind w:left="1134" w:hanging="567"/>
      </w:pPr>
    </w:p>
    <w:p w:rsidR="00893675" w:rsidRPr="00394CEC" w:rsidRDefault="00893675" w:rsidP="003044AB">
      <w:pPr>
        <w:ind w:left="1134" w:hanging="567"/>
      </w:pPr>
      <w:r w:rsidRPr="00394CEC">
        <w:t>b)</w:t>
      </w:r>
      <w:r w:rsidRPr="00394CEC">
        <w:tab/>
        <w:t>[...]</w:t>
      </w:r>
    </w:p>
    <w:p w:rsidR="00893675" w:rsidRPr="00394CEC" w:rsidRDefault="00893675" w:rsidP="003044AB">
      <w:pPr>
        <w:ind w:left="1134" w:hanging="567"/>
      </w:pPr>
    </w:p>
    <w:p w:rsidR="00893675" w:rsidRPr="00394CEC" w:rsidRDefault="00893675" w:rsidP="003044AB">
      <w:pPr>
        <w:ind w:left="1134" w:hanging="567"/>
      </w:pPr>
      <w:r w:rsidRPr="00394CEC">
        <w:t>c)</w:t>
      </w:r>
      <w:r w:rsidRPr="00394CEC">
        <w:tab/>
        <w:t>Den årliga budgeten och fördelningen av medel</w:t>
      </w:r>
      <w:r w:rsidRPr="00394CEC">
        <w:rPr>
          <w:b/>
        </w:rPr>
        <w:t xml:space="preserve"> </w:t>
      </w:r>
      <w:r w:rsidRPr="00394CEC">
        <w:t>mellan och inom de olika delprogrammen.</w:t>
      </w:r>
    </w:p>
    <w:p w:rsidR="00893675" w:rsidRPr="00394CEC" w:rsidRDefault="00893675" w:rsidP="003044AB">
      <w:pPr>
        <w:ind w:left="1134" w:hanging="567"/>
      </w:pPr>
    </w:p>
    <w:p w:rsidR="00893675" w:rsidRPr="00394CEC" w:rsidRDefault="00893675" w:rsidP="003044AB">
      <w:pPr>
        <w:ind w:left="1134" w:hanging="567"/>
      </w:pPr>
      <w:r w:rsidRPr="00394CEC">
        <w:t>d)</w:t>
      </w:r>
      <w:r w:rsidRPr="00394CEC">
        <w:tab/>
        <w:t>Allmänna riktlinjer för genomförande av delprogrammen (inbegripet beslut om åtgärdernas art, varaktighet och finansieringsnivå), urvalskriterier och urvalsförfaranden.</w:t>
      </w:r>
    </w:p>
    <w:p w:rsidR="00893675" w:rsidRPr="00394CEC" w:rsidRDefault="00893675" w:rsidP="003044AB">
      <w:pPr>
        <w:ind w:left="1134" w:hanging="567"/>
      </w:pPr>
    </w:p>
    <w:p w:rsidR="00893675" w:rsidRPr="00394CEC" w:rsidRDefault="00893675" w:rsidP="003044AB">
      <w:pPr>
        <w:ind w:left="1134" w:hanging="567"/>
      </w:pPr>
      <w:r w:rsidRPr="00394CEC">
        <w:t>da)</w:t>
      </w:r>
      <w:r w:rsidRPr="00394CEC">
        <w:tab/>
        <w:t>Kommissionens förslag när det gäller urval av ansökningar för multilaterala projekt och nätverk enligt artikel 38.1 b och 38.1 c.</w:t>
      </w:r>
    </w:p>
    <w:p w:rsidR="00893675" w:rsidRPr="00394CEC" w:rsidRDefault="00893675" w:rsidP="003044AB">
      <w:pPr>
        <w:ind w:left="1134" w:hanging="567"/>
      </w:pPr>
    </w:p>
    <w:p w:rsidR="00893675" w:rsidRPr="00394CEC" w:rsidRDefault="00893675" w:rsidP="003044AB">
      <w:pPr>
        <w:ind w:left="1134" w:hanging="567"/>
      </w:pPr>
      <w:r w:rsidRPr="00394CEC">
        <w:t>daa)</w:t>
      </w:r>
      <w:r w:rsidRPr="00394CEC">
        <w:tab/>
        <w:t>Kommissionens förslag när det gäller urval av ansökningar för åtgärder som anges i artikel 5.1 e som inte omfattas av föregående led och i 5.1 f, g och h för vilka de föreslagna bidragen från gemenskapen överstiger 1 miljon EUR.</w:t>
      </w:r>
    </w:p>
    <w:p w:rsidR="00893675" w:rsidRPr="00394CEC" w:rsidRDefault="00893675" w:rsidP="003044AB">
      <w:pPr>
        <w:ind w:left="1134" w:hanging="567"/>
      </w:pPr>
    </w:p>
    <w:p w:rsidR="00893675" w:rsidRPr="00394CEC" w:rsidRDefault="00893675" w:rsidP="003044AB">
      <w:pPr>
        <w:ind w:left="1134" w:hanging="567"/>
      </w:pPr>
      <w:r w:rsidRPr="00394CEC">
        <w:t>db)</w:t>
      </w:r>
      <w:r w:rsidRPr="00394CEC">
        <w:tab/>
        <w:t>Definitionen av rollerna och ansvaret för kommissionen, medlemsstaterna respektive de nationella programkontoren när det gäller det "förfarande via de nationella programkontoren" som anges i bilagan.</w:t>
      </w:r>
    </w:p>
    <w:p w:rsidR="00893675" w:rsidRPr="00394CEC" w:rsidRDefault="00893675" w:rsidP="003044AB">
      <w:pPr>
        <w:ind w:left="1134" w:hanging="567"/>
      </w:pPr>
      <w:r w:rsidRPr="00394CEC">
        <w:br w:type="page"/>
        <w:t>e)</w:t>
      </w:r>
      <w:r w:rsidRPr="00394CEC">
        <w:tab/>
        <w:t>Fördelningen av medel mellan medlemsstaterna för insatser som skall förvaltas genom det "förfarande via de nationella programkontoren" som anges i bilagan.</w:t>
      </w:r>
    </w:p>
    <w:p w:rsidR="00893675" w:rsidRPr="00394CEC" w:rsidRDefault="00893675" w:rsidP="003044AB">
      <w:pPr>
        <w:ind w:left="1134" w:hanging="567"/>
      </w:pPr>
    </w:p>
    <w:p w:rsidR="00893675" w:rsidRPr="00394CEC" w:rsidRDefault="00893675" w:rsidP="003044AB">
      <w:pPr>
        <w:ind w:left="1134" w:hanging="567"/>
      </w:pPr>
      <w:r w:rsidRPr="00394CEC">
        <w:t>f)</w:t>
      </w:r>
      <w:r w:rsidRPr="00394CEC">
        <w:tab/>
        <w:t>Metoder för att säkerställa inbördes enhetlighet inom programmet för livslångt lärande.</w:t>
      </w:r>
    </w:p>
    <w:p w:rsidR="00893675" w:rsidRPr="00394CEC" w:rsidRDefault="00893675" w:rsidP="003044AB">
      <w:pPr>
        <w:ind w:left="1134" w:hanging="567"/>
      </w:pPr>
    </w:p>
    <w:p w:rsidR="00893675" w:rsidRPr="00394CEC" w:rsidRDefault="00893675" w:rsidP="003044AB">
      <w:pPr>
        <w:ind w:left="1134" w:hanging="567"/>
      </w:pPr>
      <w:r w:rsidRPr="00394CEC">
        <w:t>g)</w:t>
      </w:r>
      <w:r w:rsidRPr="00394CEC">
        <w:tab/>
        <w:t>Metoder för övervakning och utvärdering av programmet för livslångt lärande och delprogrammen och för spridning och överföring av resultaten.</w:t>
      </w:r>
    </w:p>
    <w:p w:rsidR="00893675" w:rsidRPr="00394CEC" w:rsidRDefault="00893675" w:rsidP="00893675"/>
    <w:p w:rsidR="00893675" w:rsidRPr="00394CEC" w:rsidRDefault="00893675" w:rsidP="003044AB">
      <w:pPr>
        <w:ind w:left="567" w:hanging="567"/>
      </w:pPr>
      <w:r w:rsidRPr="00394CEC">
        <w:t>2.</w:t>
      </w:r>
      <w:r w:rsidRPr="00394CEC">
        <w:tab/>
        <w:t>De åtgärder som är nödvändiga för genomförandet av alla frågor utom dem som avses i punkt 1 skall beslutas enligt det rådgivande förfarande som avses i artikel 10.3.</w:t>
      </w:r>
    </w:p>
    <w:p w:rsidR="00893675" w:rsidRPr="00394CEC" w:rsidRDefault="00893675" w:rsidP="00893675"/>
    <w:p w:rsidR="00893675" w:rsidRPr="00394CEC" w:rsidRDefault="00893675" w:rsidP="003044AB">
      <w:pPr>
        <w:jc w:val="center"/>
        <w:rPr>
          <w:i/>
          <w:szCs w:val="24"/>
          <w:vertAlign w:val="superscript"/>
        </w:rPr>
      </w:pPr>
      <w:bookmarkStart w:id="28" w:name="Art10"/>
      <w:bookmarkEnd w:id="28"/>
      <w:r w:rsidRPr="00394CEC">
        <w:rPr>
          <w:i/>
        </w:rPr>
        <w:t>Artikel 10</w:t>
      </w:r>
      <w:r w:rsidRPr="00394CEC">
        <w:rPr>
          <w:szCs w:val="24"/>
        </w:rPr>
        <w:br/>
      </w:r>
      <w:r w:rsidRPr="00394CEC">
        <w:t>Kommitté</w:t>
      </w:r>
    </w:p>
    <w:p w:rsidR="00893675" w:rsidRPr="00394CEC" w:rsidRDefault="00893675" w:rsidP="00893675"/>
    <w:p w:rsidR="00893675" w:rsidRPr="00394CEC" w:rsidRDefault="00893675" w:rsidP="00893675">
      <w:r w:rsidRPr="00394CEC">
        <w:t>1.</w:t>
      </w:r>
      <w:r w:rsidRPr="00394CEC">
        <w:tab/>
        <w:t>Kommissionen skall biträdas av en kommitté, nedan kallad "kommittén".</w:t>
      </w:r>
    </w:p>
    <w:p w:rsidR="00893675" w:rsidRPr="00394CEC" w:rsidRDefault="00893675" w:rsidP="00893675"/>
    <w:p w:rsidR="00893675" w:rsidRPr="00394CEC" w:rsidRDefault="00893675" w:rsidP="003044AB">
      <w:pPr>
        <w:ind w:left="567" w:hanging="567"/>
      </w:pPr>
      <w:r w:rsidRPr="00394CEC">
        <w:t>2.</w:t>
      </w:r>
      <w:r w:rsidRPr="00394CEC">
        <w:tab/>
        <w:t>När det hänvisas till denna punkt skall artiklarna 4 och 7 i beslut 1999/468/EG tillämpas, med beaktande av bestämmelserna i artikel 8 i det beslutet.</w:t>
      </w:r>
    </w:p>
    <w:p w:rsidR="00893675" w:rsidRPr="00394CEC" w:rsidRDefault="00893675" w:rsidP="00893675"/>
    <w:p w:rsidR="00893675" w:rsidRPr="00394CEC" w:rsidRDefault="00893675" w:rsidP="003044AB">
      <w:pPr>
        <w:ind w:left="567"/>
      </w:pPr>
      <w:r w:rsidRPr="00394CEC">
        <w:t>Den tid som avses i artikel 4.3 i beslut 1999/468/EG skall vara två månader.</w:t>
      </w:r>
    </w:p>
    <w:p w:rsidR="00893675" w:rsidRPr="00394CEC" w:rsidRDefault="00893675" w:rsidP="00893675"/>
    <w:p w:rsidR="00893675" w:rsidRPr="00394CEC" w:rsidRDefault="00893675" w:rsidP="003044AB">
      <w:pPr>
        <w:ind w:left="567" w:hanging="567"/>
      </w:pPr>
      <w:r w:rsidRPr="00394CEC">
        <w:t>3.</w:t>
      </w:r>
      <w:r w:rsidRPr="00394CEC">
        <w:tab/>
        <w:t>När det hänvisas till denna punkt skall artiklarna 3 och 7 i beslut 1999/468/EG tillämpas, med beaktande av bestämmelserna i artikel 8 i det beslutet.</w:t>
      </w:r>
    </w:p>
    <w:p w:rsidR="00893675" w:rsidRPr="00394CEC" w:rsidRDefault="00893675" w:rsidP="00893675"/>
    <w:p w:rsidR="00893675" w:rsidRPr="00394CEC" w:rsidRDefault="00893675" w:rsidP="00893675">
      <w:r w:rsidRPr="00394CEC">
        <w:t>4.</w:t>
      </w:r>
      <w:r w:rsidRPr="00394CEC">
        <w:tab/>
        <w:t>Kommittén skall själv anta sin arbetsordning.</w:t>
      </w:r>
    </w:p>
    <w:p w:rsidR="00893675" w:rsidRPr="00394CEC" w:rsidRDefault="00893675" w:rsidP="00893675"/>
    <w:p w:rsidR="00893675" w:rsidRPr="00394CEC" w:rsidRDefault="00893675" w:rsidP="003044AB">
      <w:pPr>
        <w:ind w:left="567" w:hanging="567"/>
      </w:pPr>
      <w:r w:rsidRPr="00394CEC">
        <w:t>5.</w:t>
      </w:r>
      <w:r w:rsidRPr="00394CEC">
        <w:tab/>
        <w:t>Medlemsstaterna får inte företrädas av personer som är anställda vid eller har ansvar för driften av de nationella programkontor som avses i artikel 6.2 b.</w:t>
      </w:r>
    </w:p>
    <w:p w:rsidR="00893675" w:rsidRPr="00394CEC" w:rsidRDefault="00893675" w:rsidP="00893675">
      <w:pPr>
        <w:rPr>
          <w:i/>
        </w:rPr>
      </w:pPr>
    </w:p>
    <w:p w:rsidR="00893675" w:rsidRPr="00394CEC" w:rsidRDefault="00893675" w:rsidP="003044AB">
      <w:pPr>
        <w:jc w:val="center"/>
        <w:rPr>
          <w:i/>
        </w:rPr>
      </w:pPr>
      <w:r w:rsidRPr="00394CEC">
        <w:rPr>
          <w:i/>
        </w:rPr>
        <w:br w:type="page"/>
        <w:t>Artikel 11</w:t>
      </w:r>
      <w:r w:rsidRPr="00394CEC">
        <w:rPr>
          <w:i/>
        </w:rPr>
        <w:br/>
      </w:r>
      <w:r w:rsidRPr="00394CEC">
        <w:t>Arbetsmarknadens parter</w:t>
      </w:r>
    </w:p>
    <w:p w:rsidR="00893675" w:rsidRPr="00394CEC" w:rsidRDefault="00893675" w:rsidP="00893675"/>
    <w:p w:rsidR="00893675" w:rsidRPr="00394CEC" w:rsidRDefault="00893675" w:rsidP="003044AB">
      <w:pPr>
        <w:ind w:left="567" w:hanging="567"/>
      </w:pPr>
      <w:r w:rsidRPr="00394CEC">
        <w:t>1.</w:t>
      </w:r>
      <w:r w:rsidRPr="00394CEC">
        <w:tab/>
        <w:t>Närhelst kommittén rådfrågas i något ärende som gäller tillämpningen av detta beslut i fråga om yrkesinriktad utbildning, får företrädare för arbetsmarknadens parter, utsedda av kommissionen på grundval av förslag från arbetsmarknadens parter i Europa, delta i kommitténs arbete i egenskap av observatörer.</w:t>
      </w:r>
    </w:p>
    <w:p w:rsidR="00893675" w:rsidRPr="00394CEC" w:rsidRDefault="00893675" w:rsidP="00893675"/>
    <w:p w:rsidR="00893675" w:rsidRPr="00394CEC" w:rsidRDefault="00893675" w:rsidP="003044AB">
      <w:pPr>
        <w:ind w:left="567"/>
      </w:pPr>
      <w:r w:rsidRPr="00394CEC">
        <w:t>Detta antal observatörer skall vara lika med antalet företrädare för medlemsstaterna.</w:t>
      </w:r>
    </w:p>
    <w:p w:rsidR="00893675" w:rsidRPr="00394CEC" w:rsidRDefault="00893675" w:rsidP="00893675"/>
    <w:p w:rsidR="00893675" w:rsidRPr="00394CEC" w:rsidRDefault="00893675" w:rsidP="003044AB">
      <w:pPr>
        <w:ind w:left="567" w:hanging="567"/>
      </w:pPr>
      <w:r w:rsidRPr="00394CEC">
        <w:t>2.</w:t>
      </w:r>
      <w:r w:rsidRPr="00394CEC">
        <w:tab/>
        <w:t>Dessa observatörer skall ha rätt att begära att deras ståndpunkt tas till protokollet från kommitténs möte.</w:t>
      </w:r>
    </w:p>
    <w:p w:rsidR="00893675" w:rsidRPr="00394CEC" w:rsidRDefault="00893675" w:rsidP="00893675"/>
    <w:p w:rsidR="00893675" w:rsidRPr="00394CEC" w:rsidRDefault="00893675" w:rsidP="003044AB">
      <w:pPr>
        <w:jc w:val="center"/>
      </w:pPr>
      <w:r w:rsidRPr="00394CEC">
        <w:rPr>
          <w:i/>
        </w:rPr>
        <w:t>Artikel 12</w:t>
      </w:r>
      <w:r w:rsidRPr="00394CEC">
        <w:br/>
        <w:t>Övergripande politik</w:t>
      </w:r>
    </w:p>
    <w:p w:rsidR="00893675" w:rsidRPr="00394CEC" w:rsidRDefault="00893675" w:rsidP="00893675"/>
    <w:p w:rsidR="00893675" w:rsidRPr="00394CEC" w:rsidRDefault="00893675" w:rsidP="00893675">
      <w:r w:rsidRPr="00394CEC">
        <w:t>Vid genomförandet av programmet för livslångt lärande skall man vederbörligen beakta att det fullt ut bidrar till främjandet av gemenskapens övergripande politik, i synnerhet genom att</w:t>
      </w:r>
    </w:p>
    <w:p w:rsidR="00893675" w:rsidRPr="00394CEC" w:rsidRDefault="00893675" w:rsidP="00893675"/>
    <w:p w:rsidR="00893675" w:rsidRPr="00394CEC" w:rsidRDefault="00893675" w:rsidP="003044AB">
      <w:pPr>
        <w:ind w:left="567" w:hanging="567"/>
      </w:pPr>
      <w:r w:rsidRPr="00394CEC">
        <w:t>a)</w:t>
      </w:r>
      <w:r w:rsidRPr="00394CEC">
        <w:tab/>
        <w:t>främja medvetenheten om vikten av kulturell och språklig mångfald i Europa samt om vikten av att bekämpa rasism</w:t>
      </w:r>
      <w:r w:rsidRPr="00394CEC">
        <w:rPr>
          <w:b/>
        </w:rPr>
        <w:t xml:space="preserve">, </w:t>
      </w:r>
      <w:r w:rsidRPr="00394CEC">
        <w:t>fö</w:t>
      </w:r>
      <w:r w:rsidR="003F6B42" w:rsidRPr="00394CEC">
        <w:t>rdomar och främlingsfientlighet,</w:t>
      </w:r>
    </w:p>
    <w:p w:rsidR="00893675" w:rsidRPr="00394CEC" w:rsidRDefault="00893675" w:rsidP="00893675"/>
    <w:p w:rsidR="00893675" w:rsidRPr="00394CEC" w:rsidRDefault="00893675" w:rsidP="003044AB">
      <w:pPr>
        <w:ind w:left="567" w:hanging="567"/>
      </w:pPr>
      <w:r w:rsidRPr="00394CEC">
        <w:t>b)</w:t>
      </w:r>
      <w:r w:rsidRPr="00394CEC">
        <w:tab/>
        <w:t>sörja för inlärare med särskilda behov, i synnerhet genom att bidra till att de integreras i den gängse utbildningen,</w:t>
      </w:r>
    </w:p>
    <w:p w:rsidR="00893675" w:rsidRPr="00394CEC" w:rsidRDefault="00893675" w:rsidP="00893675"/>
    <w:p w:rsidR="00893675" w:rsidRPr="00394CEC" w:rsidRDefault="00893675" w:rsidP="003044AB">
      <w:pPr>
        <w:ind w:left="567" w:hanging="567"/>
      </w:pPr>
      <w:r w:rsidRPr="00394CEC">
        <w:t>c)</w:t>
      </w:r>
      <w:r w:rsidRPr="00394CEC">
        <w:tab/>
        <w:t>främja jämställdhet mellan män och kvinnor och medverka till att bekämpa alla former av diskriminering på grund av kön, ras eller etnisk tillhörighet, religion eller övertygelse, funktionshinder, ålder eller sexuell läggning.</w:t>
      </w:r>
    </w:p>
    <w:p w:rsidR="00893675" w:rsidRPr="00394CEC" w:rsidRDefault="00893675" w:rsidP="00893675">
      <w:pPr>
        <w:rPr>
          <w:i/>
        </w:rPr>
      </w:pPr>
    </w:p>
    <w:p w:rsidR="00893675" w:rsidRPr="00394CEC" w:rsidRDefault="00893675" w:rsidP="003044AB">
      <w:pPr>
        <w:jc w:val="center"/>
      </w:pPr>
      <w:r w:rsidRPr="00394CEC">
        <w:rPr>
          <w:i/>
        </w:rPr>
        <w:br w:type="page"/>
        <w:t>Artikel 13</w:t>
      </w:r>
      <w:r w:rsidRPr="00394CEC">
        <w:rPr>
          <w:i/>
        </w:rPr>
        <w:br/>
      </w:r>
      <w:r w:rsidRPr="00394CEC">
        <w:rPr>
          <w:b/>
        </w:rPr>
        <w:t>Samstämmighet och komplementaritet med annan politik</w:t>
      </w:r>
    </w:p>
    <w:p w:rsidR="00893675" w:rsidRPr="00394CEC" w:rsidRDefault="00893675" w:rsidP="00893675"/>
    <w:p w:rsidR="00893675" w:rsidRPr="00394CEC" w:rsidRDefault="00893675" w:rsidP="003044AB">
      <w:pPr>
        <w:ind w:left="567" w:hanging="567"/>
      </w:pPr>
      <w:r w:rsidRPr="00394CEC">
        <w:t>1.</w:t>
      </w:r>
      <w:r w:rsidRPr="00394CEC">
        <w:tab/>
        <w:t>Kommissionen skall i samarbete med medlemsstaterna se till att det föreligger övergripande samstämmighet och komplementaritet med arbetsprogrammet Utbildning 2010 och med gemenskapens övriga berörda politiska åtgärder, instrument och insatser, särskilt inom kultur, medier, ungdomsfrågor, forskning och utveckling, sysselsättning, erkännande av kvalifikationer, företagspolitik, miljöpolitik samt informations</w:t>
      </w:r>
      <w:r w:rsidRPr="00394CEC">
        <w:noBreakHyphen/>
        <w:t xml:space="preserve"> och kommunikationsteknik och med gemenskapens statistikprogram.</w:t>
      </w:r>
    </w:p>
    <w:p w:rsidR="00893675" w:rsidRPr="00394CEC" w:rsidRDefault="00893675" w:rsidP="00893675"/>
    <w:p w:rsidR="00893675" w:rsidRPr="00394CEC" w:rsidRDefault="00893675" w:rsidP="003044AB">
      <w:pPr>
        <w:ind w:left="567"/>
      </w:pPr>
      <w:r w:rsidRPr="00394CEC">
        <w:t>Kommissionen skall, i samarbete med medlemsstaterna, säkerställa en effektiv koppling mellan programmet för livslångt lärande och de program och insatser inom allmän och yrkesinriktad utbildning som genomförs inom ramen för gemenskapens föranslutningsinstrument, övrigt samarbete med tredjeländer och behöriga internationella organisationer.</w:t>
      </w:r>
    </w:p>
    <w:p w:rsidR="00893675" w:rsidRPr="00394CEC" w:rsidRDefault="00893675" w:rsidP="00893675">
      <w:pPr>
        <w:rPr>
          <w:b/>
        </w:rPr>
      </w:pPr>
    </w:p>
    <w:p w:rsidR="00893675" w:rsidRPr="00394CEC" w:rsidRDefault="00893675" w:rsidP="003044AB">
      <w:pPr>
        <w:ind w:left="567" w:hanging="567"/>
      </w:pPr>
      <w:r w:rsidRPr="00394CEC">
        <w:t>2.</w:t>
      </w:r>
      <w:r w:rsidRPr="00394CEC">
        <w:tab/>
        <w:t>Kommissionen skall regelbundet informera kommittén om övriga relevanta initiativ som gemenskapen vidtar för livslångt lärande, inbegripet samarbete med tredjeländer och internationella organisationer.</w:t>
      </w:r>
    </w:p>
    <w:p w:rsidR="00893675" w:rsidRPr="00394CEC" w:rsidRDefault="00893675" w:rsidP="003044AB">
      <w:pPr>
        <w:ind w:left="567" w:hanging="567"/>
        <w:rPr>
          <w:b/>
        </w:rPr>
      </w:pPr>
    </w:p>
    <w:p w:rsidR="00893675" w:rsidRPr="00394CEC" w:rsidRDefault="00893675" w:rsidP="003044AB">
      <w:pPr>
        <w:ind w:left="567" w:hanging="567"/>
      </w:pPr>
      <w:r w:rsidRPr="00394CEC">
        <w:t>3.</w:t>
      </w:r>
      <w:r w:rsidRPr="00394CEC">
        <w:tab/>
        <w:t>När kommissionen och medlemsstaterna genomför insatser inom programmet för livslångt lärande, skall de beakta prioriteringarna i de integrerade riktlinjer för sysselsättning som antagits av rådet inom ramen för livslångt lärande och som del av Lissabonpartnerskapet för tillväxt och sysselsättning.</w:t>
      </w:r>
    </w:p>
    <w:p w:rsidR="00893675" w:rsidRPr="00394CEC" w:rsidRDefault="00893675" w:rsidP="003044AB">
      <w:pPr>
        <w:ind w:left="567" w:hanging="567"/>
        <w:rPr>
          <w:b/>
        </w:rPr>
      </w:pPr>
    </w:p>
    <w:p w:rsidR="00893675" w:rsidRPr="00394CEC" w:rsidRDefault="00893675" w:rsidP="003044AB">
      <w:pPr>
        <w:ind w:left="567" w:hanging="567"/>
      </w:pPr>
      <w:r w:rsidRPr="00394CEC">
        <w:t>4.</w:t>
      </w:r>
      <w:r w:rsidRPr="00394CEC">
        <w:tab/>
        <w:t>Kommissionen skall i partnerskap med arbetsmarknadens parter i Europa sträva efter att utarbeta en lämplig samordning mellan programmet för livslångt lärande och dialogen mellan arbetsmarknadens parter på gemenskapsnivå, inbegripet i näringslivets olika sektorer.</w:t>
      </w:r>
    </w:p>
    <w:p w:rsidR="00893675" w:rsidRPr="00394CEC" w:rsidRDefault="00893675" w:rsidP="00893675"/>
    <w:p w:rsidR="00893675" w:rsidRPr="00394CEC" w:rsidRDefault="00893675" w:rsidP="003044AB">
      <w:pPr>
        <w:ind w:left="567" w:hanging="567"/>
      </w:pPr>
      <w:r w:rsidRPr="00394CEC">
        <w:br w:type="page"/>
        <w:t>5.</w:t>
      </w:r>
      <w:r w:rsidRPr="00394CEC">
        <w:tab/>
        <w:t>Vid genomförandet av programmet för livslångt lärande skall kommissionen försäkra sig om lämpligt bistånd av Europeiskt centrum för utveckling av yrkesutbildning (Cedefop) på områden med anknytning till dess behörighet och i enlighet med bestämmelserna i rådets</w:t>
      </w:r>
      <w:r w:rsidR="003F6B42" w:rsidRPr="00394CEC">
        <w:t> </w:t>
      </w:r>
      <w:r w:rsidRPr="00394CEC">
        <w:t>förordning (EEG) nr 337/75</w:t>
      </w:r>
      <w:r w:rsidRPr="00394CEC">
        <w:rPr>
          <w:rStyle w:val="Fotnotsreferens"/>
        </w:rPr>
        <w:footnoteReference w:id="26"/>
      </w:r>
      <w:r w:rsidRPr="00394CEC">
        <w:t>. I förekommande fall får kommissionen även försäkra sig om bistånd av Europeiska yrkesutbildningsstiftelsen inom räckvidden för dess uppdrag och i enlighet med bestämmelserna i rådets förordning (EEG) nr 1360/90</w:t>
      </w:r>
      <w:r w:rsidRPr="00394CEC">
        <w:rPr>
          <w:rStyle w:val="Fotnotsreferens"/>
        </w:rPr>
        <w:footnoteReference w:id="27"/>
      </w:r>
      <w:r w:rsidRPr="00394CEC">
        <w:t>.</w:t>
      </w:r>
    </w:p>
    <w:p w:rsidR="00893675" w:rsidRPr="00394CEC" w:rsidRDefault="00893675" w:rsidP="003044AB">
      <w:pPr>
        <w:ind w:left="567" w:hanging="567"/>
        <w:rPr>
          <w:b/>
        </w:rPr>
      </w:pPr>
    </w:p>
    <w:p w:rsidR="00893675" w:rsidRPr="00394CEC" w:rsidRDefault="00893675" w:rsidP="003044AB">
      <w:pPr>
        <w:ind w:left="567" w:hanging="567"/>
      </w:pPr>
      <w:r w:rsidRPr="00394CEC">
        <w:t>6.</w:t>
      </w:r>
      <w:r w:rsidRPr="00394CEC">
        <w:tab/>
        <w:t>Kommissionen skall regelbundet informera rådgivande kommittén för yrkesutbildning om relevanta framsteg inom yrkesutbildning.</w:t>
      </w:r>
    </w:p>
    <w:p w:rsidR="00893675" w:rsidRPr="00394CEC" w:rsidRDefault="00893675" w:rsidP="00893675"/>
    <w:p w:rsidR="00893675" w:rsidRPr="00394CEC" w:rsidRDefault="00893675" w:rsidP="003044AB">
      <w:pPr>
        <w:jc w:val="center"/>
        <w:rPr>
          <w:i/>
        </w:rPr>
      </w:pPr>
      <w:r w:rsidRPr="00394CEC">
        <w:rPr>
          <w:i/>
        </w:rPr>
        <w:t>Artikel 14</w:t>
      </w:r>
    </w:p>
    <w:p w:rsidR="00893675" w:rsidRPr="00394CEC" w:rsidRDefault="00893675" w:rsidP="003044AB">
      <w:pPr>
        <w:jc w:val="center"/>
      </w:pPr>
      <w:r w:rsidRPr="00394CEC">
        <w:t>[utgår]</w:t>
      </w:r>
    </w:p>
    <w:p w:rsidR="00893675" w:rsidRPr="00394CEC" w:rsidRDefault="00893675" w:rsidP="003044AB">
      <w:pPr>
        <w:jc w:val="center"/>
        <w:rPr>
          <w:b/>
        </w:rPr>
      </w:pPr>
      <w:r w:rsidRPr="00394CEC">
        <w:br w:type="page"/>
      </w:r>
      <w:r w:rsidRPr="00394CEC">
        <w:rPr>
          <w:b/>
        </w:rPr>
        <w:t>Kapitel III</w:t>
      </w:r>
    </w:p>
    <w:p w:rsidR="00893675" w:rsidRPr="00394CEC" w:rsidRDefault="00893675" w:rsidP="003044AB">
      <w:pPr>
        <w:jc w:val="center"/>
        <w:rPr>
          <w:b/>
        </w:rPr>
      </w:pPr>
      <w:r w:rsidRPr="00394CEC">
        <w:rPr>
          <w:b/>
        </w:rPr>
        <w:t>Finansiella bestämmelser – Utvärdering</w:t>
      </w:r>
    </w:p>
    <w:p w:rsidR="00893675" w:rsidRPr="00394CEC" w:rsidRDefault="00893675" w:rsidP="00893675">
      <w:pPr>
        <w:rPr>
          <w:b/>
        </w:rPr>
      </w:pPr>
    </w:p>
    <w:p w:rsidR="00893675" w:rsidRPr="00394CEC" w:rsidRDefault="00893675" w:rsidP="003044AB">
      <w:pPr>
        <w:jc w:val="center"/>
      </w:pPr>
      <w:bookmarkStart w:id="29" w:name="Art15"/>
      <w:bookmarkEnd w:id="29"/>
      <w:r w:rsidRPr="00394CEC">
        <w:rPr>
          <w:i/>
        </w:rPr>
        <w:t>Artikel 15</w:t>
      </w:r>
      <w:r w:rsidRPr="00394CEC">
        <w:rPr>
          <w:i/>
        </w:rPr>
        <w:br/>
      </w:r>
      <w:r w:rsidRPr="00394CEC">
        <w:t>Finansiering</w:t>
      </w:r>
    </w:p>
    <w:p w:rsidR="00893675" w:rsidRPr="00394CEC" w:rsidRDefault="00893675" w:rsidP="003044AB">
      <w:pPr>
        <w:jc w:val="center"/>
      </w:pPr>
      <w:r w:rsidRPr="00394CEC">
        <w:t>[För närvarande utesluten ur texten]</w:t>
      </w:r>
      <w:r w:rsidRPr="00394CEC">
        <w:rPr>
          <w:rStyle w:val="Fotnotsreferens"/>
        </w:rPr>
        <w:footnoteReference w:id="28"/>
      </w:r>
    </w:p>
    <w:p w:rsidR="00893675" w:rsidRPr="00394CEC" w:rsidRDefault="00893675" w:rsidP="00893675"/>
    <w:p w:rsidR="00893675" w:rsidRPr="00394CEC" w:rsidRDefault="00893675" w:rsidP="003044AB">
      <w:pPr>
        <w:jc w:val="center"/>
        <w:rPr>
          <w:i/>
        </w:rPr>
      </w:pPr>
      <w:r w:rsidRPr="00394CEC">
        <w:rPr>
          <w:i/>
        </w:rPr>
        <w:t>Artikel 16</w:t>
      </w:r>
      <w:r w:rsidRPr="00394CEC">
        <w:rPr>
          <w:i/>
        </w:rPr>
        <w:br/>
      </w:r>
      <w:r w:rsidRPr="00394CEC">
        <w:t>Övervakning och utvärdering</w:t>
      </w:r>
    </w:p>
    <w:p w:rsidR="00893675" w:rsidRPr="00394CEC" w:rsidRDefault="00893675" w:rsidP="00893675"/>
    <w:p w:rsidR="00893675" w:rsidRPr="00394CEC" w:rsidRDefault="00893675" w:rsidP="003044AB">
      <w:pPr>
        <w:ind w:left="567" w:hanging="567"/>
      </w:pPr>
      <w:r w:rsidRPr="00394CEC">
        <w:t>1.</w:t>
      </w:r>
      <w:r w:rsidRPr="00394CEC">
        <w:tab/>
        <w:t>Kommissionen skall i samarbete med medlemsstaterna regelbundet övervaka och utvärdera programmet för livslångt lärande i</w:t>
      </w:r>
      <w:r w:rsidRPr="00394CEC">
        <w:rPr>
          <w:b/>
        </w:rPr>
        <w:t xml:space="preserve"> </w:t>
      </w:r>
      <w:r w:rsidRPr="00394CEC">
        <w:t>förhållande till dess mål.</w:t>
      </w:r>
    </w:p>
    <w:p w:rsidR="00893675" w:rsidRPr="00394CEC" w:rsidRDefault="00893675" w:rsidP="003044AB">
      <w:pPr>
        <w:ind w:left="567" w:hanging="567"/>
      </w:pPr>
    </w:p>
    <w:p w:rsidR="00893675" w:rsidRPr="00394CEC" w:rsidRDefault="00893675" w:rsidP="003044AB">
      <w:pPr>
        <w:ind w:left="567" w:hanging="567"/>
      </w:pPr>
      <w:r w:rsidRPr="00394CEC">
        <w:t>2.</w:t>
      </w:r>
      <w:r w:rsidRPr="00394CEC">
        <w:tab/>
        <w:t>Kommissionen skall anordna regelbundna oberoende externa utvärderingar av programmet för livslångt lärande och skall regelbundet offentliggöra statistik för övervakning av framstegen.</w:t>
      </w:r>
    </w:p>
    <w:p w:rsidR="00893675" w:rsidRPr="00394CEC" w:rsidRDefault="00893675" w:rsidP="003044AB">
      <w:pPr>
        <w:ind w:left="567" w:hanging="567"/>
      </w:pPr>
    </w:p>
    <w:p w:rsidR="00893675" w:rsidRPr="00394CEC" w:rsidRDefault="00893675" w:rsidP="003044AB">
      <w:pPr>
        <w:ind w:left="567" w:hanging="567"/>
      </w:pPr>
      <w:r w:rsidRPr="00394CEC">
        <w:t>3.</w:t>
      </w:r>
      <w:r w:rsidRPr="00394CEC">
        <w:tab/>
        <w:t>Resultaten av övervakningen och utvärderingen av programmet för livslångt lärande och den föregående generationen av utbildningsprogram skall beaktas när programmet genomförs.</w:t>
      </w:r>
    </w:p>
    <w:p w:rsidR="00893675" w:rsidRPr="00394CEC" w:rsidRDefault="00893675" w:rsidP="00893675"/>
    <w:p w:rsidR="00893675" w:rsidRPr="00394CEC" w:rsidRDefault="00893675" w:rsidP="003044AB">
      <w:pPr>
        <w:ind w:left="1134" w:hanging="567"/>
      </w:pPr>
      <w:r w:rsidRPr="00394CEC">
        <w:br w:type="page"/>
        <w:t>4.</w:t>
      </w:r>
      <w:r w:rsidRPr="00394CEC">
        <w:tab/>
        <w:t>Medlemsstaterna skall senast den 30 juni 2010 respektive den 30 juni 2015 till kommissionen överlämna rapporter om genomförandet och resultatet av programmet för livslångt lärande.</w:t>
      </w:r>
    </w:p>
    <w:p w:rsidR="00893675" w:rsidRPr="00394CEC" w:rsidRDefault="00893675" w:rsidP="003044AB">
      <w:pPr>
        <w:ind w:left="1134" w:hanging="567"/>
      </w:pPr>
    </w:p>
    <w:p w:rsidR="00893675" w:rsidRPr="00394CEC" w:rsidRDefault="00893675" w:rsidP="003044AB">
      <w:pPr>
        <w:ind w:left="1134" w:hanging="567"/>
      </w:pPr>
      <w:r w:rsidRPr="00394CEC">
        <w:t>5.</w:t>
      </w:r>
      <w:r w:rsidRPr="00394CEC">
        <w:tab/>
        <w:t>Kommissionen skall till Europaparlamentet, rådet, Europeiska ekonomiska och sociala kommittén och Regionkommittén överlämna följande:</w:t>
      </w:r>
    </w:p>
    <w:p w:rsidR="00893675" w:rsidRPr="00394CEC" w:rsidRDefault="00893675" w:rsidP="003044AB">
      <w:pPr>
        <w:ind w:left="1134" w:hanging="567"/>
      </w:pPr>
    </w:p>
    <w:p w:rsidR="00893675" w:rsidRPr="00394CEC" w:rsidRDefault="00893675" w:rsidP="003044AB">
      <w:pPr>
        <w:ind w:left="1701" w:hanging="567"/>
      </w:pPr>
      <w:r w:rsidRPr="00394CEC">
        <w:t>a)</w:t>
      </w:r>
      <w:r w:rsidRPr="00394CEC">
        <w:tab/>
        <w:t>Senast den 31 mars 2011 en interimistisk utvärderingsrapport om de kvalitativa och kvantitativa aspekterna av genomförandet av programmet för livslångt lärande, inbegripet en analys av de uppnådda resultaten.</w:t>
      </w:r>
    </w:p>
    <w:p w:rsidR="00893675" w:rsidRPr="00394CEC" w:rsidRDefault="00893675" w:rsidP="003044AB">
      <w:pPr>
        <w:ind w:left="1701" w:hanging="567"/>
      </w:pPr>
    </w:p>
    <w:p w:rsidR="00893675" w:rsidRPr="00394CEC" w:rsidRDefault="00893675" w:rsidP="003044AB">
      <w:pPr>
        <w:ind w:left="1701" w:hanging="567"/>
      </w:pPr>
      <w:r w:rsidRPr="00394CEC">
        <w:t>b)</w:t>
      </w:r>
      <w:r w:rsidRPr="00394CEC">
        <w:tab/>
        <w:t>Senast den 31 december 2011 ett meddelande om fortsättningen av programmet för livslångt lärande.</w:t>
      </w:r>
    </w:p>
    <w:p w:rsidR="00893675" w:rsidRPr="00394CEC" w:rsidRDefault="00893675" w:rsidP="003044AB">
      <w:pPr>
        <w:ind w:left="1701" w:hanging="567"/>
      </w:pPr>
    </w:p>
    <w:p w:rsidR="00893675" w:rsidRPr="00394CEC" w:rsidRDefault="00893675" w:rsidP="003044AB">
      <w:pPr>
        <w:ind w:left="1701" w:hanging="567"/>
      </w:pPr>
      <w:r w:rsidRPr="00394CEC">
        <w:t>c)</w:t>
      </w:r>
      <w:r w:rsidRPr="00394CEC">
        <w:tab/>
        <w:t>Senast den 31 mars 2016 en utvärderingsrapport efter programmets avslutning.</w:t>
      </w:r>
    </w:p>
    <w:p w:rsidR="00893675" w:rsidRPr="00394CEC" w:rsidRDefault="00893675" w:rsidP="003044AB">
      <w:pPr>
        <w:ind w:left="567"/>
      </w:pPr>
    </w:p>
    <w:p w:rsidR="00893675" w:rsidRPr="00394CEC" w:rsidRDefault="00893675" w:rsidP="003044AB">
      <w:pPr>
        <w:jc w:val="center"/>
        <w:rPr>
          <w:b/>
        </w:rPr>
      </w:pPr>
      <w:r w:rsidRPr="00394CEC">
        <w:br w:type="page"/>
      </w:r>
      <w:r w:rsidRPr="00394CEC">
        <w:rPr>
          <w:b/>
        </w:rPr>
        <w:t>AVDELNING II</w:t>
      </w:r>
    </w:p>
    <w:p w:rsidR="00893675" w:rsidRPr="00394CEC" w:rsidRDefault="00893675" w:rsidP="003044AB">
      <w:pPr>
        <w:jc w:val="center"/>
        <w:rPr>
          <w:b/>
        </w:rPr>
      </w:pPr>
      <w:r w:rsidRPr="00394CEC">
        <w:rPr>
          <w:b/>
        </w:rPr>
        <w:t>DELPROGRAMMEN</w:t>
      </w:r>
    </w:p>
    <w:p w:rsidR="00893675" w:rsidRPr="00394CEC" w:rsidRDefault="00893675" w:rsidP="003044AB">
      <w:pPr>
        <w:jc w:val="center"/>
        <w:rPr>
          <w:b/>
        </w:rPr>
      </w:pPr>
    </w:p>
    <w:p w:rsidR="00893675" w:rsidRPr="00394CEC" w:rsidRDefault="00893675" w:rsidP="003044AB">
      <w:pPr>
        <w:jc w:val="center"/>
        <w:rPr>
          <w:b/>
        </w:rPr>
      </w:pPr>
      <w:r w:rsidRPr="00394CEC">
        <w:rPr>
          <w:b/>
        </w:rPr>
        <w:t>Kapitel I</w:t>
      </w:r>
    </w:p>
    <w:p w:rsidR="00893675" w:rsidRPr="00394CEC" w:rsidRDefault="00893675" w:rsidP="003044AB">
      <w:pPr>
        <w:jc w:val="center"/>
        <w:rPr>
          <w:b/>
        </w:rPr>
      </w:pPr>
      <w:r w:rsidRPr="00394CEC">
        <w:rPr>
          <w:b/>
        </w:rPr>
        <w:t>Programmet</w:t>
      </w:r>
      <w:r w:rsidRPr="00394CEC">
        <w:t xml:space="preserve"> </w:t>
      </w:r>
      <w:r w:rsidRPr="00394CEC">
        <w:rPr>
          <w:b/>
        </w:rPr>
        <w:t>Comenius</w:t>
      </w:r>
    </w:p>
    <w:p w:rsidR="00893675" w:rsidRPr="00394CEC" w:rsidRDefault="00893675" w:rsidP="003044AB">
      <w:pPr>
        <w:jc w:val="center"/>
        <w:rPr>
          <w:b/>
        </w:rPr>
      </w:pPr>
    </w:p>
    <w:p w:rsidR="00893675" w:rsidRPr="00394CEC" w:rsidRDefault="00893675" w:rsidP="003044AB">
      <w:pPr>
        <w:jc w:val="center"/>
      </w:pPr>
      <w:r w:rsidRPr="00394CEC">
        <w:rPr>
          <w:i/>
        </w:rPr>
        <w:t>Artikel 17</w:t>
      </w:r>
      <w:r w:rsidRPr="00394CEC">
        <w:rPr>
          <w:i/>
        </w:rPr>
        <w:br/>
      </w:r>
      <w:r w:rsidRPr="00394CEC">
        <w:t>Tillträde till programmet Comenius</w:t>
      </w:r>
    </w:p>
    <w:p w:rsidR="00893675" w:rsidRPr="00394CEC" w:rsidRDefault="00893675" w:rsidP="00893675"/>
    <w:p w:rsidR="00893675" w:rsidRPr="00394CEC" w:rsidRDefault="00893675" w:rsidP="00893675">
      <w:r w:rsidRPr="00394CEC">
        <w:t>Inom ramen för programmet för livslångt lärande riktar programmet Comenius sig till följande målgrupper:</w:t>
      </w:r>
    </w:p>
    <w:p w:rsidR="00893675" w:rsidRPr="00394CEC" w:rsidRDefault="00893675" w:rsidP="00893675"/>
    <w:p w:rsidR="00893675" w:rsidRPr="00394CEC" w:rsidRDefault="00893675" w:rsidP="00893675">
      <w:r w:rsidRPr="00394CEC">
        <w:t>a)</w:t>
      </w:r>
      <w:r w:rsidRPr="00394CEC">
        <w:tab/>
        <w:t>Elever i skolan till och med gymnasiet.</w:t>
      </w:r>
    </w:p>
    <w:p w:rsidR="00893675" w:rsidRPr="00394CEC" w:rsidRDefault="00893675" w:rsidP="00893675"/>
    <w:p w:rsidR="00893675" w:rsidRPr="00394CEC" w:rsidRDefault="00893675" w:rsidP="00893675">
      <w:r w:rsidRPr="00394CEC">
        <w:t>b)</w:t>
      </w:r>
      <w:r w:rsidRPr="00394CEC">
        <w:tab/>
        <w:t>Skolor, enligt specifikation av medlemsstaterna.</w:t>
      </w:r>
    </w:p>
    <w:p w:rsidR="00893675" w:rsidRPr="00394CEC" w:rsidRDefault="00893675" w:rsidP="00893675"/>
    <w:p w:rsidR="00893675" w:rsidRPr="00394CEC" w:rsidRDefault="00893675" w:rsidP="00893675">
      <w:r w:rsidRPr="00394CEC">
        <w:t>c)</w:t>
      </w:r>
      <w:r w:rsidRPr="00394CEC">
        <w:tab/>
        <w:t>Lärare och övrig personal vid dessa skolor.</w:t>
      </w:r>
    </w:p>
    <w:p w:rsidR="00893675" w:rsidRPr="00394CEC" w:rsidRDefault="00893675" w:rsidP="00893675"/>
    <w:p w:rsidR="00893675" w:rsidRPr="00394CEC" w:rsidRDefault="00893675" w:rsidP="003044AB">
      <w:pPr>
        <w:ind w:left="567" w:hanging="567"/>
      </w:pPr>
      <w:r w:rsidRPr="00394CEC">
        <w:t>d)</w:t>
      </w:r>
      <w:r w:rsidRPr="00394CEC">
        <w:tab/>
        <w:t>Föreningar, ideella organisationer, icke</w:t>
      </w:r>
      <w:r w:rsidRPr="00394CEC">
        <w:noBreakHyphen/>
        <w:t>statliga organisationer och företrädare för personer som är engagerade i skolutbildning.</w:t>
      </w:r>
    </w:p>
    <w:p w:rsidR="00893675" w:rsidRPr="00394CEC" w:rsidRDefault="00893675" w:rsidP="00893675"/>
    <w:p w:rsidR="00893675" w:rsidRPr="00394CEC" w:rsidRDefault="00893675" w:rsidP="003044AB">
      <w:pPr>
        <w:ind w:left="567" w:hanging="567"/>
      </w:pPr>
      <w:r w:rsidRPr="00394CEC">
        <w:t>e)</w:t>
      </w:r>
      <w:r w:rsidRPr="00394CEC">
        <w:tab/>
        <w:t>Personer och organ som ansvarar för organisation och tillhandahållande av utbildning på lokal, regional och nationell nivå.</w:t>
      </w:r>
    </w:p>
    <w:p w:rsidR="00893675" w:rsidRPr="00394CEC" w:rsidRDefault="00893675" w:rsidP="00893675"/>
    <w:p w:rsidR="00893675" w:rsidRPr="00394CEC" w:rsidRDefault="00893675" w:rsidP="00893675">
      <w:r w:rsidRPr="00394CEC">
        <w:t>f)</w:t>
      </w:r>
      <w:r w:rsidRPr="00394CEC">
        <w:tab/>
        <w:t>Forskningscentrum och forskningsorgan som sysslar med frågor som rör livslångt lärande.</w:t>
      </w:r>
    </w:p>
    <w:p w:rsidR="00893675" w:rsidRPr="00394CEC" w:rsidRDefault="00893675" w:rsidP="00893675"/>
    <w:p w:rsidR="00893675" w:rsidRPr="00394CEC" w:rsidRDefault="00893675" w:rsidP="00893675">
      <w:r w:rsidRPr="00394CEC">
        <w:t>g)</w:t>
      </w:r>
      <w:r w:rsidRPr="00394CEC">
        <w:tab/>
        <w:t>Högre utbildningsanstalter.</w:t>
      </w:r>
    </w:p>
    <w:p w:rsidR="00893675" w:rsidRPr="00394CEC" w:rsidRDefault="00893675" w:rsidP="00893675"/>
    <w:p w:rsidR="00893675" w:rsidRPr="00394CEC" w:rsidRDefault="00893675" w:rsidP="00893675">
      <w:r w:rsidRPr="00394CEC">
        <w:t>h)</w:t>
      </w:r>
      <w:r w:rsidRPr="00394CEC">
        <w:tab/>
        <w:t>Organ som tillhandahåller vägledning, rådgivning och information.</w:t>
      </w:r>
    </w:p>
    <w:p w:rsidR="00893675" w:rsidRPr="00394CEC" w:rsidRDefault="00893675" w:rsidP="00893675"/>
    <w:p w:rsidR="00893675" w:rsidRPr="00394CEC" w:rsidRDefault="00893675" w:rsidP="003044AB">
      <w:pPr>
        <w:jc w:val="center"/>
      </w:pPr>
      <w:r w:rsidRPr="00394CEC">
        <w:br w:type="page"/>
      </w:r>
      <w:r w:rsidRPr="00394CEC">
        <w:rPr>
          <w:i/>
        </w:rPr>
        <w:t>Artikel 18</w:t>
      </w:r>
      <w:r w:rsidRPr="00394CEC">
        <w:rPr>
          <w:i/>
        </w:rPr>
        <w:br/>
      </w:r>
      <w:r w:rsidRPr="00394CEC">
        <w:t>Mål</w:t>
      </w:r>
    </w:p>
    <w:p w:rsidR="00893675" w:rsidRPr="00394CEC" w:rsidRDefault="00893675" w:rsidP="00893675"/>
    <w:p w:rsidR="00893675" w:rsidRPr="00394CEC" w:rsidRDefault="00893675" w:rsidP="003044AB">
      <w:pPr>
        <w:ind w:left="567" w:hanging="567"/>
      </w:pPr>
      <w:r w:rsidRPr="00394CEC">
        <w:t>1.</w:t>
      </w:r>
      <w:r w:rsidRPr="00394CEC">
        <w:tab/>
        <w:t>Utöver de mål för programmet för livslångt lärande som anges i artikel 1 skall programmet Comenius ha följande särskilda mål:</w:t>
      </w:r>
    </w:p>
    <w:p w:rsidR="00893675" w:rsidRPr="00394CEC" w:rsidRDefault="00893675" w:rsidP="00893675"/>
    <w:p w:rsidR="00893675" w:rsidRPr="00394CEC" w:rsidRDefault="00893675" w:rsidP="003044AB">
      <w:pPr>
        <w:ind w:left="1134" w:hanging="567"/>
        <w:rPr>
          <w:snapToGrid w:val="0"/>
          <w:color w:val="000000"/>
          <w:lang w:eastAsia="en-US"/>
        </w:rPr>
      </w:pPr>
      <w:r w:rsidRPr="00394CEC">
        <w:t>a)</w:t>
      </w:r>
      <w:r w:rsidRPr="00394CEC">
        <w:tab/>
      </w:r>
      <w:r w:rsidRPr="00394CEC">
        <w:rPr>
          <w:snapToGrid w:val="0"/>
          <w:color w:val="000000"/>
          <w:lang w:eastAsia="en-US"/>
        </w:rPr>
        <w:t>Att bland unga människor och undervisande personal utveckla kunskapen om och förståelsen för de europeiska kulturernas och språkens mångfald och deras värde.</w:t>
      </w:r>
    </w:p>
    <w:p w:rsidR="00893675" w:rsidRPr="00394CEC" w:rsidRDefault="00893675" w:rsidP="003044AB">
      <w:pPr>
        <w:ind w:left="1134" w:hanging="567"/>
      </w:pPr>
    </w:p>
    <w:p w:rsidR="00893675" w:rsidRPr="00394CEC" w:rsidRDefault="00893675" w:rsidP="003044AB">
      <w:pPr>
        <w:ind w:left="1134" w:hanging="567"/>
        <w:rPr>
          <w:snapToGrid w:val="0"/>
          <w:lang w:eastAsia="en-US"/>
        </w:rPr>
      </w:pPr>
      <w:r w:rsidRPr="00394CEC">
        <w:t>b)</w:t>
      </w:r>
      <w:r w:rsidRPr="00394CEC">
        <w:tab/>
      </w:r>
      <w:r w:rsidRPr="00394CEC">
        <w:rPr>
          <w:snapToGrid w:val="0"/>
          <w:lang w:eastAsia="en-US"/>
        </w:rPr>
        <w:t>Att hjälpa unga människor att förvärva den grundläggande livskunskap och det kunnande de behöver för sin personliga utveckling, för framtida anställning och för ett aktivt europeiskt medborgarskap.</w:t>
      </w:r>
    </w:p>
    <w:p w:rsidR="00893675" w:rsidRPr="00394CEC" w:rsidRDefault="00893675" w:rsidP="00893675">
      <w:pPr>
        <w:rPr>
          <w:b/>
          <w:snapToGrid w:val="0"/>
          <w:lang w:eastAsia="en-US"/>
        </w:rPr>
      </w:pPr>
    </w:p>
    <w:p w:rsidR="00893675" w:rsidRPr="00394CEC" w:rsidRDefault="00893675" w:rsidP="00893675">
      <w:pPr>
        <w:rPr>
          <w:snapToGrid w:val="0"/>
          <w:lang w:eastAsia="en-US"/>
        </w:rPr>
      </w:pPr>
      <w:r w:rsidRPr="00394CEC">
        <w:rPr>
          <w:snapToGrid w:val="0"/>
          <w:lang w:eastAsia="en-US"/>
        </w:rPr>
        <w:t>2.</w:t>
      </w:r>
      <w:r w:rsidRPr="00394CEC">
        <w:rPr>
          <w:snapToGrid w:val="0"/>
          <w:lang w:eastAsia="en-US"/>
        </w:rPr>
        <w:tab/>
      </w:r>
      <w:r w:rsidRPr="00394CEC">
        <w:rPr>
          <w:b/>
        </w:rPr>
        <w:t xml:space="preserve">Programmet </w:t>
      </w:r>
      <w:r w:rsidRPr="00394CEC">
        <w:rPr>
          <w:b/>
          <w:snapToGrid w:val="0"/>
          <w:lang w:eastAsia="en-US"/>
        </w:rPr>
        <w:t>Comenius skall ha följande operativa mål</w:t>
      </w:r>
      <w:r w:rsidRPr="00394CEC">
        <w:rPr>
          <w:snapToGrid w:val="0"/>
          <w:lang w:eastAsia="en-US"/>
        </w:rPr>
        <w:t>:</w:t>
      </w:r>
    </w:p>
    <w:p w:rsidR="00893675" w:rsidRPr="00394CEC" w:rsidRDefault="00893675" w:rsidP="00893675"/>
    <w:p w:rsidR="00893675" w:rsidRPr="00394CEC" w:rsidRDefault="00893675" w:rsidP="003044AB">
      <w:pPr>
        <w:ind w:left="1134" w:hanging="567"/>
        <w:rPr>
          <w:i/>
        </w:rPr>
      </w:pPr>
      <w:r w:rsidRPr="00394CEC">
        <w:t>a)</w:t>
      </w:r>
      <w:r w:rsidRPr="00394CEC">
        <w:tab/>
        <w:t>Att förbättra kvaliteten på [</w:t>
      </w:r>
      <w:r w:rsidR="003044AB" w:rsidRPr="00394CEC">
        <w:t>...</w:t>
      </w:r>
      <w:r w:rsidRPr="00394CEC">
        <w:t>]</w:t>
      </w:r>
      <w:r w:rsidRPr="00394CEC">
        <w:rPr>
          <w:rStyle w:val="Fotnotsreferens"/>
        </w:rPr>
        <w:footnoteReference w:id="29"/>
      </w:r>
      <w:r w:rsidRPr="00394CEC">
        <w:t xml:space="preserve"> rörligheten</w:t>
      </w:r>
      <w:r w:rsidRPr="00394CEC">
        <w:rPr>
          <w:b/>
        </w:rPr>
        <w:t xml:space="preserve"> </w:t>
      </w:r>
      <w:r w:rsidRPr="00394CEC">
        <w:t>för elever och undervisande personal i olika medlemsstater.</w:t>
      </w:r>
    </w:p>
    <w:p w:rsidR="00893675" w:rsidRPr="00394CEC" w:rsidRDefault="00893675" w:rsidP="003044AB">
      <w:pPr>
        <w:ind w:left="1134" w:hanging="567"/>
      </w:pPr>
    </w:p>
    <w:p w:rsidR="00893675" w:rsidRPr="00394CEC" w:rsidRDefault="00893675" w:rsidP="003044AB">
      <w:pPr>
        <w:ind w:left="1134" w:hanging="567"/>
        <w:rPr>
          <w:i/>
        </w:rPr>
      </w:pPr>
      <w:r w:rsidRPr="00394CEC">
        <w:t>b)</w:t>
      </w:r>
      <w:r w:rsidRPr="00394CEC">
        <w:tab/>
        <w:t>Att förbättra kvaliteten på [</w:t>
      </w:r>
      <w:r w:rsidR="003044AB" w:rsidRPr="00394CEC">
        <w:t>...</w:t>
      </w:r>
      <w:r w:rsidRPr="00394CEC">
        <w:t>]</w:t>
      </w:r>
      <w:r w:rsidRPr="00394CEC">
        <w:rPr>
          <w:rStyle w:val="Fotnotsreferens"/>
        </w:rPr>
        <w:footnoteReference w:id="30"/>
      </w:r>
      <w:r w:rsidRPr="00394CEC">
        <w:t xml:space="preserve"> partnerskap mellan skolor i olika medlemsstater, så att minst en elev av [</w:t>
      </w:r>
      <w:r w:rsidR="003044AB" w:rsidRPr="00394CEC">
        <w:t>...</w:t>
      </w:r>
      <w:r w:rsidRPr="00394CEC">
        <w:t>]</w:t>
      </w:r>
      <w:r w:rsidRPr="00394CEC">
        <w:rPr>
          <w:rStyle w:val="Fotnotsreferens"/>
        </w:rPr>
        <w:footnoteReference w:id="31"/>
      </w:r>
      <w:r w:rsidRPr="00394CEC">
        <w:t xml:space="preserve"> deltar i gemensam utbildningsverksamhet under programmets löptid.</w:t>
      </w:r>
    </w:p>
    <w:p w:rsidR="00893675" w:rsidRPr="00394CEC" w:rsidRDefault="00893675" w:rsidP="003044AB">
      <w:pPr>
        <w:ind w:left="1134" w:hanging="567"/>
      </w:pPr>
    </w:p>
    <w:p w:rsidR="00893675" w:rsidRPr="00394CEC" w:rsidRDefault="00893675" w:rsidP="003044AB">
      <w:pPr>
        <w:ind w:left="1134" w:hanging="567"/>
      </w:pPr>
      <w:r w:rsidRPr="00394CEC">
        <w:t>c)</w:t>
      </w:r>
      <w:r w:rsidRPr="00394CEC">
        <w:tab/>
        <w:t>Att uppmuntra inlärning av moderna främmande språk.</w:t>
      </w:r>
    </w:p>
    <w:p w:rsidR="00893675" w:rsidRPr="00394CEC" w:rsidRDefault="00893675" w:rsidP="003044AB">
      <w:pPr>
        <w:ind w:left="1134" w:hanging="567"/>
      </w:pPr>
    </w:p>
    <w:p w:rsidR="00893675" w:rsidRPr="00394CEC" w:rsidRDefault="00893675" w:rsidP="003044AB">
      <w:pPr>
        <w:ind w:left="1134" w:hanging="567"/>
      </w:pPr>
      <w:r w:rsidRPr="00394CEC">
        <w:t>ca)</w:t>
      </w:r>
      <w:r w:rsidRPr="00394CEC">
        <w:tab/>
        <w:t>Att stödja utvecklingen av innovativt innehåll, tjänster, pedagogik och praktik för livslångt lärande, grundat på informations</w:t>
      </w:r>
      <w:r w:rsidRPr="00394CEC">
        <w:noBreakHyphen/>
        <w:t xml:space="preserve"> och kommunikationsteknik.</w:t>
      </w:r>
    </w:p>
    <w:p w:rsidR="00893675" w:rsidRPr="00394CEC" w:rsidRDefault="00893675" w:rsidP="003044AB">
      <w:pPr>
        <w:ind w:left="1134" w:hanging="567"/>
      </w:pPr>
    </w:p>
    <w:p w:rsidR="00893675" w:rsidRPr="00394CEC" w:rsidRDefault="00893675" w:rsidP="003044AB">
      <w:pPr>
        <w:ind w:left="1134" w:hanging="567"/>
      </w:pPr>
      <w:r w:rsidRPr="00394CEC">
        <w:t>d)</w:t>
      </w:r>
      <w:r w:rsidRPr="00394CEC">
        <w:tab/>
        <w:t>Att höja kvaliteten och den europeiska dimensionen i lärarutbildningen.</w:t>
      </w:r>
    </w:p>
    <w:p w:rsidR="00893675" w:rsidRPr="00394CEC" w:rsidRDefault="00893675" w:rsidP="003044AB">
      <w:pPr>
        <w:ind w:left="1134" w:hanging="567"/>
      </w:pPr>
    </w:p>
    <w:p w:rsidR="00893675" w:rsidRPr="00394CEC" w:rsidRDefault="00893675" w:rsidP="003044AB">
      <w:pPr>
        <w:ind w:left="1134" w:hanging="567"/>
      </w:pPr>
      <w:r w:rsidRPr="00394CEC">
        <w:t>e)</w:t>
      </w:r>
      <w:r w:rsidRPr="00394CEC">
        <w:tab/>
        <w:t>Att stödja förbättringar</w:t>
      </w:r>
      <w:r w:rsidRPr="00394CEC">
        <w:rPr>
          <w:b/>
        </w:rPr>
        <w:t xml:space="preserve"> </w:t>
      </w:r>
      <w:r w:rsidRPr="00394CEC">
        <w:t>av</w:t>
      </w:r>
      <w:r w:rsidRPr="00394CEC">
        <w:rPr>
          <w:b/>
        </w:rPr>
        <w:t xml:space="preserve"> </w:t>
      </w:r>
      <w:r w:rsidRPr="00394CEC">
        <w:t>pedagogiska metoder och skolförvaltning.</w:t>
      </w:r>
    </w:p>
    <w:p w:rsidR="00893675" w:rsidRPr="00394CEC" w:rsidRDefault="00893675" w:rsidP="003044AB">
      <w:pPr>
        <w:jc w:val="center"/>
        <w:rPr>
          <w:i/>
        </w:rPr>
      </w:pPr>
      <w:r w:rsidRPr="00394CEC">
        <w:br w:type="page"/>
      </w:r>
      <w:r w:rsidRPr="00394CEC">
        <w:rPr>
          <w:i/>
        </w:rPr>
        <w:t>Artikel 19</w:t>
      </w:r>
      <w:r w:rsidRPr="00394CEC">
        <w:rPr>
          <w:i/>
        </w:rPr>
        <w:br/>
      </w:r>
      <w:r w:rsidRPr="00394CEC">
        <w:t>Insatser</w:t>
      </w:r>
    </w:p>
    <w:p w:rsidR="00893675" w:rsidRPr="00394CEC" w:rsidRDefault="00893675" w:rsidP="00893675"/>
    <w:p w:rsidR="00893675" w:rsidRPr="00394CEC" w:rsidRDefault="00893675" w:rsidP="00893675">
      <w:r w:rsidRPr="00394CEC">
        <w:t>1.</w:t>
      </w:r>
      <w:r w:rsidRPr="00394CEC">
        <w:tab/>
        <w:t>Följande insatser kan få bidrag ur programmet Comenius:</w:t>
      </w:r>
    </w:p>
    <w:p w:rsidR="00893675" w:rsidRPr="00394CEC" w:rsidRDefault="00893675" w:rsidP="00893675"/>
    <w:p w:rsidR="00893675" w:rsidRPr="00394CEC" w:rsidRDefault="00893675" w:rsidP="003044AB">
      <w:pPr>
        <w:ind w:left="1134" w:hanging="567"/>
      </w:pPr>
      <w:r w:rsidRPr="00394CEC">
        <w:t>a)</w:t>
      </w:r>
      <w:r w:rsidRPr="00394CEC">
        <w:tab/>
        <w:t>Enskilda personers rörlighet enligt artikel 5.1 a. När sådan rörlighet anordnas eller får bidrag, skall nödvändiga förberedande åtgärder vidtas och de deltagande måste ges tillräcklig övervakning och rådgivning och tillräckligt stöd.</w:t>
      </w:r>
    </w:p>
    <w:p w:rsidR="00893675" w:rsidRPr="00394CEC" w:rsidRDefault="00893675" w:rsidP="003044AB">
      <w:pPr>
        <w:ind w:left="1134" w:hanging="567"/>
      </w:pPr>
    </w:p>
    <w:p w:rsidR="00893675" w:rsidRPr="00394CEC" w:rsidRDefault="00893675" w:rsidP="003044AB">
      <w:pPr>
        <w:ind w:left="1701" w:hanging="567"/>
      </w:pPr>
      <w:r w:rsidRPr="00394CEC">
        <w:t>Sådan rörlighet kan omfatta</w:t>
      </w:r>
    </w:p>
    <w:p w:rsidR="00893675" w:rsidRPr="00394CEC" w:rsidRDefault="00893675" w:rsidP="003044AB">
      <w:pPr>
        <w:ind w:left="1701" w:hanging="567"/>
      </w:pPr>
    </w:p>
    <w:p w:rsidR="00893675" w:rsidRPr="00394CEC" w:rsidRDefault="00893675" w:rsidP="003044AB">
      <w:pPr>
        <w:ind w:left="1701" w:hanging="567"/>
      </w:pPr>
      <w:r w:rsidRPr="00394CEC">
        <w:t>i)</w:t>
      </w:r>
      <w:r w:rsidRPr="00394CEC">
        <w:tab/>
        <w:t>elev</w:t>
      </w:r>
      <w:r w:rsidRPr="00394CEC">
        <w:noBreakHyphen/>
        <w:t xml:space="preserve"> och personalutbyte,</w:t>
      </w:r>
    </w:p>
    <w:p w:rsidR="00893675" w:rsidRPr="00394CEC" w:rsidRDefault="00893675" w:rsidP="003044AB">
      <w:pPr>
        <w:ind w:left="1701" w:hanging="567"/>
      </w:pPr>
    </w:p>
    <w:p w:rsidR="00893675" w:rsidRPr="00394CEC" w:rsidRDefault="00893675" w:rsidP="003044AB">
      <w:pPr>
        <w:ind w:left="1701" w:hanging="567"/>
      </w:pPr>
      <w:r w:rsidRPr="00394CEC">
        <w:t>ii)</w:t>
      </w:r>
      <w:r w:rsidRPr="00394CEC">
        <w:tab/>
        <w:t>rörlighet till skolor för elever och praktik i skolor eller företag för undervisande personal,</w:t>
      </w:r>
    </w:p>
    <w:p w:rsidR="00893675" w:rsidRPr="00394CEC" w:rsidRDefault="00893675" w:rsidP="003044AB">
      <w:pPr>
        <w:ind w:left="1701" w:hanging="567"/>
      </w:pPr>
    </w:p>
    <w:p w:rsidR="00893675" w:rsidRPr="00394CEC" w:rsidRDefault="00893675" w:rsidP="003044AB">
      <w:pPr>
        <w:ind w:left="1701" w:hanging="567"/>
      </w:pPr>
      <w:r w:rsidRPr="00394CEC">
        <w:t>iii)</w:t>
      </w:r>
      <w:r w:rsidRPr="00394CEC">
        <w:tab/>
        <w:t>deltagande i fortbildning för lärare och övrig undervisande personal,</w:t>
      </w:r>
    </w:p>
    <w:p w:rsidR="00893675" w:rsidRPr="00394CEC" w:rsidRDefault="00893675" w:rsidP="003044AB">
      <w:pPr>
        <w:ind w:left="1701" w:hanging="567"/>
      </w:pPr>
    </w:p>
    <w:p w:rsidR="00893675" w:rsidRPr="00394CEC" w:rsidRDefault="00893675" w:rsidP="003044AB">
      <w:pPr>
        <w:ind w:left="1701" w:hanging="567"/>
      </w:pPr>
      <w:r w:rsidRPr="00394CEC">
        <w:t>iv)</w:t>
      </w:r>
      <w:r w:rsidRPr="00394CEC">
        <w:tab/>
        <w:t>studiebesök och förberedande besök i samband med rörlighet, partnerskap, projekt eller nätverksverksamhet,</w:t>
      </w:r>
    </w:p>
    <w:p w:rsidR="00893675" w:rsidRPr="00394CEC" w:rsidRDefault="00893675" w:rsidP="003044AB">
      <w:pPr>
        <w:ind w:left="1701" w:hanging="567"/>
      </w:pPr>
    </w:p>
    <w:p w:rsidR="00893675" w:rsidRPr="00394CEC" w:rsidRDefault="00893675" w:rsidP="003044AB">
      <w:pPr>
        <w:ind w:left="1701" w:hanging="567"/>
      </w:pPr>
      <w:r w:rsidRPr="00394CEC">
        <w:t>v)</w:t>
      </w:r>
      <w:r w:rsidRPr="00394CEC">
        <w:tab/>
        <w:t>assistenttjänster för lärare och blivande lärare.</w:t>
      </w:r>
    </w:p>
    <w:p w:rsidR="00893675" w:rsidRPr="00394CEC" w:rsidRDefault="00893675" w:rsidP="003044AB">
      <w:pPr>
        <w:ind w:left="1134" w:hanging="567"/>
      </w:pPr>
    </w:p>
    <w:p w:rsidR="00893675" w:rsidRPr="00394CEC" w:rsidRDefault="00893675" w:rsidP="003044AB">
      <w:pPr>
        <w:ind w:left="1134" w:hanging="567"/>
      </w:pPr>
      <w:r w:rsidRPr="00394CEC">
        <w:t>b)</w:t>
      </w:r>
      <w:r w:rsidRPr="00394CEC">
        <w:tab/>
        <w:t>Utveckling av partnerskap enligt artikel 5.1 b mellan skolor ("Comeniuspartnerskap"), för att utarbeta gemensamma utbildningsprojekt för eleverna och deras lärare.</w:t>
      </w:r>
    </w:p>
    <w:p w:rsidR="00893675" w:rsidRPr="00394CEC" w:rsidRDefault="00893675" w:rsidP="003044AB">
      <w:pPr>
        <w:ind w:left="1134" w:hanging="567"/>
      </w:pPr>
    </w:p>
    <w:p w:rsidR="00893675" w:rsidRPr="00394CEC" w:rsidRDefault="00893675" w:rsidP="003044AB">
      <w:pPr>
        <w:ind w:left="1134" w:hanging="567"/>
        <w:rPr>
          <w:b/>
        </w:rPr>
      </w:pPr>
      <w:r w:rsidRPr="00394CEC">
        <w:t>ba)</w:t>
      </w:r>
      <w:r w:rsidRPr="00394CEC">
        <w:tab/>
        <w:t>Multilaterala projekt enligt artikel 5.1 c, särskilt de som syftar till att förbättra</w:t>
      </w:r>
      <w:r w:rsidRPr="00394CEC">
        <w:rPr>
          <w:b/>
        </w:rPr>
        <w:t xml:space="preserve"> </w:t>
      </w:r>
      <w:r w:rsidRPr="00394CEC">
        <w:t>skolutbildningssystem genom</w:t>
      </w:r>
      <w:r w:rsidRPr="00394CEC">
        <w:rPr>
          <w:b/>
        </w:rPr>
        <w:t xml:space="preserve"> </w:t>
      </w:r>
      <w:r w:rsidRPr="00394CEC">
        <w:t>överföring av innovation och god praxis.</w:t>
      </w:r>
    </w:p>
    <w:p w:rsidR="00893675" w:rsidRPr="00394CEC" w:rsidRDefault="00893675" w:rsidP="00893675"/>
    <w:p w:rsidR="00893675" w:rsidRPr="00394CEC" w:rsidRDefault="00893675" w:rsidP="003044AB">
      <w:pPr>
        <w:ind w:left="1134" w:hanging="567"/>
      </w:pPr>
      <w:r w:rsidRPr="00394CEC">
        <w:br w:type="page"/>
        <w:t>c)</w:t>
      </w:r>
      <w:r w:rsidRPr="00394CEC">
        <w:tab/>
        <w:t>Multilaterala samarbetsprojekt enligt artikel 5.1 e. Projekten kan syfta till att</w:t>
      </w:r>
    </w:p>
    <w:p w:rsidR="00893675" w:rsidRPr="00394CEC" w:rsidRDefault="00893675" w:rsidP="003044AB">
      <w:pPr>
        <w:ind w:left="1134" w:hanging="567"/>
      </w:pPr>
    </w:p>
    <w:p w:rsidR="00893675" w:rsidRPr="00394CEC" w:rsidRDefault="00893675" w:rsidP="003044AB">
      <w:pPr>
        <w:ind w:left="1701" w:hanging="567"/>
        <w:rPr>
          <w:b/>
          <w:i/>
        </w:rPr>
      </w:pPr>
      <w:r w:rsidRPr="00394CEC">
        <w:t>i)</w:t>
      </w:r>
      <w:r w:rsidRPr="00394CEC">
        <w:tab/>
        <w:t>utarbeta, främja och sprida bästa utbildningsmetoder, inbegripet nya undervisningsmetoder eller läromedel,</w:t>
      </w:r>
    </w:p>
    <w:p w:rsidR="00893675" w:rsidRPr="00394CEC" w:rsidRDefault="00893675" w:rsidP="003044AB">
      <w:pPr>
        <w:ind w:left="1701" w:hanging="567"/>
      </w:pPr>
    </w:p>
    <w:p w:rsidR="00893675" w:rsidRPr="00394CEC" w:rsidRDefault="00893675" w:rsidP="003044AB">
      <w:pPr>
        <w:ind w:left="1701" w:hanging="567"/>
        <w:rPr>
          <w:b/>
          <w:i/>
        </w:rPr>
      </w:pPr>
      <w:r w:rsidRPr="00394CEC">
        <w:t>ii)</w:t>
      </w:r>
      <w:r w:rsidRPr="00394CEC">
        <w:tab/>
        <w:t>utveckla eller utbyta erfarenheter av system för tillhandahållande av information eller vägledning som särskilt är riktad till inlärare</w:t>
      </w:r>
      <w:r w:rsidRPr="00394CEC">
        <w:rPr>
          <w:b/>
        </w:rPr>
        <w:t xml:space="preserve">, </w:t>
      </w:r>
      <w:r w:rsidRPr="00394CEC">
        <w:t>lärare och annan personal som berörs av programmet Comenius,</w:t>
      </w:r>
    </w:p>
    <w:p w:rsidR="00893675" w:rsidRPr="00394CEC" w:rsidRDefault="00893675" w:rsidP="003044AB">
      <w:pPr>
        <w:ind w:left="1701" w:hanging="567"/>
      </w:pPr>
    </w:p>
    <w:p w:rsidR="00893675" w:rsidRPr="00394CEC" w:rsidRDefault="00893675" w:rsidP="003044AB">
      <w:pPr>
        <w:ind w:left="1701" w:hanging="567"/>
      </w:pPr>
      <w:r w:rsidRPr="00394CEC">
        <w:t>iii)</w:t>
      </w:r>
      <w:r w:rsidRPr="00394CEC">
        <w:tab/>
        <w:t>utarbeta, främja och sprida nya kurser för</w:t>
      </w:r>
      <w:r w:rsidR="002B1676" w:rsidRPr="00394CEC">
        <w:t xml:space="preserve"> lärare eller nytt kursinnehåll.</w:t>
      </w:r>
    </w:p>
    <w:p w:rsidR="00893675" w:rsidRPr="00394CEC" w:rsidRDefault="00893675" w:rsidP="003044AB">
      <w:pPr>
        <w:ind w:left="1134" w:hanging="567"/>
      </w:pPr>
    </w:p>
    <w:p w:rsidR="00893675" w:rsidRPr="00394CEC" w:rsidRDefault="00893675" w:rsidP="003044AB">
      <w:pPr>
        <w:ind w:left="1134" w:hanging="567"/>
      </w:pPr>
      <w:r w:rsidRPr="00394CEC">
        <w:t>d)</w:t>
      </w:r>
      <w:r w:rsidRPr="00394CEC">
        <w:tab/>
        <w:t>Nätverk enligt artikel 5.1 e. Nätverken kan syfta till att</w:t>
      </w:r>
    </w:p>
    <w:p w:rsidR="00893675" w:rsidRPr="00394CEC" w:rsidRDefault="00893675" w:rsidP="003044AB">
      <w:pPr>
        <w:ind w:left="1134" w:hanging="567"/>
      </w:pPr>
    </w:p>
    <w:p w:rsidR="00893675" w:rsidRPr="00394CEC" w:rsidRDefault="00893675" w:rsidP="003044AB">
      <w:pPr>
        <w:ind w:left="1701" w:hanging="567"/>
      </w:pPr>
      <w:r w:rsidRPr="00394CEC">
        <w:t>i)</w:t>
      </w:r>
      <w:r w:rsidRPr="00394CEC">
        <w:tab/>
        <w:t>utveckla utbildning inom nätverkens ämne eller ämnesområde, till gagn för nätverken själva eller utbildning i vidare bemärkelse,</w:t>
      </w:r>
    </w:p>
    <w:p w:rsidR="00893675" w:rsidRPr="00394CEC" w:rsidRDefault="00893675" w:rsidP="003044AB">
      <w:pPr>
        <w:ind w:left="1701" w:hanging="567"/>
      </w:pPr>
    </w:p>
    <w:p w:rsidR="00893675" w:rsidRPr="00394CEC" w:rsidRDefault="00893675" w:rsidP="003044AB">
      <w:pPr>
        <w:ind w:left="1701" w:hanging="567"/>
      </w:pPr>
      <w:r w:rsidRPr="00394CEC">
        <w:t>ii)</w:t>
      </w:r>
      <w:r w:rsidRPr="00394CEC">
        <w:tab/>
        <w:t>förvärva och sprida relevant god praxis och innovation,</w:t>
      </w:r>
    </w:p>
    <w:p w:rsidR="00893675" w:rsidRPr="00394CEC" w:rsidRDefault="00893675" w:rsidP="003044AB">
      <w:pPr>
        <w:ind w:left="1701" w:hanging="567"/>
      </w:pPr>
    </w:p>
    <w:p w:rsidR="00893675" w:rsidRPr="00394CEC" w:rsidRDefault="00893675" w:rsidP="003044AB">
      <w:pPr>
        <w:ind w:left="1701" w:hanging="567"/>
      </w:pPr>
      <w:r w:rsidRPr="00394CEC">
        <w:t>iii)</w:t>
      </w:r>
      <w:r w:rsidRPr="00394CEC">
        <w:tab/>
        <w:t>tillhandahålla stöd till innehållet i andras projekt och partnerskap,</w:t>
      </w:r>
    </w:p>
    <w:p w:rsidR="00893675" w:rsidRPr="00394CEC" w:rsidRDefault="00893675" w:rsidP="003044AB">
      <w:pPr>
        <w:ind w:left="1701" w:hanging="567"/>
      </w:pPr>
    </w:p>
    <w:p w:rsidR="00893675" w:rsidRPr="00394CEC" w:rsidRDefault="00893675" w:rsidP="003044AB">
      <w:pPr>
        <w:ind w:left="1701" w:hanging="567"/>
      </w:pPr>
      <w:r w:rsidRPr="00394CEC">
        <w:t>iv)</w:t>
      </w:r>
      <w:r w:rsidRPr="00394CEC">
        <w:tab/>
        <w:t>främja utvecklingen av behovsanalys och dess praktiska tillämpning inom skolutbildningen.</w:t>
      </w:r>
    </w:p>
    <w:p w:rsidR="00893675" w:rsidRPr="00394CEC" w:rsidRDefault="00893675" w:rsidP="003044AB">
      <w:pPr>
        <w:ind w:left="1134" w:hanging="567"/>
      </w:pPr>
    </w:p>
    <w:p w:rsidR="00893675" w:rsidRPr="00394CEC" w:rsidRDefault="00893675" w:rsidP="003044AB">
      <w:pPr>
        <w:ind w:left="1134" w:hanging="567"/>
      </w:pPr>
      <w:r w:rsidRPr="00394CEC">
        <w:t>e)</w:t>
      </w:r>
      <w:r w:rsidRPr="00394CEC">
        <w:tab/>
        <w:t>Andra initiativ som syftar till att främja programmet Comenius mål enligt artikel 5.1 h ("Kompletterande åtgärder").</w:t>
      </w:r>
    </w:p>
    <w:p w:rsidR="00893675" w:rsidRPr="00394CEC" w:rsidRDefault="00893675" w:rsidP="00893675"/>
    <w:p w:rsidR="00893675" w:rsidRPr="00394CEC" w:rsidRDefault="00893675" w:rsidP="003044AB">
      <w:pPr>
        <w:ind w:left="567" w:hanging="567"/>
      </w:pPr>
      <w:r w:rsidRPr="00394CEC">
        <w:t>2.</w:t>
      </w:r>
      <w:r w:rsidRPr="00394CEC">
        <w:tab/>
        <w:t>De operativa formerna för de insatser som avses i punkt 1 skall beslutas enligt förfarandet i artikel 10.2.</w:t>
      </w:r>
    </w:p>
    <w:p w:rsidR="00893675" w:rsidRPr="00394CEC" w:rsidRDefault="00893675" w:rsidP="00893675"/>
    <w:p w:rsidR="00893675" w:rsidRPr="00394CEC" w:rsidRDefault="00893675" w:rsidP="003044AB">
      <w:pPr>
        <w:jc w:val="center"/>
      </w:pPr>
      <w:r w:rsidRPr="00394CEC">
        <w:br w:type="page"/>
      </w:r>
      <w:r w:rsidRPr="00394CEC">
        <w:rPr>
          <w:i/>
        </w:rPr>
        <w:t>Artikel 20</w:t>
      </w:r>
      <w:r w:rsidRPr="00394CEC">
        <w:rPr>
          <w:i/>
        </w:rPr>
        <w:br/>
      </w:r>
      <w:r w:rsidRPr="00394CEC">
        <w:t>Budget</w:t>
      </w:r>
    </w:p>
    <w:p w:rsidR="00893675" w:rsidRPr="00394CEC" w:rsidRDefault="00893675" w:rsidP="003044AB">
      <w:pPr>
        <w:jc w:val="center"/>
      </w:pPr>
      <w:r w:rsidRPr="00394CEC">
        <w:rPr>
          <w:rStyle w:val="Fotnotsreferens"/>
        </w:rPr>
        <w:footnoteReference w:id="32"/>
      </w:r>
      <w:r w:rsidRPr="00394CEC">
        <w:t xml:space="preserve"> [För närvarande utesluten ur texten]</w:t>
      </w:r>
    </w:p>
    <w:p w:rsidR="00893675" w:rsidRPr="00394CEC" w:rsidRDefault="00893675" w:rsidP="00893675"/>
    <w:p w:rsidR="00893675" w:rsidRPr="00394CEC" w:rsidRDefault="00893675" w:rsidP="003044AB">
      <w:pPr>
        <w:jc w:val="center"/>
        <w:rPr>
          <w:i/>
        </w:rPr>
      </w:pPr>
      <w:r w:rsidRPr="00394CEC">
        <w:rPr>
          <w:i/>
        </w:rPr>
        <w:t>Artikel 21</w:t>
      </w:r>
    </w:p>
    <w:p w:rsidR="00893675" w:rsidRPr="00394CEC" w:rsidRDefault="00893675" w:rsidP="003044AB">
      <w:pPr>
        <w:jc w:val="center"/>
      </w:pPr>
      <w:r w:rsidRPr="00394CEC">
        <w:t>[Utgår]</w:t>
      </w:r>
    </w:p>
    <w:p w:rsidR="00893675" w:rsidRPr="00394CEC" w:rsidRDefault="00893675" w:rsidP="003044AB">
      <w:pPr>
        <w:jc w:val="center"/>
      </w:pPr>
    </w:p>
    <w:p w:rsidR="00893675" w:rsidRPr="00394CEC" w:rsidRDefault="00893675" w:rsidP="003044AB">
      <w:pPr>
        <w:jc w:val="center"/>
        <w:rPr>
          <w:b/>
        </w:rPr>
      </w:pPr>
      <w:bookmarkStart w:id="30" w:name="Era"/>
      <w:bookmarkEnd w:id="30"/>
      <w:r w:rsidRPr="00394CEC">
        <w:rPr>
          <w:b/>
        </w:rPr>
        <w:t>Kapitel II</w:t>
      </w:r>
    </w:p>
    <w:p w:rsidR="00893675" w:rsidRPr="00394CEC" w:rsidRDefault="00893675" w:rsidP="003044AB">
      <w:pPr>
        <w:jc w:val="center"/>
        <w:rPr>
          <w:b/>
        </w:rPr>
      </w:pPr>
      <w:r w:rsidRPr="00394CEC">
        <w:rPr>
          <w:b/>
        </w:rPr>
        <w:t>Programmet</w:t>
      </w:r>
      <w:r w:rsidRPr="00394CEC">
        <w:t xml:space="preserve"> </w:t>
      </w:r>
      <w:r w:rsidRPr="00394CEC">
        <w:rPr>
          <w:b/>
        </w:rPr>
        <w:t>Erasmus</w:t>
      </w:r>
    </w:p>
    <w:p w:rsidR="00893675" w:rsidRPr="00394CEC" w:rsidRDefault="00893675" w:rsidP="003044AB">
      <w:pPr>
        <w:jc w:val="center"/>
        <w:rPr>
          <w:i/>
        </w:rPr>
      </w:pPr>
    </w:p>
    <w:p w:rsidR="00893675" w:rsidRPr="00394CEC" w:rsidRDefault="00893675" w:rsidP="003044AB">
      <w:pPr>
        <w:jc w:val="center"/>
      </w:pPr>
      <w:r w:rsidRPr="00394CEC">
        <w:rPr>
          <w:i/>
        </w:rPr>
        <w:t>Artikel 22</w:t>
      </w:r>
      <w:r w:rsidRPr="00394CEC">
        <w:br/>
        <w:t>Tillträde till programmet Erasmus</w:t>
      </w:r>
    </w:p>
    <w:p w:rsidR="00893675" w:rsidRPr="00394CEC" w:rsidRDefault="00893675" w:rsidP="00893675"/>
    <w:p w:rsidR="00893675" w:rsidRPr="00394CEC" w:rsidRDefault="00893675" w:rsidP="00893675">
      <w:r w:rsidRPr="00394CEC">
        <w:t>Inom ramen för programmet för livslångt lärande riktar programmet Erasmus sig till följande målgrupper:</w:t>
      </w:r>
    </w:p>
    <w:p w:rsidR="00893675" w:rsidRPr="00394CEC" w:rsidRDefault="00893675" w:rsidP="00893675"/>
    <w:p w:rsidR="00893675" w:rsidRPr="00394CEC" w:rsidRDefault="00893675" w:rsidP="00893675">
      <w:r w:rsidRPr="00394CEC">
        <w:t>a)</w:t>
      </w:r>
      <w:r w:rsidRPr="00394CEC">
        <w:tab/>
        <w:t>Studenter och praktikanter som deltar i någon form av eftergymnasial utbildning.</w:t>
      </w:r>
    </w:p>
    <w:p w:rsidR="00893675" w:rsidRPr="00394CEC" w:rsidRDefault="00893675" w:rsidP="00893675"/>
    <w:p w:rsidR="00893675" w:rsidRPr="00394CEC" w:rsidRDefault="00893675" w:rsidP="00893675">
      <w:r w:rsidRPr="00394CEC">
        <w:t>b)</w:t>
      </w:r>
      <w:r w:rsidRPr="00394CEC">
        <w:tab/>
        <w:t>Högre utbildningsanstalter, enligt specifikation av medlemsstaterna.</w:t>
      </w:r>
    </w:p>
    <w:p w:rsidR="00893675" w:rsidRPr="00394CEC" w:rsidRDefault="00893675" w:rsidP="00893675"/>
    <w:p w:rsidR="00893675" w:rsidRPr="00394CEC" w:rsidRDefault="00893675" w:rsidP="00893675">
      <w:r w:rsidRPr="00394CEC">
        <w:t>c)</w:t>
      </w:r>
      <w:r w:rsidRPr="00394CEC">
        <w:tab/>
        <w:t>Lärare, utbildare och övrig personal</w:t>
      </w:r>
      <w:r w:rsidRPr="00394CEC">
        <w:rPr>
          <w:b/>
        </w:rPr>
        <w:t xml:space="preserve"> </w:t>
      </w:r>
      <w:r w:rsidRPr="00394CEC">
        <w:t>vid dessa inrättningar.</w:t>
      </w:r>
    </w:p>
    <w:p w:rsidR="00893675" w:rsidRPr="00394CEC" w:rsidRDefault="00893675" w:rsidP="00893675"/>
    <w:p w:rsidR="00893675" w:rsidRPr="00394CEC" w:rsidRDefault="00893675" w:rsidP="003044AB">
      <w:pPr>
        <w:ind w:left="567" w:hanging="567"/>
      </w:pPr>
      <w:r w:rsidRPr="00394CEC">
        <w:t>d)</w:t>
      </w:r>
      <w:r w:rsidRPr="00394CEC">
        <w:tab/>
        <w:t>Sammanslutningar och företrädare för personer som är engagerade i högre utbildning, inbegripet berörda student</w:t>
      </w:r>
      <w:r w:rsidRPr="00394CEC">
        <w:noBreakHyphen/>
        <w:t>, universitets</w:t>
      </w:r>
      <w:r w:rsidRPr="00394CEC">
        <w:noBreakHyphen/>
        <w:t xml:space="preserve"> och lärarsammanslutningar.</w:t>
      </w:r>
    </w:p>
    <w:p w:rsidR="00893675" w:rsidRPr="00394CEC" w:rsidRDefault="00893675" w:rsidP="00893675"/>
    <w:p w:rsidR="00893675" w:rsidRPr="00394CEC" w:rsidRDefault="00893675" w:rsidP="00893675">
      <w:r w:rsidRPr="00394CEC">
        <w:br w:type="page"/>
        <w:t>e)</w:t>
      </w:r>
      <w:r w:rsidRPr="00394CEC">
        <w:tab/>
        <w:t>Företag, arbetsmarknadens parter och övriga företrädare för arbetslivet.</w:t>
      </w:r>
    </w:p>
    <w:p w:rsidR="00893675" w:rsidRPr="00394CEC" w:rsidRDefault="00893675" w:rsidP="00893675"/>
    <w:p w:rsidR="00893675" w:rsidRPr="00394CEC" w:rsidRDefault="00893675" w:rsidP="00CF30D7">
      <w:pPr>
        <w:ind w:left="567" w:hanging="567"/>
      </w:pPr>
      <w:r w:rsidRPr="00394CEC">
        <w:t>f)</w:t>
      </w:r>
      <w:r w:rsidRPr="00394CEC">
        <w:tab/>
        <w:t>Offentliga och privata organisationer</w:t>
      </w:r>
      <w:r w:rsidRPr="00394CEC">
        <w:rPr>
          <w:b/>
        </w:rPr>
        <w:t xml:space="preserve">, </w:t>
      </w:r>
      <w:r w:rsidRPr="00394CEC">
        <w:t>inbegripet ideella organisationer och icke</w:t>
      </w:r>
      <w:r w:rsidRPr="00394CEC">
        <w:noBreakHyphen/>
        <w:t>statliga organisationer, ansvariga för anordnande och tillhandahållande av utbildning på lokal, regional och nationell</w:t>
      </w:r>
      <w:r w:rsidRPr="00394CEC">
        <w:rPr>
          <w:b/>
        </w:rPr>
        <w:t xml:space="preserve"> </w:t>
      </w:r>
      <w:r w:rsidRPr="00394CEC">
        <w:t>nivå.</w:t>
      </w:r>
    </w:p>
    <w:p w:rsidR="00893675" w:rsidRPr="00394CEC" w:rsidRDefault="00893675" w:rsidP="00893675"/>
    <w:p w:rsidR="00893675" w:rsidRPr="00394CEC" w:rsidRDefault="00893675" w:rsidP="00893675">
      <w:r w:rsidRPr="00394CEC">
        <w:t>g)</w:t>
      </w:r>
      <w:r w:rsidRPr="00394CEC">
        <w:tab/>
        <w:t>Forskningscentrum och forskningsorgan som sysslar med frågor som rör livslångt lärande.</w:t>
      </w:r>
    </w:p>
    <w:p w:rsidR="00893675" w:rsidRPr="00394CEC" w:rsidRDefault="00893675" w:rsidP="00893675"/>
    <w:p w:rsidR="00893675" w:rsidRPr="00394CEC" w:rsidRDefault="00893675" w:rsidP="00893675">
      <w:r w:rsidRPr="00394CEC">
        <w:t>h)</w:t>
      </w:r>
      <w:r w:rsidRPr="00394CEC">
        <w:tab/>
        <w:t>Organ som tillhandahåller vägledning, rådgivning och information.</w:t>
      </w:r>
    </w:p>
    <w:p w:rsidR="00893675" w:rsidRPr="00394CEC" w:rsidRDefault="00893675" w:rsidP="00893675"/>
    <w:p w:rsidR="00893675" w:rsidRPr="00394CEC" w:rsidRDefault="00893675" w:rsidP="00CF30D7">
      <w:pPr>
        <w:jc w:val="center"/>
        <w:rPr>
          <w:b/>
          <w:i/>
        </w:rPr>
      </w:pPr>
      <w:r w:rsidRPr="00394CEC">
        <w:rPr>
          <w:i/>
        </w:rPr>
        <w:t>Artikel 23</w:t>
      </w:r>
      <w:r w:rsidRPr="00394CEC">
        <w:rPr>
          <w:i/>
        </w:rPr>
        <w:br/>
      </w:r>
      <w:r w:rsidRPr="00394CEC">
        <w:t>Mål</w:t>
      </w:r>
    </w:p>
    <w:p w:rsidR="00893675" w:rsidRPr="00394CEC" w:rsidRDefault="00893675" w:rsidP="00893675"/>
    <w:p w:rsidR="00893675" w:rsidRPr="00394CEC" w:rsidRDefault="00893675" w:rsidP="00CF30D7">
      <w:pPr>
        <w:ind w:left="567" w:hanging="567"/>
      </w:pPr>
      <w:r w:rsidRPr="00394CEC">
        <w:t>1.</w:t>
      </w:r>
      <w:r w:rsidRPr="00394CEC">
        <w:tab/>
        <w:t>Utöver de mål för programmet för livslångt lärande som anges i artikel 1 skall programmet Erasmus ha följande särskilda mål:</w:t>
      </w:r>
    </w:p>
    <w:p w:rsidR="00893675" w:rsidRPr="00394CEC" w:rsidRDefault="00893675" w:rsidP="00893675"/>
    <w:p w:rsidR="00893675" w:rsidRPr="00394CEC" w:rsidRDefault="00893675" w:rsidP="00CF30D7">
      <w:pPr>
        <w:ind w:left="567"/>
      </w:pPr>
      <w:r w:rsidRPr="00394CEC">
        <w:t>a)</w:t>
      </w:r>
      <w:r w:rsidRPr="00394CEC">
        <w:tab/>
        <w:t>Att stödja förverkligandet av ett europeiskt område för högre utbildning.</w:t>
      </w:r>
    </w:p>
    <w:p w:rsidR="00893675" w:rsidRPr="00394CEC" w:rsidRDefault="00893675" w:rsidP="00CF30D7">
      <w:pPr>
        <w:ind w:left="567"/>
      </w:pPr>
    </w:p>
    <w:p w:rsidR="00893675" w:rsidRPr="00394CEC" w:rsidRDefault="00893675" w:rsidP="00CF30D7">
      <w:pPr>
        <w:ind w:left="1134" w:hanging="567"/>
      </w:pPr>
      <w:r w:rsidRPr="00394CEC">
        <w:t>b)</w:t>
      </w:r>
      <w:r w:rsidRPr="00394CEC">
        <w:tab/>
        <w:t>Att förstärka bidraget från högre utbildning och avancerad yrkesinriktad utbildning till innovationsprocessen.</w:t>
      </w:r>
    </w:p>
    <w:p w:rsidR="00893675" w:rsidRPr="00394CEC" w:rsidRDefault="00893675" w:rsidP="00893675"/>
    <w:p w:rsidR="00893675" w:rsidRPr="00394CEC" w:rsidRDefault="00893675" w:rsidP="00893675">
      <w:r w:rsidRPr="00394CEC">
        <w:t>2.</w:t>
      </w:r>
      <w:r w:rsidRPr="00394CEC">
        <w:tab/>
        <w:t>Programmet Erasmus skall ha följande operativa mål:</w:t>
      </w:r>
    </w:p>
    <w:p w:rsidR="00893675" w:rsidRPr="00394CEC" w:rsidRDefault="00893675" w:rsidP="00893675"/>
    <w:p w:rsidR="00893675" w:rsidRPr="00394CEC" w:rsidRDefault="00893675" w:rsidP="00CF30D7">
      <w:pPr>
        <w:ind w:left="1134" w:hanging="567"/>
      </w:pPr>
      <w:r w:rsidRPr="00394CEC">
        <w:t>a)</w:t>
      </w:r>
      <w:r w:rsidRPr="00394CEC">
        <w:tab/>
        <w:t>Att förbättra kvaliteten på [</w:t>
      </w:r>
      <w:r w:rsidR="00CF30D7" w:rsidRPr="00394CEC">
        <w:t>...</w:t>
      </w:r>
      <w:r w:rsidRPr="00394CEC">
        <w:t>]</w:t>
      </w:r>
      <w:r w:rsidRPr="00394CEC">
        <w:rPr>
          <w:rStyle w:val="Fotnotsreferens"/>
        </w:rPr>
        <w:footnoteReference w:id="33"/>
      </w:r>
      <w:r w:rsidRPr="00394CEC">
        <w:t xml:space="preserve"> student</w:t>
      </w:r>
      <w:r w:rsidRPr="00394CEC">
        <w:noBreakHyphen/>
        <w:t xml:space="preserve"> och lärarrörlighet i hela Europa för att bidra till </w:t>
      </w:r>
      <w:r w:rsidR="00CF30D7" w:rsidRPr="00394CEC">
        <w:t>att fram till år 2011 minst [...</w:t>
      </w:r>
      <w:r w:rsidRPr="00394CEC">
        <w:t>]</w:t>
      </w:r>
      <w:r w:rsidRPr="00394CEC">
        <w:rPr>
          <w:rStyle w:val="Fotnotsreferens"/>
        </w:rPr>
        <w:footnoteReference w:id="34"/>
      </w:r>
      <w:r w:rsidRPr="00394CEC">
        <w:t xml:space="preserve"> enskilda personer skall ha deltagit i studentrörlighet inom Erasmusprogrammet och dess föregångare.</w:t>
      </w:r>
    </w:p>
    <w:p w:rsidR="00893675" w:rsidRPr="00394CEC" w:rsidRDefault="00893675" w:rsidP="00893675"/>
    <w:p w:rsidR="00893675" w:rsidRPr="00394CEC" w:rsidRDefault="00893675" w:rsidP="00CF30D7">
      <w:pPr>
        <w:ind w:left="1134" w:hanging="567"/>
      </w:pPr>
      <w:r w:rsidRPr="00394CEC">
        <w:br w:type="page"/>
        <w:t>b)</w:t>
      </w:r>
      <w:r w:rsidRPr="00394CEC">
        <w:tab/>
        <w:t xml:space="preserve">Att förbättra </w:t>
      </w:r>
      <w:r w:rsidR="00CF30D7" w:rsidRPr="00394CEC">
        <w:t>kvaliteten på [...</w:t>
      </w:r>
      <w:r w:rsidRPr="00394CEC">
        <w:t>]</w:t>
      </w:r>
      <w:r w:rsidRPr="00394CEC">
        <w:rPr>
          <w:rStyle w:val="Fotnotsreferens"/>
        </w:rPr>
        <w:footnoteReference w:id="35"/>
      </w:r>
      <w:r w:rsidRPr="00394CEC">
        <w:t xml:space="preserve"> multilateralt samarbete mellan högre utbildningsanstalter i Europa.</w:t>
      </w:r>
    </w:p>
    <w:p w:rsidR="00893675" w:rsidRPr="00394CEC" w:rsidRDefault="00893675" w:rsidP="00CF30D7">
      <w:pPr>
        <w:ind w:left="1134" w:hanging="567"/>
      </w:pPr>
    </w:p>
    <w:p w:rsidR="00893675" w:rsidRPr="00394CEC" w:rsidRDefault="00893675" w:rsidP="00CF30D7">
      <w:pPr>
        <w:ind w:left="1134" w:hanging="567"/>
      </w:pPr>
      <w:r w:rsidRPr="00394CEC">
        <w:t>c)</w:t>
      </w:r>
      <w:r w:rsidRPr="00394CEC">
        <w:tab/>
        <w:t>Att öka graden av öppenhet och kompatibilitet mellan europeiska utbildningsbevis inom högre utbildning och avancerad yrkesutbildning.</w:t>
      </w:r>
    </w:p>
    <w:p w:rsidR="00893675" w:rsidRPr="00394CEC" w:rsidRDefault="00893675" w:rsidP="00CF30D7">
      <w:pPr>
        <w:ind w:left="1134" w:hanging="567"/>
      </w:pPr>
    </w:p>
    <w:p w:rsidR="00893675" w:rsidRPr="00394CEC" w:rsidRDefault="00893675" w:rsidP="00CF30D7">
      <w:pPr>
        <w:ind w:left="1134" w:hanging="567"/>
      </w:pPr>
      <w:r w:rsidRPr="00394CEC">
        <w:t>d)</w:t>
      </w:r>
      <w:r w:rsidRPr="00394CEC">
        <w:tab/>
        <w:t xml:space="preserve">Att förbättra kvaliteten </w:t>
      </w:r>
      <w:r w:rsidR="00CF30D7" w:rsidRPr="00394CEC">
        <w:t>på [...</w:t>
      </w:r>
      <w:r w:rsidRPr="00394CEC">
        <w:t>]</w:t>
      </w:r>
      <w:r w:rsidRPr="00394CEC">
        <w:rPr>
          <w:rStyle w:val="Fotnotsreferens"/>
        </w:rPr>
        <w:footnoteReference w:id="36"/>
      </w:r>
      <w:r w:rsidRPr="00394CEC">
        <w:t xml:space="preserve"> samarbetet mellan högre utbildningsanstalter och företag.</w:t>
      </w:r>
    </w:p>
    <w:p w:rsidR="00893675" w:rsidRPr="00394CEC" w:rsidRDefault="00893675" w:rsidP="00CF30D7">
      <w:pPr>
        <w:ind w:left="1134" w:hanging="567"/>
      </w:pPr>
    </w:p>
    <w:p w:rsidR="00893675" w:rsidRPr="00394CEC" w:rsidRDefault="00893675" w:rsidP="00CF30D7">
      <w:pPr>
        <w:ind w:left="1134" w:hanging="567"/>
      </w:pPr>
      <w:r w:rsidRPr="00394CEC">
        <w:t>e)</w:t>
      </w:r>
      <w:r w:rsidRPr="00394CEC">
        <w:tab/>
        <w:t>Att underlätta utvecklingen av innovativ praxis inom utbildning och yrkesutbildning på eftergymnasial nivå och överföring av denna, inbegripet från ett medverkande land till andra.</w:t>
      </w:r>
    </w:p>
    <w:p w:rsidR="00893675" w:rsidRPr="00394CEC" w:rsidRDefault="00893675" w:rsidP="00CF30D7">
      <w:pPr>
        <w:ind w:left="1134" w:hanging="567"/>
      </w:pPr>
    </w:p>
    <w:p w:rsidR="00893675" w:rsidRPr="00394CEC" w:rsidRDefault="00893675" w:rsidP="00CF30D7">
      <w:pPr>
        <w:ind w:left="1134" w:hanging="567"/>
      </w:pPr>
      <w:r w:rsidRPr="00394CEC">
        <w:t>f)</w:t>
      </w:r>
      <w:r w:rsidRPr="00394CEC">
        <w:tab/>
        <w:t>Att stödja utvecklingen av innovativt innehåll, tjänster, pedagogik och praktik för livslångt lärande, grundat på informations</w:t>
      </w:r>
      <w:r w:rsidRPr="00394CEC">
        <w:noBreakHyphen/>
        <w:t xml:space="preserve"> och kommunikationsteknik.</w:t>
      </w:r>
    </w:p>
    <w:p w:rsidR="00893675" w:rsidRPr="00394CEC" w:rsidRDefault="00893675" w:rsidP="00893675"/>
    <w:p w:rsidR="00893675" w:rsidRPr="00394CEC" w:rsidRDefault="00893675" w:rsidP="00CF30D7">
      <w:pPr>
        <w:jc w:val="center"/>
      </w:pPr>
      <w:r w:rsidRPr="00394CEC">
        <w:rPr>
          <w:i/>
        </w:rPr>
        <w:t>Artikel 24</w:t>
      </w:r>
      <w:r w:rsidRPr="00394CEC">
        <w:rPr>
          <w:i/>
        </w:rPr>
        <w:br/>
      </w:r>
      <w:r w:rsidRPr="00394CEC">
        <w:t>Insatser</w:t>
      </w:r>
    </w:p>
    <w:p w:rsidR="00893675" w:rsidRPr="00394CEC" w:rsidRDefault="00893675" w:rsidP="00893675"/>
    <w:p w:rsidR="00893675" w:rsidRPr="00394CEC" w:rsidRDefault="00893675" w:rsidP="00893675">
      <w:r w:rsidRPr="00394CEC">
        <w:t>1.</w:t>
      </w:r>
      <w:r w:rsidRPr="00394CEC">
        <w:tab/>
        <w:t>Följande insatser kan få bidrag ur programmet Erasmus:</w:t>
      </w:r>
    </w:p>
    <w:p w:rsidR="00893675" w:rsidRPr="00394CEC" w:rsidRDefault="00893675" w:rsidP="00893675"/>
    <w:p w:rsidR="00893675" w:rsidRPr="00394CEC" w:rsidRDefault="00893675" w:rsidP="00CF30D7">
      <w:pPr>
        <w:ind w:left="1134" w:hanging="567"/>
      </w:pPr>
      <w:r w:rsidRPr="00394CEC">
        <w:t>a)</w:t>
      </w:r>
      <w:r w:rsidRPr="00394CEC">
        <w:tab/>
        <w:t>Enskilda personers rörlighet enligt artikel 5.1 a. Sådan rörlighet kan omfatta</w:t>
      </w:r>
    </w:p>
    <w:p w:rsidR="00893675" w:rsidRPr="00394CEC" w:rsidRDefault="00893675" w:rsidP="00CF30D7">
      <w:pPr>
        <w:ind w:left="1134" w:hanging="567"/>
      </w:pPr>
    </w:p>
    <w:p w:rsidR="00893675" w:rsidRPr="00394CEC" w:rsidRDefault="00893675" w:rsidP="00CF30D7">
      <w:pPr>
        <w:ind w:left="1701" w:hanging="567"/>
      </w:pPr>
      <w:r w:rsidRPr="00394CEC">
        <w:t>i)</w:t>
      </w:r>
      <w:r w:rsidRPr="00394CEC">
        <w:tab/>
        <w:t>studentrörlighet i studiesyfte eller för praktik i medlemsstaterna</w:t>
      </w:r>
      <w:r w:rsidRPr="00394CEC">
        <w:rPr>
          <w:b/>
        </w:rPr>
        <w:t xml:space="preserve"> </w:t>
      </w:r>
      <w:r w:rsidRPr="00394CEC">
        <w:t>vid högre utbildningsanstalter, samt praktik vid företag, utbildningscentrum, forskningscentrum eller andra organisationer,</w:t>
      </w:r>
    </w:p>
    <w:p w:rsidR="00893675" w:rsidRPr="00394CEC" w:rsidRDefault="00893675" w:rsidP="00CF30D7">
      <w:pPr>
        <w:ind w:left="1701" w:hanging="567"/>
      </w:pPr>
    </w:p>
    <w:p w:rsidR="00893675" w:rsidRPr="00394CEC" w:rsidRDefault="00893675" w:rsidP="00CF30D7">
      <w:pPr>
        <w:ind w:left="1701" w:hanging="567"/>
      </w:pPr>
      <w:r w:rsidRPr="00394CEC">
        <w:t>ii)</w:t>
      </w:r>
      <w:r w:rsidRPr="00394CEC">
        <w:tab/>
        <w:t>rörlighet för högskolelärare för att de skall undervisa eller fortbilda sig vid en partnerinstitution utomlands,</w:t>
      </w:r>
    </w:p>
    <w:p w:rsidR="00893675" w:rsidRPr="00394CEC" w:rsidRDefault="00893675" w:rsidP="00893675"/>
    <w:p w:rsidR="00893675" w:rsidRPr="00394CEC" w:rsidRDefault="00893675" w:rsidP="00CF30D7">
      <w:pPr>
        <w:ind w:left="1701" w:hanging="567"/>
      </w:pPr>
      <w:r w:rsidRPr="00394CEC">
        <w:br w:type="page"/>
        <w:t>iii)</w:t>
      </w:r>
      <w:r w:rsidRPr="00394CEC">
        <w:tab/>
        <w:t>rörlighet för övrig högskolepersonal samt personal vid företag i utbildnings</w:t>
      </w:r>
      <w:r w:rsidRPr="00394CEC">
        <w:noBreakHyphen/>
        <w:t xml:space="preserve"> eller undervisningssyfte,</w:t>
      </w:r>
    </w:p>
    <w:p w:rsidR="00893675" w:rsidRPr="00394CEC" w:rsidRDefault="00893675" w:rsidP="00CF30D7">
      <w:pPr>
        <w:ind w:left="1701" w:hanging="567"/>
      </w:pPr>
    </w:p>
    <w:p w:rsidR="00893675" w:rsidRPr="00394CEC" w:rsidRDefault="00893675" w:rsidP="00CF30D7">
      <w:pPr>
        <w:ind w:left="1701" w:hanging="567"/>
      </w:pPr>
      <w:r w:rsidRPr="00394CEC">
        <w:t>iv)</w:t>
      </w:r>
      <w:r w:rsidRPr="00394CEC">
        <w:tab/>
        <w:t>multilaterala intensivprogram inom Erasmus.</w:t>
      </w:r>
    </w:p>
    <w:p w:rsidR="00893675" w:rsidRPr="00394CEC" w:rsidRDefault="00893675" w:rsidP="00893675"/>
    <w:p w:rsidR="00893675" w:rsidRPr="00394CEC" w:rsidRDefault="00893675" w:rsidP="00CF30D7">
      <w:pPr>
        <w:ind w:left="567"/>
        <w:rPr>
          <w:b/>
        </w:rPr>
      </w:pPr>
      <w:r w:rsidRPr="00394CEC">
        <w:t>Bidrag kan också beviljas till hem</w:t>
      </w:r>
      <w:r w:rsidRPr="00394CEC">
        <w:noBreakHyphen/>
        <w:t xml:space="preserve"> eller värdhögskolor eller företag till insatser för att säkerställa kvalitet inom alla etapper av rörlighetssystemen, inbegripet förberedande kurser eller fortbildningskurser i språk.</w:t>
      </w:r>
    </w:p>
    <w:p w:rsidR="00893675" w:rsidRPr="00394CEC" w:rsidRDefault="00893675" w:rsidP="00893675"/>
    <w:p w:rsidR="00893675" w:rsidRPr="00394CEC" w:rsidRDefault="00893675" w:rsidP="00CF30D7">
      <w:pPr>
        <w:ind w:left="1134" w:hanging="567"/>
      </w:pPr>
      <w:r w:rsidRPr="00394CEC">
        <w:t>aa)</w:t>
      </w:r>
      <w:r w:rsidRPr="00394CEC">
        <w:tab/>
        <w:t>Multilaterala projekt enligt artikel 5.1 c, särskilt de som syftar till att förbättra den högre utbildningen genom överföring av innovation och god praxis.</w:t>
      </w:r>
    </w:p>
    <w:p w:rsidR="00893675" w:rsidRPr="00394CEC" w:rsidRDefault="00893675" w:rsidP="00CF30D7">
      <w:pPr>
        <w:ind w:left="1134" w:hanging="567"/>
      </w:pPr>
    </w:p>
    <w:p w:rsidR="00893675" w:rsidRPr="00394CEC" w:rsidRDefault="00893675" w:rsidP="00CF30D7">
      <w:pPr>
        <w:ind w:left="1134" w:hanging="567"/>
      </w:pPr>
      <w:r w:rsidRPr="00394CEC">
        <w:t>b)</w:t>
      </w:r>
      <w:r w:rsidRPr="00394CEC">
        <w:tab/>
        <w:t>Multilaterala projekt enligt artikel 5.1 e, med inriktning bl.a. på innovation och försöksverksamhet och utbyte av god praxis inom de områden som anges under de särskilda och de operativa målen.</w:t>
      </w:r>
    </w:p>
    <w:p w:rsidR="00893675" w:rsidRPr="00394CEC" w:rsidRDefault="00893675" w:rsidP="00CF30D7">
      <w:pPr>
        <w:ind w:left="1134" w:hanging="567"/>
      </w:pPr>
    </w:p>
    <w:p w:rsidR="00893675" w:rsidRPr="00394CEC" w:rsidRDefault="00893675" w:rsidP="00CF30D7">
      <w:pPr>
        <w:ind w:left="1134" w:hanging="567"/>
      </w:pPr>
      <w:r w:rsidRPr="00394CEC">
        <w:t>c)</w:t>
      </w:r>
      <w:r w:rsidRPr="00394CEC">
        <w:tab/>
        <w:t>Nätverk enligt artikel 5.1 e som drivs av högskolekonsortier och representerar ett ämne eller ett ämnesövergripande område ("tematiska nätverk inom Erasmus"), med syftet att utarbeta nya inlärningsbegrepp och inlärningsfärdigheter. Sådana nätverk får också inbegripa företrädare från andra offentliga organ eller från företag eller sammanslutningar.</w:t>
      </w:r>
    </w:p>
    <w:p w:rsidR="00893675" w:rsidRPr="00394CEC" w:rsidRDefault="00893675" w:rsidP="00CF30D7">
      <w:pPr>
        <w:ind w:left="1134" w:hanging="567"/>
      </w:pPr>
    </w:p>
    <w:p w:rsidR="00893675" w:rsidRPr="00394CEC" w:rsidRDefault="00893675" w:rsidP="00CF30D7">
      <w:pPr>
        <w:ind w:left="1134" w:hanging="567"/>
      </w:pPr>
      <w:r w:rsidRPr="00394CEC">
        <w:t>d)</w:t>
      </w:r>
      <w:r w:rsidRPr="00394CEC">
        <w:tab/>
        <w:t>Andra initiativ som syftar till att bidra till programmet Erasmus mål, enligt artikel 5.1 h ("Kompletterande åtgärder").</w:t>
      </w:r>
    </w:p>
    <w:p w:rsidR="00893675" w:rsidRPr="00394CEC" w:rsidRDefault="00893675" w:rsidP="00893675"/>
    <w:p w:rsidR="00893675" w:rsidRPr="00394CEC" w:rsidRDefault="00893675" w:rsidP="00CF30D7">
      <w:pPr>
        <w:ind w:left="567" w:hanging="567"/>
      </w:pPr>
      <w:r w:rsidRPr="00394CEC">
        <w:br w:type="page"/>
        <w:t>2.</w:t>
      </w:r>
      <w:r w:rsidRPr="00394CEC">
        <w:tab/>
        <w:t>Enskilda personer som deltar i rörlighet enligt punkt 1 a i ("Erasmusstudenter") skall vara något av följande:</w:t>
      </w:r>
    </w:p>
    <w:p w:rsidR="00893675" w:rsidRPr="00394CEC" w:rsidRDefault="00893675" w:rsidP="00893675"/>
    <w:p w:rsidR="00893675" w:rsidRPr="00394CEC" w:rsidRDefault="00893675" w:rsidP="00CF30D7">
      <w:pPr>
        <w:ind w:left="1134" w:hanging="567"/>
      </w:pPr>
      <w:r w:rsidRPr="00394CEC">
        <w:t>a)</w:t>
      </w:r>
      <w:r w:rsidRPr="00394CEC">
        <w:tab/>
        <w:t>Studenter vid högre utbildningsanstalter som, efter att ha skrivit in sig för åtminstone ett</w:t>
      </w:r>
      <w:r w:rsidR="002B1676" w:rsidRPr="00394CEC">
        <w:t> </w:t>
      </w:r>
      <w:r w:rsidRPr="00394CEC">
        <w:t>andra studieår, tillbringar en studieperiod i en annan medlemsstat</w:t>
      </w:r>
      <w:r w:rsidRPr="00394CEC">
        <w:rPr>
          <w:b/>
        </w:rPr>
        <w:t xml:space="preserve"> </w:t>
      </w:r>
      <w:r w:rsidRPr="00394CEC">
        <w:t>inom ramen för rörlighet inom programmet Erasmus, oavsett om de fått ekonomiskt bidrag ur programmet. Sådana studieperioder skall till fullo godkännas enligt högskoleavtalen mellan de utsändande och de mottagande högskolorna. Den mottagande högskolan skall inte ta ut kursavgifter från sådana studenter.</w:t>
      </w:r>
    </w:p>
    <w:p w:rsidR="00893675" w:rsidRPr="00394CEC" w:rsidRDefault="00893675" w:rsidP="00CF30D7">
      <w:pPr>
        <w:ind w:left="1134" w:hanging="567"/>
      </w:pPr>
    </w:p>
    <w:p w:rsidR="00893675" w:rsidRPr="00394CEC" w:rsidRDefault="00893675" w:rsidP="00CF30D7">
      <w:pPr>
        <w:ind w:left="1134" w:hanging="567"/>
      </w:pPr>
      <w:r w:rsidRPr="00394CEC">
        <w:t>b)</w:t>
      </w:r>
      <w:r w:rsidRPr="00394CEC">
        <w:tab/>
        <w:t>Studenter som är anmälda till en gemensam magisterkurs och deltar i rörlighet.</w:t>
      </w:r>
    </w:p>
    <w:p w:rsidR="00893675" w:rsidRPr="00394CEC" w:rsidRDefault="00893675" w:rsidP="00CF30D7">
      <w:pPr>
        <w:ind w:left="1134" w:hanging="567"/>
        <w:rPr>
          <w:b/>
        </w:rPr>
      </w:pPr>
    </w:p>
    <w:p w:rsidR="00893675" w:rsidRPr="00394CEC" w:rsidRDefault="00893675" w:rsidP="00CF30D7">
      <w:pPr>
        <w:ind w:left="1134" w:hanging="567"/>
      </w:pPr>
      <w:r w:rsidRPr="00394CEC">
        <w:t>c)</w:t>
      </w:r>
      <w:r w:rsidRPr="00394CEC">
        <w:tab/>
        <w:t>Högskolestudenter som deltar i praktik.</w:t>
      </w:r>
    </w:p>
    <w:p w:rsidR="00893675" w:rsidRPr="00394CEC" w:rsidRDefault="00893675" w:rsidP="00893675"/>
    <w:p w:rsidR="00893675" w:rsidRPr="00394CEC" w:rsidRDefault="00893675" w:rsidP="00CF30D7">
      <w:pPr>
        <w:ind w:left="567" w:hanging="567"/>
      </w:pPr>
      <w:r w:rsidRPr="00394CEC">
        <w:t>3.</w:t>
      </w:r>
      <w:r w:rsidRPr="00394CEC">
        <w:tab/>
        <w:t>De operativa detaljerna för insatserna under punkt 1 skall beslutas enligt förfarandet i artikel 10.2.</w:t>
      </w:r>
    </w:p>
    <w:p w:rsidR="00893675" w:rsidRPr="00394CEC" w:rsidRDefault="00893675" w:rsidP="00893675"/>
    <w:p w:rsidR="00893675" w:rsidRPr="00394CEC" w:rsidRDefault="00893675" w:rsidP="00CF30D7">
      <w:pPr>
        <w:jc w:val="center"/>
      </w:pPr>
      <w:r w:rsidRPr="00394CEC">
        <w:rPr>
          <w:i/>
        </w:rPr>
        <w:t>Artikel 25</w:t>
      </w:r>
      <w:r w:rsidRPr="00394CEC">
        <w:rPr>
          <w:i/>
        </w:rPr>
        <w:br/>
      </w:r>
      <w:r w:rsidRPr="00394CEC">
        <w:t>Budget</w:t>
      </w:r>
    </w:p>
    <w:p w:rsidR="00893675" w:rsidRPr="00394CEC" w:rsidRDefault="00893675" w:rsidP="00CF30D7">
      <w:pPr>
        <w:jc w:val="center"/>
      </w:pPr>
      <w:r w:rsidRPr="00394CEC">
        <w:t>[För närvarande utesluten ur texten]</w:t>
      </w:r>
      <w:r w:rsidRPr="00394CEC">
        <w:rPr>
          <w:rStyle w:val="Fotnotsreferens"/>
        </w:rPr>
        <w:footnoteReference w:id="37"/>
      </w:r>
    </w:p>
    <w:p w:rsidR="00893675" w:rsidRPr="00394CEC" w:rsidRDefault="00893675" w:rsidP="00893675"/>
    <w:p w:rsidR="00893675" w:rsidRPr="00394CEC" w:rsidRDefault="00893675" w:rsidP="00CF30D7">
      <w:pPr>
        <w:jc w:val="center"/>
        <w:rPr>
          <w:i/>
        </w:rPr>
      </w:pPr>
      <w:r w:rsidRPr="00394CEC">
        <w:rPr>
          <w:i/>
        </w:rPr>
        <w:t>Artikel 26</w:t>
      </w:r>
    </w:p>
    <w:p w:rsidR="00893675" w:rsidRPr="00394CEC" w:rsidRDefault="00893675" w:rsidP="00CF30D7">
      <w:pPr>
        <w:jc w:val="center"/>
      </w:pPr>
      <w:r w:rsidRPr="00394CEC">
        <w:t>[Utgår]</w:t>
      </w:r>
    </w:p>
    <w:p w:rsidR="00893675" w:rsidRPr="00394CEC" w:rsidRDefault="00893675" w:rsidP="00CF30D7">
      <w:pPr>
        <w:jc w:val="center"/>
        <w:rPr>
          <w:b/>
        </w:rPr>
      </w:pPr>
      <w:bookmarkStart w:id="31" w:name="Len"/>
      <w:bookmarkEnd w:id="31"/>
      <w:r w:rsidRPr="00394CEC">
        <w:rPr>
          <w:b/>
        </w:rPr>
        <w:br w:type="page"/>
        <w:t>Kapitel III</w:t>
      </w:r>
    </w:p>
    <w:p w:rsidR="00893675" w:rsidRPr="00394CEC" w:rsidRDefault="00893675" w:rsidP="00CF30D7">
      <w:pPr>
        <w:jc w:val="center"/>
        <w:rPr>
          <w:b/>
        </w:rPr>
      </w:pPr>
      <w:r w:rsidRPr="00394CEC">
        <w:rPr>
          <w:b/>
        </w:rPr>
        <w:t>Programmet</w:t>
      </w:r>
      <w:r w:rsidRPr="00394CEC">
        <w:t xml:space="preserve"> </w:t>
      </w:r>
      <w:r w:rsidRPr="00394CEC">
        <w:rPr>
          <w:b/>
        </w:rPr>
        <w:t>Leonardo da Vinci</w:t>
      </w:r>
    </w:p>
    <w:p w:rsidR="00893675" w:rsidRPr="00394CEC" w:rsidRDefault="00893675" w:rsidP="00CF30D7">
      <w:pPr>
        <w:jc w:val="center"/>
      </w:pPr>
    </w:p>
    <w:p w:rsidR="00893675" w:rsidRPr="00394CEC" w:rsidRDefault="00893675" w:rsidP="00CF30D7">
      <w:pPr>
        <w:jc w:val="center"/>
        <w:rPr>
          <w:i/>
        </w:rPr>
      </w:pPr>
      <w:r w:rsidRPr="00394CEC">
        <w:rPr>
          <w:i/>
        </w:rPr>
        <w:t>Artikel 27</w:t>
      </w:r>
      <w:r w:rsidRPr="00394CEC">
        <w:rPr>
          <w:i/>
        </w:rPr>
        <w:br/>
      </w:r>
      <w:r w:rsidRPr="00394CEC">
        <w:t>Tillträde till programmet Leonardo da Vinci</w:t>
      </w:r>
    </w:p>
    <w:p w:rsidR="00893675" w:rsidRPr="00394CEC" w:rsidRDefault="00893675" w:rsidP="00893675"/>
    <w:p w:rsidR="00893675" w:rsidRPr="00394CEC" w:rsidRDefault="00893675" w:rsidP="00893675">
      <w:r w:rsidRPr="00394CEC">
        <w:t>Inom ramen för programmet för livslångt lärande riktar sig programmet Leonardo da Vinci till följande målgrupper:</w:t>
      </w:r>
    </w:p>
    <w:p w:rsidR="00893675" w:rsidRPr="00394CEC" w:rsidRDefault="00893675" w:rsidP="00893675"/>
    <w:p w:rsidR="00893675" w:rsidRPr="00394CEC" w:rsidRDefault="00893675" w:rsidP="00893675">
      <w:r w:rsidRPr="00394CEC">
        <w:t>a)</w:t>
      </w:r>
      <w:r w:rsidRPr="00394CEC">
        <w:tab/>
        <w:t>Personer som deltar i yrkesutbildning i alla dess former utom på eftergymnasial nivå.</w:t>
      </w:r>
    </w:p>
    <w:p w:rsidR="00893675" w:rsidRPr="00394CEC" w:rsidRDefault="00893675" w:rsidP="00893675"/>
    <w:p w:rsidR="00893675" w:rsidRPr="00394CEC" w:rsidRDefault="00893675" w:rsidP="00893675">
      <w:r w:rsidRPr="00394CEC">
        <w:t>b)</w:t>
      </w:r>
      <w:r w:rsidRPr="00394CEC">
        <w:tab/>
        <w:t>Personer på arbetsmarknaden.</w:t>
      </w:r>
    </w:p>
    <w:p w:rsidR="00893675" w:rsidRPr="00394CEC" w:rsidRDefault="00893675" w:rsidP="00893675"/>
    <w:p w:rsidR="00893675" w:rsidRPr="00394CEC" w:rsidRDefault="00893675" w:rsidP="00F63D36">
      <w:pPr>
        <w:ind w:left="567" w:hanging="567"/>
      </w:pPr>
      <w:r w:rsidRPr="00394CEC">
        <w:t>c)</w:t>
      </w:r>
      <w:r w:rsidRPr="00394CEC">
        <w:tab/>
        <w:t>Institutioner eller organisationer som tillhandahåller utbildningsmöjligheter inom områden som omfattas av programmet Leonardo da Vinci.</w:t>
      </w:r>
    </w:p>
    <w:p w:rsidR="00893675" w:rsidRPr="00394CEC" w:rsidRDefault="00893675" w:rsidP="00893675"/>
    <w:p w:rsidR="00893675" w:rsidRPr="00394CEC" w:rsidRDefault="00893675" w:rsidP="00893675">
      <w:r w:rsidRPr="00394CEC">
        <w:t>d)</w:t>
      </w:r>
      <w:r w:rsidRPr="00394CEC">
        <w:tab/>
        <w:t>Lärare, utbildare och övrig personal hos dessa institutioner eller organisationer.</w:t>
      </w:r>
    </w:p>
    <w:p w:rsidR="00893675" w:rsidRPr="00394CEC" w:rsidRDefault="00893675" w:rsidP="00893675"/>
    <w:p w:rsidR="00893675" w:rsidRPr="00394CEC" w:rsidRDefault="00893675" w:rsidP="00F63D36">
      <w:pPr>
        <w:ind w:left="567" w:hanging="567"/>
      </w:pPr>
      <w:r w:rsidRPr="00394CEC">
        <w:t>e)</w:t>
      </w:r>
      <w:r w:rsidRPr="00394CEC">
        <w:tab/>
        <w:t>Sammanslutningar av och företrädare för personer som berörs av yrkesinriktad utbildning, däribland praktikant</w:t>
      </w:r>
      <w:r w:rsidRPr="00394CEC">
        <w:noBreakHyphen/>
        <w:t>, föräldra</w:t>
      </w:r>
      <w:r w:rsidRPr="00394CEC">
        <w:noBreakHyphen/>
        <w:t xml:space="preserve"> och lärarsammanslutningar.</w:t>
      </w:r>
    </w:p>
    <w:p w:rsidR="00893675" w:rsidRPr="00394CEC" w:rsidRDefault="00893675" w:rsidP="00893675"/>
    <w:p w:rsidR="00893675" w:rsidRPr="00394CEC" w:rsidRDefault="00893675" w:rsidP="00F63D36">
      <w:pPr>
        <w:ind w:left="567" w:hanging="567"/>
      </w:pPr>
      <w:r w:rsidRPr="00394CEC">
        <w:t>f)</w:t>
      </w:r>
      <w:r w:rsidRPr="00394CEC">
        <w:tab/>
        <w:t>Företag, arbetsmarknadens parter och andra företrädare för arbetslivet, inbegripet handelskammare och andra branschorganisationer.</w:t>
      </w:r>
    </w:p>
    <w:p w:rsidR="00893675" w:rsidRPr="00394CEC" w:rsidRDefault="00893675" w:rsidP="00893675"/>
    <w:p w:rsidR="00893675" w:rsidRPr="00394CEC" w:rsidRDefault="00893675" w:rsidP="00F63D36">
      <w:pPr>
        <w:ind w:left="567" w:hanging="567"/>
      </w:pPr>
      <w:r w:rsidRPr="00394CEC">
        <w:t>g)</w:t>
      </w:r>
      <w:r w:rsidRPr="00394CEC">
        <w:tab/>
        <w:t>Organ som tillhandahåller vägledning, rådgivning och information beträffande någon aspekt av livslång utbildning.</w:t>
      </w:r>
    </w:p>
    <w:p w:rsidR="00893675" w:rsidRPr="00394CEC" w:rsidRDefault="00893675" w:rsidP="00893675"/>
    <w:p w:rsidR="00893675" w:rsidRPr="00394CEC" w:rsidRDefault="00893675" w:rsidP="00F63D36">
      <w:pPr>
        <w:ind w:left="567" w:hanging="567"/>
      </w:pPr>
      <w:r w:rsidRPr="00394CEC">
        <w:t>h)</w:t>
      </w:r>
      <w:r w:rsidRPr="00394CEC">
        <w:tab/>
        <w:t>Personer och organ som ansvarar för system och policy vad gäller yrkesutbildning ur någon aspekt på lokal, regional och nationell nivå.</w:t>
      </w:r>
    </w:p>
    <w:p w:rsidR="00893675" w:rsidRPr="00394CEC" w:rsidRDefault="00893675" w:rsidP="00893675"/>
    <w:p w:rsidR="00893675" w:rsidRPr="00394CEC" w:rsidRDefault="00893675" w:rsidP="00893675">
      <w:r w:rsidRPr="00394CEC">
        <w:t>i)</w:t>
      </w:r>
      <w:r w:rsidRPr="00394CEC">
        <w:tab/>
        <w:t>Forskningscentrum och forskningsorgan som sysslar med frågor som rör livslångt lärande.</w:t>
      </w:r>
    </w:p>
    <w:p w:rsidR="00893675" w:rsidRPr="00394CEC" w:rsidRDefault="00893675" w:rsidP="00893675"/>
    <w:p w:rsidR="00893675" w:rsidRPr="00394CEC" w:rsidRDefault="00893675" w:rsidP="00893675">
      <w:r w:rsidRPr="00394CEC">
        <w:br w:type="page"/>
        <w:t>j)</w:t>
      </w:r>
      <w:r w:rsidRPr="00394CEC">
        <w:tab/>
        <w:t>Högre utbildningsanstalter.</w:t>
      </w:r>
    </w:p>
    <w:p w:rsidR="00893675" w:rsidRPr="00394CEC" w:rsidRDefault="00893675" w:rsidP="00893675"/>
    <w:p w:rsidR="00893675" w:rsidRPr="00394CEC" w:rsidRDefault="00893675" w:rsidP="00893675">
      <w:r w:rsidRPr="00394CEC">
        <w:t>k)</w:t>
      </w:r>
      <w:r w:rsidRPr="00394CEC">
        <w:tab/>
        <w:t>Ideella organisationer, frivilliga organisationer och icke</w:t>
      </w:r>
      <w:r w:rsidRPr="00394CEC">
        <w:noBreakHyphen/>
        <w:t>statliga organisationer.</w:t>
      </w:r>
    </w:p>
    <w:p w:rsidR="00893675" w:rsidRPr="00394CEC" w:rsidRDefault="00893675" w:rsidP="00893675"/>
    <w:p w:rsidR="00893675" w:rsidRPr="00394CEC" w:rsidRDefault="00893675" w:rsidP="00F63D36">
      <w:pPr>
        <w:jc w:val="center"/>
      </w:pPr>
      <w:r w:rsidRPr="00394CEC">
        <w:rPr>
          <w:i/>
        </w:rPr>
        <w:t>Artikel 28</w:t>
      </w:r>
      <w:r w:rsidRPr="00394CEC">
        <w:rPr>
          <w:i/>
        </w:rPr>
        <w:br/>
      </w:r>
      <w:r w:rsidRPr="00394CEC">
        <w:t>Mål</w:t>
      </w:r>
    </w:p>
    <w:p w:rsidR="00893675" w:rsidRPr="00394CEC" w:rsidRDefault="00893675" w:rsidP="00893675"/>
    <w:p w:rsidR="00893675" w:rsidRPr="00394CEC" w:rsidRDefault="00893675" w:rsidP="00F63D36">
      <w:pPr>
        <w:ind w:left="567" w:hanging="567"/>
      </w:pPr>
      <w:r w:rsidRPr="00394CEC">
        <w:t>1.</w:t>
      </w:r>
      <w:r w:rsidRPr="00394CEC">
        <w:tab/>
        <w:t>Utöver de mål för programmet för livslångt lärande som anges i artikel 1 skall programmet</w:t>
      </w:r>
      <w:r w:rsidR="002B1676" w:rsidRPr="00394CEC">
        <w:t> </w:t>
      </w:r>
      <w:r w:rsidRPr="00394CEC">
        <w:t>Leonardo da Vinci ha följande särskilda mål:</w:t>
      </w:r>
    </w:p>
    <w:p w:rsidR="00893675" w:rsidRPr="00394CEC" w:rsidRDefault="00893675" w:rsidP="00F63D36">
      <w:pPr>
        <w:ind w:left="567" w:hanging="567"/>
      </w:pPr>
    </w:p>
    <w:p w:rsidR="00893675" w:rsidRPr="00394CEC" w:rsidRDefault="00893675" w:rsidP="00F63D36">
      <w:pPr>
        <w:ind w:left="1134" w:hanging="567"/>
      </w:pPr>
      <w:r w:rsidRPr="00394CEC">
        <w:t>a)</w:t>
      </w:r>
      <w:r w:rsidRPr="00394CEC">
        <w:tab/>
        <w:t>Att stödja personer som deltar i utbildning och främja utbildningsverksamhet när det gäller förvärv och användning av kunskap, färdigheter och kvalifikationer för att underlätta personlig utveckling, anställbarhet och deltagande på den europeiska arbetsmarknaden.</w:t>
      </w:r>
    </w:p>
    <w:p w:rsidR="00893675" w:rsidRPr="00394CEC" w:rsidRDefault="00893675" w:rsidP="00F63D36">
      <w:pPr>
        <w:ind w:left="1134" w:hanging="567"/>
        <w:rPr>
          <w:b/>
        </w:rPr>
      </w:pPr>
    </w:p>
    <w:p w:rsidR="00893675" w:rsidRPr="00394CEC" w:rsidRDefault="00893675" w:rsidP="00F63D36">
      <w:pPr>
        <w:ind w:left="1134" w:hanging="567"/>
      </w:pPr>
      <w:r w:rsidRPr="00394CEC">
        <w:t>b)</w:t>
      </w:r>
      <w:r w:rsidRPr="00394CEC">
        <w:tab/>
        <w:t>Att stödja förbättringar i fråga om kvalitet och innovationer av yrkesutbildningssystem, institutioner och praxis på området.</w:t>
      </w:r>
    </w:p>
    <w:p w:rsidR="00893675" w:rsidRPr="00394CEC" w:rsidRDefault="00893675" w:rsidP="00F63D36">
      <w:pPr>
        <w:ind w:left="1134" w:hanging="567"/>
      </w:pPr>
    </w:p>
    <w:p w:rsidR="00893675" w:rsidRPr="00394CEC" w:rsidRDefault="00893675" w:rsidP="00F63D36">
      <w:pPr>
        <w:ind w:left="1134" w:hanging="567"/>
      </w:pPr>
      <w:r w:rsidRPr="00394CEC">
        <w:t>ba)</w:t>
      </w:r>
      <w:r w:rsidRPr="00394CEC">
        <w:tab/>
        <w:t>Att göra yrkesutbildning och rörlighet mer attraktivt för arbetsgivare och enskilda.</w:t>
      </w:r>
    </w:p>
    <w:p w:rsidR="00893675" w:rsidRPr="00394CEC" w:rsidRDefault="00893675" w:rsidP="00F63D36">
      <w:pPr>
        <w:ind w:left="567" w:hanging="567"/>
      </w:pPr>
    </w:p>
    <w:p w:rsidR="00893675" w:rsidRPr="00394CEC" w:rsidRDefault="00893675" w:rsidP="00F63D36">
      <w:pPr>
        <w:ind w:left="567" w:hanging="567"/>
      </w:pPr>
      <w:r w:rsidRPr="00394CEC">
        <w:t>2.</w:t>
      </w:r>
      <w:r w:rsidRPr="00394CEC">
        <w:tab/>
        <w:t>Programmet Leonardo da Vinci skall ha följande operativa mål:</w:t>
      </w:r>
    </w:p>
    <w:p w:rsidR="00893675" w:rsidRPr="00394CEC" w:rsidRDefault="00893675" w:rsidP="00F63D36">
      <w:pPr>
        <w:ind w:left="567" w:hanging="567"/>
      </w:pPr>
    </w:p>
    <w:p w:rsidR="00893675" w:rsidRPr="00394CEC" w:rsidRDefault="00893675" w:rsidP="00F63D36">
      <w:pPr>
        <w:ind w:left="1134" w:hanging="567"/>
      </w:pPr>
      <w:r w:rsidRPr="00394CEC">
        <w:t>a</w:t>
      </w:r>
      <w:r w:rsidR="00F63D36" w:rsidRPr="00394CEC">
        <w:t>)</w:t>
      </w:r>
      <w:r w:rsidR="00F63D36" w:rsidRPr="00394CEC">
        <w:tab/>
        <w:t>Att förbättra kvaliteten på [...</w:t>
      </w:r>
      <w:r w:rsidRPr="00394CEC">
        <w:t>]</w:t>
      </w:r>
      <w:r w:rsidRPr="00394CEC">
        <w:rPr>
          <w:rStyle w:val="Fotnotsreferens"/>
        </w:rPr>
        <w:footnoteReference w:id="38"/>
      </w:r>
      <w:r w:rsidRPr="00394CEC">
        <w:t xml:space="preserve"> utbytet i hela Europa av personer som deltar i grundläggande yrkesutbildning och i vidareutbildning, så att antalet praktikanter vi</w:t>
      </w:r>
      <w:r w:rsidR="00F63D36" w:rsidRPr="00394CEC">
        <w:t>d företag stiger till minst [...</w:t>
      </w:r>
      <w:r w:rsidRPr="00394CEC">
        <w:t>]</w:t>
      </w:r>
      <w:r w:rsidRPr="00394CEC">
        <w:rPr>
          <w:rStyle w:val="Fotnotsreferens"/>
        </w:rPr>
        <w:footnoteReference w:id="39"/>
      </w:r>
      <w:r w:rsidRPr="00394CEC">
        <w:t xml:space="preserve"> per år vid slutet av programmet för livslångt lärande.</w:t>
      </w:r>
    </w:p>
    <w:p w:rsidR="00893675" w:rsidRPr="00394CEC" w:rsidRDefault="00893675" w:rsidP="00F63D36">
      <w:pPr>
        <w:ind w:left="1134" w:hanging="567"/>
      </w:pPr>
    </w:p>
    <w:p w:rsidR="00893675" w:rsidRPr="00394CEC" w:rsidRDefault="00893675" w:rsidP="00F63D36">
      <w:pPr>
        <w:ind w:left="1134" w:hanging="567"/>
      </w:pPr>
      <w:r w:rsidRPr="00394CEC">
        <w:t>b)</w:t>
      </w:r>
      <w:r w:rsidRPr="00394CEC">
        <w:tab/>
        <w:t>Att förbättra kvaliteten på [</w:t>
      </w:r>
      <w:r w:rsidR="00F63D36" w:rsidRPr="00394CEC">
        <w:t>...</w:t>
      </w:r>
      <w:r w:rsidRPr="00394CEC">
        <w:t>]</w:t>
      </w:r>
      <w:r w:rsidRPr="00394CEC">
        <w:rPr>
          <w:rStyle w:val="Fotnotsreferens"/>
        </w:rPr>
        <w:footnoteReference w:id="40"/>
      </w:r>
      <w:r w:rsidRPr="00394CEC">
        <w:t xml:space="preserve"> samarbetet mellan institutioner eller organisationer som tillhandahåller utbildningsmöjligheter, företag, arbetsmarknadens parter och övriga relevanta organ i hela Europa.</w:t>
      </w:r>
    </w:p>
    <w:p w:rsidR="00893675" w:rsidRPr="00394CEC" w:rsidRDefault="00893675" w:rsidP="00F63D36">
      <w:pPr>
        <w:ind w:left="1134" w:hanging="567"/>
      </w:pPr>
      <w:r w:rsidRPr="00394CEC">
        <w:br w:type="page"/>
        <w:t>c)</w:t>
      </w:r>
      <w:r w:rsidRPr="00394CEC">
        <w:tab/>
        <w:t>Att underlätta utvecklingen av innovativa lösningar inom yrkesutbildning, med undantag för eftergymnasial yrkesutbildning, samt överföringen av dessa, däribland från ett deltagande land till andra länder.</w:t>
      </w:r>
    </w:p>
    <w:p w:rsidR="00893675" w:rsidRPr="00394CEC" w:rsidRDefault="00893675" w:rsidP="00F63D36">
      <w:pPr>
        <w:ind w:left="1134" w:hanging="567"/>
      </w:pPr>
    </w:p>
    <w:p w:rsidR="00893675" w:rsidRPr="00394CEC" w:rsidRDefault="00893675" w:rsidP="00F63D36">
      <w:pPr>
        <w:ind w:left="1134" w:hanging="567"/>
      </w:pPr>
      <w:r w:rsidRPr="00394CEC">
        <w:t>d)</w:t>
      </w:r>
      <w:r w:rsidRPr="00394CEC">
        <w:tab/>
        <w:t>Att förbättra tydligheten i och erkännandet av kvalifikationer och meriter, däribland sådana som förvärvats via icke</w:t>
      </w:r>
      <w:r w:rsidRPr="00394CEC">
        <w:noBreakHyphen/>
        <w:t>formellt och informellt lärande.</w:t>
      </w:r>
    </w:p>
    <w:p w:rsidR="00893675" w:rsidRPr="00394CEC" w:rsidRDefault="00893675" w:rsidP="00F63D36">
      <w:pPr>
        <w:ind w:left="1134" w:hanging="567"/>
      </w:pPr>
    </w:p>
    <w:p w:rsidR="00893675" w:rsidRPr="00394CEC" w:rsidRDefault="00893675" w:rsidP="00F63D36">
      <w:pPr>
        <w:ind w:left="1134" w:hanging="567"/>
      </w:pPr>
      <w:r w:rsidRPr="00394CEC">
        <w:t>e)</w:t>
      </w:r>
      <w:r w:rsidRPr="00394CEC">
        <w:tab/>
        <w:t>Att främja inlärning av moderna främmande språk.</w:t>
      </w:r>
    </w:p>
    <w:p w:rsidR="00893675" w:rsidRPr="00394CEC" w:rsidRDefault="00893675" w:rsidP="00F63D36">
      <w:pPr>
        <w:ind w:left="1134" w:hanging="567"/>
      </w:pPr>
    </w:p>
    <w:p w:rsidR="00893675" w:rsidRPr="00394CEC" w:rsidRDefault="00893675" w:rsidP="00F63D36">
      <w:pPr>
        <w:ind w:left="1134" w:hanging="567"/>
      </w:pPr>
      <w:r w:rsidRPr="00394CEC">
        <w:t>f)</w:t>
      </w:r>
      <w:r w:rsidRPr="00394CEC">
        <w:tab/>
        <w:t>Att stödja utvecklingen av innovativt innehåll, tjänster, pedagogik och praktik för livslångt lärande, grundat på informations</w:t>
      </w:r>
      <w:r w:rsidRPr="00394CEC">
        <w:noBreakHyphen/>
        <w:t xml:space="preserve"> och kommunikationsteknik.</w:t>
      </w:r>
    </w:p>
    <w:p w:rsidR="00893675" w:rsidRPr="00394CEC" w:rsidRDefault="00893675" w:rsidP="00893675"/>
    <w:p w:rsidR="00893675" w:rsidRPr="00394CEC" w:rsidRDefault="00893675" w:rsidP="00F63D36">
      <w:pPr>
        <w:jc w:val="center"/>
        <w:rPr>
          <w:i/>
        </w:rPr>
      </w:pPr>
      <w:r w:rsidRPr="00394CEC">
        <w:rPr>
          <w:i/>
        </w:rPr>
        <w:t>Artikel 29</w:t>
      </w:r>
      <w:r w:rsidRPr="00394CEC">
        <w:rPr>
          <w:i/>
        </w:rPr>
        <w:br/>
      </w:r>
      <w:r w:rsidRPr="00394CEC">
        <w:t>Insatser</w:t>
      </w:r>
    </w:p>
    <w:p w:rsidR="00893675" w:rsidRPr="00394CEC" w:rsidRDefault="00893675" w:rsidP="00893675"/>
    <w:p w:rsidR="00893675" w:rsidRPr="00394CEC" w:rsidRDefault="00893675" w:rsidP="00893675">
      <w:r w:rsidRPr="00394CEC">
        <w:t>1.</w:t>
      </w:r>
      <w:r w:rsidRPr="00394CEC">
        <w:tab/>
        <w:t>Följande insatser kan få bidrag ur programmet Leonardo da Vinci:</w:t>
      </w:r>
    </w:p>
    <w:p w:rsidR="00893675" w:rsidRPr="00394CEC" w:rsidRDefault="00893675" w:rsidP="00893675"/>
    <w:p w:rsidR="00893675" w:rsidRPr="00394CEC" w:rsidRDefault="00893675" w:rsidP="00F63D36">
      <w:pPr>
        <w:ind w:left="1134" w:hanging="567"/>
      </w:pPr>
      <w:r w:rsidRPr="00394CEC">
        <w:t>a)</w:t>
      </w:r>
      <w:r w:rsidRPr="00394CEC">
        <w:tab/>
        <w:t>Enskilda personers rörlighet enligt artikel 5.1 a. När sådan rörlighet anordnas eller får bidrag skall nödvändiga förberedande åtgärder, inbegripet anordnande av förberedande språkkurser, vidtas, och de deltagande måste ges tillräckligt med övervakning och stöd. Sådan rörlighet kan omfatta</w:t>
      </w:r>
    </w:p>
    <w:p w:rsidR="00893675" w:rsidRPr="00394CEC" w:rsidRDefault="00893675" w:rsidP="00F63D36">
      <w:pPr>
        <w:ind w:left="1134" w:hanging="567"/>
      </w:pPr>
    </w:p>
    <w:p w:rsidR="00893675" w:rsidRPr="00394CEC" w:rsidRDefault="00893675" w:rsidP="00F63D36">
      <w:pPr>
        <w:ind w:left="1701" w:hanging="567"/>
      </w:pPr>
      <w:r w:rsidRPr="00394CEC">
        <w:t>i)</w:t>
      </w:r>
      <w:r w:rsidRPr="00394CEC">
        <w:tab/>
        <w:t>gränsöverskridande praktik vid företag eller utbildningscentrum,</w:t>
      </w:r>
    </w:p>
    <w:p w:rsidR="00893675" w:rsidRPr="00394CEC" w:rsidRDefault="00893675" w:rsidP="00F63D36">
      <w:pPr>
        <w:ind w:left="1701" w:hanging="567"/>
      </w:pPr>
    </w:p>
    <w:p w:rsidR="00893675" w:rsidRPr="00394CEC" w:rsidRDefault="00893675" w:rsidP="00F63D36">
      <w:pPr>
        <w:ind w:left="1701" w:hanging="567"/>
      </w:pPr>
      <w:r w:rsidRPr="00394CEC">
        <w:t>ii)</w:t>
      </w:r>
      <w:r w:rsidRPr="00394CEC">
        <w:tab/>
        <w:t>praktik och utbyte för utbildare och studie</w:t>
      </w:r>
      <w:r w:rsidRPr="00394CEC">
        <w:noBreakHyphen/>
        <w:t xml:space="preserve"> och yrkesvägledare, för dem som ansvarar för institutioner för yrkesutbildning och för studie</w:t>
      </w:r>
      <w:r w:rsidRPr="00394CEC">
        <w:noBreakHyphen/>
        <w:t xml:space="preserve"> och yrkesvägledning vid företag.</w:t>
      </w:r>
    </w:p>
    <w:p w:rsidR="00893675" w:rsidRPr="00394CEC" w:rsidRDefault="00893675" w:rsidP="00F63D36">
      <w:pPr>
        <w:ind w:left="1134" w:hanging="567"/>
      </w:pPr>
    </w:p>
    <w:p w:rsidR="00893675" w:rsidRPr="00394CEC" w:rsidRDefault="00893675" w:rsidP="00F63D36">
      <w:pPr>
        <w:ind w:left="1134" w:hanging="567"/>
      </w:pPr>
      <w:r w:rsidRPr="00394CEC">
        <w:t>b)</w:t>
      </w:r>
      <w:r w:rsidRPr="00394CEC">
        <w:tab/>
        <w:t>Partnerskap enligt artikel 5.1 b, med inriktning på ämnen av gemensamt intresse för de deltagande organisationerna.</w:t>
      </w:r>
    </w:p>
    <w:p w:rsidR="00893675" w:rsidRPr="00394CEC" w:rsidRDefault="00893675" w:rsidP="00893675"/>
    <w:p w:rsidR="00893675" w:rsidRPr="00394CEC" w:rsidRDefault="00893675" w:rsidP="00F63D36">
      <w:pPr>
        <w:ind w:left="1134" w:hanging="567"/>
      </w:pPr>
      <w:r w:rsidRPr="00394CEC">
        <w:br w:type="page"/>
        <w:t>c)</w:t>
      </w:r>
      <w:r w:rsidRPr="00394CEC">
        <w:tab/>
        <w:t>Multilaterala projekt, enligt artikel 5.1 c, särskilt projekt som syftar till att förbättra yrkesutbildningssystem genom koncentration på överföring av innovation, omfattande språklig, kulturell och juridisk anpassning till de nationella behoven av innovativa produkter och processer som utarbetats i andra sammanhang.</w:t>
      </w:r>
    </w:p>
    <w:p w:rsidR="00893675" w:rsidRPr="00394CEC" w:rsidRDefault="00893675" w:rsidP="00F63D36">
      <w:pPr>
        <w:ind w:left="1134" w:hanging="567"/>
      </w:pPr>
    </w:p>
    <w:p w:rsidR="00893675" w:rsidRPr="00394CEC" w:rsidRDefault="00893675" w:rsidP="00F63D36">
      <w:pPr>
        <w:ind w:left="1134" w:hanging="567"/>
      </w:pPr>
      <w:r w:rsidRPr="00394CEC">
        <w:t>d)</w:t>
      </w:r>
      <w:r w:rsidRPr="00394CEC">
        <w:tab/>
        <w:t>Multilaterala projekt, enligt artikel 5.1 e, som syftar till att förbättra yrkesutbildningssystem genom koncentration på utarbetande av innovation och god</w:t>
      </w:r>
      <w:r w:rsidR="00113A48" w:rsidRPr="00394CEC">
        <w:t> </w:t>
      </w:r>
      <w:r w:rsidRPr="00394CEC">
        <w:t>praxis.</w:t>
      </w:r>
    </w:p>
    <w:p w:rsidR="00893675" w:rsidRPr="00394CEC" w:rsidRDefault="00893675" w:rsidP="00F63D36">
      <w:pPr>
        <w:ind w:left="1134" w:hanging="567"/>
      </w:pPr>
    </w:p>
    <w:p w:rsidR="00893675" w:rsidRPr="00394CEC" w:rsidRDefault="00893675" w:rsidP="00F63D36">
      <w:pPr>
        <w:ind w:left="1134" w:hanging="567"/>
      </w:pPr>
      <w:r w:rsidRPr="00394CEC">
        <w:t>e)</w:t>
      </w:r>
      <w:r w:rsidRPr="00394CEC">
        <w:tab/>
        <w:t>Tematiska nätverk för experter och organisationer, enligt artikel 5.1 e, vilka arbetar med specifika frågor som gäller yrkesinriktad utbildning.</w:t>
      </w:r>
    </w:p>
    <w:p w:rsidR="00893675" w:rsidRPr="00394CEC" w:rsidRDefault="00893675" w:rsidP="00F63D36">
      <w:pPr>
        <w:ind w:left="1134" w:hanging="567"/>
      </w:pPr>
    </w:p>
    <w:p w:rsidR="00893675" w:rsidRPr="00394CEC" w:rsidRDefault="00893675" w:rsidP="00F63D36">
      <w:pPr>
        <w:ind w:left="1134" w:hanging="567"/>
      </w:pPr>
      <w:r w:rsidRPr="00394CEC">
        <w:t>f)</w:t>
      </w:r>
      <w:r w:rsidRPr="00394CEC">
        <w:tab/>
        <w:t>Andra initiativ som syftar till att främja målen för programmet Leonardo da Vinci, enligt artikel 5.1 h ("Kompletterande åtgärder").</w:t>
      </w:r>
    </w:p>
    <w:p w:rsidR="00893675" w:rsidRPr="00394CEC" w:rsidRDefault="00893675" w:rsidP="00893675"/>
    <w:p w:rsidR="00893675" w:rsidRPr="00394CEC" w:rsidRDefault="00893675" w:rsidP="00893675">
      <w:r w:rsidRPr="00394CEC">
        <w:t>2.</w:t>
      </w:r>
      <w:r w:rsidRPr="00394CEC">
        <w:tab/>
        <w:t>De operativa formerna för sådana insatser skall beslutas enligt förfarandet i artikel 10.2.</w:t>
      </w:r>
    </w:p>
    <w:p w:rsidR="00893675" w:rsidRPr="00394CEC" w:rsidRDefault="00893675" w:rsidP="00893675"/>
    <w:p w:rsidR="00893675" w:rsidRPr="00394CEC" w:rsidRDefault="00893675" w:rsidP="00F63D36">
      <w:pPr>
        <w:jc w:val="center"/>
      </w:pPr>
      <w:r w:rsidRPr="00394CEC">
        <w:rPr>
          <w:i/>
        </w:rPr>
        <w:t>Artikel 30</w:t>
      </w:r>
      <w:r w:rsidRPr="00394CEC">
        <w:rPr>
          <w:i/>
        </w:rPr>
        <w:br/>
      </w:r>
      <w:r w:rsidRPr="00394CEC">
        <w:t>Budget</w:t>
      </w:r>
    </w:p>
    <w:p w:rsidR="00893675" w:rsidRPr="00394CEC" w:rsidRDefault="00893675" w:rsidP="00F63D36">
      <w:pPr>
        <w:jc w:val="center"/>
      </w:pPr>
      <w:r w:rsidRPr="00394CEC">
        <w:t>[För närvarande utesluten ur texten]</w:t>
      </w:r>
      <w:r w:rsidRPr="00394CEC">
        <w:rPr>
          <w:rStyle w:val="Fotnotsreferens"/>
        </w:rPr>
        <w:footnoteReference w:id="41"/>
      </w:r>
    </w:p>
    <w:p w:rsidR="00893675" w:rsidRPr="00394CEC" w:rsidRDefault="00893675" w:rsidP="00893675"/>
    <w:p w:rsidR="00893675" w:rsidRPr="00394CEC" w:rsidRDefault="00893675" w:rsidP="00F63D36">
      <w:pPr>
        <w:jc w:val="center"/>
        <w:rPr>
          <w:i/>
        </w:rPr>
      </w:pPr>
      <w:r w:rsidRPr="00394CEC">
        <w:rPr>
          <w:i/>
        </w:rPr>
        <w:t>Artikel 31</w:t>
      </w:r>
    </w:p>
    <w:p w:rsidR="00893675" w:rsidRPr="00394CEC" w:rsidRDefault="00893675" w:rsidP="00F63D36">
      <w:pPr>
        <w:jc w:val="center"/>
      </w:pPr>
      <w:r w:rsidRPr="00394CEC">
        <w:t>[Utgår]</w:t>
      </w:r>
    </w:p>
    <w:p w:rsidR="00F63D36" w:rsidRPr="00394CEC" w:rsidRDefault="00F63D36" w:rsidP="00893675">
      <w:pPr>
        <w:rPr>
          <w:b/>
        </w:rPr>
      </w:pPr>
    </w:p>
    <w:p w:rsidR="00893675" w:rsidRPr="00394CEC" w:rsidRDefault="00893675" w:rsidP="00F63D36">
      <w:pPr>
        <w:spacing w:line="348" w:lineRule="auto"/>
        <w:jc w:val="center"/>
        <w:rPr>
          <w:b/>
        </w:rPr>
      </w:pPr>
      <w:r w:rsidRPr="00394CEC">
        <w:rPr>
          <w:b/>
        </w:rPr>
        <w:br w:type="page"/>
        <w:t>Kapitel IV</w:t>
      </w:r>
    </w:p>
    <w:p w:rsidR="00893675" w:rsidRPr="00394CEC" w:rsidRDefault="00893675" w:rsidP="00F63D36">
      <w:pPr>
        <w:spacing w:line="348" w:lineRule="auto"/>
        <w:jc w:val="center"/>
        <w:rPr>
          <w:b/>
        </w:rPr>
      </w:pPr>
      <w:r w:rsidRPr="00394CEC">
        <w:rPr>
          <w:b/>
        </w:rPr>
        <w:t>Programmet</w:t>
      </w:r>
      <w:r w:rsidRPr="00394CEC">
        <w:t xml:space="preserve"> </w:t>
      </w:r>
      <w:r w:rsidRPr="00394CEC">
        <w:rPr>
          <w:b/>
        </w:rPr>
        <w:t>Grundtvig</w:t>
      </w:r>
    </w:p>
    <w:p w:rsidR="00893675" w:rsidRPr="00394CEC" w:rsidRDefault="00893675" w:rsidP="00F63D36">
      <w:pPr>
        <w:spacing w:line="348" w:lineRule="auto"/>
        <w:jc w:val="center"/>
        <w:rPr>
          <w:i/>
        </w:rPr>
      </w:pPr>
    </w:p>
    <w:p w:rsidR="00893675" w:rsidRPr="00394CEC" w:rsidRDefault="00893675" w:rsidP="00F63D36">
      <w:pPr>
        <w:spacing w:line="348" w:lineRule="auto"/>
        <w:jc w:val="center"/>
        <w:rPr>
          <w:i/>
        </w:rPr>
      </w:pPr>
      <w:r w:rsidRPr="00394CEC">
        <w:rPr>
          <w:i/>
        </w:rPr>
        <w:t>Artikel 32</w:t>
      </w:r>
    </w:p>
    <w:p w:rsidR="00893675" w:rsidRPr="00394CEC" w:rsidRDefault="00893675" w:rsidP="00F63D36">
      <w:pPr>
        <w:spacing w:line="348" w:lineRule="auto"/>
        <w:jc w:val="center"/>
      </w:pPr>
      <w:r w:rsidRPr="00394CEC">
        <w:t>Tillträde till programmet Grundtvig</w:t>
      </w:r>
    </w:p>
    <w:p w:rsidR="00893675" w:rsidRPr="00394CEC" w:rsidRDefault="00893675" w:rsidP="00F63D36">
      <w:pPr>
        <w:spacing w:line="348" w:lineRule="auto"/>
      </w:pPr>
    </w:p>
    <w:p w:rsidR="00893675" w:rsidRPr="00394CEC" w:rsidRDefault="00893675" w:rsidP="00F63D36">
      <w:pPr>
        <w:spacing w:line="348" w:lineRule="auto"/>
      </w:pPr>
      <w:r w:rsidRPr="00394CEC">
        <w:t>Inom ramen för programmet för livslångt lärande och bilagan riktar programmet Grundtvig sig till följande målgrupper:</w:t>
      </w:r>
    </w:p>
    <w:p w:rsidR="00893675" w:rsidRPr="00394CEC" w:rsidRDefault="00893675" w:rsidP="00F63D36">
      <w:pPr>
        <w:spacing w:line="348" w:lineRule="auto"/>
      </w:pPr>
    </w:p>
    <w:p w:rsidR="00893675" w:rsidRPr="00394CEC" w:rsidRDefault="00893675" w:rsidP="00F63D36">
      <w:pPr>
        <w:spacing w:line="348" w:lineRule="auto"/>
      </w:pPr>
      <w:r w:rsidRPr="00394CEC">
        <w:t>a)</w:t>
      </w:r>
      <w:r w:rsidRPr="00394CEC">
        <w:tab/>
        <w:t>Personer i vuxenutbildning.</w:t>
      </w:r>
    </w:p>
    <w:p w:rsidR="00893675" w:rsidRPr="00394CEC" w:rsidRDefault="00893675" w:rsidP="00F63D36">
      <w:pPr>
        <w:spacing w:line="348" w:lineRule="auto"/>
      </w:pPr>
    </w:p>
    <w:p w:rsidR="00893675" w:rsidRPr="00394CEC" w:rsidRDefault="00893675" w:rsidP="00F63D36">
      <w:pPr>
        <w:spacing w:line="348" w:lineRule="auto"/>
        <w:ind w:left="567" w:hanging="567"/>
      </w:pPr>
      <w:r w:rsidRPr="00394CEC">
        <w:t>b)</w:t>
      </w:r>
      <w:r w:rsidRPr="00394CEC">
        <w:tab/>
        <w:t>Institutioner eller organisationer som tillhandahåller utbildningsmöjligheter inom vuxenutbildningen.</w:t>
      </w:r>
    </w:p>
    <w:p w:rsidR="00893675" w:rsidRPr="00394CEC" w:rsidRDefault="00893675" w:rsidP="00F63D36">
      <w:pPr>
        <w:spacing w:line="348" w:lineRule="auto"/>
      </w:pPr>
    </w:p>
    <w:p w:rsidR="00893675" w:rsidRPr="00394CEC" w:rsidRDefault="00893675" w:rsidP="00F63D36">
      <w:pPr>
        <w:spacing w:line="348" w:lineRule="auto"/>
      </w:pPr>
      <w:r w:rsidRPr="00394CEC">
        <w:t>c)</w:t>
      </w:r>
      <w:r w:rsidRPr="00394CEC">
        <w:tab/>
        <w:t>Lärare och övrig personal vid dessa</w:t>
      </w:r>
      <w:r w:rsidRPr="00394CEC">
        <w:rPr>
          <w:b/>
        </w:rPr>
        <w:t xml:space="preserve"> </w:t>
      </w:r>
      <w:r w:rsidRPr="00394CEC">
        <w:t>institutioner eller organisationer.</w:t>
      </w:r>
    </w:p>
    <w:p w:rsidR="00893675" w:rsidRPr="00394CEC" w:rsidRDefault="00893675" w:rsidP="00F63D36">
      <w:pPr>
        <w:spacing w:line="348" w:lineRule="auto"/>
      </w:pPr>
    </w:p>
    <w:p w:rsidR="00893675" w:rsidRPr="00394CEC" w:rsidRDefault="00893675" w:rsidP="00F63D36">
      <w:pPr>
        <w:spacing w:line="348" w:lineRule="auto"/>
        <w:ind w:left="567" w:hanging="567"/>
      </w:pPr>
      <w:r w:rsidRPr="00394CEC">
        <w:t>d)</w:t>
      </w:r>
      <w:r w:rsidRPr="00394CEC">
        <w:tab/>
        <w:t>Utbildningsinstitutioner som arbetar med grund</w:t>
      </w:r>
      <w:r w:rsidRPr="00394CEC">
        <w:noBreakHyphen/>
        <w:t xml:space="preserve"> eller vidareutbildning för personal inom vuxenutbildning.</w:t>
      </w:r>
    </w:p>
    <w:p w:rsidR="00893675" w:rsidRPr="00394CEC" w:rsidRDefault="00893675" w:rsidP="00F63D36">
      <w:pPr>
        <w:spacing w:line="348" w:lineRule="auto"/>
      </w:pPr>
    </w:p>
    <w:p w:rsidR="00893675" w:rsidRPr="00394CEC" w:rsidRDefault="00893675" w:rsidP="00F63D36">
      <w:pPr>
        <w:spacing w:line="348" w:lineRule="auto"/>
        <w:ind w:left="567" w:hanging="567"/>
      </w:pPr>
      <w:r w:rsidRPr="00394CEC">
        <w:t>e)</w:t>
      </w:r>
      <w:r w:rsidRPr="00394CEC">
        <w:tab/>
        <w:t>Sammanslutningar och företrädare för personer som berörs av vuxenutbildning, däribland sammanslutningar för vuxenstuderande och lärare.</w:t>
      </w:r>
    </w:p>
    <w:p w:rsidR="00893675" w:rsidRPr="00394CEC" w:rsidRDefault="00893675" w:rsidP="00F63D36">
      <w:pPr>
        <w:spacing w:line="348" w:lineRule="auto"/>
      </w:pPr>
    </w:p>
    <w:p w:rsidR="00893675" w:rsidRPr="00394CEC" w:rsidRDefault="00893675" w:rsidP="00F63D36">
      <w:pPr>
        <w:spacing w:line="348" w:lineRule="auto"/>
        <w:ind w:left="567" w:hanging="567"/>
      </w:pPr>
      <w:r w:rsidRPr="00394CEC">
        <w:t>f)</w:t>
      </w:r>
      <w:r w:rsidRPr="00394CEC">
        <w:tab/>
        <w:t>Organ som tillhandahåller vägledning, rådgivning och information beträffande någon aspekt av vuxenutbildning.</w:t>
      </w:r>
    </w:p>
    <w:p w:rsidR="00893675" w:rsidRPr="00394CEC" w:rsidRDefault="00893675" w:rsidP="00F63D36">
      <w:pPr>
        <w:spacing w:line="348" w:lineRule="auto"/>
      </w:pPr>
    </w:p>
    <w:p w:rsidR="00893675" w:rsidRPr="00394CEC" w:rsidRDefault="00893675" w:rsidP="00F63D36">
      <w:pPr>
        <w:spacing w:line="348" w:lineRule="auto"/>
        <w:ind w:left="567" w:hanging="567"/>
      </w:pPr>
      <w:r w:rsidRPr="00394CEC">
        <w:t>g)</w:t>
      </w:r>
      <w:r w:rsidRPr="00394CEC">
        <w:tab/>
        <w:t>Personer och organ som ansvar för system och policy beträffande någon aspekt av vuxenutbildning på lokal, regional och nationell nivå.</w:t>
      </w:r>
    </w:p>
    <w:p w:rsidR="00893675" w:rsidRPr="00394CEC" w:rsidRDefault="00893675" w:rsidP="00F63D36">
      <w:pPr>
        <w:spacing w:line="348" w:lineRule="auto"/>
      </w:pPr>
    </w:p>
    <w:p w:rsidR="00893675" w:rsidRPr="00394CEC" w:rsidRDefault="00893675" w:rsidP="00F63D36">
      <w:pPr>
        <w:spacing w:line="348" w:lineRule="auto"/>
      </w:pPr>
      <w:r w:rsidRPr="00394CEC">
        <w:t>h)</w:t>
      </w:r>
      <w:r w:rsidRPr="00394CEC">
        <w:tab/>
        <w:t>Forskningscentrum och forskningsorgan som sysslar med frågor som rör vuxenutbildning.</w:t>
      </w:r>
    </w:p>
    <w:p w:rsidR="00893675" w:rsidRPr="00394CEC" w:rsidRDefault="00893675" w:rsidP="00F63D36">
      <w:pPr>
        <w:spacing w:line="348" w:lineRule="auto"/>
      </w:pPr>
    </w:p>
    <w:p w:rsidR="00893675" w:rsidRPr="00394CEC" w:rsidRDefault="00893675" w:rsidP="00F63D36">
      <w:pPr>
        <w:spacing w:line="348" w:lineRule="auto"/>
      </w:pPr>
      <w:r w:rsidRPr="00394CEC">
        <w:t>i)</w:t>
      </w:r>
      <w:r w:rsidRPr="00394CEC">
        <w:tab/>
        <w:t>Företag.</w:t>
      </w:r>
    </w:p>
    <w:p w:rsidR="00893675" w:rsidRPr="00394CEC" w:rsidRDefault="00893675" w:rsidP="00F63D36">
      <w:pPr>
        <w:spacing w:line="348" w:lineRule="auto"/>
      </w:pPr>
    </w:p>
    <w:p w:rsidR="00893675" w:rsidRPr="00394CEC" w:rsidRDefault="00893675" w:rsidP="00F63D36">
      <w:pPr>
        <w:spacing w:line="348" w:lineRule="auto"/>
      </w:pPr>
      <w:r w:rsidRPr="00394CEC">
        <w:t>j)</w:t>
      </w:r>
      <w:r w:rsidRPr="00394CEC">
        <w:tab/>
        <w:t>Ideella organisationer, frivilliga organisationer och icke</w:t>
      </w:r>
      <w:r w:rsidRPr="00394CEC">
        <w:noBreakHyphen/>
        <w:t>statliga organisationer.</w:t>
      </w:r>
    </w:p>
    <w:p w:rsidR="00893675" w:rsidRPr="00394CEC" w:rsidRDefault="00893675" w:rsidP="00F63D36">
      <w:pPr>
        <w:spacing w:line="348" w:lineRule="auto"/>
      </w:pPr>
    </w:p>
    <w:p w:rsidR="00893675" w:rsidRPr="00394CEC" w:rsidRDefault="00893675" w:rsidP="00F63D36">
      <w:pPr>
        <w:spacing w:line="348" w:lineRule="auto"/>
      </w:pPr>
      <w:r w:rsidRPr="00394CEC">
        <w:t>k)</w:t>
      </w:r>
      <w:r w:rsidRPr="00394CEC">
        <w:tab/>
        <w:t>Högre utbildningsanstalter.</w:t>
      </w:r>
    </w:p>
    <w:p w:rsidR="00893675" w:rsidRPr="00394CEC" w:rsidRDefault="00893675" w:rsidP="00F63D36">
      <w:pPr>
        <w:jc w:val="center"/>
        <w:rPr>
          <w:b/>
        </w:rPr>
      </w:pPr>
      <w:r w:rsidRPr="00394CEC">
        <w:rPr>
          <w:i/>
        </w:rPr>
        <w:br w:type="page"/>
        <w:t>Artikel 33</w:t>
      </w:r>
      <w:r w:rsidRPr="00394CEC">
        <w:rPr>
          <w:i/>
        </w:rPr>
        <w:br/>
      </w:r>
      <w:r w:rsidRPr="00394CEC">
        <w:t>Mål</w:t>
      </w:r>
    </w:p>
    <w:p w:rsidR="00893675" w:rsidRPr="00394CEC" w:rsidRDefault="00893675" w:rsidP="00893675">
      <w:pPr>
        <w:rPr>
          <w:b/>
        </w:rPr>
      </w:pPr>
    </w:p>
    <w:p w:rsidR="00893675" w:rsidRPr="00394CEC" w:rsidRDefault="00893675" w:rsidP="002C3790">
      <w:pPr>
        <w:ind w:left="567" w:hanging="567"/>
      </w:pPr>
      <w:r w:rsidRPr="00394CEC">
        <w:t>1.</w:t>
      </w:r>
      <w:r w:rsidRPr="00394CEC">
        <w:tab/>
        <w:t>Utöver de mål för programmet för livslångt lärande som anges i artikel 1 skall programmet Grundtvig ha följande särskilda mål:</w:t>
      </w:r>
    </w:p>
    <w:p w:rsidR="00893675" w:rsidRPr="00394CEC" w:rsidRDefault="00893675" w:rsidP="00893675"/>
    <w:p w:rsidR="00893675" w:rsidRPr="00394CEC" w:rsidRDefault="00893675" w:rsidP="002C3790">
      <w:pPr>
        <w:ind w:left="567"/>
      </w:pPr>
      <w:r w:rsidRPr="00394CEC">
        <w:t>a)</w:t>
      </w:r>
      <w:r w:rsidRPr="00394CEC">
        <w:tab/>
        <w:t>Att hantera den pedagogiska utmaning som är följden av Europas åldrande befolkning.</w:t>
      </w:r>
    </w:p>
    <w:p w:rsidR="00893675" w:rsidRPr="00394CEC" w:rsidRDefault="00893675" w:rsidP="002C3790">
      <w:pPr>
        <w:ind w:left="567"/>
      </w:pPr>
    </w:p>
    <w:p w:rsidR="00893675" w:rsidRPr="00394CEC" w:rsidRDefault="00893675" w:rsidP="002C3790">
      <w:pPr>
        <w:ind w:left="567"/>
      </w:pPr>
      <w:r w:rsidRPr="00394CEC">
        <w:t>b)</w:t>
      </w:r>
      <w:r w:rsidRPr="00394CEC">
        <w:tab/>
        <w:t>Att bidra till att ge vuxna möjligheter att förbättra sina kunskaper och färdigheter.</w:t>
      </w:r>
    </w:p>
    <w:p w:rsidR="00893675" w:rsidRPr="00394CEC" w:rsidRDefault="00893675" w:rsidP="00893675"/>
    <w:p w:rsidR="00893675" w:rsidRPr="00394CEC" w:rsidRDefault="00893675" w:rsidP="00893675">
      <w:r w:rsidRPr="00394CEC">
        <w:t>2.</w:t>
      </w:r>
      <w:r w:rsidRPr="00394CEC">
        <w:tab/>
        <w:t>Programmet Grundtvig skall ha följande operativa mål:</w:t>
      </w:r>
    </w:p>
    <w:p w:rsidR="00893675" w:rsidRPr="00394CEC" w:rsidRDefault="00893675" w:rsidP="00893675"/>
    <w:p w:rsidR="00893675" w:rsidRPr="00394CEC" w:rsidRDefault="00893675" w:rsidP="002C3790">
      <w:pPr>
        <w:ind w:left="1134" w:hanging="567"/>
      </w:pPr>
      <w:r w:rsidRPr="00394CEC">
        <w:t>a)</w:t>
      </w:r>
      <w:r w:rsidRPr="00394CEC">
        <w:tab/>
        <w:t xml:space="preserve">Att förbättra kvaliteten på och tillgången till rörlighet i hela Europa för personer </w:t>
      </w:r>
      <w:r w:rsidR="002C3790" w:rsidRPr="00394CEC">
        <w:t>som deltar i vuxenutbildning [...</w:t>
      </w:r>
      <w:r w:rsidRPr="00394CEC">
        <w:t>]</w:t>
      </w:r>
      <w:r w:rsidRPr="00394CEC">
        <w:rPr>
          <w:rStyle w:val="Fotnotsreferens"/>
        </w:rPr>
        <w:footnoteReference w:id="42"/>
      </w:r>
      <w:r w:rsidRPr="00394CEC">
        <w:t>, så att minst [</w:t>
      </w:r>
      <w:r w:rsidR="002C3790" w:rsidRPr="00394CEC">
        <w:t>...</w:t>
      </w:r>
      <w:r w:rsidRPr="00394CEC">
        <w:t>]</w:t>
      </w:r>
      <w:r w:rsidRPr="00394CEC">
        <w:rPr>
          <w:rStyle w:val="Fotnotsreferens"/>
        </w:rPr>
        <w:footnoteReference w:id="43"/>
      </w:r>
      <w:r w:rsidRPr="00394CEC">
        <w:t xml:space="preserve"> sådana personer årligen erhåller bidrag senast 2013.</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Att förbättra kvaliteten på [</w:t>
      </w:r>
      <w:r w:rsidR="002C3790" w:rsidRPr="00394CEC">
        <w:t>...</w:t>
      </w:r>
      <w:r w:rsidRPr="00394CEC">
        <w:t>]</w:t>
      </w:r>
      <w:r w:rsidRPr="00394CEC">
        <w:rPr>
          <w:rStyle w:val="Fotnotsreferens"/>
        </w:rPr>
        <w:footnoteReference w:id="44"/>
      </w:r>
      <w:r w:rsidRPr="00394CEC">
        <w:t xml:space="preserve"> samarbetet mellan organisationer som arbetar med vuxenutbildning i hela Europa.</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Att se till att personer ur utsatta och marginaliserade samhällsgrupper, särskilt äldre och personer som avbrutit sin utbildning utan grundläggande kvalifikationer, får nya möjligheter att delta i vuxenutbildning.</w:t>
      </w:r>
    </w:p>
    <w:p w:rsidR="00893675" w:rsidRPr="00394CEC" w:rsidRDefault="00893675" w:rsidP="002C3790">
      <w:pPr>
        <w:ind w:left="1134" w:hanging="567"/>
      </w:pPr>
    </w:p>
    <w:p w:rsidR="00893675" w:rsidRPr="00394CEC" w:rsidRDefault="00893675" w:rsidP="002C3790">
      <w:pPr>
        <w:ind w:left="1134" w:hanging="567"/>
      </w:pPr>
      <w:r w:rsidRPr="00394CEC">
        <w:t>d)</w:t>
      </w:r>
      <w:r w:rsidRPr="00394CEC">
        <w:tab/>
        <w:t>Att underlätta utvecklingen av innovativa lösningar inom vuxenutbildning, samt överföringen av dessa, däribland från ett deltagande land till andra länder.</w:t>
      </w:r>
    </w:p>
    <w:p w:rsidR="00893675" w:rsidRPr="00394CEC" w:rsidRDefault="00893675" w:rsidP="002C3790">
      <w:pPr>
        <w:ind w:left="1134" w:hanging="567"/>
        <w:rPr>
          <w:b/>
        </w:rPr>
      </w:pPr>
    </w:p>
    <w:p w:rsidR="00893675" w:rsidRPr="00394CEC" w:rsidRDefault="00893675" w:rsidP="002C3790">
      <w:pPr>
        <w:ind w:left="1134" w:hanging="567"/>
      </w:pPr>
      <w:r w:rsidRPr="00394CEC">
        <w:t>e)</w:t>
      </w:r>
      <w:r w:rsidRPr="00394CEC">
        <w:tab/>
        <w:t>Att stödja utvecklingen av innovativt innehåll, tjänster, pedagogik och praktik för livslångt lärande, grundat på informations</w:t>
      </w:r>
      <w:r w:rsidRPr="00394CEC">
        <w:noBreakHyphen/>
        <w:t xml:space="preserve"> och kommunikationsteknik.</w:t>
      </w:r>
    </w:p>
    <w:p w:rsidR="00893675" w:rsidRPr="00394CEC" w:rsidRDefault="00893675" w:rsidP="002C3790">
      <w:pPr>
        <w:ind w:left="1134" w:hanging="567"/>
      </w:pPr>
    </w:p>
    <w:p w:rsidR="00893675" w:rsidRPr="00394CEC" w:rsidRDefault="00893675" w:rsidP="002C3790">
      <w:pPr>
        <w:ind w:left="1134" w:hanging="567"/>
      </w:pPr>
      <w:r w:rsidRPr="00394CEC">
        <w:t>f)</w:t>
      </w:r>
      <w:r w:rsidRPr="00394CEC">
        <w:tab/>
        <w:t>Att förbättra undervisningsmetoder samt förvaltningen av organisationer för vuxenutbildning.</w:t>
      </w:r>
    </w:p>
    <w:p w:rsidR="00893675" w:rsidRPr="00394CEC" w:rsidRDefault="00893675" w:rsidP="002C3790">
      <w:pPr>
        <w:jc w:val="center"/>
        <w:rPr>
          <w:i/>
        </w:rPr>
      </w:pPr>
      <w:r w:rsidRPr="00394CEC">
        <w:br w:type="page"/>
      </w:r>
      <w:r w:rsidRPr="00394CEC">
        <w:rPr>
          <w:i/>
        </w:rPr>
        <w:t>Artikel 34</w:t>
      </w:r>
      <w:r w:rsidRPr="00394CEC">
        <w:rPr>
          <w:i/>
        </w:rPr>
        <w:br/>
      </w:r>
      <w:r w:rsidRPr="00394CEC">
        <w:t>Insatser</w:t>
      </w:r>
    </w:p>
    <w:p w:rsidR="00893675" w:rsidRPr="00394CEC" w:rsidRDefault="00893675" w:rsidP="00893675"/>
    <w:p w:rsidR="00893675" w:rsidRPr="00394CEC" w:rsidRDefault="00893675" w:rsidP="00893675">
      <w:r w:rsidRPr="00394CEC">
        <w:t>1.</w:t>
      </w:r>
      <w:r w:rsidRPr="00394CEC">
        <w:tab/>
        <w:t>Följande insatser kan få bidrag ur programmet Grundtvig:</w:t>
      </w:r>
    </w:p>
    <w:p w:rsidR="00893675" w:rsidRPr="00394CEC" w:rsidRDefault="00893675" w:rsidP="00893675"/>
    <w:p w:rsidR="00893675" w:rsidRPr="00394CEC" w:rsidRDefault="00893675" w:rsidP="002C3790">
      <w:pPr>
        <w:ind w:left="1134" w:hanging="567"/>
      </w:pPr>
      <w:r w:rsidRPr="00394CEC">
        <w:t>a)</w:t>
      </w:r>
      <w:r w:rsidRPr="00394CEC">
        <w:tab/>
        <w:t>Enskilda personers rörlighet enligt artikel 5.1 a. När sådan rörlighet anordnas eller får bidrag skall nödvändiga förberedande åtgärder vidtas och de deltagande måste ges tillräcklig övervakning och stöd. Sådan rörlighet kan omfatta studiebesök, assistenttjänster och utbyte för deltagare i formell och icke</w:t>
      </w:r>
      <w:r w:rsidRPr="00394CEC">
        <w:noBreakHyphen/>
        <w:t>formell vuxenutbildning, däribland utbildning och vidareutbildning för personal inom vuxenutbildning, särskilt i samverkan med partnerskap och projekt.</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Partnerskap enligt artikel 5.1 b, med namnet "Grundtvigpartnerskap för lärande", vilka koncentrerar sig på ämnen av gemensamt intresse för de deltagande organisationerna.</w:t>
      </w:r>
    </w:p>
    <w:p w:rsidR="00893675" w:rsidRPr="00394CEC" w:rsidRDefault="00893675" w:rsidP="002C3790">
      <w:pPr>
        <w:ind w:left="1134" w:hanging="567"/>
      </w:pPr>
    </w:p>
    <w:p w:rsidR="00893675" w:rsidRPr="00394CEC" w:rsidRDefault="00893675" w:rsidP="002C3790">
      <w:pPr>
        <w:ind w:left="1134" w:hanging="567"/>
      </w:pPr>
      <w:r w:rsidRPr="00394CEC">
        <w:t>ba)</w:t>
      </w:r>
      <w:r w:rsidRPr="00394CEC">
        <w:tab/>
        <w:t>Multilaterala projekt enligt artikel 5.1 c, särskilt de som syftar till att förbättra system för vuxenutbildning genom överföring av innovation och god praxis.</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Multilaterala projekt enligt artikel 5.1 e, som syftar till att förbättra system för vuxenutbildning genom utarbetande och överföring av innovation och god praxis.</w:t>
      </w:r>
    </w:p>
    <w:p w:rsidR="00893675" w:rsidRPr="00394CEC" w:rsidRDefault="00893675" w:rsidP="002C3790">
      <w:pPr>
        <w:ind w:left="1134" w:hanging="567"/>
      </w:pPr>
    </w:p>
    <w:p w:rsidR="00893675" w:rsidRPr="00394CEC" w:rsidRDefault="00893675" w:rsidP="002C3790">
      <w:pPr>
        <w:ind w:left="1134" w:hanging="567"/>
      </w:pPr>
      <w:r w:rsidRPr="00394CEC">
        <w:t>d)</w:t>
      </w:r>
      <w:r w:rsidRPr="00394CEC">
        <w:tab/>
        <w:t>Tematiska nätverk för experter och organisationer enligt artikel 5.1 e, med namnet "Grundtvignätverk", som särskilt arbetar med</w:t>
      </w:r>
    </w:p>
    <w:p w:rsidR="00893675" w:rsidRPr="00394CEC" w:rsidRDefault="00893675" w:rsidP="002C3790">
      <w:pPr>
        <w:ind w:left="1701" w:hanging="567"/>
      </w:pPr>
    </w:p>
    <w:p w:rsidR="00893675" w:rsidRPr="00394CEC" w:rsidRDefault="00893675" w:rsidP="002C3790">
      <w:pPr>
        <w:ind w:left="1701" w:hanging="567"/>
      </w:pPr>
      <w:r w:rsidRPr="00394CEC">
        <w:t>i)</w:t>
      </w:r>
      <w:r w:rsidRPr="00394CEC">
        <w:tab/>
        <w:t>att utveckla vuxenutbildning inom det ämne, ämnesområde eller förvaltningsaspekt som de verkar inom,</w:t>
      </w:r>
    </w:p>
    <w:p w:rsidR="00893675" w:rsidRPr="00394CEC" w:rsidRDefault="00893675" w:rsidP="002C3790">
      <w:pPr>
        <w:ind w:left="1701" w:hanging="567"/>
      </w:pPr>
    </w:p>
    <w:p w:rsidR="00893675" w:rsidRPr="00394CEC" w:rsidRDefault="00893675" w:rsidP="002C3790">
      <w:pPr>
        <w:ind w:left="1701" w:hanging="567"/>
      </w:pPr>
      <w:r w:rsidRPr="00394CEC">
        <w:t>ii)</w:t>
      </w:r>
      <w:r w:rsidRPr="00394CEC">
        <w:tab/>
        <w:t>att ta fram, förbättra och sprida relevant god praxis och innovation,</w:t>
      </w:r>
    </w:p>
    <w:p w:rsidR="00893675" w:rsidRPr="00394CEC" w:rsidRDefault="00893675" w:rsidP="00893675"/>
    <w:p w:rsidR="00893675" w:rsidRPr="00394CEC" w:rsidRDefault="00893675" w:rsidP="002C3790">
      <w:pPr>
        <w:ind w:left="1701" w:hanging="567"/>
      </w:pPr>
      <w:r w:rsidRPr="00394CEC">
        <w:br w:type="page"/>
        <w:t>iii)</w:t>
      </w:r>
      <w:r w:rsidRPr="00394CEC">
        <w:tab/>
        <w:t>att tillhandahålla stöd till innehållet i andras projekt och partnerskap och att underlätta samverkan mellan sådana projekt och partnerskap,</w:t>
      </w:r>
    </w:p>
    <w:p w:rsidR="00893675" w:rsidRPr="00394CEC" w:rsidRDefault="00893675" w:rsidP="00893675"/>
    <w:p w:rsidR="00893675" w:rsidRPr="00394CEC" w:rsidRDefault="00893675" w:rsidP="002C3790">
      <w:pPr>
        <w:ind w:left="1701" w:hanging="567"/>
      </w:pPr>
      <w:r w:rsidRPr="00394CEC">
        <w:t>iv)</w:t>
      </w:r>
      <w:r w:rsidRPr="00394CEC">
        <w:tab/>
        <w:t>att främja utvecklingen av behovsanalys och kvalitetssäkring inom vuxenutbildning.</w:t>
      </w:r>
    </w:p>
    <w:p w:rsidR="00893675" w:rsidRPr="00394CEC" w:rsidRDefault="00893675" w:rsidP="00893675"/>
    <w:p w:rsidR="00893675" w:rsidRPr="00394CEC" w:rsidRDefault="00893675" w:rsidP="002C3790">
      <w:pPr>
        <w:ind w:left="1134" w:hanging="567"/>
      </w:pPr>
      <w:r w:rsidRPr="00394CEC">
        <w:t>e)</w:t>
      </w:r>
      <w:r w:rsidRPr="00394CEC">
        <w:tab/>
        <w:t>Andra initiativ som syftar till att främja målen för programmet Grundtvig, enligt artikel 5.1 h ("Kompletterande åtgärder").</w:t>
      </w:r>
    </w:p>
    <w:p w:rsidR="00893675" w:rsidRPr="00394CEC" w:rsidRDefault="00893675" w:rsidP="00893675"/>
    <w:p w:rsidR="00893675" w:rsidRPr="00394CEC" w:rsidRDefault="00893675" w:rsidP="00893675">
      <w:r w:rsidRPr="00394CEC">
        <w:t>2.</w:t>
      </w:r>
      <w:r w:rsidRPr="00394CEC">
        <w:tab/>
        <w:t>De operativa detaljerna för sådana insatser skall beslutas enligt förfarandet i artikel 10.2.</w:t>
      </w:r>
    </w:p>
    <w:p w:rsidR="00893675" w:rsidRPr="00394CEC" w:rsidRDefault="00893675" w:rsidP="00893675"/>
    <w:p w:rsidR="00893675" w:rsidRPr="00394CEC" w:rsidRDefault="00893675" w:rsidP="002C3790">
      <w:pPr>
        <w:jc w:val="center"/>
      </w:pPr>
      <w:r w:rsidRPr="00394CEC">
        <w:rPr>
          <w:i/>
        </w:rPr>
        <w:t>Artikel 35</w:t>
      </w:r>
      <w:r w:rsidRPr="00394CEC">
        <w:br/>
        <w:t>Budget</w:t>
      </w:r>
    </w:p>
    <w:p w:rsidR="00893675" w:rsidRPr="00394CEC" w:rsidRDefault="00893675" w:rsidP="002C3790">
      <w:pPr>
        <w:jc w:val="center"/>
      </w:pPr>
      <w:r w:rsidRPr="00394CEC">
        <w:t>[För närvarande utesluten ur texten]</w:t>
      </w:r>
      <w:r w:rsidRPr="00394CEC">
        <w:rPr>
          <w:rStyle w:val="Fotnotsreferens"/>
        </w:rPr>
        <w:footnoteReference w:id="45"/>
      </w:r>
    </w:p>
    <w:p w:rsidR="00893675" w:rsidRPr="00394CEC" w:rsidRDefault="00893675" w:rsidP="00893675"/>
    <w:p w:rsidR="00893675" w:rsidRPr="00394CEC" w:rsidRDefault="00893675" w:rsidP="002C3790">
      <w:pPr>
        <w:jc w:val="center"/>
        <w:rPr>
          <w:i/>
        </w:rPr>
      </w:pPr>
      <w:r w:rsidRPr="00394CEC">
        <w:rPr>
          <w:i/>
        </w:rPr>
        <w:t>Artikel 36</w:t>
      </w:r>
    </w:p>
    <w:p w:rsidR="00893675" w:rsidRPr="00394CEC" w:rsidRDefault="00893675" w:rsidP="002C3790">
      <w:pPr>
        <w:jc w:val="center"/>
      </w:pPr>
      <w:r w:rsidRPr="00394CEC">
        <w:t>[Utgår]</w:t>
      </w:r>
    </w:p>
    <w:p w:rsidR="00893675" w:rsidRPr="00394CEC" w:rsidRDefault="00893675" w:rsidP="00893675">
      <w:pPr>
        <w:rPr>
          <w:b/>
        </w:rPr>
      </w:pPr>
    </w:p>
    <w:p w:rsidR="00893675" w:rsidRPr="00394CEC" w:rsidRDefault="00893675" w:rsidP="002C3790">
      <w:pPr>
        <w:jc w:val="center"/>
      </w:pPr>
      <w:r w:rsidRPr="00394CEC">
        <w:rPr>
          <w:b/>
        </w:rPr>
        <w:br w:type="page"/>
      </w:r>
      <w:bookmarkStart w:id="32" w:name="Tra"/>
      <w:bookmarkEnd w:id="32"/>
      <w:r w:rsidRPr="00394CEC">
        <w:rPr>
          <w:b/>
        </w:rPr>
        <w:t>Kapitel V</w:t>
      </w:r>
    </w:p>
    <w:p w:rsidR="00893675" w:rsidRPr="00394CEC" w:rsidRDefault="00893675" w:rsidP="002C3790">
      <w:pPr>
        <w:jc w:val="center"/>
        <w:rPr>
          <w:b/>
        </w:rPr>
      </w:pPr>
      <w:r w:rsidRPr="00394CEC">
        <w:rPr>
          <w:b/>
        </w:rPr>
        <w:t>Det övergripande programmet</w:t>
      </w:r>
    </w:p>
    <w:p w:rsidR="00893675" w:rsidRPr="00394CEC" w:rsidRDefault="00893675" w:rsidP="002C3790">
      <w:pPr>
        <w:jc w:val="center"/>
        <w:rPr>
          <w:b/>
        </w:rPr>
      </w:pPr>
    </w:p>
    <w:p w:rsidR="00893675" w:rsidRPr="00394CEC" w:rsidRDefault="00893675" w:rsidP="002C3790">
      <w:pPr>
        <w:jc w:val="center"/>
      </w:pPr>
      <w:r w:rsidRPr="00394CEC">
        <w:rPr>
          <w:i/>
        </w:rPr>
        <w:t>Artikel 37</w:t>
      </w:r>
      <w:r w:rsidRPr="00394CEC">
        <w:br/>
        <w:t>Mål</w:t>
      </w:r>
    </w:p>
    <w:p w:rsidR="00893675" w:rsidRPr="00394CEC" w:rsidRDefault="00893675" w:rsidP="00893675">
      <w:pPr>
        <w:rPr>
          <w:b/>
        </w:rPr>
      </w:pPr>
    </w:p>
    <w:p w:rsidR="00893675" w:rsidRPr="00394CEC" w:rsidRDefault="00893675" w:rsidP="002C3790">
      <w:pPr>
        <w:ind w:left="567" w:hanging="567"/>
      </w:pPr>
      <w:r w:rsidRPr="00394CEC">
        <w:t>1.</w:t>
      </w:r>
      <w:r w:rsidRPr="00394CEC">
        <w:tab/>
        <w:t>Utöver de mål som anges i artikel 1 skall det övergripande programmet ha följande särskilda mål:</w:t>
      </w:r>
    </w:p>
    <w:p w:rsidR="00893675" w:rsidRPr="00394CEC" w:rsidRDefault="00893675" w:rsidP="00893675"/>
    <w:p w:rsidR="00893675" w:rsidRPr="00394CEC" w:rsidRDefault="00893675" w:rsidP="002C3790">
      <w:pPr>
        <w:ind w:left="567"/>
      </w:pPr>
      <w:r w:rsidRPr="00394CEC">
        <w:t>a)</w:t>
      </w:r>
      <w:r w:rsidRPr="00394CEC">
        <w:tab/>
        <w:t>Att främja europeiskt samarbete på områden som omfattar två eller flera delprogram.</w:t>
      </w:r>
    </w:p>
    <w:p w:rsidR="00893675" w:rsidRPr="00394CEC" w:rsidRDefault="00893675" w:rsidP="002C3790">
      <w:pPr>
        <w:ind w:left="567"/>
      </w:pPr>
    </w:p>
    <w:p w:rsidR="00893675" w:rsidRPr="00394CEC" w:rsidRDefault="00893675" w:rsidP="002C3790">
      <w:pPr>
        <w:ind w:left="567"/>
      </w:pPr>
      <w:r w:rsidRPr="00394CEC">
        <w:t>b)</w:t>
      </w:r>
      <w:r w:rsidRPr="00394CEC">
        <w:tab/>
        <w:t>Att främja kvalitet och öppenhet i medlemsstaternas utbildningssystem.</w:t>
      </w:r>
    </w:p>
    <w:p w:rsidR="00893675" w:rsidRPr="00394CEC" w:rsidRDefault="00893675" w:rsidP="00893675"/>
    <w:p w:rsidR="00893675" w:rsidRPr="00394CEC" w:rsidRDefault="00893675" w:rsidP="00893675">
      <w:pPr>
        <w:rPr>
          <w:b/>
        </w:rPr>
      </w:pPr>
      <w:r w:rsidRPr="00394CEC">
        <w:t>2.</w:t>
      </w:r>
      <w:r w:rsidRPr="00394CEC">
        <w:rPr>
          <w:b/>
        </w:rPr>
        <w:tab/>
      </w:r>
      <w:r w:rsidRPr="00394CEC">
        <w:t>Det övergripande programmet skall ha följande operativa mål:</w:t>
      </w:r>
    </w:p>
    <w:p w:rsidR="00893675" w:rsidRPr="00394CEC" w:rsidRDefault="00893675" w:rsidP="00893675"/>
    <w:p w:rsidR="00893675" w:rsidRPr="00394CEC" w:rsidRDefault="00893675" w:rsidP="002C3790">
      <w:pPr>
        <w:ind w:left="1134" w:hanging="567"/>
      </w:pPr>
      <w:r w:rsidRPr="00394CEC">
        <w:t>a)</w:t>
      </w:r>
      <w:r w:rsidRPr="00394CEC">
        <w:tab/>
        <w:t>Att stödja policyutvecklingen och samarbetet för livslångt lärande på europeisk nivå, särskilt inom ramen för Lissabonprocessen och Utbildning 2010 samt Bologna</w:t>
      </w:r>
      <w:r w:rsidRPr="00394CEC">
        <w:noBreakHyphen/>
        <w:t xml:space="preserve"> och Köpenhamnsprocesserna och deras efterföljare.</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Att se till att det finns tillräckligt med jämförbara data, statistiska uppgifter och analyser som policyutvecklingen för livslångt lärande kan bygga på samt att övervaka framstegen mot målen för livslångt lärande och fastställa områden som skall ägnas särskild uppmärksamhet.</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Att främja språkinlärning och stödja språklig mångfald i medlemsstaterna.</w:t>
      </w:r>
    </w:p>
    <w:p w:rsidR="00893675" w:rsidRPr="00394CEC" w:rsidRDefault="00893675" w:rsidP="002C3790">
      <w:pPr>
        <w:ind w:left="1134" w:hanging="567"/>
      </w:pPr>
    </w:p>
    <w:p w:rsidR="00893675" w:rsidRPr="00394CEC" w:rsidRDefault="00893675" w:rsidP="002C3790">
      <w:pPr>
        <w:ind w:left="1134" w:hanging="567"/>
      </w:pPr>
      <w:r w:rsidRPr="00394CEC">
        <w:t>d)</w:t>
      </w:r>
      <w:r w:rsidRPr="00394CEC">
        <w:tab/>
        <w:t>Att stödja utarbetandet av nyskapande innehåll, tjänster, undervisningsmetoder och rutiner för livslångt lärande som bygger på IKT.</w:t>
      </w:r>
    </w:p>
    <w:p w:rsidR="00893675" w:rsidRPr="00394CEC" w:rsidRDefault="00893675" w:rsidP="002C3790">
      <w:pPr>
        <w:ind w:left="1134" w:hanging="567"/>
      </w:pPr>
    </w:p>
    <w:p w:rsidR="00893675" w:rsidRPr="00394CEC" w:rsidRDefault="00893675" w:rsidP="002C3790">
      <w:pPr>
        <w:ind w:left="1134" w:hanging="567"/>
      </w:pPr>
      <w:r w:rsidRPr="00394CEC">
        <w:t>e)</w:t>
      </w:r>
      <w:r w:rsidRPr="00394CEC">
        <w:tab/>
        <w:t>Att se till att resultaten av programmet för livslångt lärande erkänns, visas och genomförs i stor skala.</w:t>
      </w:r>
    </w:p>
    <w:p w:rsidR="00893675" w:rsidRPr="00394CEC" w:rsidRDefault="00893675" w:rsidP="00893675"/>
    <w:p w:rsidR="00893675" w:rsidRPr="00394CEC" w:rsidRDefault="00893675" w:rsidP="002C3790">
      <w:pPr>
        <w:spacing w:line="336" w:lineRule="auto"/>
        <w:jc w:val="center"/>
      </w:pPr>
      <w:r w:rsidRPr="00394CEC">
        <w:rPr>
          <w:i/>
        </w:rPr>
        <w:br w:type="page"/>
        <w:t>Artikel 38</w:t>
      </w:r>
      <w:r w:rsidRPr="00394CEC">
        <w:rPr>
          <w:i/>
        </w:rPr>
        <w:br/>
      </w:r>
      <w:r w:rsidRPr="00394CEC">
        <w:t>Insatser</w:t>
      </w:r>
    </w:p>
    <w:p w:rsidR="00893675" w:rsidRPr="00394CEC" w:rsidRDefault="00893675" w:rsidP="002C3790">
      <w:pPr>
        <w:spacing w:line="336" w:lineRule="auto"/>
      </w:pPr>
    </w:p>
    <w:p w:rsidR="00893675" w:rsidRPr="00394CEC" w:rsidRDefault="00893675" w:rsidP="002C3790">
      <w:pPr>
        <w:spacing w:line="336" w:lineRule="auto"/>
        <w:ind w:left="567" w:hanging="567"/>
      </w:pPr>
      <w:r w:rsidRPr="00394CEC">
        <w:t>1.</w:t>
      </w:r>
      <w:r w:rsidRPr="00394CEC">
        <w:tab/>
        <w:t>Följande insatser kan få stöd inom det centrala verksamhetsområdet policysamarbete och innovation för livslångt lärande enligt artikel 3</w:t>
      </w:r>
      <w:r w:rsidRPr="00394CEC">
        <w:rPr>
          <w:b/>
        </w:rPr>
        <w:t>.</w:t>
      </w:r>
      <w:r w:rsidRPr="00394CEC">
        <w:t>2 a:</w:t>
      </w:r>
    </w:p>
    <w:p w:rsidR="00893675" w:rsidRPr="00394CEC" w:rsidRDefault="00893675" w:rsidP="002C3790">
      <w:pPr>
        <w:spacing w:line="336" w:lineRule="auto"/>
      </w:pPr>
    </w:p>
    <w:p w:rsidR="00893675" w:rsidRPr="00394CEC" w:rsidRDefault="00893675" w:rsidP="002C3790">
      <w:pPr>
        <w:spacing w:line="336" w:lineRule="auto"/>
        <w:ind w:left="1134" w:hanging="567"/>
        <w:rPr>
          <w:b/>
          <w:i/>
        </w:rPr>
      </w:pPr>
      <w:r w:rsidRPr="00394CEC">
        <w:t>a)</w:t>
      </w:r>
      <w:r w:rsidRPr="00394CEC">
        <w:tab/>
        <w:t>Rörlighet för enskilda personer enligt artikel 5.1 a, inbegripet studiebesök för experter och tjänstemän som utses av nationella, regionala eller lokala myndigheter, för rektorer vid utbildningsanstalter och ansvariga för tjänster när det gäller studie</w:t>
      </w:r>
      <w:r w:rsidRPr="00394CEC">
        <w:noBreakHyphen/>
        <w:t xml:space="preserve"> och yrkesvägledning och erkännande av arbetslivserfarenhet samt för arbetsmarknadens parter.</w:t>
      </w:r>
    </w:p>
    <w:p w:rsidR="00893675" w:rsidRPr="00394CEC" w:rsidRDefault="00893675" w:rsidP="002C3790">
      <w:pPr>
        <w:spacing w:line="336" w:lineRule="auto"/>
        <w:ind w:left="1134" w:hanging="567"/>
      </w:pPr>
    </w:p>
    <w:p w:rsidR="00893675" w:rsidRPr="00394CEC" w:rsidRDefault="00893675" w:rsidP="002C3790">
      <w:pPr>
        <w:spacing w:line="336" w:lineRule="auto"/>
        <w:ind w:left="1134" w:hanging="567"/>
      </w:pPr>
      <w:r w:rsidRPr="00394CEC">
        <w:t>b)</w:t>
      </w:r>
      <w:r w:rsidRPr="00394CEC">
        <w:tab/>
        <w:t>Multilaterala projekt enligt artikel 5.1 e, som syftar till att förbereda och pröva policyförslag som utarbetats på gemenskapsnivå samt innovation för livslångt lärande.</w:t>
      </w:r>
    </w:p>
    <w:p w:rsidR="00893675" w:rsidRPr="00394CEC" w:rsidRDefault="00893675" w:rsidP="002C3790">
      <w:pPr>
        <w:spacing w:line="336" w:lineRule="auto"/>
        <w:ind w:left="1134" w:hanging="567"/>
      </w:pPr>
    </w:p>
    <w:p w:rsidR="00893675" w:rsidRPr="00394CEC" w:rsidRDefault="00893675" w:rsidP="002C3790">
      <w:pPr>
        <w:spacing w:line="336" w:lineRule="auto"/>
        <w:ind w:left="1134" w:hanging="567"/>
      </w:pPr>
      <w:r w:rsidRPr="00394CEC">
        <w:t>c)</w:t>
      </w:r>
      <w:r w:rsidRPr="00394CEC">
        <w:tab/>
        <w:t>Multilaterala nätverk för samarbete enligt artikel 5.1 e, bestående av experter och/eller institut som arbetar tillsammans i policyfrågor. Sådana nätverk kan omfatta</w:t>
      </w:r>
    </w:p>
    <w:p w:rsidR="00893675" w:rsidRPr="00394CEC" w:rsidRDefault="00893675" w:rsidP="002C3790">
      <w:pPr>
        <w:spacing w:line="336" w:lineRule="auto"/>
        <w:ind w:left="1134" w:hanging="567"/>
      </w:pPr>
    </w:p>
    <w:p w:rsidR="00893675" w:rsidRPr="00394CEC" w:rsidRDefault="00893675" w:rsidP="002C3790">
      <w:pPr>
        <w:spacing w:line="336" w:lineRule="auto"/>
        <w:ind w:left="1701" w:hanging="567"/>
      </w:pPr>
      <w:r w:rsidRPr="00394CEC">
        <w:t>i)</w:t>
      </w:r>
      <w:r w:rsidRPr="00394CEC">
        <w:tab/>
        <w:t>tematiska nätverk som arbetar med frågor som gäller innehållet i livslångt lärande eller metoder och policy i samband med livslångt lärande. Sådana nätverk kan observera, utbyta, kartlägga och analysera god praxis och nyskapande metoder, samt föreslå bättre och bredare användning av sådana lösningar i alla medlemsstater,</w:t>
      </w:r>
    </w:p>
    <w:p w:rsidR="00893675" w:rsidRPr="00394CEC" w:rsidRDefault="00893675" w:rsidP="002C3790">
      <w:pPr>
        <w:spacing w:line="336" w:lineRule="auto"/>
        <w:ind w:left="1701" w:hanging="567"/>
      </w:pPr>
    </w:p>
    <w:p w:rsidR="00893675" w:rsidRPr="00394CEC" w:rsidRDefault="00893675" w:rsidP="002C3790">
      <w:pPr>
        <w:spacing w:line="336" w:lineRule="auto"/>
        <w:ind w:left="1701" w:hanging="567"/>
      </w:pPr>
      <w:r w:rsidRPr="00394CEC">
        <w:t>ii)</w:t>
      </w:r>
      <w:r w:rsidRPr="00394CEC">
        <w:tab/>
        <w:t>forum om strategiska frågor för livslångt lärande.</w:t>
      </w:r>
    </w:p>
    <w:p w:rsidR="00893675" w:rsidRPr="00394CEC" w:rsidRDefault="00893675" w:rsidP="002C3790">
      <w:pPr>
        <w:spacing w:line="336" w:lineRule="auto"/>
        <w:ind w:left="1134" w:hanging="567"/>
      </w:pPr>
    </w:p>
    <w:p w:rsidR="00893675" w:rsidRPr="00394CEC" w:rsidRDefault="00893675" w:rsidP="002C3790">
      <w:pPr>
        <w:spacing w:line="336" w:lineRule="auto"/>
        <w:ind w:left="1134" w:hanging="567"/>
      </w:pPr>
      <w:r w:rsidRPr="00394CEC">
        <w:t>d)</w:t>
      </w:r>
      <w:r w:rsidRPr="00394CEC">
        <w:tab/>
        <w:t>Iakttagelser och analys av policy och system för livslångt lärande, enligt artikel 5.1 f, vilka får inbegripa</w:t>
      </w:r>
    </w:p>
    <w:p w:rsidR="00893675" w:rsidRPr="00394CEC" w:rsidRDefault="00893675" w:rsidP="002C3790">
      <w:pPr>
        <w:spacing w:line="336" w:lineRule="auto"/>
        <w:ind w:left="1134" w:hanging="567"/>
      </w:pPr>
    </w:p>
    <w:p w:rsidR="00893675" w:rsidRPr="00394CEC" w:rsidRDefault="00893675" w:rsidP="002C3790">
      <w:pPr>
        <w:spacing w:line="336" w:lineRule="auto"/>
        <w:ind w:left="1701" w:hanging="567"/>
      </w:pPr>
      <w:r w:rsidRPr="00394CEC">
        <w:t>i)</w:t>
      </w:r>
      <w:r w:rsidRPr="00394CEC">
        <w:tab/>
        <w:t>studier och jämförande forskning,</w:t>
      </w:r>
    </w:p>
    <w:p w:rsidR="002C3790" w:rsidRPr="00394CEC" w:rsidRDefault="002C3790" w:rsidP="002C3790">
      <w:pPr>
        <w:spacing w:line="336" w:lineRule="auto"/>
        <w:ind w:left="1701" w:hanging="567"/>
      </w:pPr>
    </w:p>
    <w:p w:rsidR="00893675" w:rsidRPr="00394CEC" w:rsidRDefault="00893675" w:rsidP="002C3790">
      <w:pPr>
        <w:spacing w:line="336" w:lineRule="auto"/>
        <w:ind w:left="1701" w:hanging="567"/>
      </w:pPr>
      <w:r w:rsidRPr="00394CEC">
        <w:t>ii)</w:t>
      </w:r>
      <w:r w:rsidRPr="00394CEC">
        <w:tab/>
        <w:t>utarbetande av indikatorer och statistiska undersökningar, inbegripet stöd till arbete som företas för livslångt lärande i samarbete med Eurostat,</w:t>
      </w:r>
    </w:p>
    <w:p w:rsidR="002C3790" w:rsidRPr="00394CEC" w:rsidRDefault="002C3790" w:rsidP="002C3790">
      <w:pPr>
        <w:spacing w:line="336" w:lineRule="auto"/>
        <w:ind w:left="1701" w:hanging="567"/>
      </w:pPr>
    </w:p>
    <w:p w:rsidR="00893675" w:rsidRPr="00394CEC" w:rsidRDefault="00893675" w:rsidP="002C3790">
      <w:pPr>
        <w:spacing w:line="336" w:lineRule="auto"/>
        <w:ind w:left="1701" w:hanging="567"/>
      </w:pPr>
      <w:r w:rsidRPr="00394CEC">
        <w:t>iii)</w:t>
      </w:r>
      <w:r w:rsidRPr="00394CEC">
        <w:tab/>
        <w:t>stöd till Eurydicenätverkets arbete samt bekostande av Eurydices europeiska enhet vilken inrättats av kommissionen.</w:t>
      </w:r>
    </w:p>
    <w:p w:rsidR="00893675" w:rsidRPr="00394CEC" w:rsidRDefault="00893675" w:rsidP="002C3790">
      <w:pPr>
        <w:ind w:left="1134" w:hanging="567"/>
      </w:pPr>
      <w:r w:rsidRPr="00394CEC">
        <w:br w:type="page"/>
        <w:t>e)</w:t>
      </w:r>
      <w:r w:rsidRPr="00394CEC">
        <w:tab/>
        <w:t>Insatser för att stödja tydlighet i och erkännande av kvalifikationer och meriter, inbegripet sådana som förvärvats genom icke</w:t>
      </w:r>
      <w:r w:rsidRPr="00394CEC">
        <w:noBreakHyphen/>
        <w:t>formellt och informellt lärande, information och vägledning om rörlighet i lärandesyfte, och samarbete inom kvalitetssäkring, enligt artikel 5.1 f, vilket får inbegripa</w:t>
      </w:r>
    </w:p>
    <w:p w:rsidR="00893675" w:rsidRPr="00394CEC" w:rsidRDefault="00893675" w:rsidP="002C3790">
      <w:pPr>
        <w:ind w:left="1134" w:hanging="567"/>
      </w:pPr>
    </w:p>
    <w:p w:rsidR="00893675" w:rsidRPr="00394CEC" w:rsidRDefault="00893675" w:rsidP="002C3790">
      <w:pPr>
        <w:ind w:left="1701" w:hanging="567"/>
      </w:pPr>
      <w:r w:rsidRPr="00394CEC">
        <w:t>i)</w:t>
      </w:r>
      <w:r w:rsidRPr="00394CEC">
        <w:tab/>
        <w:t>nätverk av organisationer som underlättar rörlighet och erkännande, exempelvis Euroguidance och nationella informationscentrum för akademiskt erkännande (NARIC</w:t>
      </w:r>
      <w:r w:rsidRPr="00394CEC">
        <w:noBreakHyphen/>
        <w:t>centrum),</w:t>
      </w:r>
    </w:p>
    <w:p w:rsidR="00893675" w:rsidRPr="00394CEC" w:rsidRDefault="00893675" w:rsidP="002C3790">
      <w:pPr>
        <w:ind w:left="1701" w:hanging="567"/>
      </w:pPr>
    </w:p>
    <w:p w:rsidR="00893675" w:rsidRPr="00394CEC" w:rsidRDefault="00893675" w:rsidP="002C3790">
      <w:pPr>
        <w:ind w:left="1701" w:hanging="567"/>
      </w:pPr>
      <w:r w:rsidRPr="00394CEC">
        <w:t>ii)</w:t>
      </w:r>
      <w:r w:rsidRPr="00394CEC">
        <w:tab/>
        <w:t>stöd till gränsöverskridande webbaserade tjänster, exempelvis Ploteus,</w:t>
      </w:r>
    </w:p>
    <w:p w:rsidR="00893675" w:rsidRPr="00394CEC" w:rsidRDefault="00893675" w:rsidP="002C3790">
      <w:pPr>
        <w:ind w:left="1701" w:hanging="567"/>
      </w:pPr>
    </w:p>
    <w:p w:rsidR="00893675" w:rsidRPr="00394CEC" w:rsidRDefault="00893675" w:rsidP="002C3790">
      <w:pPr>
        <w:ind w:left="1701" w:hanging="567"/>
      </w:pPr>
      <w:r w:rsidRPr="00394CEC">
        <w:t>iii)</w:t>
      </w:r>
      <w:r w:rsidRPr="00394CEC">
        <w:tab/>
        <w:t>verksamhet inom Europassinitiativet i enlighet med Europaparlamentets och rådets beslut 2241/2004 om en enhetlig ram för tydlighet i kvalifikationer och meriter.</w:t>
      </w:r>
    </w:p>
    <w:p w:rsidR="00893675" w:rsidRPr="00394CEC" w:rsidRDefault="00893675" w:rsidP="002C3790">
      <w:pPr>
        <w:ind w:left="1134" w:hanging="567"/>
      </w:pPr>
    </w:p>
    <w:p w:rsidR="00893675" w:rsidRPr="00394CEC" w:rsidRDefault="00893675" w:rsidP="002C3790">
      <w:pPr>
        <w:ind w:left="1134" w:hanging="567"/>
      </w:pPr>
      <w:r w:rsidRPr="00394CEC">
        <w:t>f)</w:t>
      </w:r>
      <w:r w:rsidRPr="00394CEC">
        <w:tab/>
        <w:t>Övriga initiativ enligt artikel 5.1 h ("Kompletterande åtgärder"),</w:t>
      </w:r>
      <w:r w:rsidRPr="00394CEC">
        <w:rPr>
          <w:b/>
        </w:rPr>
        <w:t xml:space="preserve"> </w:t>
      </w:r>
      <w:r w:rsidRPr="00394CEC">
        <w:t>inbegripet ömsesidigt lärande, som syftar till att främja målen i det centrala verksamhetsområde som avses i artikel 3.2. a.</w:t>
      </w:r>
    </w:p>
    <w:p w:rsidR="00893675" w:rsidRPr="00394CEC" w:rsidRDefault="00893675" w:rsidP="00893675"/>
    <w:p w:rsidR="00893675" w:rsidRPr="00394CEC" w:rsidRDefault="00893675" w:rsidP="002C3790">
      <w:pPr>
        <w:ind w:left="567" w:hanging="567"/>
      </w:pPr>
      <w:r w:rsidRPr="00394CEC">
        <w:t>2.</w:t>
      </w:r>
      <w:r w:rsidRPr="00394CEC">
        <w:tab/>
        <w:t>Följande insatser, vilka är avsedda att möta behov inom undervisning och lärande för mer än ett delprogramsområde, kan få bidrag inom det centrala verksamhetsområdet språkinlärning som avses i artikel 3.2. b:</w:t>
      </w:r>
    </w:p>
    <w:p w:rsidR="00893675" w:rsidRPr="00394CEC" w:rsidRDefault="00893675" w:rsidP="00893675"/>
    <w:p w:rsidR="00893675" w:rsidRPr="00394CEC" w:rsidRDefault="00893675" w:rsidP="002C3790">
      <w:pPr>
        <w:ind w:left="1134" w:hanging="567"/>
      </w:pPr>
      <w:r w:rsidRPr="00394CEC">
        <w:t>a)</w:t>
      </w:r>
      <w:r w:rsidRPr="00394CEC">
        <w:tab/>
        <w:t>Multilaterala projekt enligt artikel 5.1 e som bland annat syftar till</w:t>
      </w:r>
    </w:p>
    <w:p w:rsidR="00893675" w:rsidRPr="00394CEC" w:rsidRDefault="00893675" w:rsidP="00893675"/>
    <w:p w:rsidR="00893675" w:rsidRPr="00394CEC" w:rsidRDefault="00893675" w:rsidP="002C3790">
      <w:pPr>
        <w:ind w:left="1701" w:hanging="567"/>
      </w:pPr>
      <w:r w:rsidRPr="00394CEC">
        <w:t>i)</w:t>
      </w:r>
      <w:r w:rsidRPr="00394CEC">
        <w:tab/>
        <w:t>utarbetande av nya läromedel för språkstudier, inbegripet databaserade kurser, och verktyg för språktester,</w:t>
      </w:r>
    </w:p>
    <w:p w:rsidR="00893675" w:rsidRPr="00394CEC" w:rsidRDefault="00893675" w:rsidP="002C3790">
      <w:pPr>
        <w:ind w:left="1701" w:hanging="567"/>
      </w:pPr>
    </w:p>
    <w:p w:rsidR="00893675" w:rsidRPr="00394CEC" w:rsidRDefault="00893675" w:rsidP="002C3790">
      <w:pPr>
        <w:ind w:left="1701" w:hanging="567"/>
      </w:pPr>
      <w:r w:rsidRPr="00394CEC">
        <w:t>ii)</w:t>
      </w:r>
      <w:r w:rsidRPr="00394CEC">
        <w:tab/>
        <w:t>utarbetande av redskap och kurser för utbildning av språklärare, utbildare och övrig personal.</w:t>
      </w:r>
    </w:p>
    <w:p w:rsidR="00893675" w:rsidRPr="00394CEC" w:rsidRDefault="00893675" w:rsidP="002C3790">
      <w:pPr>
        <w:ind w:left="1134" w:hanging="567"/>
      </w:pPr>
      <w:r w:rsidRPr="00394CEC">
        <w:br w:type="page"/>
        <w:t>b)</w:t>
      </w:r>
      <w:r w:rsidRPr="00394CEC">
        <w:tab/>
        <w:t>Nätverk enligt artikel 5.1 e inom språkinlärning och språklig mångfald.</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Övriga initiativ som överensstämmer med målen för programmet för livslångt lärande, enligt artikel 5.1 h, inbegripet insatser för att göra språkinlärning mer attraktiv via massmedier och/eller marknadsföring, PR</w:t>
      </w:r>
      <w:r w:rsidRPr="00394CEC">
        <w:noBreakHyphen/>
        <w:t xml:space="preserve"> och informationskampanjer samt konferenser, studier och statistiska indikatorer inom språkinlärning och språklig mångfald.</w:t>
      </w:r>
    </w:p>
    <w:p w:rsidR="00893675" w:rsidRPr="00394CEC" w:rsidRDefault="00893675" w:rsidP="00893675"/>
    <w:p w:rsidR="00893675" w:rsidRPr="00394CEC" w:rsidRDefault="00893675" w:rsidP="002C3790">
      <w:pPr>
        <w:ind w:left="567" w:hanging="567"/>
      </w:pPr>
      <w:r w:rsidRPr="00394CEC">
        <w:t>3.</w:t>
      </w:r>
      <w:r w:rsidRPr="00394CEC">
        <w:tab/>
        <w:t>Följande insatser, vilka är avsedda att möta behov inom undervisning och lärande för mer än ett delprogramsområde, kan få bidrag ur det centrala verksamhetsområdet IKT som avses i artikel 3.2 c:</w:t>
      </w:r>
    </w:p>
    <w:p w:rsidR="00893675" w:rsidRPr="00394CEC" w:rsidRDefault="00893675" w:rsidP="00893675"/>
    <w:p w:rsidR="00893675" w:rsidRPr="00394CEC" w:rsidRDefault="00893675" w:rsidP="002C3790">
      <w:pPr>
        <w:ind w:left="1134" w:hanging="567"/>
      </w:pPr>
      <w:r w:rsidRPr="00394CEC">
        <w:t>a)</w:t>
      </w:r>
      <w:r w:rsidRPr="00394CEC">
        <w:tab/>
        <w:t>Multilaterala projekt enligt artikel 5.1 e, vilka syftar till att utarbeta och sprida nyskapande metoder, innehåll, tjänster och miljöer.</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Nätverk enligt artikel 5.1 e för förmedling och utbyte av kunskap, erfarenheter och god praxis.</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Övriga insatser som syftar till att förbättra policy och praxis för livslångt lärande, enligt vad som beskrivs i artikel 5.1 f, vilket kan inbegripa mekanismer för utvärdering, observation, benchmarking, förbättring av kvalitet och analys av tendenser inom teknik och undervisningsmetodik.</w:t>
      </w:r>
    </w:p>
    <w:p w:rsidR="00893675" w:rsidRPr="00394CEC" w:rsidRDefault="00893675" w:rsidP="00893675"/>
    <w:p w:rsidR="00893675" w:rsidRPr="00394CEC" w:rsidRDefault="00893675" w:rsidP="002C3790">
      <w:pPr>
        <w:ind w:left="567" w:hanging="567"/>
      </w:pPr>
      <w:r w:rsidRPr="00394CEC">
        <w:br w:type="page"/>
        <w:t>4.</w:t>
      </w:r>
      <w:r w:rsidRPr="00394CEC">
        <w:tab/>
        <w:t>Följande insatser kan få bidrag inom det centrala verksamhetsområdet spridning som avses i artikel 3.2 d:</w:t>
      </w:r>
    </w:p>
    <w:p w:rsidR="00893675" w:rsidRPr="00394CEC" w:rsidRDefault="00893675" w:rsidP="00893675"/>
    <w:p w:rsidR="00893675" w:rsidRPr="00394CEC" w:rsidRDefault="00893675" w:rsidP="002C3790">
      <w:pPr>
        <w:ind w:left="567"/>
      </w:pPr>
      <w:r w:rsidRPr="00394CEC">
        <w:t>a)</w:t>
      </w:r>
      <w:r w:rsidRPr="00394CEC">
        <w:tab/>
        <w:t>Unilaterala och nationella projekt enligt i artikel 5.1 d.</w:t>
      </w:r>
    </w:p>
    <w:p w:rsidR="00893675" w:rsidRPr="00394CEC" w:rsidRDefault="00893675" w:rsidP="002C3790">
      <w:pPr>
        <w:ind w:left="567"/>
      </w:pPr>
    </w:p>
    <w:p w:rsidR="00893675" w:rsidRPr="00394CEC" w:rsidRDefault="00893675" w:rsidP="002C3790">
      <w:pPr>
        <w:ind w:left="567"/>
      </w:pPr>
      <w:r w:rsidRPr="00394CEC">
        <w:t>b)</w:t>
      </w:r>
      <w:r w:rsidRPr="00394CEC">
        <w:tab/>
        <w:t>Multilaterala projekt enligt artikel 5.1 e och som bland annat syftar till att</w:t>
      </w:r>
    </w:p>
    <w:p w:rsidR="00893675" w:rsidRPr="00394CEC" w:rsidRDefault="00893675" w:rsidP="002C3790">
      <w:pPr>
        <w:ind w:left="567"/>
      </w:pPr>
    </w:p>
    <w:p w:rsidR="00893675" w:rsidRPr="00394CEC" w:rsidRDefault="00893675" w:rsidP="002C3790">
      <w:pPr>
        <w:ind w:left="1134"/>
      </w:pPr>
      <w:r w:rsidRPr="00394CEC">
        <w:t>i)</w:t>
      </w:r>
      <w:r w:rsidRPr="00394CEC">
        <w:tab/>
        <w:t>stödja utnyttjande och genomförande av nyskapande produkter och processer,</w:t>
      </w:r>
    </w:p>
    <w:p w:rsidR="00893675" w:rsidRPr="00394CEC" w:rsidRDefault="00893675" w:rsidP="002C3790">
      <w:pPr>
        <w:ind w:left="1134"/>
      </w:pPr>
    </w:p>
    <w:p w:rsidR="00893675" w:rsidRPr="00394CEC" w:rsidRDefault="00893675" w:rsidP="002C3790">
      <w:pPr>
        <w:ind w:left="1134"/>
      </w:pPr>
      <w:r w:rsidRPr="00394CEC">
        <w:t>ii)</w:t>
      </w:r>
      <w:r w:rsidRPr="00394CEC">
        <w:tab/>
        <w:t>uppmuntra samarbete mellan projekt inom samma område,</w:t>
      </w:r>
    </w:p>
    <w:p w:rsidR="00893675" w:rsidRPr="00394CEC" w:rsidRDefault="00893675" w:rsidP="002C3790">
      <w:pPr>
        <w:ind w:left="1134"/>
      </w:pPr>
    </w:p>
    <w:p w:rsidR="00893675" w:rsidRPr="00394CEC" w:rsidRDefault="00893675" w:rsidP="002C3790">
      <w:pPr>
        <w:ind w:left="1134"/>
      </w:pPr>
      <w:r w:rsidRPr="00394CEC">
        <w:t>iii)</w:t>
      </w:r>
      <w:r w:rsidRPr="00394CEC">
        <w:tab/>
        <w:t>utarbeta god praxis vad gäller spridningsmetoder.</w:t>
      </w:r>
    </w:p>
    <w:p w:rsidR="00893675" w:rsidRPr="00394CEC" w:rsidRDefault="00893675" w:rsidP="002C3790">
      <w:pPr>
        <w:ind w:left="567"/>
      </w:pPr>
    </w:p>
    <w:p w:rsidR="00893675" w:rsidRPr="00394CEC" w:rsidRDefault="00893675" w:rsidP="002C3790">
      <w:pPr>
        <w:ind w:left="1134" w:hanging="567"/>
      </w:pPr>
      <w:r w:rsidRPr="00394CEC">
        <w:t>c)</w:t>
      </w:r>
      <w:r w:rsidRPr="00394CEC">
        <w:tab/>
        <w:t>Upprättande av referensmaterial enligt artikel 5.1 f, vilket kan omfatta insamling av relevanta statistiska uppgifter och studier inom området spridning, utnyttjande av resultat och utbyte av god praxis.</w:t>
      </w:r>
    </w:p>
    <w:p w:rsidR="00893675" w:rsidRPr="00394CEC" w:rsidRDefault="00893675" w:rsidP="00893675"/>
    <w:p w:rsidR="00893675" w:rsidRPr="00394CEC" w:rsidRDefault="00893675" w:rsidP="002C3790">
      <w:pPr>
        <w:jc w:val="center"/>
      </w:pPr>
      <w:r w:rsidRPr="00394CEC">
        <w:rPr>
          <w:i/>
        </w:rPr>
        <w:t>Artikel 39</w:t>
      </w:r>
      <w:r w:rsidRPr="00394CEC">
        <w:rPr>
          <w:i/>
        </w:rPr>
        <w:br/>
      </w:r>
      <w:bookmarkStart w:id="33" w:name="Eui"/>
      <w:bookmarkEnd w:id="33"/>
      <w:r w:rsidRPr="00394CEC">
        <w:t>[Utgår]</w:t>
      </w:r>
    </w:p>
    <w:p w:rsidR="00893675" w:rsidRPr="00394CEC" w:rsidRDefault="00893675" w:rsidP="00893675">
      <w:pPr>
        <w:rPr>
          <w:b/>
        </w:rPr>
      </w:pPr>
    </w:p>
    <w:p w:rsidR="00893675" w:rsidRPr="00394CEC" w:rsidRDefault="00893675" w:rsidP="002C3790">
      <w:pPr>
        <w:jc w:val="center"/>
        <w:rPr>
          <w:b/>
        </w:rPr>
      </w:pPr>
      <w:r w:rsidRPr="00394CEC">
        <w:rPr>
          <w:b/>
        </w:rPr>
        <w:br w:type="page"/>
        <w:t>Kapitel VI</w:t>
      </w:r>
    </w:p>
    <w:p w:rsidR="00893675" w:rsidRPr="00394CEC" w:rsidRDefault="00893675" w:rsidP="002C3790">
      <w:pPr>
        <w:jc w:val="center"/>
        <w:rPr>
          <w:b/>
        </w:rPr>
      </w:pPr>
      <w:r w:rsidRPr="00394CEC">
        <w:rPr>
          <w:b/>
        </w:rPr>
        <w:t>Programmet</w:t>
      </w:r>
      <w:r w:rsidRPr="00394CEC">
        <w:t xml:space="preserve"> </w:t>
      </w:r>
      <w:r w:rsidRPr="00394CEC">
        <w:rPr>
          <w:b/>
        </w:rPr>
        <w:t>Jean Monnet</w:t>
      </w:r>
    </w:p>
    <w:p w:rsidR="00893675" w:rsidRPr="00394CEC" w:rsidRDefault="00893675" w:rsidP="002C3790">
      <w:pPr>
        <w:jc w:val="center"/>
        <w:rPr>
          <w:b/>
        </w:rPr>
      </w:pPr>
    </w:p>
    <w:p w:rsidR="00893675" w:rsidRPr="00394CEC" w:rsidRDefault="00893675" w:rsidP="002C3790">
      <w:pPr>
        <w:jc w:val="center"/>
        <w:rPr>
          <w:i/>
        </w:rPr>
      </w:pPr>
      <w:r w:rsidRPr="00394CEC">
        <w:rPr>
          <w:i/>
        </w:rPr>
        <w:t>Artikel 40</w:t>
      </w:r>
      <w:r w:rsidRPr="00394CEC">
        <w:rPr>
          <w:i/>
        </w:rPr>
        <w:br/>
      </w:r>
      <w:r w:rsidRPr="00394CEC">
        <w:t>Tillträde till programmet Jean Monnet</w:t>
      </w:r>
    </w:p>
    <w:p w:rsidR="00893675" w:rsidRPr="00394CEC" w:rsidRDefault="00893675" w:rsidP="00893675"/>
    <w:p w:rsidR="00893675" w:rsidRPr="00394CEC" w:rsidRDefault="00893675" w:rsidP="00893675">
      <w:r w:rsidRPr="00394CEC">
        <w:t>Inom ramen för programmet för livslångt lärande och bilagan riktar sig programmet Jean Monnet till följande målgrupper:</w:t>
      </w:r>
    </w:p>
    <w:p w:rsidR="00893675" w:rsidRPr="00394CEC" w:rsidRDefault="00893675" w:rsidP="00893675"/>
    <w:p w:rsidR="00893675" w:rsidRPr="00394CEC" w:rsidRDefault="00893675" w:rsidP="002C3790">
      <w:pPr>
        <w:ind w:left="567" w:hanging="567"/>
      </w:pPr>
      <w:r w:rsidRPr="00394CEC">
        <w:t>a)</w:t>
      </w:r>
      <w:r w:rsidRPr="00394CEC">
        <w:tab/>
        <w:t>Studenter och forskare inom europeisk integration i alla former av högre utbildning i och utanför gemenskapen.</w:t>
      </w:r>
    </w:p>
    <w:p w:rsidR="00893675" w:rsidRPr="00394CEC" w:rsidRDefault="00893675" w:rsidP="00893675"/>
    <w:p w:rsidR="00893675" w:rsidRPr="00394CEC" w:rsidRDefault="00893675" w:rsidP="00893675">
      <w:r w:rsidRPr="00394CEC">
        <w:t>b)</w:t>
      </w:r>
      <w:r w:rsidRPr="00394CEC">
        <w:tab/>
        <w:t>Högre utbildningsanstalter i och utanför gemenskapen som erkänns i deras egna länder.</w:t>
      </w:r>
    </w:p>
    <w:p w:rsidR="00893675" w:rsidRPr="00394CEC" w:rsidRDefault="00893675" w:rsidP="00893675"/>
    <w:p w:rsidR="00893675" w:rsidRPr="00394CEC" w:rsidRDefault="00893675" w:rsidP="00893675">
      <w:r w:rsidRPr="00394CEC">
        <w:t>c)</w:t>
      </w:r>
      <w:r w:rsidRPr="00394CEC">
        <w:tab/>
        <w:t>Lärare och övrig personal vid högre utbildningsanstalter.</w:t>
      </w:r>
    </w:p>
    <w:p w:rsidR="00893675" w:rsidRPr="00394CEC" w:rsidRDefault="00893675" w:rsidP="00893675"/>
    <w:p w:rsidR="00893675" w:rsidRPr="00394CEC" w:rsidRDefault="00893675" w:rsidP="002C3790">
      <w:pPr>
        <w:ind w:left="567" w:hanging="567"/>
      </w:pPr>
      <w:r w:rsidRPr="00394CEC">
        <w:t>d)</w:t>
      </w:r>
      <w:r w:rsidRPr="00394CEC">
        <w:tab/>
        <w:t>Sammanslutningar av och företrädare för personer som berörs av utbildning i och utanför gemenskapen.</w:t>
      </w:r>
    </w:p>
    <w:p w:rsidR="00893675" w:rsidRPr="00394CEC" w:rsidRDefault="00893675" w:rsidP="00893675"/>
    <w:p w:rsidR="00893675" w:rsidRPr="00394CEC" w:rsidRDefault="00893675" w:rsidP="002C3790">
      <w:pPr>
        <w:ind w:left="567" w:hanging="567"/>
      </w:pPr>
      <w:r w:rsidRPr="00394CEC">
        <w:t>e)</w:t>
      </w:r>
      <w:r w:rsidRPr="00394CEC">
        <w:tab/>
        <w:t>Offentliga och privata organisationer som ansvarar för organisation och tillhandahållande av utbildning på lokal och regional nivå.</w:t>
      </w:r>
    </w:p>
    <w:p w:rsidR="00893675" w:rsidRPr="00394CEC" w:rsidRDefault="00893675" w:rsidP="00893675"/>
    <w:p w:rsidR="00893675" w:rsidRPr="00394CEC" w:rsidRDefault="00893675" w:rsidP="002C3790">
      <w:pPr>
        <w:ind w:left="567" w:hanging="567"/>
      </w:pPr>
      <w:r w:rsidRPr="00394CEC">
        <w:t>f)</w:t>
      </w:r>
      <w:r w:rsidRPr="00394CEC">
        <w:tab/>
        <w:t>Forskningscentrum och forskningsorgan i och utanför gemenskapen som ägnar sig åt frågor som rör europeisk integration.</w:t>
      </w:r>
    </w:p>
    <w:p w:rsidR="00893675" w:rsidRPr="00394CEC" w:rsidRDefault="00893675" w:rsidP="00893675">
      <w:pPr>
        <w:rPr>
          <w:i/>
        </w:rPr>
      </w:pPr>
    </w:p>
    <w:p w:rsidR="00893675" w:rsidRPr="00394CEC" w:rsidRDefault="00893675" w:rsidP="002C3790">
      <w:pPr>
        <w:jc w:val="center"/>
      </w:pPr>
      <w:r w:rsidRPr="00394CEC">
        <w:rPr>
          <w:i/>
        </w:rPr>
        <w:br w:type="page"/>
        <w:t>Artikel 41</w:t>
      </w:r>
      <w:r w:rsidRPr="00394CEC">
        <w:br/>
        <w:t>Mål</w:t>
      </w:r>
    </w:p>
    <w:p w:rsidR="00893675" w:rsidRPr="00394CEC" w:rsidRDefault="00893675" w:rsidP="00893675"/>
    <w:p w:rsidR="00893675" w:rsidRPr="00394CEC" w:rsidRDefault="00893675" w:rsidP="002C3790">
      <w:pPr>
        <w:ind w:left="567" w:hanging="567"/>
      </w:pPr>
      <w:r w:rsidRPr="00394CEC">
        <w:t>1.</w:t>
      </w:r>
      <w:r w:rsidRPr="00394CEC">
        <w:tab/>
        <w:t>Utöver de mål för programmet för livslångt lärande som anges i artikel 1 skall programmet Jean Monnet ha följande särskilda mål:</w:t>
      </w:r>
    </w:p>
    <w:p w:rsidR="00893675" w:rsidRPr="00394CEC" w:rsidRDefault="00893675" w:rsidP="00893675"/>
    <w:p w:rsidR="00893675" w:rsidRPr="00394CEC" w:rsidRDefault="00893675" w:rsidP="002C3790">
      <w:pPr>
        <w:ind w:left="1134" w:hanging="567"/>
      </w:pPr>
      <w:r w:rsidRPr="00394CEC">
        <w:t>a)</w:t>
      </w:r>
      <w:r w:rsidRPr="00394CEC">
        <w:tab/>
        <w:t>Att stimulera undervisning, forskning och analys inom studier som gäller europeisk integration.</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Att stödja förekomsten av tillräckligt många institutioner och sammanslutningar som är inriktade på frågor som rör europeisk integration och utbildning i ett europeiskt perspektiv.</w:t>
      </w:r>
    </w:p>
    <w:p w:rsidR="00893675" w:rsidRPr="00394CEC" w:rsidRDefault="00893675" w:rsidP="00893675"/>
    <w:p w:rsidR="00893675" w:rsidRPr="00394CEC" w:rsidRDefault="00893675" w:rsidP="00893675">
      <w:r w:rsidRPr="00394CEC">
        <w:t>2.</w:t>
      </w:r>
      <w:r w:rsidRPr="00394CEC">
        <w:tab/>
        <w:t>Programmet Jean Monnet skall ha följande operativa mål:</w:t>
      </w:r>
    </w:p>
    <w:p w:rsidR="00893675" w:rsidRPr="00394CEC" w:rsidRDefault="00893675" w:rsidP="00893675"/>
    <w:p w:rsidR="00893675" w:rsidRPr="00394CEC" w:rsidRDefault="00893675" w:rsidP="002C3790">
      <w:pPr>
        <w:ind w:left="1134" w:hanging="567"/>
      </w:pPr>
      <w:r w:rsidRPr="00394CEC">
        <w:t>a)</w:t>
      </w:r>
      <w:r w:rsidRPr="00394CEC">
        <w:tab/>
        <w:t>Att stimulera till högsta kvalitet i undervisning, forskning och analys inom studier som rör den europeiska integrationen vid högre utbildningsanstalter inom och utanför gemenskapen.</w:t>
      </w:r>
    </w:p>
    <w:p w:rsidR="00893675" w:rsidRPr="00394CEC" w:rsidRDefault="00893675" w:rsidP="002C3790">
      <w:pPr>
        <w:ind w:left="1134" w:hanging="567"/>
      </w:pPr>
    </w:p>
    <w:p w:rsidR="00893675" w:rsidRPr="00394CEC" w:rsidRDefault="00893675" w:rsidP="002C3790">
      <w:pPr>
        <w:ind w:left="1134" w:hanging="567"/>
        <w:rPr>
          <w:b/>
        </w:rPr>
      </w:pPr>
      <w:r w:rsidRPr="00394CEC">
        <w:t>b)</w:t>
      </w:r>
      <w:r w:rsidRPr="00394CEC">
        <w:tab/>
        <w:t>Att öka kunskapen och medvetenheten bland specialiserade forskare och bland europeiska medborgare i allmänhet om frågor som rör den europeiska integrationen.</w:t>
      </w:r>
    </w:p>
    <w:p w:rsidR="00893675" w:rsidRPr="00394CEC" w:rsidRDefault="00893675" w:rsidP="002C3790">
      <w:pPr>
        <w:ind w:left="1134" w:hanging="567"/>
      </w:pPr>
    </w:p>
    <w:p w:rsidR="00893675" w:rsidRPr="00394CEC" w:rsidRDefault="00893675" w:rsidP="002C3790">
      <w:pPr>
        <w:ind w:left="1134" w:hanging="567"/>
      </w:pPr>
      <w:r w:rsidRPr="00394CEC">
        <w:t>c)</w:t>
      </w:r>
      <w:r w:rsidRPr="00394CEC">
        <w:tab/>
        <w:t>Att stödja de viktigaste europeiska institutionerna som ägnar sig åt frågor som rör europeisk integration.</w:t>
      </w:r>
    </w:p>
    <w:p w:rsidR="00893675" w:rsidRPr="00394CEC" w:rsidRDefault="00893675" w:rsidP="002C3790">
      <w:pPr>
        <w:ind w:left="1134" w:hanging="567"/>
      </w:pPr>
    </w:p>
    <w:p w:rsidR="00893675" w:rsidRPr="00394CEC" w:rsidRDefault="00893675" w:rsidP="002C3790">
      <w:pPr>
        <w:ind w:left="1134" w:hanging="567"/>
      </w:pPr>
      <w:r w:rsidRPr="00394CEC">
        <w:t>d)</w:t>
      </w:r>
      <w:r w:rsidRPr="00394CEC">
        <w:tab/>
        <w:t>Att stödja förekomsten av europeiska sammanslutningar av hög kvalitet som är verksamma inom utbildning.</w:t>
      </w:r>
    </w:p>
    <w:p w:rsidR="00893675" w:rsidRPr="00394CEC" w:rsidRDefault="00893675" w:rsidP="00893675"/>
    <w:p w:rsidR="00893675" w:rsidRPr="00394CEC" w:rsidRDefault="00893675" w:rsidP="002C3790">
      <w:pPr>
        <w:jc w:val="center"/>
      </w:pPr>
      <w:r w:rsidRPr="00394CEC">
        <w:br w:type="page"/>
      </w:r>
      <w:r w:rsidRPr="00394CEC">
        <w:rPr>
          <w:i/>
        </w:rPr>
        <w:t>Artikel 42</w:t>
      </w:r>
      <w:r w:rsidRPr="00394CEC">
        <w:rPr>
          <w:i/>
        </w:rPr>
        <w:br/>
      </w:r>
      <w:r w:rsidRPr="00394CEC">
        <w:t>Insatser</w:t>
      </w:r>
    </w:p>
    <w:p w:rsidR="00893675" w:rsidRPr="00394CEC" w:rsidRDefault="00893675" w:rsidP="00893675"/>
    <w:p w:rsidR="00893675" w:rsidRPr="00394CEC" w:rsidRDefault="00893675" w:rsidP="00893675">
      <w:r w:rsidRPr="00394CEC">
        <w:t>1.</w:t>
      </w:r>
      <w:r w:rsidRPr="00394CEC">
        <w:tab/>
        <w:t>Följande insatser kan få stöd inom det centrala verksamhetsområde som avses i artikel 3.3 a:</w:t>
      </w:r>
    </w:p>
    <w:p w:rsidR="00893675" w:rsidRPr="00394CEC" w:rsidRDefault="00893675" w:rsidP="00893675"/>
    <w:p w:rsidR="00893675" w:rsidRPr="00394CEC" w:rsidRDefault="00893675" w:rsidP="002C3790">
      <w:pPr>
        <w:ind w:left="1134" w:hanging="567"/>
      </w:pPr>
      <w:r w:rsidRPr="00394CEC">
        <w:t>a)</w:t>
      </w:r>
      <w:r w:rsidRPr="00394CEC">
        <w:tab/>
        <w:t>Unilaterala och nationella projekt enligt artikel 5.1 d, vilka kan inbegripa</w:t>
      </w:r>
    </w:p>
    <w:p w:rsidR="00893675" w:rsidRPr="00394CEC" w:rsidRDefault="00893675" w:rsidP="002C3790">
      <w:pPr>
        <w:ind w:left="1134" w:hanging="567"/>
      </w:pPr>
    </w:p>
    <w:p w:rsidR="00893675" w:rsidRPr="00394CEC" w:rsidRDefault="00893675" w:rsidP="002C3790">
      <w:pPr>
        <w:ind w:left="1701" w:hanging="567"/>
      </w:pPr>
      <w:r w:rsidRPr="00394CEC">
        <w:t>i)</w:t>
      </w:r>
      <w:r w:rsidRPr="00394CEC">
        <w:tab/>
        <w:t>Jean Monnet</w:t>
      </w:r>
      <w:r w:rsidRPr="00394CEC">
        <w:noBreakHyphen/>
        <w:t>professurer, Jean Monnet</w:t>
      </w:r>
      <w:r w:rsidRPr="00394CEC">
        <w:noBreakHyphen/>
        <w:t>centrum och Jean Monnet</w:t>
      </w:r>
      <w:r w:rsidRPr="00394CEC">
        <w:noBreakHyphen/>
        <w:t>undervisningsmoduler,</w:t>
      </w:r>
    </w:p>
    <w:p w:rsidR="00893675" w:rsidRPr="00394CEC" w:rsidRDefault="00893675" w:rsidP="002C3790">
      <w:pPr>
        <w:ind w:left="1701" w:hanging="567"/>
      </w:pPr>
    </w:p>
    <w:p w:rsidR="00893675" w:rsidRPr="00394CEC" w:rsidRDefault="00893675" w:rsidP="002C3790">
      <w:pPr>
        <w:ind w:left="1701" w:hanging="567"/>
      </w:pPr>
      <w:r w:rsidRPr="00394CEC">
        <w:t>ii)</w:t>
      </w:r>
      <w:r w:rsidRPr="00394CEC">
        <w:tab/>
        <w:t>sammanslutningar av professorer, andra lärare vid högre utbildningsanstalter och forskare som specialiserar sig på frågor som rör den europeiska integrationen,</w:t>
      </w:r>
    </w:p>
    <w:p w:rsidR="00893675" w:rsidRPr="00394CEC" w:rsidRDefault="00893675" w:rsidP="002C3790">
      <w:pPr>
        <w:ind w:left="1701" w:hanging="567"/>
      </w:pPr>
    </w:p>
    <w:p w:rsidR="00893675" w:rsidRPr="00394CEC" w:rsidRDefault="00893675" w:rsidP="002C3790">
      <w:pPr>
        <w:ind w:left="1701" w:hanging="567"/>
      </w:pPr>
      <w:r w:rsidRPr="00394CEC">
        <w:t>iii)</w:t>
      </w:r>
      <w:r w:rsidRPr="00394CEC">
        <w:tab/>
        <w:t>stöd till unga forskare som specialiserar sig på studier om europeisk integration,</w:t>
      </w:r>
    </w:p>
    <w:p w:rsidR="00893675" w:rsidRPr="00394CEC" w:rsidRDefault="00893675" w:rsidP="002C3790">
      <w:pPr>
        <w:ind w:left="1701" w:hanging="567"/>
      </w:pPr>
    </w:p>
    <w:p w:rsidR="00893675" w:rsidRPr="00394CEC" w:rsidRDefault="00893675" w:rsidP="002C3790">
      <w:pPr>
        <w:ind w:left="1701" w:hanging="567"/>
      </w:pPr>
      <w:r w:rsidRPr="00394CEC">
        <w:t>iv)</w:t>
      </w:r>
      <w:r w:rsidRPr="00394CEC">
        <w:tab/>
        <w:t>informations</w:t>
      </w:r>
      <w:r w:rsidRPr="00394CEC">
        <w:noBreakHyphen/>
        <w:t xml:space="preserve"> och forskningsverksamhet som gäller gemenskapen, i syfte att främja diskussion, analys och kunskap om den europeiska integrationsprocessen.</w:t>
      </w:r>
    </w:p>
    <w:p w:rsidR="00893675" w:rsidRPr="00394CEC" w:rsidRDefault="00893675" w:rsidP="002C3790">
      <w:pPr>
        <w:ind w:left="1134" w:hanging="567"/>
      </w:pPr>
    </w:p>
    <w:p w:rsidR="00893675" w:rsidRPr="00394CEC" w:rsidRDefault="00893675" w:rsidP="002C3790">
      <w:pPr>
        <w:ind w:left="1134" w:hanging="567"/>
      </w:pPr>
      <w:r w:rsidRPr="00394CEC">
        <w:t>b)</w:t>
      </w:r>
      <w:r w:rsidRPr="00394CEC">
        <w:tab/>
        <w:t>Multilaterala projekt och nätverk enligt artikel 5.1 e, vilket kan inbegripa bidrag till inrättande av multilaterala forskningsgrupper inom området europeisk integration.</w:t>
      </w:r>
    </w:p>
    <w:p w:rsidR="00893675" w:rsidRPr="00394CEC" w:rsidRDefault="00893675" w:rsidP="00893675"/>
    <w:p w:rsidR="00893675" w:rsidRPr="00394CEC" w:rsidRDefault="00893675" w:rsidP="002C3790">
      <w:pPr>
        <w:ind w:left="567" w:hanging="567"/>
      </w:pPr>
      <w:r w:rsidRPr="00394CEC">
        <w:t>2.</w:t>
      </w:r>
      <w:r w:rsidRPr="00394CEC">
        <w:tab/>
        <w:t>Driftsbidrag enligt artikel 5.1 g till vissa operativa och administrativa kostnader vid följande institut som har ett syfte av europeiskt intresse får beviljas inom det centrala verksamhetsområde som avses i artikel 3.3 b:</w:t>
      </w:r>
    </w:p>
    <w:p w:rsidR="00893675" w:rsidRPr="00394CEC" w:rsidRDefault="00893675" w:rsidP="00893675"/>
    <w:p w:rsidR="00893675" w:rsidRPr="00394CEC" w:rsidRDefault="00893675" w:rsidP="002C3790">
      <w:pPr>
        <w:ind w:left="567"/>
      </w:pPr>
      <w:r w:rsidRPr="00394CEC">
        <w:t>a)</w:t>
      </w:r>
      <w:r w:rsidRPr="00394CEC">
        <w:tab/>
        <w:t>College of Europe (Brygge och Natolin).</w:t>
      </w:r>
    </w:p>
    <w:p w:rsidR="00893675" w:rsidRPr="00394CEC" w:rsidRDefault="00893675" w:rsidP="002C3790">
      <w:pPr>
        <w:ind w:left="567"/>
      </w:pPr>
    </w:p>
    <w:p w:rsidR="00893675" w:rsidRPr="00394CEC" w:rsidRDefault="00893675" w:rsidP="002C3790">
      <w:pPr>
        <w:ind w:left="567"/>
      </w:pPr>
      <w:r w:rsidRPr="00394CEC">
        <w:t>b)</w:t>
      </w:r>
      <w:r w:rsidRPr="00394CEC">
        <w:tab/>
        <w:t>Europeiska universitetsinstitutet, Florens.</w:t>
      </w:r>
    </w:p>
    <w:p w:rsidR="00893675" w:rsidRPr="00394CEC" w:rsidRDefault="00893675" w:rsidP="002C3790">
      <w:pPr>
        <w:ind w:left="567"/>
      </w:pPr>
    </w:p>
    <w:p w:rsidR="00893675" w:rsidRPr="00394CEC" w:rsidRDefault="00893675" w:rsidP="002C3790">
      <w:pPr>
        <w:ind w:left="567"/>
      </w:pPr>
      <w:r w:rsidRPr="00394CEC">
        <w:t>c)</w:t>
      </w:r>
      <w:r w:rsidRPr="00394CEC">
        <w:tab/>
        <w:t>Europeiska institutet för offentlig förvaltning, Maastricht.</w:t>
      </w:r>
    </w:p>
    <w:p w:rsidR="00893675" w:rsidRPr="00394CEC" w:rsidRDefault="00893675" w:rsidP="002C3790">
      <w:pPr>
        <w:ind w:left="567"/>
      </w:pPr>
    </w:p>
    <w:p w:rsidR="00893675" w:rsidRPr="00394CEC" w:rsidRDefault="00893675" w:rsidP="002C3790">
      <w:pPr>
        <w:ind w:left="567"/>
      </w:pPr>
      <w:r w:rsidRPr="00394CEC">
        <w:t>d)</w:t>
      </w:r>
      <w:r w:rsidRPr="00394CEC">
        <w:tab/>
        <w:t>Europeiska rättsakademin, Trier.</w:t>
      </w:r>
    </w:p>
    <w:p w:rsidR="00893675" w:rsidRPr="00394CEC" w:rsidRDefault="00893675" w:rsidP="00893675"/>
    <w:p w:rsidR="00893675" w:rsidRPr="00394CEC" w:rsidRDefault="00893675" w:rsidP="002C3790">
      <w:pPr>
        <w:ind w:left="567"/>
        <w:rPr>
          <w:b/>
          <w:i/>
        </w:rPr>
      </w:pPr>
      <w:r w:rsidRPr="00394CEC">
        <w:br w:type="page"/>
        <w:t>Inom det centrala verksamhetsområde som avses i artikel 3.3 c får driftsbidrag enligt artikel 5.1 g beviljas till vissa operativa och administrativa kostnader vid europeiska institutioner eller sammanslutningar som är verksamma inom utbildning.</w:t>
      </w:r>
    </w:p>
    <w:p w:rsidR="00893675" w:rsidRPr="00394CEC" w:rsidRDefault="00893675" w:rsidP="00893675"/>
    <w:p w:rsidR="00893675" w:rsidRPr="00394CEC" w:rsidRDefault="00893675" w:rsidP="002C3790">
      <w:pPr>
        <w:ind w:left="567" w:hanging="567"/>
      </w:pPr>
      <w:r w:rsidRPr="00394CEC">
        <w:t>3.</w:t>
      </w:r>
      <w:r w:rsidRPr="00394CEC">
        <w:tab/>
        <w:t>Bidrag får beviljas för varje år eller förlängas inom ett ramavtal om partnerskap med kommissionen.</w:t>
      </w:r>
    </w:p>
    <w:p w:rsidR="00893675" w:rsidRPr="00394CEC" w:rsidRDefault="00893675" w:rsidP="00893675"/>
    <w:p w:rsidR="00893675" w:rsidRPr="00394CEC" w:rsidRDefault="00893675" w:rsidP="002C3790">
      <w:pPr>
        <w:jc w:val="center"/>
      </w:pPr>
      <w:r w:rsidRPr="00394CEC">
        <w:rPr>
          <w:i/>
        </w:rPr>
        <w:t>Artikel 43</w:t>
      </w:r>
      <w:r w:rsidRPr="00394CEC">
        <w:rPr>
          <w:i/>
        </w:rPr>
        <w:br/>
      </w:r>
      <w:r w:rsidRPr="00394CEC">
        <w:t>Budget</w:t>
      </w:r>
    </w:p>
    <w:p w:rsidR="00893675" w:rsidRPr="00394CEC" w:rsidRDefault="00893675" w:rsidP="002C3790">
      <w:pPr>
        <w:jc w:val="center"/>
      </w:pPr>
      <w:r w:rsidRPr="00394CEC">
        <w:t>[För närvarande utesluten ur texten]</w:t>
      </w:r>
      <w:r w:rsidRPr="00394CEC">
        <w:rPr>
          <w:rStyle w:val="Fotnotsreferens"/>
        </w:rPr>
        <w:footnoteReference w:id="46"/>
      </w:r>
    </w:p>
    <w:p w:rsidR="00893675" w:rsidRPr="00394CEC" w:rsidRDefault="00893675" w:rsidP="002C3790">
      <w:pPr>
        <w:jc w:val="center"/>
      </w:pPr>
    </w:p>
    <w:p w:rsidR="00893675" w:rsidRPr="00394CEC" w:rsidRDefault="00893675" w:rsidP="002C3790">
      <w:pPr>
        <w:jc w:val="center"/>
        <w:rPr>
          <w:i/>
        </w:rPr>
      </w:pPr>
      <w:r w:rsidRPr="00394CEC">
        <w:rPr>
          <w:i/>
        </w:rPr>
        <w:t>Artikel 44</w:t>
      </w:r>
    </w:p>
    <w:p w:rsidR="00893675" w:rsidRPr="00394CEC" w:rsidRDefault="00893675" w:rsidP="002C3790">
      <w:pPr>
        <w:jc w:val="center"/>
      </w:pPr>
      <w:r w:rsidRPr="00394CEC">
        <w:t>[Utgår]</w:t>
      </w:r>
    </w:p>
    <w:p w:rsidR="00893675" w:rsidRPr="00394CEC" w:rsidRDefault="00893675" w:rsidP="00893675"/>
    <w:p w:rsidR="00893675" w:rsidRPr="00394CEC" w:rsidRDefault="00893675" w:rsidP="00E33CB1">
      <w:pPr>
        <w:jc w:val="center"/>
        <w:rPr>
          <w:b/>
        </w:rPr>
      </w:pPr>
      <w:r w:rsidRPr="00394CEC">
        <w:rPr>
          <w:i/>
        </w:rPr>
        <w:br w:type="page"/>
      </w:r>
      <w:r w:rsidRPr="00394CEC">
        <w:rPr>
          <w:b/>
        </w:rPr>
        <w:t>AVDELNING III</w:t>
      </w:r>
    </w:p>
    <w:p w:rsidR="00893675" w:rsidRPr="00394CEC" w:rsidRDefault="00893675" w:rsidP="00E33CB1">
      <w:pPr>
        <w:jc w:val="center"/>
        <w:rPr>
          <w:b/>
        </w:rPr>
      </w:pPr>
      <w:r w:rsidRPr="00394CEC">
        <w:rPr>
          <w:b/>
        </w:rPr>
        <w:t>ÖVERGÅNGSBESTÄMMELSER OCH SLUTBESTÄMMELSER</w:t>
      </w:r>
    </w:p>
    <w:p w:rsidR="00893675" w:rsidRPr="00394CEC" w:rsidRDefault="00893675" w:rsidP="00E33CB1">
      <w:pPr>
        <w:jc w:val="center"/>
      </w:pPr>
    </w:p>
    <w:p w:rsidR="00893675" w:rsidRPr="00394CEC" w:rsidRDefault="00893675" w:rsidP="00E33CB1">
      <w:pPr>
        <w:jc w:val="center"/>
      </w:pPr>
      <w:r w:rsidRPr="00394CEC">
        <w:rPr>
          <w:i/>
        </w:rPr>
        <w:t>Artikel 45</w:t>
      </w:r>
      <w:r w:rsidRPr="00394CEC">
        <w:rPr>
          <w:i/>
        </w:rPr>
        <w:br/>
      </w:r>
      <w:r w:rsidRPr="00394CEC">
        <w:t>Övergångsbestämmelser</w:t>
      </w:r>
    </w:p>
    <w:p w:rsidR="00893675" w:rsidRPr="00394CEC" w:rsidRDefault="00893675" w:rsidP="00893675"/>
    <w:p w:rsidR="00893675" w:rsidRPr="00394CEC" w:rsidRDefault="00893675" w:rsidP="00893675">
      <w:r w:rsidRPr="00394CEC">
        <w:t>Insatser som påbörjas senast den 31 december 2006 på grundval av beslut 382/1999/EG, beslut 253/2000/EG, beslut 2318/2003/EG, beslut 791/2004/EG eller beslut 2241/2004/EG skall förvaltas enligt bestämmelserna i de besluten, med det undantaget att de kommittéer som inrättats genom de besluten skall ersättas av den kommitté som inrättas genom artikel 10 i detta beslut.</w:t>
      </w:r>
    </w:p>
    <w:p w:rsidR="00893675" w:rsidRPr="00394CEC" w:rsidRDefault="00893675" w:rsidP="00893675"/>
    <w:p w:rsidR="00893675" w:rsidRPr="00394CEC" w:rsidRDefault="00893675" w:rsidP="00E33CB1">
      <w:pPr>
        <w:jc w:val="center"/>
      </w:pPr>
      <w:r w:rsidRPr="00394CEC">
        <w:rPr>
          <w:i/>
        </w:rPr>
        <w:t>Artikel 46</w:t>
      </w:r>
      <w:r w:rsidRPr="00394CEC">
        <w:rPr>
          <w:i/>
        </w:rPr>
        <w:br/>
      </w:r>
      <w:r w:rsidRPr="00394CEC">
        <w:t>Ikraftträdande</w:t>
      </w:r>
    </w:p>
    <w:p w:rsidR="00893675" w:rsidRPr="00394CEC" w:rsidRDefault="00893675" w:rsidP="00893675"/>
    <w:p w:rsidR="00893675" w:rsidRPr="00394CEC" w:rsidRDefault="00893675" w:rsidP="00893675">
      <w:r w:rsidRPr="00394CEC">
        <w:t>Detta beslut träder i kraft den tjugonde dagen efter det att det har offentliggjorts i Europeiska unionens officiella tidning.</w:t>
      </w:r>
    </w:p>
    <w:p w:rsidR="00893675" w:rsidRPr="00394CEC" w:rsidRDefault="00893675" w:rsidP="00893675"/>
    <w:p w:rsidR="00893675" w:rsidRPr="00394CEC" w:rsidRDefault="00893675" w:rsidP="00893675">
      <w:r w:rsidRPr="00394CEC">
        <w:t>Utfärdat i Bryssel</w:t>
      </w:r>
    </w:p>
    <w:p w:rsidR="00893675" w:rsidRPr="00394CEC" w:rsidRDefault="00893675" w:rsidP="00893675"/>
    <w:p w:rsidR="00893675" w:rsidRPr="00394CEC" w:rsidRDefault="00893675" w:rsidP="00893675"/>
    <w:p w:rsidR="00893675" w:rsidRPr="00394CEC" w:rsidRDefault="00E33CB1" w:rsidP="00E33CB1">
      <w:pPr>
        <w:tabs>
          <w:tab w:val="center" w:pos="1985"/>
          <w:tab w:val="center" w:pos="7088"/>
        </w:tabs>
      </w:pPr>
      <w:r w:rsidRPr="00394CEC">
        <w:tab/>
      </w:r>
      <w:r w:rsidR="00893675" w:rsidRPr="00394CEC">
        <w:t>På Europaparlamentets vägnar</w:t>
      </w:r>
      <w:r w:rsidR="00893675" w:rsidRPr="00394CEC">
        <w:tab/>
        <w:t>På rådets vägnar</w:t>
      </w:r>
    </w:p>
    <w:p w:rsidR="00893675" w:rsidRPr="00394CEC" w:rsidRDefault="00893675" w:rsidP="00E33CB1">
      <w:pPr>
        <w:tabs>
          <w:tab w:val="center" w:pos="1985"/>
          <w:tab w:val="center" w:pos="7088"/>
        </w:tabs>
      </w:pPr>
      <w:r w:rsidRPr="00394CEC">
        <w:tab/>
        <w:t>Ordförande</w:t>
      </w:r>
      <w:r w:rsidRPr="00394CEC">
        <w:tab/>
        <w:t>Ordförande</w:t>
      </w:r>
    </w:p>
    <w:p w:rsidR="00893675" w:rsidRPr="00394CEC" w:rsidRDefault="00893675" w:rsidP="00893675"/>
    <w:p w:rsidR="00893675" w:rsidRPr="00394CEC" w:rsidRDefault="00893675" w:rsidP="00893675">
      <w:pPr>
        <w:rPr>
          <w:u w:val="single"/>
        </w:rPr>
      </w:pPr>
    </w:p>
    <w:p w:rsidR="00AA538E" w:rsidRPr="00394CEC" w:rsidRDefault="00AA538E" w:rsidP="00AA538E">
      <w:pPr>
        <w:jc w:val="center"/>
        <w:rPr>
          <w:snapToGrid w:val="0"/>
        </w:rPr>
      </w:pPr>
      <w:r w:rsidRPr="00394CEC">
        <w:rPr>
          <w:snapToGrid w:val="0"/>
        </w:rPr>
        <w:t>o</w:t>
      </w:r>
      <w:r w:rsidRPr="00394CEC">
        <w:rPr>
          <w:snapToGrid w:val="0"/>
        </w:rPr>
        <w:tab/>
        <w:t>o</w:t>
      </w:r>
    </w:p>
    <w:p w:rsidR="00AA538E" w:rsidRPr="00394CEC" w:rsidRDefault="00AA538E">
      <w:pPr>
        <w:jc w:val="center"/>
        <w:rPr>
          <w:snapToGrid w:val="0"/>
        </w:rPr>
      </w:pPr>
      <w:r w:rsidRPr="00394CEC">
        <w:rPr>
          <w:snapToGrid w:val="0"/>
        </w:rPr>
        <w:t>o</w:t>
      </w:r>
    </w:p>
    <w:p w:rsidR="00AA538E" w:rsidRPr="00394CEC" w:rsidRDefault="00AA538E" w:rsidP="00893675">
      <w:pPr>
        <w:rPr>
          <w:u w:val="single"/>
        </w:rPr>
      </w:pPr>
    </w:p>
    <w:p w:rsidR="00AA538E" w:rsidRPr="00394CEC" w:rsidRDefault="00AA538E" w:rsidP="00893675">
      <w:pPr>
        <w:rPr>
          <w:u w:val="single"/>
        </w:rPr>
      </w:pPr>
    </w:p>
    <w:p w:rsidR="00E33CB1" w:rsidRPr="00394CEC" w:rsidRDefault="00E33CB1">
      <w:pPr>
        <w:jc w:val="center"/>
      </w:pPr>
      <w:r w:rsidRPr="00394CEC">
        <w:t>___________</w:t>
      </w:r>
    </w:p>
    <w:p w:rsidR="00893675" w:rsidRPr="00394CEC" w:rsidRDefault="00893675" w:rsidP="00893675">
      <w:pPr>
        <w:rPr>
          <w:u w:val="single"/>
        </w:rPr>
      </w:pPr>
    </w:p>
    <w:p w:rsidR="00E33CB1" w:rsidRPr="00394CEC" w:rsidRDefault="00E33CB1" w:rsidP="00E33CB1">
      <w:pPr>
        <w:jc w:val="right"/>
        <w:rPr>
          <w:u w:val="single"/>
        </w:rPr>
        <w:sectPr w:rsidR="00E33CB1" w:rsidRPr="00394CEC">
          <w:footerReference w:type="default" r:id="rId9"/>
          <w:endnotePr>
            <w:numFmt w:val="decimal"/>
          </w:endnotePr>
          <w:pgSz w:w="11907" w:h="16840" w:code="9"/>
          <w:pgMar w:top="1134" w:right="1134" w:bottom="1134" w:left="1134" w:header="567" w:footer="567" w:gutter="0"/>
          <w:cols w:space="720"/>
        </w:sectPr>
      </w:pPr>
    </w:p>
    <w:p w:rsidR="00893675" w:rsidRPr="00394CEC" w:rsidRDefault="00893675" w:rsidP="00E33CB1">
      <w:pPr>
        <w:jc w:val="right"/>
        <w:rPr>
          <w:u w:val="single"/>
        </w:rPr>
      </w:pPr>
      <w:r w:rsidRPr="00394CEC">
        <w:rPr>
          <w:u w:val="single"/>
        </w:rPr>
        <w:t>BILAGA TILL BILAGA I</w:t>
      </w:r>
    </w:p>
    <w:p w:rsidR="00893675" w:rsidRPr="00394CEC" w:rsidRDefault="00893675" w:rsidP="00893675">
      <w:pPr>
        <w:rPr>
          <w:b/>
          <w:caps/>
        </w:rPr>
      </w:pPr>
    </w:p>
    <w:p w:rsidR="00893675" w:rsidRPr="00394CEC" w:rsidRDefault="00893675" w:rsidP="00E33CB1">
      <w:pPr>
        <w:jc w:val="center"/>
        <w:rPr>
          <w:i/>
          <w:caps/>
        </w:rPr>
      </w:pPr>
      <w:r w:rsidRPr="00394CEC">
        <w:rPr>
          <w:b/>
          <w:caps/>
        </w:rPr>
        <w:t>AdministrativA OCH FINANSIELLA BESTÄMMELSER</w:t>
      </w:r>
    </w:p>
    <w:p w:rsidR="00893675" w:rsidRPr="00394CEC" w:rsidRDefault="00893675" w:rsidP="00893675">
      <w:pPr>
        <w:rPr>
          <w:b/>
        </w:rPr>
      </w:pPr>
    </w:p>
    <w:p w:rsidR="00893675" w:rsidRPr="00394CEC" w:rsidRDefault="00893675" w:rsidP="00893675">
      <w:pPr>
        <w:rPr>
          <w:b/>
        </w:rPr>
      </w:pPr>
      <w:r w:rsidRPr="00394CEC">
        <w:rPr>
          <w:b/>
        </w:rPr>
        <w:t>A.</w:t>
      </w:r>
      <w:r w:rsidRPr="00394CEC">
        <w:rPr>
          <w:b/>
        </w:rPr>
        <w:tab/>
        <w:t>Administrativa bestämmelser</w:t>
      </w:r>
    </w:p>
    <w:p w:rsidR="00893675" w:rsidRPr="00394CEC" w:rsidRDefault="00893675" w:rsidP="00893675"/>
    <w:p w:rsidR="00893675" w:rsidRPr="00394CEC" w:rsidRDefault="00893675" w:rsidP="00893675">
      <w:r w:rsidRPr="00394CEC">
        <w:t>Följande förfaranden skall gälla för förslag och urval av insatser i programmet för livslångt lärande:</w:t>
      </w:r>
    </w:p>
    <w:p w:rsidR="00893675" w:rsidRPr="00394CEC" w:rsidRDefault="00893675" w:rsidP="00893675"/>
    <w:p w:rsidR="00893675" w:rsidRPr="00394CEC" w:rsidRDefault="00893675" w:rsidP="00893675">
      <w:r w:rsidRPr="00394CEC">
        <w:t>1.</w:t>
      </w:r>
      <w:r w:rsidRPr="00394CEC">
        <w:tab/>
        <w:t>Förfarande via nationella programkontor</w:t>
      </w:r>
    </w:p>
    <w:p w:rsidR="00893675" w:rsidRPr="00394CEC" w:rsidRDefault="00893675" w:rsidP="00893675">
      <w:pPr>
        <w:rPr>
          <w:i/>
        </w:rPr>
      </w:pPr>
    </w:p>
    <w:p w:rsidR="00893675" w:rsidRPr="00394CEC" w:rsidRDefault="00893675" w:rsidP="00893675">
      <w:pPr>
        <w:rPr>
          <w:i/>
        </w:rPr>
      </w:pPr>
      <w:r w:rsidRPr="00394CEC">
        <w:rPr>
          <w:i/>
        </w:rPr>
        <w:t>1.1</w:t>
      </w:r>
      <w:r w:rsidRPr="00394CEC">
        <w:rPr>
          <w:i/>
        </w:rPr>
        <w:tab/>
        <w:t>Förfarande 1</w:t>
      </w:r>
    </w:p>
    <w:p w:rsidR="00893675" w:rsidRPr="00394CEC" w:rsidRDefault="00893675" w:rsidP="00893675"/>
    <w:p w:rsidR="00893675" w:rsidRPr="00394CEC" w:rsidRDefault="00893675" w:rsidP="00893675">
      <w:r w:rsidRPr="00394CEC">
        <w:t>Följande insatser, vilka skall väljas ut av de berörda nationella programkontoren, skall förvaltas genom "förfarande 1 via de nationella programkontoren":</w:t>
      </w:r>
    </w:p>
    <w:p w:rsidR="00893675" w:rsidRPr="00394CEC" w:rsidRDefault="00893675" w:rsidP="00893675"/>
    <w:p w:rsidR="00893675" w:rsidRPr="00394CEC" w:rsidRDefault="00893675" w:rsidP="00E33CB1">
      <w:pPr>
        <w:ind w:left="567" w:hanging="567"/>
      </w:pPr>
      <w:r w:rsidRPr="00394CEC">
        <w:t>a)</w:t>
      </w:r>
      <w:r w:rsidRPr="00394CEC">
        <w:tab/>
        <w:t>Gränsöverskridande rörlighet för personer som deltar i livslångt lärande i Europa enligt artikel 5.1 a.</w:t>
      </w:r>
    </w:p>
    <w:p w:rsidR="00893675" w:rsidRPr="00394CEC" w:rsidRDefault="00893675" w:rsidP="00893675"/>
    <w:p w:rsidR="00893675" w:rsidRPr="00394CEC" w:rsidRDefault="00893675" w:rsidP="00893675">
      <w:r w:rsidRPr="00394CEC">
        <w:t>b)</w:t>
      </w:r>
      <w:r w:rsidRPr="00394CEC">
        <w:tab/>
        <w:t>Bilaterala och multilaterala partnerskap enligt artikel 5.1 b.</w:t>
      </w:r>
    </w:p>
    <w:p w:rsidR="00893675" w:rsidRPr="00394CEC" w:rsidRDefault="00893675" w:rsidP="00893675"/>
    <w:p w:rsidR="00893675" w:rsidRPr="00394CEC" w:rsidRDefault="00893675" w:rsidP="00893675">
      <w:r w:rsidRPr="00394CEC">
        <w:t>c)</w:t>
      </w:r>
      <w:r w:rsidRPr="00394CEC">
        <w:tab/>
        <w:t>Unilaterala och nationella projekt enligt artikel 5.1 d, när dessa får bidrag enligt artikel 38.4 a.</w:t>
      </w:r>
    </w:p>
    <w:p w:rsidR="00893675" w:rsidRPr="00394CEC" w:rsidRDefault="00893675" w:rsidP="00893675"/>
    <w:p w:rsidR="00893675" w:rsidRPr="00394CEC" w:rsidRDefault="00893675" w:rsidP="00893675">
      <w:r w:rsidRPr="00394CEC">
        <w:t>Ansökningar om bidrag till dessa insatser skall skickas till de behöriga nationella programkontor som utses av medlemsstaterna enligt artikel 6.2 b. De nationella programkontoren skall göra urvalet och bevilja bidrag till de sökande som väljs ut enligt de allmänna riktlinjer som skall fastställas enligt artikel 9. De nationella programkontoren skall betala ut bidragen till mottagare i sina respektive medlemsstater. Varje partner i ett bilateralt eller multilateralt partnerskap skall få bidrag direkt från sitt eget nationella programkontor.</w:t>
      </w:r>
    </w:p>
    <w:p w:rsidR="00893675" w:rsidRPr="00394CEC" w:rsidRDefault="00893675" w:rsidP="00893675"/>
    <w:p w:rsidR="00893675" w:rsidRPr="00394CEC" w:rsidRDefault="00893675" w:rsidP="00893675">
      <w:pPr>
        <w:rPr>
          <w:i/>
        </w:rPr>
      </w:pPr>
      <w:r w:rsidRPr="00394CEC">
        <w:rPr>
          <w:i/>
        </w:rPr>
        <w:br w:type="page"/>
        <w:t>1.2</w:t>
      </w:r>
      <w:r w:rsidRPr="00394CEC">
        <w:rPr>
          <w:i/>
        </w:rPr>
        <w:tab/>
        <w:t>Förfarande 2</w:t>
      </w:r>
    </w:p>
    <w:p w:rsidR="00893675" w:rsidRPr="00394CEC" w:rsidRDefault="00893675" w:rsidP="00893675"/>
    <w:p w:rsidR="00893675" w:rsidRPr="00394CEC" w:rsidRDefault="00893675" w:rsidP="00893675">
      <w:r w:rsidRPr="00394CEC">
        <w:t>Följande insats, där urvalet görs av kommissionen, men utvärderings</w:t>
      </w:r>
      <w:r w:rsidRPr="00394CEC">
        <w:noBreakHyphen/>
        <w:t xml:space="preserve"> och avtalsförfarandena sköts av de nationella programkontoren, skall förvaltas genom "förfarande 2 via de nationella programkontoren":</w:t>
      </w:r>
    </w:p>
    <w:p w:rsidR="00893675" w:rsidRPr="00394CEC" w:rsidRDefault="00893675" w:rsidP="00893675"/>
    <w:p w:rsidR="00893675" w:rsidRPr="00394CEC" w:rsidRDefault="00893675" w:rsidP="00893675">
      <w:r w:rsidRPr="00394CEC">
        <w:t>–</w:t>
      </w:r>
      <w:r w:rsidRPr="00394CEC">
        <w:tab/>
        <w:t>Multilaterala projekt enligt artikel 5.1 c.</w:t>
      </w:r>
    </w:p>
    <w:p w:rsidR="00893675" w:rsidRPr="00394CEC" w:rsidRDefault="00893675" w:rsidP="00893675"/>
    <w:p w:rsidR="00893675" w:rsidRPr="00394CEC" w:rsidRDefault="00893675" w:rsidP="00893675">
      <w:r w:rsidRPr="00394CEC">
        <w:t>Ansökningar om bidrag till denna insats skall skickas till det nationella programkontor som utses av projektsamordnarens medlemsstat enligt artikel 6.2 b. Det nationella programkontoret i projektsamordnarens medlemsstat skall bedöma ansökningarna och förelägga kommissionen en förteckning över förslag som det önskar godta. Utvärderingen bör grundas på en standardiserad uppsättning kvalitetskriterier och bedömningen bör göras av oberoende experter. Kommissionen skall fatta sitt beslut på grundval av denna förteckning, efter vilket det nationella programkontoret skall bevilja ett lämpligt bidrag till de utvalda sökandena, enligt de allmänna riktlinjer som skall fastställas enligt artikel 9. Innan det lämnar in förteckningen till kommissionen, skall det nationella programkontoret i det landet där projektet samordnas kontakta de nationella programkontoren för alla projektpartner. De nationella programkontoren skall betala ut bidragen till de utvalda projektsamordnarna i sina respektive medlemsstater, vilka kommer att ansvara för utbetalningen av bidragen till de partner som deltar i projekten.</w:t>
      </w:r>
    </w:p>
    <w:p w:rsidR="00893675" w:rsidRPr="00394CEC" w:rsidRDefault="00893675" w:rsidP="00893675"/>
    <w:p w:rsidR="00893675" w:rsidRPr="00394CEC" w:rsidRDefault="00893675" w:rsidP="00893675">
      <w:pPr>
        <w:rPr>
          <w:b/>
        </w:rPr>
      </w:pPr>
      <w:r w:rsidRPr="00394CEC">
        <w:rPr>
          <w:b/>
        </w:rPr>
        <w:t>2.</w:t>
      </w:r>
      <w:r w:rsidRPr="00394CEC">
        <w:rPr>
          <w:b/>
        </w:rPr>
        <w:tab/>
        <w:t>Förfarande via kommissionen</w:t>
      </w:r>
    </w:p>
    <w:p w:rsidR="00893675" w:rsidRPr="00394CEC" w:rsidRDefault="00893675" w:rsidP="00893675"/>
    <w:p w:rsidR="00893675" w:rsidRPr="00394CEC" w:rsidRDefault="00893675" w:rsidP="00893675">
      <w:r w:rsidRPr="00394CEC">
        <w:t>Följande insatser, där projektförslag lämnas in till kommissionen och där kommissionen fattar beslut om urvalet, skall förvaltas genom "förfarandet via kommissionen":</w:t>
      </w:r>
    </w:p>
    <w:p w:rsidR="00893675" w:rsidRPr="00394CEC" w:rsidRDefault="00893675" w:rsidP="00893675"/>
    <w:p w:rsidR="00893675" w:rsidRPr="00394CEC" w:rsidRDefault="00893675" w:rsidP="00E33CB1">
      <w:pPr>
        <w:ind w:left="567" w:hanging="567"/>
      </w:pPr>
      <w:r w:rsidRPr="00394CEC">
        <w:t>a)</w:t>
      </w:r>
      <w:r w:rsidRPr="00394CEC">
        <w:tab/>
        <w:t>Unilaterala och nationella projekt enligt artikel 5.1 d, med undantag för de insatser som finansieras enligt artikel 38.4 a.</w:t>
      </w:r>
    </w:p>
    <w:p w:rsidR="00893675" w:rsidRPr="00394CEC" w:rsidRDefault="00893675" w:rsidP="00893675"/>
    <w:p w:rsidR="00893675" w:rsidRPr="00394CEC" w:rsidRDefault="00893675" w:rsidP="00893675">
      <w:r w:rsidRPr="00394CEC">
        <w:t>b)</w:t>
      </w:r>
      <w:r w:rsidRPr="00394CEC">
        <w:tab/>
        <w:t>Multilaterala projekt och nätverk enligt artikel 5.1 e.</w:t>
      </w:r>
    </w:p>
    <w:p w:rsidR="00893675" w:rsidRPr="00394CEC" w:rsidRDefault="00893675" w:rsidP="00893675"/>
    <w:p w:rsidR="00893675" w:rsidRPr="00394CEC" w:rsidRDefault="00893675" w:rsidP="00E33CB1">
      <w:pPr>
        <w:ind w:left="567" w:hanging="567"/>
      </w:pPr>
      <w:r w:rsidRPr="00394CEC">
        <w:br w:type="page"/>
        <w:t>c)</w:t>
      </w:r>
      <w:r w:rsidRPr="00394CEC">
        <w:tab/>
        <w:t>Iakttagelser och analys av policy och system för livslångt lärande, upprättande av referensmaterial, inbegripet undersökningar, statistik, analyser och indikatorer, insatser för att stödja tydlighet i och erkännande av kvalifikationer och tidigare utbildning enligt artikel 5.1 f.</w:t>
      </w:r>
    </w:p>
    <w:p w:rsidR="00893675" w:rsidRPr="00394CEC" w:rsidRDefault="00893675" w:rsidP="00893675"/>
    <w:p w:rsidR="00893675" w:rsidRPr="00394CEC" w:rsidRDefault="00893675" w:rsidP="00893675">
      <w:r w:rsidRPr="00394CEC">
        <w:t>d)</w:t>
      </w:r>
      <w:r w:rsidRPr="00394CEC">
        <w:tab/>
        <w:t>Driftsbidrag enligt artikel 5.1 g.</w:t>
      </w:r>
    </w:p>
    <w:p w:rsidR="00893675" w:rsidRPr="00394CEC" w:rsidRDefault="00893675" w:rsidP="00893675"/>
    <w:p w:rsidR="00893675" w:rsidRPr="00394CEC" w:rsidRDefault="00893675" w:rsidP="00E33CB1">
      <w:pPr>
        <w:ind w:left="567" w:hanging="567"/>
      </w:pPr>
      <w:r w:rsidRPr="00394CEC">
        <w:t>e)</w:t>
      </w:r>
      <w:r w:rsidRPr="00394CEC">
        <w:tab/>
        <w:t>Andra initiativ som överensstämmer med målen för programmet för livslångt lärande ("Kompletterande åtgärder") enligt artikel 5.1 h.</w:t>
      </w:r>
    </w:p>
    <w:p w:rsidR="00893675" w:rsidRPr="00394CEC" w:rsidRDefault="00893675" w:rsidP="00893675"/>
    <w:p w:rsidR="00893675" w:rsidRPr="00394CEC" w:rsidRDefault="00893675" w:rsidP="00893675">
      <w:r w:rsidRPr="00394CEC">
        <w:t>Ansökningar om bidrag till dessa insatser skall skickas till kommissionen, som skall göra urvalet och bevilja bidrag till sökandena enligt de allmänna riktlinjer som skall fastställas enligt artikel 9.</w:t>
      </w:r>
    </w:p>
    <w:p w:rsidR="00893675" w:rsidRPr="00394CEC" w:rsidRDefault="00893675" w:rsidP="00893675"/>
    <w:p w:rsidR="00893675" w:rsidRPr="00394CEC" w:rsidRDefault="00893675" w:rsidP="00893675">
      <w:pPr>
        <w:rPr>
          <w:b/>
        </w:rPr>
      </w:pPr>
      <w:r w:rsidRPr="00394CEC">
        <w:rPr>
          <w:b/>
        </w:rPr>
        <w:t>B.</w:t>
      </w:r>
      <w:r w:rsidRPr="00394CEC">
        <w:rPr>
          <w:b/>
        </w:rPr>
        <w:tab/>
        <w:t>Finansiella bestämmelser</w:t>
      </w:r>
    </w:p>
    <w:p w:rsidR="00893675" w:rsidRPr="00394CEC" w:rsidRDefault="00893675" w:rsidP="00893675"/>
    <w:p w:rsidR="00893675" w:rsidRPr="00394CEC" w:rsidRDefault="00893675" w:rsidP="00893675">
      <w:r w:rsidRPr="00394CEC">
        <w:t>Kommissionen skall se till att de finansiella och administrativa krav som åläggs mottagarna av bidrag ur programmet för livslångt lärande står i proportion till bidragets storlek. I synnerhet skall kommissionen se till att de finansiella bestämmelser och de krav för ansökning och rapportering som gäller rörlighet för enskilda personer och partnerskap förblir användarvänliga och tillräckligt enkla, så att de inte begränsar tillträdet för mindre gynnade individer och de institutioner eller organisationer som arbetar med dem.</w:t>
      </w:r>
    </w:p>
    <w:p w:rsidR="00893675" w:rsidRPr="00394CEC" w:rsidRDefault="00893675" w:rsidP="00893675"/>
    <w:p w:rsidR="00893675" w:rsidRPr="00394CEC" w:rsidRDefault="00893675" w:rsidP="00893675">
      <w:r w:rsidRPr="00394CEC">
        <w:rPr>
          <w:b/>
        </w:rPr>
        <w:br w:type="page"/>
      </w:r>
      <w:r w:rsidRPr="00394CEC">
        <w:t>I synnerhet skall kommissionen förse de nationella programkontoren med kriterier som de skall följa vid förfaranden för urval och bidragsbeviljande samt när det gäller system för avtal och utbetalning/revision, för de medel som de förvaltar. I dessa kriterier skall det tas hänsyn till storleken på bidragen och om bidragen understiger 25 000 EUR skall det finnas förenklade system i alla skeden där sökande eller bidragsmottagare är inblandade. Kriterierna skall göra det möjligt för de nationella programkontoren att fastställa och begränsa de detaljerade uppgifter som begärs av bidragssökande och att utfärda avtal efter det att bidrag beviljats enligt ett förenklat förfarande, där endast följande element ingår:</w:t>
      </w:r>
    </w:p>
    <w:p w:rsidR="00893675" w:rsidRPr="00394CEC" w:rsidRDefault="00893675" w:rsidP="00893675"/>
    <w:p w:rsidR="00893675" w:rsidRPr="00394CEC" w:rsidRDefault="00893675" w:rsidP="00E33CB1">
      <w:pPr>
        <w:ind w:left="567"/>
      </w:pPr>
      <w:r w:rsidRPr="00394CEC">
        <w:sym w:font="Symbol" w:char="F0B7"/>
      </w:r>
      <w:r w:rsidRPr="00394CEC">
        <w:tab/>
        <w:t>De avtalsslutande parterna.</w:t>
      </w:r>
    </w:p>
    <w:p w:rsidR="00893675" w:rsidRPr="00394CEC" w:rsidRDefault="00893675" w:rsidP="00E33CB1">
      <w:pPr>
        <w:ind w:left="567"/>
      </w:pPr>
      <w:r w:rsidRPr="00394CEC">
        <w:sym w:font="Symbol" w:char="00B7"/>
      </w:r>
      <w:r w:rsidRPr="00394CEC">
        <w:tab/>
        <w:t>Avtalets giltighetstid som skall vara perioden för stödberättigande utgifter.</w:t>
      </w:r>
    </w:p>
    <w:p w:rsidR="00893675" w:rsidRPr="00394CEC" w:rsidRDefault="00893675" w:rsidP="00E33CB1">
      <w:pPr>
        <w:ind w:left="567"/>
      </w:pPr>
      <w:r w:rsidRPr="00394CEC">
        <w:sym w:font="Symbol" w:char="00B7"/>
      </w:r>
      <w:r w:rsidRPr="00394CEC">
        <w:tab/>
        <w:t>Det högsta beviljade bidragsbeloppet.</w:t>
      </w:r>
    </w:p>
    <w:p w:rsidR="00893675" w:rsidRPr="00394CEC" w:rsidRDefault="00893675" w:rsidP="00E33CB1">
      <w:pPr>
        <w:ind w:left="567"/>
      </w:pPr>
      <w:r w:rsidRPr="00394CEC">
        <w:sym w:font="Symbol" w:char="00B7"/>
      </w:r>
      <w:r w:rsidRPr="00394CEC">
        <w:tab/>
        <w:t>En sammanfattande beskrivning av den verksamhet det gäller.</w:t>
      </w:r>
    </w:p>
    <w:p w:rsidR="00893675" w:rsidRPr="00394CEC" w:rsidRDefault="00893675" w:rsidP="00E33CB1">
      <w:pPr>
        <w:ind w:left="567"/>
      </w:pPr>
      <w:r w:rsidRPr="00394CEC">
        <w:sym w:font="Symbol" w:char="00B7"/>
      </w:r>
      <w:r w:rsidRPr="00394CEC">
        <w:tab/>
        <w:t>Krav på rapportering och tillgång till revision.</w:t>
      </w:r>
    </w:p>
    <w:p w:rsidR="00893675" w:rsidRPr="00394CEC" w:rsidRDefault="00893675" w:rsidP="00893675"/>
    <w:p w:rsidR="00893675" w:rsidRPr="00394CEC" w:rsidRDefault="00893675" w:rsidP="00893675">
      <w:r w:rsidRPr="00394CEC">
        <w:t>Dessa kriterier skall också göra det möjligt för de nationella programkontoren att tillåta att medfinansiering från mottagare kan ske i form av bidrag in natura. Det skall kunna verifieras att dessa faktiskt lämnas men de behöver inte utvärderas finansiellt.</w:t>
      </w:r>
    </w:p>
    <w:p w:rsidR="00893675" w:rsidRPr="00394CEC" w:rsidRDefault="00893675" w:rsidP="00893675"/>
    <w:p w:rsidR="00893675" w:rsidRPr="00394CEC" w:rsidRDefault="00893675" w:rsidP="00893675">
      <w:pPr>
        <w:rPr>
          <w:b/>
        </w:rPr>
      </w:pPr>
      <w:r w:rsidRPr="00394CEC">
        <w:rPr>
          <w:b/>
        </w:rPr>
        <w:t>1.</w:t>
      </w:r>
      <w:r w:rsidRPr="00394CEC">
        <w:rPr>
          <w:b/>
        </w:rPr>
        <w:tab/>
        <w:t>Insatser som förvaltas genom förfarandet via de nationella programkontoren</w:t>
      </w:r>
    </w:p>
    <w:p w:rsidR="00893675" w:rsidRPr="00394CEC" w:rsidRDefault="00893675" w:rsidP="00893675"/>
    <w:p w:rsidR="00893675" w:rsidRPr="00394CEC" w:rsidRDefault="00893675" w:rsidP="00E33CB1">
      <w:pPr>
        <w:ind w:left="567" w:hanging="567"/>
      </w:pPr>
      <w:r w:rsidRPr="00394CEC">
        <w:t>1.1</w:t>
      </w:r>
      <w:r w:rsidRPr="00394CEC">
        <w:tab/>
        <w:t>Gemenskapens medel, som är avsedda som finansiellt stöd för de insatser som skall förvaltas genom förfarandet via de nationella programkontoren i enlighet med avsnitt A punkt 1 i denna bilaga, skall fördelas mellan medlemsstaterna enligt de formler som fastställs av kommissionen i enlighet med artikel 10.2, vilka kan inbegripa följande:</w:t>
      </w:r>
    </w:p>
    <w:p w:rsidR="00893675" w:rsidRPr="00394CEC" w:rsidRDefault="00893675" w:rsidP="00893675"/>
    <w:p w:rsidR="00893675" w:rsidRPr="00394CEC" w:rsidRDefault="00893675" w:rsidP="00E33CB1">
      <w:pPr>
        <w:ind w:left="1134" w:hanging="567"/>
      </w:pPr>
      <w:r w:rsidRPr="00394CEC">
        <w:t>a)</w:t>
      </w:r>
      <w:r w:rsidRPr="00394CEC">
        <w:tab/>
        <w:t>Ett minimibelopp som tilldelas varje medlemsstat, vilket skall fastställas i enlighet med tillgängliga budgetmedel för insatsen i fråga.</w:t>
      </w:r>
    </w:p>
    <w:p w:rsidR="00893675" w:rsidRPr="00394CEC" w:rsidRDefault="00893675" w:rsidP="00893675"/>
    <w:p w:rsidR="00893675" w:rsidRPr="00394CEC" w:rsidRDefault="00893675" w:rsidP="00E33CB1">
      <w:pPr>
        <w:ind w:left="567"/>
        <w:rPr>
          <w:b/>
        </w:rPr>
      </w:pPr>
      <w:r w:rsidRPr="00394CEC">
        <w:br w:type="page"/>
        <w:t>b)</w:t>
      </w:r>
      <w:r w:rsidRPr="00394CEC">
        <w:tab/>
        <w:t>Återstoden skall fördelas mellan medlemsstaterna på grundval av</w:t>
      </w:r>
    </w:p>
    <w:p w:rsidR="00893675" w:rsidRPr="00394CEC" w:rsidRDefault="00893675" w:rsidP="00893675"/>
    <w:p w:rsidR="00893675" w:rsidRPr="00394CEC" w:rsidRDefault="00893675" w:rsidP="00E33CB1">
      <w:pPr>
        <w:ind w:left="1701" w:hanging="567"/>
      </w:pPr>
      <w:r w:rsidRPr="00394CEC">
        <w:t>i)</w:t>
      </w:r>
      <w:r w:rsidRPr="00394CEC">
        <w:tab/>
        <w:t>det sammanlagda antalet i varje medlemsstat av</w:t>
      </w:r>
    </w:p>
    <w:p w:rsidR="00893675" w:rsidRPr="00394CEC" w:rsidRDefault="00893675" w:rsidP="00E33CB1">
      <w:pPr>
        <w:ind w:left="1701" w:hanging="567"/>
      </w:pPr>
    </w:p>
    <w:p w:rsidR="00893675" w:rsidRPr="00394CEC" w:rsidRDefault="00893675" w:rsidP="00E33CB1">
      <w:pPr>
        <w:ind w:left="2268" w:hanging="567"/>
      </w:pPr>
      <w:r w:rsidRPr="00394CEC">
        <w:t>–</w:t>
      </w:r>
      <w:r w:rsidRPr="00394CEC">
        <w:tab/>
        <w:t>elever och lärare inom skolutbildningen för skolpartnerskap och rörlighet i programmet Comenius</w:t>
      </w:r>
      <w:r w:rsidRPr="00394CEC">
        <w:rPr>
          <w:b/>
        </w:rPr>
        <w:t xml:space="preserve"> </w:t>
      </w:r>
      <w:r w:rsidRPr="00394CEC">
        <w:t>enligt artikel 19.1. a och 19.1. b,</w:t>
      </w:r>
    </w:p>
    <w:p w:rsidR="00893675" w:rsidRPr="00394CEC" w:rsidRDefault="00893675" w:rsidP="00E33CB1">
      <w:pPr>
        <w:ind w:left="2268" w:hanging="567"/>
      </w:pPr>
    </w:p>
    <w:p w:rsidR="00893675" w:rsidRPr="00394CEC" w:rsidRDefault="00893675" w:rsidP="00E33CB1">
      <w:pPr>
        <w:ind w:left="2268" w:hanging="567"/>
      </w:pPr>
      <w:r w:rsidRPr="00394CEC">
        <w:t>–</w:t>
      </w:r>
      <w:r w:rsidRPr="00394CEC">
        <w:tab/>
        <w:t>studenter och/eller utexaminerande vid högre utbildningsanstalter för studentutbyte och intensiva insatser inom programmet Erasmus enligt artikel 24.1 a i och artikel 24.1 a iv,</w:t>
      </w:r>
    </w:p>
    <w:p w:rsidR="00893675" w:rsidRPr="00394CEC" w:rsidRDefault="00893675" w:rsidP="00E33CB1">
      <w:pPr>
        <w:ind w:left="2268" w:hanging="567"/>
      </w:pPr>
    </w:p>
    <w:p w:rsidR="00893675" w:rsidRPr="00394CEC" w:rsidRDefault="00893675" w:rsidP="00E33CB1">
      <w:pPr>
        <w:ind w:left="2268" w:hanging="567"/>
      </w:pPr>
      <w:r w:rsidRPr="00394CEC">
        <w:t>–</w:t>
      </w:r>
      <w:r w:rsidRPr="00394CEC">
        <w:tab/>
        <w:t>lärare vid högre utbildningsanstalter för rörlighet för lärare och för andra insatser för personal inom programmet Erasmus enligt artikel 24.1 a ii och 24.1 a iii,</w:t>
      </w:r>
    </w:p>
    <w:p w:rsidR="00893675" w:rsidRPr="00394CEC" w:rsidRDefault="00893675" w:rsidP="00E33CB1">
      <w:pPr>
        <w:ind w:left="2268" w:hanging="567"/>
      </w:pPr>
    </w:p>
    <w:p w:rsidR="00893675" w:rsidRPr="00394CEC" w:rsidRDefault="00893675" w:rsidP="00E33CB1">
      <w:pPr>
        <w:ind w:left="2268" w:hanging="567"/>
      </w:pPr>
      <w:r w:rsidRPr="00394CEC">
        <w:t>–</w:t>
      </w:r>
      <w:r w:rsidRPr="00394CEC">
        <w:tab/>
        <w:t>invånare totalt och antal personer i åldern 15</w:t>
      </w:r>
      <w:r w:rsidRPr="00394CEC">
        <w:sym w:font="Symbol" w:char="F02D"/>
      </w:r>
      <w:r w:rsidRPr="00394CEC">
        <w:t>35 år i förhållande till den sammanlagda befolkningen, för rörlighet, partnerskap och multilaterala projekt inom programmet Leonardo da Vinci enligt artikel 29.1 a, 29.1 b och 29.1 c,</w:t>
      </w:r>
    </w:p>
    <w:p w:rsidR="00893675" w:rsidRPr="00394CEC" w:rsidRDefault="00893675" w:rsidP="00E33CB1">
      <w:pPr>
        <w:ind w:left="2268" w:hanging="567"/>
      </w:pPr>
    </w:p>
    <w:p w:rsidR="00893675" w:rsidRPr="00394CEC" w:rsidRDefault="00893675" w:rsidP="00E33CB1">
      <w:pPr>
        <w:ind w:left="2268" w:hanging="567"/>
      </w:pPr>
      <w:r w:rsidRPr="00394CEC">
        <w:t>–</w:t>
      </w:r>
      <w:r w:rsidRPr="00394CEC">
        <w:tab/>
        <w:t>vuxna, för rörlighet och partnerskap inom programmet Grundtvig enligt artikel 34.1 a och b,</w:t>
      </w:r>
    </w:p>
    <w:p w:rsidR="00893675" w:rsidRPr="00394CEC" w:rsidRDefault="00893675" w:rsidP="00E33CB1">
      <w:pPr>
        <w:ind w:left="1701" w:hanging="567"/>
      </w:pPr>
    </w:p>
    <w:p w:rsidR="00893675" w:rsidRPr="00394CEC" w:rsidRDefault="00893675" w:rsidP="00E33CB1">
      <w:pPr>
        <w:ind w:left="1701" w:hanging="567"/>
      </w:pPr>
      <w:r w:rsidRPr="00394CEC">
        <w:t>ii)</w:t>
      </w:r>
      <w:r w:rsidRPr="00394CEC">
        <w:tab/>
        <w:t>skillnaderna i levnadskostnader mellan medlemsstaterna,</w:t>
      </w:r>
    </w:p>
    <w:p w:rsidR="00893675" w:rsidRPr="00394CEC" w:rsidRDefault="00893675" w:rsidP="00E33CB1">
      <w:pPr>
        <w:ind w:left="1701" w:hanging="567"/>
      </w:pPr>
    </w:p>
    <w:p w:rsidR="00893675" w:rsidRPr="00394CEC" w:rsidRDefault="00893675" w:rsidP="00E33CB1">
      <w:pPr>
        <w:ind w:left="1701" w:hanging="567"/>
      </w:pPr>
      <w:r w:rsidRPr="00394CEC">
        <w:t>iii)</w:t>
      </w:r>
      <w:r w:rsidRPr="00394CEC">
        <w:tab/>
        <w:t>avståndet mellan huvudstäderna i varje medlemsstat,</w:t>
      </w:r>
    </w:p>
    <w:p w:rsidR="00893675" w:rsidRPr="00394CEC" w:rsidRDefault="00893675" w:rsidP="00E33CB1">
      <w:pPr>
        <w:ind w:left="1701" w:hanging="567"/>
      </w:pPr>
    </w:p>
    <w:p w:rsidR="00893675" w:rsidRPr="00394CEC" w:rsidRDefault="00893675" w:rsidP="00E33CB1">
      <w:pPr>
        <w:ind w:left="1701" w:hanging="567"/>
      </w:pPr>
      <w:r w:rsidRPr="00394CEC">
        <w:t>iv)</w:t>
      </w:r>
      <w:r w:rsidRPr="00394CEC">
        <w:tab/>
        <w:t>nivån på efterfrågan på och/eller deltagande i den berörda insatsen i varje medlemsstat.</w:t>
      </w:r>
    </w:p>
    <w:p w:rsidR="00893675" w:rsidRPr="00394CEC" w:rsidRDefault="00893675" w:rsidP="00893675"/>
    <w:p w:rsidR="00893675" w:rsidRPr="00394CEC" w:rsidRDefault="00893675" w:rsidP="00E33CB1">
      <w:pPr>
        <w:ind w:left="567" w:hanging="567"/>
      </w:pPr>
      <w:r w:rsidRPr="00394CEC">
        <w:rPr>
          <w:b/>
        </w:rPr>
        <w:br w:type="page"/>
      </w:r>
      <w:r w:rsidRPr="00394CEC">
        <w:t>1.2</w:t>
      </w:r>
      <w:r w:rsidRPr="00394CEC">
        <w:tab/>
        <w:t>Dessa formuleringar bör så långt möjligt vara neutrala i förhållande till de olika utbildningssystemen i medlemsstaterna.</w:t>
      </w:r>
    </w:p>
    <w:p w:rsidR="00893675" w:rsidRPr="00394CEC" w:rsidRDefault="00893675" w:rsidP="00893675"/>
    <w:p w:rsidR="00893675" w:rsidRPr="00394CEC" w:rsidRDefault="00893675" w:rsidP="00E33CB1">
      <w:pPr>
        <w:ind w:left="567" w:hanging="567"/>
      </w:pPr>
      <w:r w:rsidRPr="00394CEC">
        <w:t>1.3</w:t>
      </w:r>
      <w:r w:rsidRPr="00394CEC">
        <w:tab/>
        <w:t>De gemenskapsmedel som fördelas på detta sätt skall förvaltas av de nationella programkontor som skall inrättas enligt artikel 6.2 b.</w:t>
      </w:r>
    </w:p>
    <w:p w:rsidR="00893675" w:rsidRPr="00394CEC" w:rsidRDefault="00893675" w:rsidP="00E33CB1">
      <w:pPr>
        <w:ind w:left="567" w:hanging="567"/>
      </w:pPr>
    </w:p>
    <w:p w:rsidR="00893675" w:rsidRPr="00394CEC" w:rsidRDefault="00893675" w:rsidP="00E33CB1">
      <w:pPr>
        <w:ind w:left="567" w:hanging="567"/>
      </w:pPr>
      <w:r w:rsidRPr="00394CEC">
        <w:t>1.4</w:t>
      </w:r>
      <w:r w:rsidRPr="00394CEC">
        <w:tab/>
        <w:t>Kommissionen skall i samarbete med medlemsstaterna vidta nödvändiga åtgärder för att främja jämvikt i deltagandet på gemenskapsnivå och nationell nivå, liksom, i förekommande fall, på regional nivå och mellan olika ämnesområden. Den andel som anslås till dessa åtgärder får inte överstiga 5 % av den årliga budget som är tillgänglig för finansiering av åtgärderna i fråga.</w:t>
      </w:r>
    </w:p>
    <w:p w:rsidR="00893675" w:rsidRPr="00394CEC" w:rsidRDefault="00893675" w:rsidP="00893675"/>
    <w:p w:rsidR="00893675" w:rsidRPr="00394CEC" w:rsidRDefault="00893675" w:rsidP="00893675">
      <w:pPr>
        <w:rPr>
          <w:b/>
        </w:rPr>
      </w:pPr>
      <w:r w:rsidRPr="00394CEC">
        <w:rPr>
          <w:b/>
        </w:rPr>
        <w:t>2.</w:t>
      </w:r>
      <w:r w:rsidRPr="00394CEC">
        <w:rPr>
          <w:b/>
        </w:rPr>
        <w:tab/>
        <w:t>Mottagare</w:t>
      </w:r>
    </w:p>
    <w:p w:rsidR="00893675" w:rsidRPr="00394CEC" w:rsidRDefault="00893675" w:rsidP="00893675"/>
    <w:p w:rsidR="00893675" w:rsidRPr="00394CEC" w:rsidRDefault="00893675" w:rsidP="00E33CB1">
      <w:pPr>
        <w:ind w:left="567"/>
      </w:pPr>
      <w:r w:rsidRPr="00394CEC">
        <w:t>De institutioner som finns förtecknade i artikel 42.2 i detta beslut utses härmed till bidragsmottagare inom programmet för livslångt lärande, i enlighet med artikel 168 i kommissionens förordning (EG, Euratom) nr 2342/2002.</w:t>
      </w:r>
    </w:p>
    <w:p w:rsidR="00893675" w:rsidRPr="00394CEC" w:rsidRDefault="00893675" w:rsidP="00E33CB1">
      <w:pPr>
        <w:ind w:left="567"/>
      </w:pPr>
    </w:p>
    <w:p w:rsidR="00893675" w:rsidRPr="00394CEC" w:rsidRDefault="00893675" w:rsidP="00E33CB1">
      <w:pPr>
        <w:ind w:left="567"/>
      </w:pPr>
      <w:r w:rsidRPr="00394CEC">
        <w:t>De nationella enheter som utgör NARIC</w:t>
      </w:r>
      <w:r w:rsidRPr="00394CEC">
        <w:noBreakHyphen/>
        <w:t>nätverket, Eurydicenätverket, Euroguidancenätverket, de nationella informationscentrumen för yrkeskvalifikationer och de nationella centrumen för Europass fungerar som organ för att genomföra programmet på nationell nivå, i enlighet med bestämmelserna i artikel 54.2 c i rådets förordning nr 1605/2002 och artikel 38 i kommissionens förordning (EG, Euratom) nr 2342/2002.</w:t>
      </w:r>
    </w:p>
    <w:p w:rsidR="00893675" w:rsidRPr="00394CEC" w:rsidRDefault="00893675" w:rsidP="00893675"/>
    <w:p w:rsidR="00893675" w:rsidRPr="00394CEC" w:rsidRDefault="00893675" w:rsidP="00893675">
      <w:pPr>
        <w:rPr>
          <w:b/>
        </w:rPr>
      </w:pPr>
      <w:r w:rsidRPr="00394CEC">
        <w:rPr>
          <w:b/>
        </w:rPr>
        <w:t>3.</w:t>
      </w:r>
      <w:r w:rsidRPr="00394CEC">
        <w:rPr>
          <w:b/>
        </w:rPr>
        <w:tab/>
        <w:t>Kategorier bidragsmottagare</w:t>
      </w:r>
    </w:p>
    <w:p w:rsidR="00893675" w:rsidRPr="00394CEC" w:rsidRDefault="00893675" w:rsidP="00893675"/>
    <w:p w:rsidR="00893675" w:rsidRPr="00394CEC" w:rsidRDefault="00893675" w:rsidP="00E33CB1">
      <w:pPr>
        <w:ind w:left="567"/>
      </w:pPr>
      <w:r w:rsidRPr="00394CEC">
        <w:t>I enlighet med artikel 114.1 i rådets förordning (EG, Euratom) nr 1605/2002 får bidrag beviljas till juridiska personer eller fysiska personer. För fysiska personer får de utgå i form av stipendier.</w:t>
      </w:r>
    </w:p>
    <w:p w:rsidR="00893675" w:rsidRPr="00394CEC" w:rsidRDefault="00893675" w:rsidP="00893675">
      <w:pPr>
        <w:rPr>
          <w:b/>
        </w:rPr>
      </w:pPr>
    </w:p>
    <w:p w:rsidR="00893675" w:rsidRPr="00394CEC" w:rsidRDefault="00893675" w:rsidP="00893675">
      <w:pPr>
        <w:rPr>
          <w:b/>
        </w:rPr>
      </w:pPr>
      <w:r w:rsidRPr="00394CEC">
        <w:rPr>
          <w:b/>
        </w:rPr>
        <w:br w:type="page"/>
        <w:t>4.</w:t>
      </w:r>
      <w:r w:rsidRPr="00394CEC">
        <w:rPr>
          <w:b/>
        </w:rPr>
        <w:tab/>
        <w:t>Schablonbidrag, enhetskostnadstariffer samt pris</w:t>
      </w:r>
    </w:p>
    <w:p w:rsidR="00893675" w:rsidRPr="00394CEC" w:rsidRDefault="00893675" w:rsidP="00893675"/>
    <w:p w:rsidR="00E33CB1" w:rsidRPr="00394CEC" w:rsidRDefault="00893675" w:rsidP="00E33CB1">
      <w:pPr>
        <w:ind w:left="567"/>
      </w:pPr>
      <w:r w:rsidRPr="00394CEC">
        <w:t>Schablonbidrag och/eller enhetskostnadstariffer, enligt vad som föreskrivs i artikel 181.1 i kommissionens förordning (EG, Euratom) nr 2342/2002 får användas för de insatser som avses i artikel 5.</w:t>
      </w:r>
      <w:r w:rsidR="00E33CB1" w:rsidRPr="00394CEC">
        <w:t xml:space="preserve"> </w:t>
      </w:r>
    </w:p>
    <w:p w:rsidR="00893675" w:rsidRPr="00394CEC" w:rsidRDefault="00893675" w:rsidP="00E33CB1">
      <w:pPr>
        <w:ind w:left="567"/>
      </w:pPr>
      <w:r w:rsidRPr="00394CEC">
        <w:t>Schablonbidrag får användas upp till högst 25 000 EUR per bidrag. De får kombineras med högst 100 000 EUR eller användas tillsammans med enhetskostnadstariffer.</w:t>
      </w:r>
    </w:p>
    <w:p w:rsidR="00893675" w:rsidRPr="00394CEC" w:rsidRDefault="00893675" w:rsidP="00E33CB1">
      <w:pPr>
        <w:ind w:left="567"/>
      </w:pPr>
    </w:p>
    <w:p w:rsidR="00893675" w:rsidRPr="00394CEC" w:rsidRDefault="00893675" w:rsidP="00E33CB1">
      <w:pPr>
        <w:ind w:left="567"/>
      </w:pPr>
      <w:r w:rsidRPr="00394CEC">
        <w:t>Kommissionen får besluta angående prisutdelning i samband med verksamhet som genomförs inom ramen för programmet för livslångt lärande.</w:t>
      </w:r>
    </w:p>
    <w:p w:rsidR="00893675" w:rsidRPr="00394CEC" w:rsidRDefault="00893675" w:rsidP="00893675"/>
    <w:p w:rsidR="00893675" w:rsidRPr="00394CEC" w:rsidRDefault="00893675" w:rsidP="00893675">
      <w:pPr>
        <w:rPr>
          <w:b/>
        </w:rPr>
      </w:pPr>
      <w:r w:rsidRPr="00394CEC">
        <w:rPr>
          <w:b/>
        </w:rPr>
        <w:t>4a.</w:t>
      </w:r>
      <w:r w:rsidRPr="00394CEC">
        <w:rPr>
          <w:b/>
        </w:rPr>
        <w:tab/>
        <w:t>Offentliga institutioner eller organisationer som erbjuder möjligheter till lärande</w:t>
      </w:r>
    </w:p>
    <w:p w:rsidR="00893675" w:rsidRPr="00394CEC" w:rsidRDefault="00893675" w:rsidP="00893675"/>
    <w:p w:rsidR="00893675" w:rsidRPr="00394CEC" w:rsidRDefault="00893675" w:rsidP="00E33CB1">
      <w:pPr>
        <w:ind w:left="567"/>
      </w:pPr>
      <w:r w:rsidRPr="00394CEC">
        <w:t>Alla skolor och högre utbildningsanstalter som specificeras av medlemsstaterna och alla institutioner eller organisationer som erbjuder möjligheter till lärande och som har fått mer än 50 % av sina årliga anslag från offentliga källor under de senaste två åren eller som kontrolleras av offentliga organ eller deras företrädare skall av kommissionen anses ha den nödvändiga ekonomiska, professionella och administrativa kapaciteten, tillsammans med den nödvändiga ekonomiska stabiliteten, att genomföra projekt inom detta program; de skall inte behöva lägga fram ytterligare dokumentation för att bevisa detta. Sådana institutioner eller organisationer får undantas från revisionskraven enligt artikel 173.4 i kommissionens förordning (EG, Euratom) nr 2342/2002.</w:t>
      </w:r>
    </w:p>
    <w:p w:rsidR="00893675" w:rsidRPr="00394CEC" w:rsidRDefault="00893675" w:rsidP="00893675">
      <w:pPr>
        <w:rPr>
          <w:b/>
        </w:rPr>
      </w:pPr>
    </w:p>
    <w:p w:rsidR="00893675" w:rsidRPr="00394CEC" w:rsidRDefault="00893675" w:rsidP="00893675">
      <w:pPr>
        <w:rPr>
          <w:b/>
        </w:rPr>
      </w:pPr>
      <w:r w:rsidRPr="00394CEC">
        <w:rPr>
          <w:b/>
        </w:rPr>
        <w:t>5.</w:t>
      </w:r>
      <w:r w:rsidRPr="00394CEC">
        <w:rPr>
          <w:b/>
        </w:rPr>
        <w:tab/>
        <w:t>Organ som verkar för mål av allmänt europeiskt intresse</w:t>
      </w:r>
    </w:p>
    <w:p w:rsidR="00893675" w:rsidRPr="00394CEC" w:rsidRDefault="00893675" w:rsidP="00893675"/>
    <w:p w:rsidR="00893675" w:rsidRPr="00394CEC" w:rsidRDefault="00893675" w:rsidP="00E33CB1">
      <w:pPr>
        <w:ind w:left="567"/>
      </w:pPr>
      <w:r w:rsidRPr="00394CEC">
        <w:t>Där driftsbidrag beviljas ur detta program till organ som verkar för mål av allmänt europeiskt intresse enligt definitionen i artikel 162 i kommissionens förordning (EG, Euratom) nr 2342/2002, skall de, i enlighet med artikel 113.2 i rådets förordning (EG, Euratom) nr</w:t>
      </w:r>
      <w:r w:rsidR="00711EFE" w:rsidRPr="00394CEC">
        <w:t> </w:t>
      </w:r>
      <w:r w:rsidRPr="00394CEC">
        <w:t>1605/2002, inte förlängas enligt principen om stegvis minskning.</w:t>
      </w:r>
    </w:p>
    <w:p w:rsidR="00893675" w:rsidRPr="00394CEC" w:rsidRDefault="00893675" w:rsidP="00893675"/>
    <w:p w:rsidR="00893675" w:rsidRPr="00394CEC" w:rsidRDefault="00893675" w:rsidP="00893675">
      <w:pPr>
        <w:rPr>
          <w:b/>
          <w:i/>
        </w:rPr>
      </w:pPr>
      <w:r w:rsidRPr="00394CEC">
        <w:rPr>
          <w:b/>
        </w:rPr>
        <w:br w:type="page"/>
        <w:t>6.</w:t>
      </w:r>
      <w:r w:rsidRPr="00394CEC">
        <w:rPr>
          <w:b/>
        </w:rPr>
        <w:tab/>
        <w:t>De sökandes yrkesmeriter och kvalifikationer</w:t>
      </w:r>
    </w:p>
    <w:p w:rsidR="00893675" w:rsidRPr="00394CEC" w:rsidRDefault="00893675" w:rsidP="00893675"/>
    <w:p w:rsidR="00893675" w:rsidRPr="00394CEC" w:rsidRDefault="00893675" w:rsidP="00E33CB1">
      <w:pPr>
        <w:ind w:left="567"/>
      </w:pPr>
      <w:r w:rsidRPr="00394CEC">
        <w:t>Kommissionen får besluta i enlighet med artikel 176.2 i kommissionens förordning (EG,</w:t>
      </w:r>
      <w:r w:rsidR="00711EFE" w:rsidRPr="00394CEC">
        <w:t> </w:t>
      </w:r>
      <w:r w:rsidRPr="00394CEC">
        <w:t>Euratom) nr 2342/2002 att specificerade kategorier bidragsmottagare har de nödvändiga yrkesmeriterna och kvalifikationerna för att fullgöra den föreslagna insatsen eller arbetsplanen.</w:t>
      </w:r>
    </w:p>
    <w:p w:rsidR="00893675" w:rsidRPr="00394CEC" w:rsidRDefault="00893675" w:rsidP="00893675">
      <w:pPr>
        <w:rPr>
          <w:b/>
        </w:rPr>
      </w:pPr>
    </w:p>
    <w:p w:rsidR="00893675" w:rsidRPr="00394CEC" w:rsidRDefault="00893675" w:rsidP="00893675">
      <w:pPr>
        <w:rPr>
          <w:b/>
        </w:rPr>
      </w:pPr>
      <w:r w:rsidRPr="00394CEC">
        <w:rPr>
          <w:b/>
        </w:rPr>
        <w:t>7.</w:t>
      </w:r>
      <w:r w:rsidRPr="00394CEC">
        <w:rPr>
          <w:b/>
        </w:rPr>
        <w:tab/>
        <w:t>Deltagande av partner från tredjeländer</w:t>
      </w:r>
    </w:p>
    <w:p w:rsidR="00893675" w:rsidRPr="00394CEC" w:rsidRDefault="00893675" w:rsidP="00893675"/>
    <w:p w:rsidR="00893675" w:rsidRPr="00394CEC" w:rsidRDefault="00893675" w:rsidP="00E33CB1">
      <w:pPr>
        <w:ind w:left="567"/>
      </w:pPr>
      <w:r w:rsidRPr="00394CEC">
        <w:t>Partner från tredjeländer får delta i multilaterala projekt, nätverk eller partnerskap enligt villkoren i artikel 15.2 enligt kommissionens eller det berörda nationella programkontorets skönsmässiga bedömning. Beslutet om stöd till sådana partner skall grunda sig på den grad av mervärde på europeisk nivå som deras deltagande i projektet, nätverket eller partnerskapet i fråga kan leda till.</w:t>
      </w:r>
    </w:p>
    <w:p w:rsidR="00893675" w:rsidRPr="00394CEC" w:rsidRDefault="00893675" w:rsidP="00893675"/>
    <w:p w:rsidR="00893675" w:rsidRPr="00394CEC" w:rsidRDefault="00893675" w:rsidP="00893675">
      <w:pPr>
        <w:rPr>
          <w:b/>
        </w:rPr>
      </w:pPr>
      <w:r w:rsidRPr="00394CEC">
        <w:rPr>
          <w:b/>
        </w:rPr>
        <w:t>8.</w:t>
      </w:r>
      <w:r w:rsidRPr="00394CEC">
        <w:rPr>
          <w:b/>
        </w:rPr>
        <w:tab/>
        <w:t>Minsta belopp</w:t>
      </w:r>
    </w:p>
    <w:p w:rsidR="00893675" w:rsidRPr="00394CEC" w:rsidRDefault="00893675" w:rsidP="00893675"/>
    <w:p w:rsidR="00893675" w:rsidRPr="00394CEC" w:rsidRDefault="00893675" w:rsidP="00E33CB1">
      <w:pPr>
        <w:ind w:left="567"/>
      </w:pPr>
      <w:r w:rsidRPr="00394CEC">
        <w:t>Med förbehåll för artikel 15 i detta beslut skall de minsta belopp som skall tilldelas sektorsprogrammen i förhållande till den finansiella ramen som fastställs i den artikeln utgöra</w:t>
      </w:r>
    </w:p>
    <w:p w:rsidR="00893675" w:rsidRPr="00394CEC" w:rsidRDefault="00893675" w:rsidP="00893675"/>
    <w:p w:rsidR="00893675" w:rsidRPr="00394CEC" w:rsidRDefault="00E33CB1" w:rsidP="00E33CB1">
      <w:pPr>
        <w:ind w:left="567"/>
      </w:pPr>
      <w:r w:rsidRPr="00394CEC">
        <w:t>Comenius</w:t>
      </w:r>
      <w:r w:rsidRPr="00394CEC">
        <w:tab/>
      </w:r>
      <w:r w:rsidRPr="00394CEC">
        <w:tab/>
      </w:r>
      <w:r w:rsidRPr="00394CEC">
        <w:tab/>
        <w:t>[...</w:t>
      </w:r>
      <w:r w:rsidR="00893675" w:rsidRPr="00394CEC">
        <w:t>]</w:t>
      </w:r>
      <w:r w:rsidR="00893675" w:rsidRPr="00394CEC">
        <w:rPr>
          <w:rStyle w:val="Fotnotsreferens"/>
        </w:rPr>
        <w:footnoteReference w:id="47"/>
      </w:r>
      <w:r w:rsidR="00893675" w:rsidRPr="00394CEC">
        <w:t> %</w:t>
      </w:r>
    </w:p>
    <w:p w:rsidR="00893675" w:rsidRPr="00394CEC" w:rsidRDefault="00893675" w:rsidP="00E33CB1">
      <w:pPr>
        <w:ind w:left="567"/>
      </w:pPr>
    </w:p>
    <w:p w:rsidR="00893675" w:rsidRPr="00394CEC" w:rsidRDefault="00E33CB1" w:rsidP="00E33CB1">
      <w:pPr>
        <w:ind w:left="567"/>
      </w:pPr>
      <w:r w:rsidRPr="00394CEC">
        <w:t>Erasmus</w:t>
      </w:r>
      <w:r w:rsidRPr="00394CEC">
        <w:tab/>
      </w:r>
      <w:r w:rsidRPr="00394CEC">
        <w:tab/>
      </w:r>
      <w:r w:rsidRPr="00394CEC">
        <w:tab/>
        <w:t>[...</w:t>
      </w:r>
      <w:r w:rsidR="00893675" w:rsidRPr="00394CEC">
        <w:t>]</w:t>
      </w:r>
      <w:r w:rsidR="00893675" w:rsidRPr="00394CEC">
        <w:rPr>
          <w:b/>
          <w:szCs w:val="24"/>
          <w:vertAlign w:val="superscript"/>
        </w:rPr>
        <w:t>47</w:t>
      </w:r>
      <w:r w:rsidR="00893675" w:rsidRPr="00394CEC">
        <w:t> %</w:t>
      </w:r>
    </w:p>
    <w:p w:rsidR="00893675" w:rsidRPr="00394CEC" w:rsidRDefault="00893675" w:rsidP="00E33CB1">
      <w:pPr>
        <w:ind w:left="567"/>
      </w:pPr>
    </w:p>
    <w:p w:rsidR="00893675" w:rsidRPr="00394CEC" w:rsidRDefault="00E33CB1" w:rsidP="00E33CB1">
      <w:pPr>
        <w:ind w:left="567"/>
      </w:pPr>
      <w:r w:rsidRPr="00394CEC">
        <w:t>Leonardo da Vinci</w:t>
      </w:r>
      <w:r w:rsidRPr="00394CEC">
        <w:tab/>
        <w:t>[...</w:t>
      </w:r>
      <w:r w:rsidR="00893675" w:rsidRPr="00394CEC">
        <w:t>]</w:t>
      </w:r>
      <w:r w:rsidR="00893675" w:rsidRPr="00394CEC">
        <w:rPr>
          <w:b/>
          <w:szCs w:val="24"/>
          <w:vertAlign w:val="superscript"/>
        </w:rPr>
        <w:t>47</w:t>
      </w:r>
      <w:r w:rsidR="00893675" w:rsidRPr="00394CEC">
        <w:t> %</w:t>
      </w:r>
    </w:p>
    <w:p w:rsidR="00893675" w:rsidRPr="00394CEC" w:rsidRDefault="00893675" w:rsidP="00E33CB1">
      <w:pPr>
        <w:ind w:left="567"/>
      </w:pPr>
    </w:p>
    <w:p w:rsidR="00893675" w:rsidRPr="00394CEC" w:rsidRDefault="00E33CB1" w:rsidP="00E33CB1">
      <w:pPr>
        <w:ind w:left="567"/>
      </w:pPr>
      <w:r w:rsidRPr="00394CEC">
        <w:t>Grundtvig</w:t>
      </w:r>
      <w:r w:rsidRPr="00394CEC">
        <w:tab/>
      </w:r>
      <w:r w:rsidRPr="00394CEC">
        <w:tab/>
      </w:r>
      <w:r w:rsidRPr="00394CEC">
        <w:tab/>
        <w:t>[...</w:t>
      </w:r>
      <w:r w:rsidR="00893675" w:rsidRPr="00394CEC">
        <w:t>]</w:t>
      </w:r>
      <w:r w:rsidR="00893675" w:rsidRPr="00394CEC">
        <w:rPr>
          <w:b/>
          <w:szCs w:val="24"/>
          <w:vertAlign w:val="superscript"/>
        </w:rPr>
        <w:t>47</w:t>
      </w:r>
      <w:r w:rsidR="00893675" w:rsidRPr="00394CEC">
        <w:t> %</w:t>
      </w:r>
    </w:p>
    <w:p w:rsidR="00893675" w:rsidRPr="00394CEC" w:rsidRDefault="00893675" w:rsidP="00893675"/>
    <w:p w:rsidR="00893675" w:rsidRPr="00394CEC" w:rsidRDefault="00893675" w:rsidP="00893675">
      <w:pPr>
        <w:rPr>
          <w:b/>
        </w:rPr>
      </w:pPr>
      <w:r w:rsidRPr="00394CEC">
        <w:rPr>
          <w:b/>
        </w:rPr>
        <w:br w:type="page"/>
        <w:t>9.</w:t>
      </w:r>
      <w:r w:rsidRPr="00394CEC">
        <w:rPr>
          <w:b/>
        </w:rPr>
        <w:tab/>
        <w:t>Nationella programkontor</w:t>
      </w:r>
    </w:p>
    <w:p w:rsidR="00893675" w:rsidRPr="00394CEC" w:rsidRDefault="00893675" w:rsidP="00893675"/>
    <w:p w:rsidR="00893675" w:rsidRPr="00394CEC" w:rsidRDefault="00893675" w:rsidP="00E33CB1">
      <w:pPr>
        <w:ind w:left="567"/>
      </w:pPr>
      <w:r w:rsidRPr="00394CEC">
        <w:t>Bidrag från gemenskapen skall tillhandahållas för att stödja verksamheten vid de nationella programkontor som inrättas eller utses av medlemsstaterna i enlighet med artikel 6.2 b. Sådant bidrag kan tillhandahållas i form av driftsbidrag och får inte överstiga 50 % av de sammanlagda bidragsberättigande kostnaderna för det nationella programkontorets godkända arbetsprogram.</w:t>
      </w:r>
    </w:p>
    <w:p w:rsidR="00893675" w:rsidRPr="00394CEC" w:rsidRDefault="00893675" w:rsidP="00E33CB1">
      <w:pPr>
        <w:ind w:left="567"/>
      </w:pPr>
      <w:r w:rsidRPr="00394CEC">
        <w:t>I enlighet med artikel 38.1 i kommissionens förordning (EG, Euratom) nr 2342/2002 får det nationella programkontorets uppgifter i de tredjeländer som deltar i programmet för livslångt lärande enligt artikel 7.1 i detta beslut utföras av offentliga organ eller privata organ som har ett uppdrag i allmänhetens tjänst och som styrs av lagen i landet i fråga.</w:t>
      </w:r>
    </w:p>
    <w:p w:rsidR="00893675" w:rsidRPr="00394CEC" w:rsidRDefault="00893675" w:rsidP="00E33CB1">
      <w:pPr>
        <w:ind w:left="567"/>
      </w:pPr>
    </w:p>
    <w:p w:rsidR="00893675" w:rsidRPr="00394CEC" w:rsidRDefault="00893675" w:rsidP="00E33CB1">
      <w:pPr>
        <w:ind w:left="567"/>
      </w:pPr>
      <w:r w:rsidRPr="00394CEC">
        <w:t>I enlighet med proportionalitetsprincipen skall kraven på certifiering och rapportering hållas på en lämplig nödvändig miniminivå.</w:t>
      </w:r>
    </w:p>
    <w:p w:rsidR="00893675" w:rsidRPr="00394CEC" w:rsidRDefault="00893675" w:rsidP="00893675"/>
    <w:p w:rsidR="00893675" w:rsidRPr="00394CEC" w:rsidRDefault="00893675" w:rsidP="00893675">
      <w:pPr>
        <w:rPr>
          <w:b/>
        </w:rPr>
      </w:pPr>
      <w:r w:rsidRPr="00394CEC">
        <w:rPr>
          <w:b/>
        </w:rPr>
        <w:t>10.</w:t>
      </w:r>
      <w:r w:rsidRPr="00394CEC">
        <w:rPr>
          <w:b/>
        </w:rPr>
        <w:tab/>
        <w:t>Tekniskt stöd</w:t>
      </w:r>
    </w:p>
    <w:p w:rsidR="00893675" w:rsidRPr="00394CEC" w:rsidRDefault="00893675" w:rsidP="00893675"/>
    <w:p w:rsidR="00893675" w:rsidRPr="00394CEC" w:rsidRDefault="00893675" w:rsidP="00E33CB1">
      <w:pPr>
        <w:ind w:left="567"/>
      </w:pPr>
      <w:r w:rsidRPr="00394CEC">
        <w:t>Anslaget till programmet för livslångt lärande får även täcka utgifter i samband med förberedelser, övervakning, kontroller, revision och utvärdering som är direkt nödvändiga för genomförandet av programmet och för att uppnå dess mål. Dessa kan i synnerhet inbegripa studier, möten, informationskampanjer, publikationer, utgifter för datanätverk för informationsutbyte samt alla andra utgifter för sådant tekniskt och administrativt stöd som kommissionen kan behöva anlita för programmets genomförande.</w:t>
      </w:r>
    </w:p>
    <w:p w:rsidR="00893675" w:rsidRPr="00394CEC" w:rsidRDefault="00893675" w:rsidP="00893675">
      <w:pPr>
        <w:rPr>
          <w:b/>
        </w:rPr>
      </w:pPr>
    </w:p>
    <w:p w:rsidR="00893675" w:rsidRPr="00394CEC" w:rsidRDefault="00893675" w:rsidP="00893675">
      <w:pPr>
        <w:rPr>
          <w:b/>
        </w:rPr>
      </w:pPr>
      <w:r w:rsidRPr="00394CEC">
        <w:rPr>
          <w:b/>
        </w:rPr>
        <w:br w:type="page"/>
        <w:t>11.</w:t>
      </w:r>
      <w:r w:rsidRPr="00394CEC">
        <w:rPr>
          <w:b/>
        </w:rPr>
        <w:tab/>
        <w:t>Bestämmelser om bedrägeribekämpning</w:t>
      </w:r>
    </w:p>
    <w:p w:rsidR="00893675" w:rsidRPr="00394CEC" w:rsidRDefault="00893675" w:rsidP="00893675"/>
    <w:p w:rsidR="00893675" w:rsidRPr="00394CEC" w:rsidRDefault="00893675" w:rsidP="00E33CB1">
      <w:pPr>
        <w:ind w:left="567"/>
      </w:pPr>
      <w:r w:rsidRPr="00394CEC">
        <w:t>I kommissionens beslut enligt artikel 9, skall det i avtal och överenskommelser som grundas på dem samt avtal med deltagande tredjeländer särskilt föreskrivas övervakning och finansiell kontroll som genomförs av kommissionen (eller den företrädare som den ger sitt bemyndigande), och av Europeiska byrån för bedrägeribekämpning (OLAF), samt revision utförd av revisionsrätten, om nödvändigt på plats. Sådana kontroller får utföras tillsammans med de nationella programkontoren samt vid behov med bidragsmottagarna.</w:t>
      </w:r>
    </w:p>
    <w:p w:rsidR="00893675" w:rsidRPr="00394CEC" w:rsidRDefault="00893675" w:rsidP="00E33CB1">
      <w:pPr>
        <w:ind w:left="567"/>
      </w:pPr>
    </w:p>
    <w:p w:rsidR="00893675" w:rsidRPr="00394CEC" w:rsidRDefault="00893675" w:rsidP="00E33CB1">
      <w:pPr>
        <w:ind w:left="567"/>
        <w:rPr>
          <w:color w:val="000000"/>
        </w:rPr>
      </w:pPr>
      <w:r w:rsidRPr="00394CEC">
        <w:t xml:space="preserve">Mottagarna av driftsbidrag skall under fem år efter den sista utbetalningen ge kommissionen tillgång till alla </w:t>
      </w:r>
      <w:r w:rsidRPr="00394CEC">
        <w:rPr>
          <w:color w:val="000000"/>
        </w:rPr>
        <w:t>verifikationer</w:t>
      </w:r>
      <w:r w:rsidRPr="00394CEC">
        <w:t xml:space="preserve">, inbegripet den granskade årsredovisningen, beträffande utgifter som uppkommit under det år bidraget betalats. </w:t>
      </w:r>
      <w:r w:rsidRPr="00394CEC">
        <w:rPr>
          <w:color w:val="000000"/>
        </w:rPr>
        <w:t>Bidragsmottagaren skall vid behov se till att de verifikationer som finns hos samarbetspartner eller medlemmar ställs till kommissionens förfogande.</w:t>
      </w:r>
    </w:p>
    <w:p w:rsidR="00893675" w:rsidRPr="00394CEC" w:rsidRDefault="00893675" w:rsidP="00E33CB1">
      <w:pPr>
        <w:ind w:left="567"/>
      </w:pPr>
    </w:p>
    <w:p w:rsidR="00893675" w:rsidRPr="00394CEC" w:rsidRDefault="00893675" w:rsidP="00E33CB1">
      <w:pPr>
        <w:ind w:left="567"/>
        <w:rPr>
          <w:color w:val="000000"/>
        </w:rPr>
      </w:pPr>
      <w:r w:rsidRPr="00394CEC">
        <w:rPr>
          <w:color w:val="000000"/>
        </w:rPr>
        <w:t>Kommissionen får via sina egna anställda eller någon annan behörig organisation den utsett utföra en granskning av hur bidraget använts. Granskningen får utföras under hela avtalets löptid samt under fem år efter dagen för utbetalning av den sista bidragsdelen. I förekommande fall kan granskningen leda till att kommissionen beslutar om att kräva tillbaka medel.</w:t>
      </w:r>
    </w:p>
    <w:p w:rsidR="00893675" w:rsidRPr="00394CEC" w:rsidRDefault="00893675" w:rsidP="00E33CB1">
      <w:pPr>
        <w:ind w:left="567"/>
      </w:pPr>
    </w:p>
    <w:p w:rsidR="00893675" w:rsidRPr="00394CEC" w:rsidRDefault="00893675" w:rsidP="00E33CB1">
      <w:pPr>
        <w:ind w:left="567"/>
      </w:pPr>
      <w:r w:rsidRPr="00394CEC">
        <w:t>Kommissionens personal och extern personal med fullmakt från kommissionen skall ges lämpligt tillträde till mottagarens kontorslokaler och till alla uppgifter, även i elektronisk form, som behövs för att utföra granskningen korrekt.</w:t>
      </w:r>
    </w:p>
    <w:p w:rsidR="00893675" w:rsidRPr="00394CEC" w:rsidRDefault="00893675" w:rsidP="00893675"/>
    <w:p w:rsidR="00893675" w:rsidRPr="00394CEC" w:rsidRDefault="00893675" w:rsidP="00E33CB1">
      <w:pPr>
        <w:ind w:left="567"/>
        <w:rPr>
          <w:color w:val="000000"/>
        </w:rPr>
      </w:pPr>
      <w:r w:rsidRPr="00394CEC">
        <w:rPr>
          <w:color w:val="000000"/>
        </w:rPr>
        <w:t>Revisionsrätten och Europeiska byrån för bedrägeribekämpning (OLAF) skall ha samma rättigheter som kommissionen, särskilt när det gäller tillträde.</w:t>
      </w:r>
    </w:p>
    <w:p w:rsidR="00893675" w:rsidRPr="00394CEC" w:rsidRDefault="00893675" w:rsidP="00893675"/>
    <w:p w:rsidR="00893675" w:rsidRPr="00394CEC" w:rsidRDefault="00893675" w:rsidP="00E33CB1">
      <w:pPr>
        <w:ind w:left="567"/>
      </w:pPr>
      <w:r w:rsidRPr="00394CEC">
        <w:rPr>
          <w:color w:val="000000"/>
        </w:rPr>
        <w:br w:type="page"/>
        <w:t>Dessutom får kommissionen utföra kontroller och inspektioner på plats avseende detta program enligt rådets förordning (Euratom, EG) nr 2185/96</w:t>
      </w:r>
      <w:r w:rsidRPr="00394CEC">
        <w:t>.</w:t>
      </w:r>
    </w:p>
    <w:p w:rsidR="00893675" w:rsidRPr="00394CEC" w:rsidRDefault="00893675" w:rsidP="00E33CB1">
      <w:pPr>
        <w:ind w:left="567"/>
      </w:pPr>
    </w:p>
    <w:p w:rsidR="00893675" w:rsidRPr="00394CEC" w:rsidRDefault="00893675" w:rsidP="00E33CB1">
      <w:pPr>
        <w:ind w:left="567"/>
      </w:pPr>
      <w:r w:rsidRPr="00394CEC">
        <w:t xml:space="preserve">För gemenskapsinsatser som finansieras enligt detta beslut skall begreppet "oegentlighet" som avses i artikel 1.2 i förordning (EG, Euratom) nr 2988/95 innebära </w:t>
      </w:r>
      <w:r w:rsidRPr="00394CEC">
        <w:rPr>
          <w:color w:val="000000"/>
        </w:rPr>
        <w:t>varje överträdelse av en bestämmelse i gemenskapsrätten eller åsidosättande av en avtalsenlig förpliktelse som är följden av ett rättssubjekts handling eller underlåtenhet och som har lett till eller skulle kunna leda till skada för gemenskapernas allmänna budget eller budgetar som de förvaltar, genom en otillbörlig utgift</w:t>
      </w:r>
      <w:r w:rsidRPr="00394CEC">
        <w:t>.</w:t>
      </w:r>
    </w:p>
    <w:p w:rsidR="00893675" w:rsidRPr="00394CEC" w:rsidRDefault="00893675" w:rsidP="00893675"/>
    <w:p w:rsidR="00E33CB1" w:rsidRPr="00394CEC" w:rsidRDefault="00E33CB1" w:rsidP="00893675"/>
    <w:p w:rsidR="00AA538E" w:rsidRPr="00394CEC" w:rsidRDefault="00AA538E" w:rsidP="00AA538E">
      <w:pPr>
        <w:jc w:val="center"/>
        <w:rPr>
          <w:snapToGrid w:val="0"/>
        </w:rPr>
      </w:pPr>
      <w:r w:rsidRPr="00394CEC">
        <w:rPr>
          <w:snapToGrid w:val="0"/>
        </w:rPr>
        <w:t>o</w:t>
      </w:r>
      <w:r w:rsidRPr="00394CEC">
        <w:rPr>
          <w:snapToGrid w:val="0"/>
        </w:rPr>
        <w:tab/>
        <w:t>o</w:t>
      </w:r>
    </w:p>
    <w:p w:rsidR="00E33CB1" w:rsidRPr="00394CEC" w:rsidRDefault="00E33CB1">
      <w:pPr>
        <w:jc w:val="center"/>
        <w:rPr>
          <w:snapToGrid w:val="0"/>
        </w:rPr>
      </w:pPr>
      <w:r w:rsidRPr="00394CEC">
        <w:rPr>
          <w:snapToGrid w:val="0"/>
        </w:rPr>
        <w:t>o</w:t>
      </w:r>
    </w:p>
    <w:p w:rsidR="00893675" w:rsidRPr="00394CEC" w:rsidRDefault="00893675" w:rsidP="00893675"/>
    <w:p w:rsidR="00E33CB1" w:rsidRPr="00394CEC" w:rsidRDefault="00E33CB1" w:rsidP="00893675">
      <w:pPr>
        <w:rPr>
          <w:u w:val="single"/>
        </w:rPr>
      </w:pPr>
    </w:p>
    <w:p w:rsidR="00E33CB1" w:rsidRPr="00394CEC" w:rsidRDefault="00E33CB1">
      <w:pPr>
        <w:jc w:val="center"/>
      </w:pPr>
      <w:r w:rsidRPr="00394CEC">
        <w:t>___________</w:t>
      </w:r>
    </w:p>
    <w:p w:rsidR="00E33CB1" w:rsidRPr="00394CEC" w:rsidRDefault="00E33CB1" w:rsidP="00893675">
      <w:pPr>
        <w:rPr>
          <w:u w:val="single"/>
        </w:rPr>
      </w:pPr>
    </w:p>
    <w:p w:rsidR="00E33CB1" w:rsidRPr="00394CEC" w:rsidRDefault="00E33CB1" w:rsidP="00E33CB1">
      <w:pPr>
        <w:jc w:val="right"/>
        <w:rPr>
          <w:u w:val="single"/>
        </w:rPr>
        <w:sectPr w:rsidR="00E33CB1" w:rsidRPr="00394CEC">
          <w:footerReference w:type="default" r:id="rId10"/>
          <w:endnotePr>
            <w:numFmt w:val="decimal"/>
          </w:endnotePr>
          <w:pgSz w:w="11907" w:h="16840" w:code="9"/>
          <w:pgMar w:top="1134" w:right="1134" w:bottom="1134" w:left="1134" w:header="567" w:footer="567" w:gutter="0"/>
          <w:cols w:space="720"/>
        </w:sectPr>
      </w:pPr>
    </w:p>
    <w:p w:rsidR="00893675" w:rsidRPr="00394CEC" w:rsidRDefault="00893675" w:rsidP="00E33CB1">
      <w:pPr>
        <w:jc w:val="right"/>
      </w:pPr>
      <w:r w:rsidRPr="00394CEC">
        <w:rPr>
          <w:u w:val="single"/>
        </w:rPr>
        <w:t>BILAGA II</w:t>
      </w:r>
    </w:p>
    <w:p w:rsidR="00893675" w:rsidRPr="00394CEC" w:rsidRDefault="00893675" w:rsidP="00893675"/>
    <w:p w:rsidR="00893675" w:rsidRPr="00394CEC" w:rsidRDefault="00893675" w:rsidP="00E33CB1">
      <w:pPr>
        <w:jc w:val="center"/>
        <w:rPr>
          <w:b/>
        </w:rPr>
      </w:pPr>
      <w:r w:rsidRPr="00394CEC">
        <w:rPr>
          <w:b/>
          <w:u w:val="single"/>
        </w:rPr>
        <w:t>Uttalande från rådet</w:t>
      </w:r>
    </w:p>
    <w:p w:rsidR="00893675" w:rsidRPr="00394CEC" w:rsidRDefault="00893675" w:rsidP="00893675"/>
    <w:p w:rsidR="00893675" w:rsidRPr="00394CEC" w:rsidRDefault="00893675" w:rsidP="00893675">
      <w:r w:rsidRPr="00394CEC">
        <w:t>"Rådet har nått en partiell politisk överenskommelse om alla skälen med undantag av skäl 20 och om artiklarna 1</w:t>
      </w:r>
      <w:r w:rsidRPr="00394CEC">
        <w:sym w:font="Symbol" w:char="F02D"/>
      </w:r>
      <w:r w:rsidRPr="00394CEC">
        <w:t>14, 16, 17, 19, 21, 22, 24, 26, 27, 29, 31, 32, 34, 36</w:t>
      </w:r>
      <w:r w:rsidRPr="00394CEC">
        <w:sym w:font="Symbol" w:char="F02D"/>
      </w:r>
      <w:r w:rsidRPr="00394CEC">
        <w:t>42 och 44</w:t>
      </w:r>
      <w:r w:rsidRPr="00394CEC">
        <w:sym w:font="Symbol" w:char="F02D"/>
      </w:r>
      <w:r w:rsidRPr="00394CEC">
        <w:t>46, samt om de bestämmelser i artiklarna 18, 23, 28 och 33 som inte står inom hakparenteser. Rådet förklarar att denna överenskommelse är partiell och preliminär eftersom den</w:t>
      </w:r>
    </w:p>
    <w:p w:rsidR="00893675" w:rsidRPr="00394CEC" w:rsidRDefault="00893675" w:rsidP="00893675"/>
    <w:p w:rsidR="00893675" w:rsidRPr="00394CEC" w:rsidRDefault="00893675" w:rsidP="00711EFE">
      <w:pPr>
        <w:ind w:left="567" w:hanging="567"/>
      </w:pPr>
      <w:r w:rsidRPr="00394CEC">
        <w:t>–</w:t>
      </w:r>
      <w:r w:rsidRPr="00394CEC">
        <w:tab/>
        <w:t>inte omfattar skäl 20 eller bestämmelserna i kommissionsförslagen om finansieringsramen för programmet enligt artiklarna 15, 20, 25, 30, 35 och 43 i kommissionsförslagen,</w:t>
      </w:r>
    </w:p>
    <w:p w:rsidR="00893675" w:rsidRPr="00394CEC" w:rsidRDefault="00893675" w:rsidP="00893675"/>
    <w:p w:rsidR="00893675" w:rsidRPr="00394CEC" w:rsidRDefault="00893675" w:rsidP="00711EFE">
      <w:pPr>
        <w:ind w:left="567" w:hanging="567"/>
      </w:pPr>
      <w:r w:rsidRPr="00394CEC">
        <w:t>–</w:t>
      </w:r>
      <w:r w:rsidRPr="00394CEC">
        <w:tab/>
        <w:t>inte omfattar de bestämmelser i artiklarna 18, 23, 28 och 33 som står inom hakparentes och vars innehåll flyttats till fotnoterna och som måste fastställas mot bakgrund av det finansiella belopp som kommer att finnas tillgängligt för det programmet.</w:t>
      </w:r>
    </w:p>
    <w:p w:rsidR="00893675" w:rsidRPr="00394CEC" w:rsidRDefault="00893675" w:rsidP="00893675"/>
    <w:p w:rsidR="00893675" w:rsidRPr="00394CEC" w:rsidRDefault="00893675" w:rsidP="00893675">
      <w:r w:rsidRPr="00394CEC">
        <w:t>De bestämmelser som inte är föremål för denna partiella politiska överenskommelse skall fastställas så snart budgetplanen för 2007</w:t>
      </w:r>
      <w:r w:rsidRPr="00394CEC">
        <w:sym w:font="Symbol" w:char="F02D"/>
      </w:r>
      <w:r w:rsidRPr="00394CEC">
        <w:t>2013 har antagits och skall överensstämma med planen. Om beloppen i budgetplanen nödvändiggör en ändring av andra bestämmelser i programmet än de som anges ovan skall rådet se över sin politiska överenskommelse om dessa bestämmelser och anpassa dem enligt behov."</w:t>
      </w:r>
    </w:p>
    <w:p w:rsidR="00893675" w:rsidRPr="00394CEC" w:rsidRDefault="00893675" w:rsidP="00893675"/>
    <w:p w:rsidR="00E33CB1" w:rsidRPr="00394CEC" w:rsidRDefault="00E33CB1" w:rsidP="00893675"/>
    <w:p w:rsidR="00E33CB1" w:rsidRPr="00394CEC" w:rsidRDefault="00E33CB1">
      <w:pPr>
        <w:jc w:val="center"/>
      </w:pPr>
      <w:r w:rsidRPr="00394CEC">
        <w:t>___________</w:t>
      </w:r>
    </w:p>
    <w:p w:rsidR="00E33CB1" w:rsidRPr="00394CEC" w:rsidRDefault="00E33CB1" w:rsidP="00893675"/>
    <w:p w:rsidR="00893675" w:rsidRPr="00394CEC" w:rsidRDefault="00893675" w:rsidP="00893675"/>
    <w:p w:rsidR="00E33CB1" w:rsidRPr="00394CEC" w:rsidRDefault="00E33CB1" w:rsidP="00E33CB1">
      <w:pPr>
        <w:jc w:val="right"/>
        <w:rPr>
          <w:u w:val="single"/>
        </w:rPr>
        <w:sectPr w:rsidR="00E33CB1" w:rsidRPr="00394CEC">
          <w:footerReference w:type="default" r:id="rId11"/>
          <w:endnotePr>
            <w:numFmt w:val="decimal"/>
          </w:endnotePr>
          <w:pgSz w:w="11907" w:h="16840" w:code="9"/>
          <w:pgMar w:top="1134" w:right="1134" w:bottom="1134" w:left="1134" w:header="567" w:footer="567" w:gutter="0"/>
          <w:cols w:space="720"/>
        </w:sectPr>
      </w:pPr>
    </w:p>
    <w:p w:rsidR="00893675" w:rsidRPr="00394CEC" w:rsidRDefault="00893675" w:rsidP="00E33CB1">
      <w:pPr>
        <w:jc w:val="right"/>
        <w:rPr>
          <w:u w:val="single"/>
        </w:rPr>
      </w:pPr>
      <w:r w:rsidRPr="00394CEC">
        <w:rPr>
          <w:u w:val="single"/>
        </w:rPr>
        <w:t>BILAGA III</w:t>
      </w:r>
    </w:p>
    <w:p w:rsidR="00893675" w:rsidRPr="00394CEC" w:rsidRDefault="00893675" w:rsidP="00893675"/>
    <w:p w:rsidR="00893675" w:rsidRPr="00394CEC" w:rsidRDefault="00893675" w:rsidP="00E33CB1">
      <w:pPr>
        <w:jc w:val="center"/>
        <w:rPr>
          <w:b/>
          <w:u w:val="single"/>
        </w:rPr>
      </w:pPr>
      <w:r w:rsidRPr="00394CEC">
        <w:rPr>
          <w:b/>
          <w:u w:val="single"/>
        </w:rPr>
        <w:t>Uttalande från den luxemburgska delegationen</w:t>
      </w:r>
    </w:p>
    <w:p w:rsidR="00893675" w:rsidRPr="00394CEC" w:rsidRDefault="00893675" w:rsidP="00893675"/>
    <w:p w:rsidR="00893675" w:rsidRPr="00394CEC" w:rsidRDefault="00893675" w:rsidP="00893675">
      <w:r w:rsidRPr="00394CEC">
        <w:t>Den luxemburgska delegationen beklagar beslutet om att förslaget fortfarande skall innehålla bestämmelsen i artikel 6.2 b i om att ett ministerium inte får utses till nationellt programkontor. I</w:t>
      </w:r>
      <w:r w:rsidR="00711EFE" w:rsidRPr="00394CEC">
        <w:t> </w:t>
      </w:r>
      <w:r w:rsidRPr="00394CEC">
        <w:t>Luxemburg har Sokrateskontoret fungerat tillfredsställande på det sättet under flera år. Som en del av utbildningsministeriet har det upprätthållit nära förbindelser med målpopulationen av skolor och lärare och dragit stor fördel av det logistiska stöd som ministeriet kan ge, vilket har lett till rationaliserad drift och sänkta kostnader.</w:t>
      </w:r>
    </w:p>
    <w:p w:rsidR="00893675" w:rsidRPr="00394CEC" w:rsidRDefault="00893675" w:rsidP="00893675"/>
    <w:p w:rsidR="00893675" w:rsidRPr="00394CEC" w:rsidRDefault="00893675" w:rsidP="00893675">
      <w:r w:rsidRPr="00394CEC">
        <w:t>Delegationen vill tillägga att detta beslut vållar särskilda problem för de mindre medlemsstaterna, och anser att det är viktigare att göra det möjligt för ett kontor att fungera smidigt än att hålla fast vid en principfråga.</w:t>
      </w:r>
    </w:p>
    <w:p w:rsidR="00E33CB1" w:rsidRPr="00394CEC" w:rsidRDefault="00E33CB1" w:rsidP="00893675">
      <w:pPr>
        <w:rPr>
          <w:u w:val="single"/>
        </w:rPr>
      </w:pPr>
    </w:p>
    <w:p w:rsidR="00E33CB1" w:rsidRPr="00394CEC" w:rsidRDefault="00E33CB1" w:rsidP="00893675">
      <w:pPr>
        <w:rPr>
          <w:u w:val="single"/>
        </w:rPr>
      </w:pPr>
    </w:p>
    <w:p w:rsidR="00E33CB1" w:rsidRPr="00394CEC" w:rsidRDefault="00E33CB1">
      <w:pPr>
        <w:jc w:val="center"/>
      </w:pPr>
      <w:r w:rsidRPr="00394CEC">
        <w:t>___________</w:t>
      </w:r>
    </w:p>
    <w:p w:rsidR="00E33CB1" w:rsidRPr="00394CEC" w:rsidRDefault="00E33CB1" w:rsidP="00893675">
      <w:pPr>
        <w:rPr>
          <w:u w:val="single"/>
        </w:rPr>
      </w:pPr>
    </w:p>
    <w:p w:rsidR="00E33CB1" w:rsidRPr="00394CEC" w:rsidRDefault="00E33CB1" w:rsidP="00E33CB1">
      <w:pPr>
        <w:jc w:val="right"/>
        <w:rPr>
          <w:u w:val="single"/>
        </w:rPr>
        <w:sectPr w:rsidR="00E33CB1" w:rsidRPr="00394CEC">
          <w:footerReference w:type="default" r:id="rId12"/>
          <w:endnotePr>
            <w:numFmt w:val="decimal"/>
          </w:endnotePr>
          <w:pgSz w:w="11907" w:h="16840" w:code="9"/>
          <w:pgMar w:top="1134" w:right="1134" w:bottom="1134" w:left="1134" w:header="567" w:footer="567" w:gutter="0"/>
          <w:cols w:space="720"/>
        </w:sectPr>
      </w:pPr>
    </w:p>
    <w:p w:rsidR="00893675" w:rsidRPr="00394CEC" w:rsidRDefault="00893675" w:rsidP="00E33CB1">
      <w:pPr>
        <w:jc w:val="right"/>
        <w:rPr>
          <w:u w:val="single"/>
        </w:rPr>
      </w:pPr>
      <w:r w:rsidRPr="00394CEC">
        <w:rPr>
          <w:u w:val="single"/>
        </w:rPr>
        <w:t>BILAGA IV</w:t>
      </w:r>
    </w:p>
    <w:p w:rsidR="00893675" w:rsidRPr="00394CEC" w:rsidRDefault="00893675" w:rsidP="00893675"/>
    <w:p w:rsidR="00893675" w:rsidRPr="00394CEC" w:rsidRDefault="00893675" w:rsidP="00E33CB1">
      <w:pPr>
        <w:jc w:val="center"/>
        <w:rPr>
          <w:b/>
          <w:u w:val="single"/>
        </w:rPr>
      </w:pPr>
      <w:r w:rsidRPr="00394CEC">
        <w:rPr>
          <w:b/>
          <w:u w:val="single"/>
        </w:rPr>
        <w:t>Uttalande från kommissionen om artikel 9</w:t>
      </w:r>
    </w:p>
    <w:p w:rsidR="00893675" w:rsidRPr="00394CEC" w:rsidRDefault="00893675" w:rsidP="00893675"/>
    <w:p w:rsidR="00893675" w:rsidRPr="00394CEC" w:rsidRDefault="00893675" w:rsidP="00893675">
      <w:r w:rsidRPr="00394CEC">
        <w:t>Kommissionen noterar att rådet i beslutet om programmet för livslångt lärande, utöver det kommittéförfarande som anges för själva urvalsförfarandet i kommissionens ursprungliga förslag, vill införa ett kommittéförfarande för enskilda beslut som rör urvalet av centraliserade projekt. Kommissionen påpekar att detta skulle förlänga den tid som sökande måste vänta på ett beslut med två till tre månader jämfört med det ursprungliga förslaget. Detta strider mot principen om förenkling och användarvänlighet som kommissionen, rådet och Europaparlamentet anslöt sig till i början av lagstiftningsprocessen. Kommissionen noterar också att Europaparlamentet i sitt yttrande vid första behandlingen inte var positivt inställt till att låta de enskilda urvalsbesluten omfattas av ett kommittéförfarande.</w:t>
      </w:r>
    </w:p>
    <w:p w:rsidR="00893675" w:rsidRPr="00394CEC" w:rsidRDefault="00893675" w:rsidP="00893675"/>
    <w:p w:rsidR="00893675" w:rsidRPr="00394CEC" w:rsidRDefault="00893675" w:rsidP="00893675">
      <w:r w:rsidRPr="00394CEC">
        <w:t>Kommissionen inser dock att samtliga medlemsstater stöder införandet av ett kommittéförfarande för åtminstone vissa beslut som rör urvalet av centraliserade projekt och har därför dragit tillbaka sin reservation på denna punkt.</w:t>
      </w:r>
    </w:p>
    <w:p w:rsidR="00893675" w:rsidRPr="00394CEC" w:rsidRDefault="00893675" w:rsidP="00893675"/>
    <w:p w:rsidR="00893675" w:rsidRPr="00394CEC" w:rsidRDefault="00893675" w:rsidP="00893675">
      <w:r w:rsidRPr="00394CEC">
        <w:t>Kommissionen förbehåller sig rätten att komma tillbaka till denna fråga vid den andra behandlingen, på grundval av Europaparlamentets ändringar och den eventuella utvecklingen av de diskussioner om översynen av beslutet om kommittéförfaranden som pågår samtidigt.</w:t>
      </w:r>
    </w:p>
    <w:p w:rsidR="00893675" w:rsidRPr="00394CEC" w:rsidRDefault="00893675" w:rsidP="00893675"/>
    <w:p w:rsidR="00893675" w:rsidRPr="00394CEC" w:rsidRDefault="00893675" w:rsidP="00893675">
      <w:r w:rsidRPr="00394CEC">
        <w:t>I samband med genomförandet av programmet för livslångt lärande åtar sig kommissionen att utan dröjsmål underrätta programkommittén och Europaparlamentet om alla beslut om urvalet av centraliserade projekt som fattats utan användning av kommittéförfarandet.</w:t>
      </w:r>
    </w:p>
    <w:p w:rsidR="00893675" w:rsidRPr="00394CEC" w:rsidRDefault="00893675" w:rsidP="00893675"/>
    <w:p w:rsidR="00893675" w:rsidRPr="00394CEC" w:rsidRDefault="00893675" w:rsidP="00893675">
      <w:r w:rsidRPr="00394CEC">
        <w:t>Kommissionen åtar sig vidare att fortsätta att undersöka hur tidsplanen för urvalet skall kunna förkortas genom ökad administrativ effektivitet, särskilt genom användning av det nya genomförandeorganet för programmet. Den noterar dock att dessa tidsvinster är betydligt mindre än de två till tre månader som gäller om ett kommittéförfarande används för enskilda urvalsbeslut.</w:t>
      </w:r>
    </w:p>
    <w:p w:rsidR="004D77A5" w:rsidRPr="00394CEC" w:rsidRDefault="004D77A5"/>
    <w:p w:rsidR="004D77A5" w:rsidRPr="00394CEC" w:rsidRDefault="004D77A5" w:rsidP="00762866"/>
    <w:p w:rsidR="00893675" w:rsidRPr="00394CEC" w:rsidRDefault="00893675">
      <w:pPr>
        <w:jc w:val="center"/>
      </w:pPr>
      <w:r w:rsidRPr="00394CEC">
        <w:t>________________________</w:t>
      </w:r>
    </w:p>
    <w:p w:rsidR="00893675" w:rsidRPr="00394CEC" w:rsidRDefault="00893675" w:rsidP="00762866"/>
    <w:sectPr w:rsidR="00893675" w:rsidRPr="00394CEC">
      <w:footerReference w:type="default" r:id="rId13"/>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F8A" w:rsidRPr="00394CEC" w:rsidRDefault="00C42F8A">
      <w:r w:rsidRPr="00394CEC">
        <w:separator/>
      </w:r>
    </w:p>
  </w:endnote>
  <w:endnote w:type="continuationSeparator" w:id="0">
    <w:p w:rsidR="00C42F8A" w:rsidRPr="00394CEC" w:rsidRDefault="00C42F8A">
      <w:r w:rsidRPr="00394CEC">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675" w:rsidRPr="00394CEC" w:rsidRDefault="00893675">
    <w:pPr>
      <w:pStyle w:val="Sidfot"/>
      <w:pBdr>
        <w:bottom w:val="single" w:sz="4" w:space="1" w:color="auto"/>
      </w:pBdr>
      <w:spacing w:after="60"/>
    </w:pPr>
  </w:p>
  <w:p w:rsidR="00893675" w:rsidRPr="00394CEC" w:rsidRDefault="00893675">
    <w:pPr>
      <w:pStyle w:val="Sidfot"/>
    </w:pPr>
    <w:bookmarkStart w:id="18" w:name="CoteFooter"/>
    <w:bookmarkEnd w:id="18"/>
    <w:r w:rsidRPr="00394CEC">
      <w:t>14690/05</w:t>
    </w:r>
    <w:r w:rsidRPr="00394CEC">
      <w:tab/>
    </w:r>
    <w:bookmarkStart w:id="19" w:name="SuplCote"/>
    <w:bookmarkEnd w:id="19"/>
    <w:r w:rsidRPr="00394CEC">
      <w:tab/>
    </w:r>
    <w:bookmarkStart w:id="20" w:name="Init"/>
    <w:bookmarkEnd w:id="20"/>
    <w:r w:rsidRPr="00394CEC">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C942E1" w:rsidRPr="00394CEC">
      <w:rPr>
        <w:rStyle w:val="Sidnummer"/>
      </w:rPr>
      <w:t>1</w:t>
    </w:r>
    <w:r w:rsidRPr="00394CEC">
      <w:rPr>
        <w:rStyle w:val="Sidnummer"/>
      </w:rPr>
      <w:fldChar w:fldCharType="end"/>
    </w:r>
  </w:p>
  <w:p w:rsidR="00893675" w:rsidRPr="00394CEC" w:rsidRDefault="00893675">
    <w:pPr>
      <w:pStyle w:val="Sidfot"/>
      <w:tabs>
        <w:tab w:val="clear" w:pos="7371"/>
      </w:tabs>
      <w:spacing w:line="280" w:lineRule="exact"/>
    </w:pPr>
    <w:r w:rsidRPr="00394CEC">
      <w:tab/>
    </w:r>
    <w:bookmarkStart w:id="21" w:name="DG"/>
    <w:bookmarkEnd w:id="21"/>
    <w:r w:rsidRPr="00394CEC">
      <w:t>DG I</w:t>
    </w:r>
    <w:r w:rsidRPr="00394CEC">
      <w:tab/>
    </w:r>
    <w:bookmarkStart w:id="22" w:name="FooterCoteSec"/>
    <w:r w:rsidRPr="00394CEC">
      <w:rPr>
        <w:b/>
        <w:position w:val="-4"/>
        <w:sz w:val="36"/>
      </w:rPr>
      <w:t xml:space="preserve"> </w:t>
    </w:r>
    <w:bookmarkEnd w:id="22"/>
    <w:r w:rsidRPr="00394CEC">
      <w:rPr>
        <w:b/>
        <w:position w:val="-4"/>
        <w:sz w:val="36"/>
      </w:rPr>
      <w:t> </w:t>
    </w:r>
    <w:r w:rsidRPr="00394CEC">
      <w:rPr>
        <w:b/>
        <w:position w:val="-4"/>
        <w:sz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B1" w:rsidRPr="00394CEC" w:rsidRDefault="00E33CB1">
    <w:pPr>
      <w:pStyle w:val="Sidfot"/>
      <w:pBdr>
        <w:bottom w:val="single" w:sz="4" w:space="1" w:color="auto"/>
      </w:pBdr>
      <w:spacing w:after="60"/>
    </w:pPr>
  </w:p>
  <w:p w:rsidR="00E33CB1" w:rsidRPr="00394CEC" w:rsidRDefault="00E33CB1">
    <w:pPr>
      <w:pStyle w:val="Sidfot"/>
    </w:pPr>
    <w:r w:rsidRPr="00394CEC">
      <w:t>14690/05</w:t>
    </w:r>
    <w:r w:rsidRPr="00394CEC">
      <w:tab/>
    </w:r>
    <w:r w:rsidRPr="00394CEC">
      <w:tab/>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C942E1" w:rsidRPr="00394CEC">
      <w:rPr>
        <w:rStyle w:val="Sidnummer"/>
      </w:rPr>
      <w:t>47</w:t>
    </w:r>
    <w:r w:rsidRPr="00394CEC">
      <w:rPr>
        <w:rStyle w:val="Sidnummer"/>
      </w:rPr>
      <w:fldChar w:fldCharType="end"/>
    </w:r>
  </w:p>
  <w:p w:rsidR="00E33CB1" w:rsidRPr="00394CEC" w:rsidRDefault="00E33CB1">
    <w:pPr>
      <w:pStyle w:val="Sidfot"/>
      <w:tabs>
        <w:tab w:val="clear" w:pos="7371"/>
      </w:tabs>
      <w:spacing w:line="280" w:lineRule="exact"/>
    </w:pPr>
    <w:r w:rsidRPr="00394CEC">
      <w:t>BILAGA I</w:t>
    </w:r>
    <w:r w:rsidRPr="00394CEC">
      <w:tab/>
      <w:t>DG I</w:t>
    </w:r>
    <w:r w:rsidRPr="00394CEC">
      <w:tab/>
    </w:r>
    <w:r w:rsidRPr="00394CEC">
      <w:rPr>
        <w:b/>
        <w:position w:val="-4"/>
        <w:sz w:val="36"/>
      </w:rPr>
      <w:t xml:space="preserve"> </w:t>
    </w:r>
    <w:r w:rsidRPr="00394CEC">
      <w:rPr>
        <w:b/>
        <w:position w:val="-4"/>
        <w:sz w:val="36"/>
      </w:rPr>
      <w:t> </w:t>
    </w:r>
    <w:r w:rsidRPr="00394CEC">
      <w:rPr>
        <w:b/>
        <w:position w:val="-4"/>
        <w:sz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B1" w:rsidRPr="00394CEC" w:rsidRDefault="00E33CB1">
    <w:pPr>
      <w:pStyle w:val="Sidfot"/>
      <w:pBdr>
        <w:bottom w:val="single" w:sz="4" w:space="1" w:color="auto"/>
      </w:pBdr>
      <w:spacing w:after="60"/>
    </w:pPr>
  </w:p>
  <w:p w:rsidR="00E33CB1" w:rsidRPr="00394CEC" w:rsidRDefault="00E33CB1">
    <w:pPr>
      <w:pStyle w:val="Sidfot"/>
    </w:pPr>
    <w:r w:rsidRPr="00394CEC">
      <w:t>14690/05</w:t>
    </w:r>
    <w:r w:rsidRPr="00394CEC">
      <w:tab/>
    </w:r>
    <w:r w:rsidRPr="00394CEC">
      <w:tab/>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41612C" w:rsidRPr="00394CEC">
      <w:rPr>
        <w:rStyle w:val="Sidnummer"/>
      </w:rPr>
      <w:t>71</w:t>
    </w:r>
    <w:r w:rsidRPr="00394CEC">
      <w:rPr>
        <w:rStyle w:val="Sidnummer"/>
      </w:rPr>
      <w:fldChar w:fldCharType="end"/>
    </w:r>
  </w:p>
  <w:p w:rsidR="00E33CB1" w:rsidRPr="00394CEC" w:rsidRDefault="00E33CB1">
    <w:pPr>
      <w:pStyle w:val="Sidfot"/>
      <w:tabs>
        <w:tab w:val="clear" w:pos="7371"/>
      </w:tabs>
      <w:spacing w:line="280" w:lineRule="exact"/>
    </w:pPr>
    <w:r w:rsidRPr="00394CEC">
      <w:t>BILAGA TILL BILAGA I</w:t>
    </w:r>
    <w:r w:rsidRPr="00394CEC">
      <w:tab/>
      <w:t>DG I</w:t>
    </w:r>
    <w:r w:rsidRPr="00394CEC">
      <w:tab/>
    </w:r>
    <w:r w:rsidRPr="00394CEC">
      <w:rPr>
        <w:b/>
        <w:position w:val="-4"/>
        <w:sz w:val="36"/>
      </w:rPr>
      <w:t xml:space="preserve"> </w:t>
    </w:r>
    <w:r w:rsidRPr="00394CEC">
      <w:rPr>
        <w:b/>
        <w:position w:val="-4"/>
        <w:sz w:val="36"/>
      </w:rPr>
      <w:t> </w:t>
    </w:r>
    <w:r w:rsidRPr="00394CEC">
      <w:rPr>
        <w:b/>
        <w:position w:val="-4"/>
        <w:sz w:val="36"/>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B1" w:rsidRPr="00394CEC" w:rsidRDefault="00E33CB1">
    <w:pPr>
      <w:pStyle w:val="Sidfot"/>
      <w:pBdr>
        <w:bottom w:val="single" w:sz="4" w:space="1" w:color="auto"/>
      </w:pBdr>
      <w:spacing w:after="60"/>
    </w:pPr>
  </w:p>
  <w:p w:rsidR="00E33CB1" w:rsidRPr="00394CEC" w:rsidRDefault="00E33CB1">
    <w:pPr>
      <w:pStyle w:val="Sidfot"/>
    </w:pPr>
    <w:r w:rsidRPr="00394CEC">
      <w:t>14690/05</w:t>
    </w:r>
    <w:r w:rsidRPr="00394CEC">
      <w:tab/>
    </w:r>
    <w:r w:rsidRPr="00394CEC">
      <w:tab/>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41612C" w:rsidRPr="00394CEC">
      <w:rPr>
        <w:rStyle w:val="Sidnummer"/>
      </w:rPr>
      <w:t>72</w:t>
    </w:r>
    <w:r w:rsidRPr="00394CEC">
      <w:rPr>
        <w:rStyle w:val="Sidnummer"/>
      </w:rPr>
      <w:fldChar w:fldCharType="end"/>
    </w:r>
  </w:p>
  <w:p w:rsidR="00E33CB1" w:rsidRPr="00394CEC" w:rsidRDefault="00E33CB1">
    <w:pPr>
      <w:pStyle w:val="Sidfot"/>
      <w:tabs>
        <w:tab w:val="clear" w:pos="7371"/>
      </w:tabs>
      <w:spacing w:line="280" w:lineRule="exact"/>
    </w:pPr>
    <w:r w:rsidRPr="00394CEC">
      <w:t>BILAGA II</w:t>
    </w:r>
    <w:r w:rsidRPr="00394CEC">
      <w:tab/>
      <w:t>DG I</w:t>
    </w:r>
    <w:r w:rsidRPr="00394CEC">
      <w:tab/>
    </w:r>
    <w:r w:rsidRPr="00394CEC">
      <w:rPr>
        <w:b/>
        <w:position w:val="-4"/>
        <w:sz w:val="36"/>
      </w:rPr>
      <w:t xml:space="preserve"> </w:t>
    </w:r>
    <w:r w:rsidRPr="00394CEC">
      <w:rPr>
        <w:b/>
        <w:position w:val="-4"/>
        <w:sz w:val="36"/>
      </w:rPr>
      <w:t> </w:t>
    </w:r>
    <w:r w:rsidRPr="00394CEC">
      <w:rPr>
        <w:b/>
        <w:position w:val="-4"/>
        <w:sz w:val="36"/>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B1" w:rsidRPr="00394CEC" w:rsidRDefault="00E33CB1">
    <w:pPr>
      <w:pStyle w:val="Sidfot"/>
      <w:pBdr>
        <w:bottom w:val="single" w:sz="4" w:space="1" w:color="auto"/>
      </w:pBdr>
      <w:spacing w:after="60"/>
    </w:pPr>
  </w:p>
  <w:p w:rsidR="00E33CB1" w:rsidRPr="00394CEC" w:rsidRDefault="00E33CB1">
    <w:pPr>
      <w:pStyle w:val="Sidfot"/>
    </w:pPr>
    <w:r w:rsidRPr="00394CEC">
      <w:t>14690/05</w:t>
    </w:r>
    <w:r w:rsidRPr="00394CEC">
      <w:tab/>
    </w:r>
    <w:r w:rsidRPr="00394CEC">
      <w:tab/>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41612C" w:rsidRPr="00394CEC">
      <w:rPr>
        <w:rStyle w:val="Sidnummer"/>
      </w:rPr>
      <w:t>73</w:t>
    </w:r>
    <w:r w:rsidRPr="00394CEC">
      <w:rPr>
        <w:rStyle w:val="Sidnummer"/>
      </w:rPr>
      <w:fldChar w:fldCharType="end"/>
    </w:r>
  </w:p>
  <w:p w:rsidR="00E33CB1" w:rsidRPr="00394CEC" w:rsidRDefault="00E33CB1">
    <w:pPr>
      <w:pStyle w:val="Sidfot"/>
      <w:tabs>
        <w:tab w:val="clear" w:pos="7371"/>
      </w:tabs>
      <w:spacing w:line="280" w:lineRule="exact"/>
    </w:pPr>
    <w:r w:rsidRPr="00394CEC">
      <w:t>BILAGA III</w:t>
    </w:r>
    <w:r w:rsidRPr="00394CEC">
      <w:tab/>
      <w:t>DG I</w:t>
    </w:r>
    <w:r w:rsidRPr="00394CEC">
      <w:tab/>
    </w:r>
    <w:r w:rsidRPr="00394CEC">
      <w:rPr>
        <w:b/>
        <w:position w:val="-4"/>
        <w:sz w:val="36"/>
      </w:rPr>
      <w:t xml:space="preserve"> </w:t>
    </w:r>
    <w:r w:rsidRPr="00394CEC">
      <w:rPr>
        <w:b/>
        <w:position w:val="-4"/>
        <w:sz w:val="36"/>
      </w:rPr>
      <w:t> </w:t>
    </w:r>
    <w:r w:rsidRPr="00394CEC">
      <w:rPr>
        <w:b/>
        <w:position w:val="-4"/>
        <w:sz w:val="36"/>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B1" w:rsidRPr="00394CEC" w:rsidRDefault="00E33CB1">
    <w:pPr>
      <w:pStyle w:val="Sidfot"/>
      <w:pBdr>
        <w:bottom w:val="single" w:sz="4" w:space="1" w:color="auto"/>
      </w:pBdr>
      <w:spacing w:after="60"/>
    </w:pPr>
  </w:p>
  <w:p w:rsidR="00E33CB1" w:rsidRPr="00394CEC" w:rsidRDefault="00E33CB1">
    <w:pPr>
      <w:pStyle w:val="Sidfot"/>
    </w:pPr>
    <w:r w:rsidRPr="00394CEC">
      <w:t>14690/05</w:t>
    </w:r>
    <w:r w:rsidRPr="00394CEC">
      <w:tab/>
    </w:r>
    <w:r w:rsidRPr="00394CEC">
      <w:tab/>
      <w:t>ML,KGW,MBM/be</w:t>
    </w:r>
    <w:r w:rsidRPr="00394CEC">
      <w:tab/>
    </w:r>
    <w:r w:rsidRPr="00394CEC">
      <w:rPr>
        <w:rStyle w:val="Sidnummer"/>
      </w:rPr>
      <w:fldChar w:fldCharType="begin" w:fldLock="1"/>
    </w:r>
    <w:r w:rsidRPr="00394CEC">
      <w:rPr>
        <w:rStyle w:val="Sidnummer"/>
      </w:rPr>
      <w:instrText xml:space="preserve"> PAGE </w:instrText>
    </w:r>
    <w:r w:rsidRPr="00394CEC">
      <w:rPr>
        <w:rStyle w:val="Sidnummer"/>
      </w:rPr>
      <w:fldChar w:fldCharType="separate"/>
    </w:r>
    <w:r w:rsidR="0041612C" w:rsidRPr="00394CEC">
      <w:rPr>
        <w:rStyle w:val="Sidnummer"/>
      </w:rPr>
      <w:t>74</w:t>
    </w:r>
    <w:r w:rsidRPr="00394CEC">
      <w:rPr>
        <w:rStyle w:val="Sidnummer"/>
      </w:rPr>
      <w:fldChar w:fldCharType="end"/>
    </w:r>
  </w:p>
  <w:p w:rsidR="00E33CB1" w:rsidRPr="00394CEC" w:rsidRDefault="00E33CB1">
    <w:pPr>
      <w:pStyle w:val="Sidfot"/>
      <w:tabs>
        <w:tab w:val="clear" w:pos="7371"/>
      </w:tabs>
      <w:spacing w:line="280" w:lineRule="exact"/>
    </w:pPr>
    <w:r w:rsidRPr="00394CEC">
      <w:t>BILAGA IV</w:t>
    </w:r>
    <w:r w:rsidRPr="00394CEC">
      <w:tab/>
      <w:t>DG I</w:t>
    </w:r>
    <w:r w:rsidRPr="00394CEC">
      <w:tab/>
    </w:r>
    <w:r w:rsidRPr="00394CEC">
      <w:rPr>
        <w:b/>
        <w:position w:val="-4"/>
        <w:sz w:val="36"/>
      </w:rPr>
      <w:t xml:space="preserve"> </w:t>
    </w:r>
    <w:r w:rsidRPr="00394CEC">
      <w:rPr>
        <w:b/>
        <w:position w:val="-4"/>
        <w:sz w:val="36"/>
      </w:rPr>
      <w:t> </w:t>
    </w:r>
    <w:r w:rsidRPr="00394CEC">
      <w:rPr>
        <w:b/>
        <w:position w:val="-4"/>
        <w:sz w:val="36"/>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F8A" w:rsidRPr="00394CEC" w:rsidRDefault="00C42F8A">
      <w:pPr>
        <w:pStyle w:val="Fotnotstext"/>
      </w:pPr>
      <w:r w:rsidRPr="00394CEC">
        <w:separator/>
      </w:r>
    </w:p>
  </w:footnote>
  <w:footnote w:type="continuationSeparator" w:id="0">
    <w:p w:rsidR="00C42F8A" w:rsidRPr="00394CEC" w:rsidRDefault="00C42F8A">
      <w:pPr>
        <w:pStyle w:val="Fotnotstext"/>
      </w:pPr>
      <w:r w:rsidRPr="00394CEC">
        <w:separator/>
      </w:r>
    </w:p>
  </w:footnote>
  <w:footnote w:id="1">
    <w:p w:rsidR="00893675" w:rsidRPr="00394CEC" w:rsidRDefault="00893675" w:rsidP="00893675">
      <w:pPr>
        <w:pStyle w:val="Fotnotstext"/>
      </w:pPr>
      <w:r w:rsidRPr="00394CEC">
        <w:rPr>
          <w:rStyle w:val="Fotnotsreferens"/>
        </w:rPr>
        <w:footnoteRef/>
      </w:r>
      <w:r w:rsidRPr="00394CEC">
        <w:t xml:space="preserve"> </w:t>
      </w:r>
      <w:r w:rsidRPr="00394CEC">
        <w:tab/>
        <w:t>För att behålla numreringen i kommissionens ursprungliga förslag används [</w:t>
      </w:r>
      <w:r w:rsidR="009D54F0" w:rsidRPr="00394CEC">
        <w:t>...</w:t>
      </w:r>
      <w:r w:rsidRPr="00394CEC">
        <w:t>] endast där hela punkter har strukits.</w:t>
      </w:r>
    </w:p>
  </w:footnote>
  <w:footnote w:id="2">
    <w:p w:rsidR="00893675" w:rsidRPr="00394CEC" w:rsidRDefault="00893675" w:rsidP="00893675">
      <w:pPr>
        <w:pStyle w:val="Fotnotstext"/>
      </w:pPr>
      <w:r w:rsidRPr="00394CEC">
        <w:rPr>
          <w:rStyle w:val="Fotnotsreferens"/>
        </w:rPr>
        <w:footnoteRef/>
      </w:r>
      <w:r w:rsidRPr="00394CEC">
        <w:tab/>
        <w:t xml:space="preserve">EUT C </w:t>
      </w:r>
    </w:p>
  </w:footnote>
  <w:footnote w:id="3">
    <w:p w:rsidR="00893675" w:rsidRPr="00394CEC" w:rsidRDefault="00893675" w:rsidP="00893675">
      <w:pPr>
        <w:pStyle w:val="Fotnotstext"/>
      </w:pPr>
      <w:r w:rsidRPr="00394CEC">
        <w:rPr>
          <w:rStyle w:val="Fotnotsreferens"/>
        </w:rPr>
        <w:footnoteRef/>
      </w:r>
      <w:r w:rsidRPr="00394CEC">
        <w:tab/>
        <w:t>EUT C 221, 8.9.2005, s. 134.</w:t>
      </w:r>
    </w:p>
  </w:footnote>
  <w:footnote w:id="4">
    <w:p w:rsidR="00893675" w:rsidRPr="00394CEC" w:rsidRDefault="00893675" w:rsidP="00893675">
      <w:pPr>
        <w:pStyle w:val="Fotnotstext"/>
      </w:pPr>
      <w:r w:rsidRPr="00394CEC">
        <w:rPr>
          <w:rStyle w:val="Fotnotsreferens"/>
        </w:rPr>
        <w:footnoteRef/>
      </w:r>
      <w:r w:rsidRPr="00394CEC">
        <w:tab/>
        <w:t>EUT C 164, 5.7.2005, s. 59.</w:t>
      </w:r>
    </w:p>
  </w:footnote>
  <w:footnote w:id="5">
    <w:p w:rsidR="00893675" w:rsidRPr="00394CEC" w:rsidRDefault="00893675" w:rsidP="00893675">
      <w:pPr>
        <w:pStyle w:val="Fotnotstext"/>
      </w:pPr>
      <w:r w:rsidRPr="00394CEC">
        <w:rPr>
          <w:rStyle w:val="Fotnotsreferens"/>
        </w:rPr>
        <w:footnoteRef/>
      </w:r>
      <w:r w:rsidRPr="00394CEC">
        <w:tab/>
        <w:t xml:space="preserve">EUT C </w:t>
      </w:r>
    </w:p>
  </w:footnote>
  <w:footnote w:id="6">
    <w:p w:rsidR="00893675" w:rsidRPr="00394CEC" w:rsidRDefault="00893675" w:rsidP="00893675">
      <w:pPr>
        <w:pStyle w:val="Fotnotstext"/>
      </w:pPr>
      <w:r w:rsidRPr="00394CEC">
        <w:rPr>
          <w:rStyle w:val="Fotnotsreferens"/>
        </w:rPr>
        <w:footnoteRef/>
      </w:r>
      <w:r w:rsidRPr="00394CEC">
        <w:tab/>
        <w:t>EGT L 146, 11.6.1999, s. 33. Beslutet senast ändrat genom Europaparlamentets och rådets beslut (EG) nr 1882/2003 (EUT L 284, 31.10.2003, s. 1).</w:t>
      </w:r>
    </w:p>
  </w:footnote>
  <w:footnote w:id="7">
    <w:p w:rsidR="00893675" w:rsidRPr="00394CEC" w:rsidRDefault="00893675" w:rsidP="00893675">
      <w:pPr>
        <w:pStyle w:val="Fotnotstext"/>
      </w:pPr>
      <w:r w:rsidRPr="00394CEC">
        <w:rPr>
          <w:rStyle w:val="Fotnotsreferens"/>
        </w:rPr>
        <w:footnoteRef/>
      </w:r>
      <w:r w:rsidRPr="00394CEC">
        <w:tab/>
        <w:t>EGT L 28, 3.2.2000, s. 1. Beslutet senast ändrat genom beslut nr 786/2004/EG (EUT L 138, 30.4.2004, s. 7).</w:t>
      </w:r>
    </w:p>
  </w:footnote>
  <w:footnote w:id="8">
    <w:p w:rsidR="00893675" w:rsidRPr="00394CEC" w:rsidRDefault="00893675" w:rsidP="00893675">
      <w:pPr>
        <w:pStyle w:val="Fotnotstext"/>
      </w:pPr>
      <w:r w:rsidRPr="00394CEC">
        <w:rPr>
          <w:rStyle w:val="Fotnotsreferens"/>
        </w:rPr>
        <w:footnoteRef/>
      </w:r>
      <w:r w:rsidRPr="00394CEC">
        <w:tab/>
        <w:t>EUT L 345, 31.12.2003, s. 9.</w:t>
      </w:r>
    </w:p>
  </w:footnote>
  <w:footnote w:id="9">
    <w:p w:rsidR="00893675" w:rsidRPr="00394CEC" w:rsidRDefault="00893675" w:rsidP="00893675">
      <w:pPr>
        <w:pStyle w:val="Fotnotstext"/>
      </w:pPr>
      <w:r w:rsidRPr="00394CEC">
        <w:rPr>
          <w:rStyle w:val="Fotnotsreferens"/>
        </w:rPr>
        <w:footnoteRef/>
      </w:r>
      <w:r w:rsidRPr="00394CEC">
        <w:tab/>
        <w:t>EUT L 138, 30.4.2004, s. 31.</w:t>
      </w:r>
    </w:p>
  </w:footnote>
  <w:footnote w:id="10">
    <w:p w:rsidR="00893675" w:rsidRPr="00394CEC" w:rsidRDefault="00893675" w:rsidP="00893675">
      <w:pPr>
        <w:pStyle w:val="Fotnotstext"/>
      </w:pPr>
      <w:r w:rsidRPr="00394CEC">
        <w:rPr>
          <w:rStyle w:val="Fotnotsreferens"/>
        </w:rPr>
        <w:footnoteRef/>
      </w:r>
      <w:r w:rsidRPr="00394CEC">
        <w:tab/>
        <w:t>EUT L 390, 31.12.2004, s. 6.</w:t>
      </w:r>
    </w:p>
  </w:footnote>
  <w:footnote w:id="11">
    <w:p w:rsidR="00893675" w:rsidRPr="00394CEC" w:rsidRDefault="00893675" w:rsidP="00893675">
      <w:pPr>
        <w:pStyle w:val="Fotnotstext"/>
      </w:pPr>
      <w:r w:rsidRPr="00394CEC">
        <w:rPr>
          <w:rStyle w:val="Fotnotsreferens"/>
        </w:rPr>
        <w:footnoteRef/>
      </w:r>
      <w:r w:rsidRPr="00394CEC">
        <w:t xml:space="preserve"> </w:t>
      </w:r>
      <w:r w:rsidRPr="00394CEC">
        <w:tab/>
        <w:t>EUT L 345, 31.12.2003, s. 1.</w:t>
      </w:r>
    </w:p>
  </w:footnote>
  <w:footnote w:id="12">
    <w:p w:rsidR="00893675" w:rsidRPr="00394CEC" w:rsidRDefault="00893675" w:rsidP="00893675">
      <w:pPr>
        <w:pStyle w:val="Fotnotstext"/>
      </w:pPr>
      <w:r w:rsidRPr="00394CEC">
        <w:rPr>
          <w:rStyle w:val="Fotnotsreferens"/>
        </w:rPr>
        <w:footnoteRef/>
      </w:r>
      <w:r w:rsidRPr="00394CEC">
        <w:tab/>
        <w:t>KOM(2001) 678 slutlig.</w:t>
      </w:r>
    </w:p>
  </w:footnote>
  <w:footnote w:id="13">
    <w:p w:rsidR="00893675" w:rsidRPr="00394CEC" w:rsidRDefault="00893675" w:rsidP="00893675">
      <w:pPr>
        <w:pStyle w:val="Fotnotstext"/>
      </w:pPr>
      <w:r w:rsidRPr="00394CEC">
        <w:rPr>
          <w:rStyle w:val="Fotnotsreferens"/>
        </w:rPr>
        <w:footnoteRef/>
      </w:r>
      <w:r w:rsidRPr="00394CEC">
        <w:tab/>
        <w:t>EGT C 163, 9.7.2002, s. 1.</w:t>
      </w:r>
    </w:p>
  </w:footnote>
  <w:footnote w:id="14">
    <w:p w:rsidR="00893675" w:rsidRPr="00394CEC" w:rsidRDefault="00893675" w:rsidP="00893675">
      <w:pPr>
        <w:pStyle w:val="Fotnotstext"/>
      </w:pPr>
      <w:r w:rsidRPr="00394CEC">
        <w:rPr>
          <w:rStyle w:val="Fotnotsreferens"/>
        </w:rPr>
        <w:footnoteRef/>
      </w:r>
      <w:r w:rsidRPr="00394CEC">
        <w:tab/>
        <w:t>EUT C 13,</w:t>
      </w:r>
      <w:r w:rsidR="009D54F0" w:rsidRPr="00394CEC">
        <w:t xml:space="preserve"> </w:t>
      </w:r>
      <w:r w:rsidRPr="00394CEC">
        <w:t>18.1.2003, s. 2.</w:t>
      </w:r>
    </w:p>
  </w:footnote>
  <w:footnote w:id="15">
    <w:p w:rsidR="00893675" w:rsidRPr="00394CEC" w:rsidRDefault="00893675" w:rsidP="00893675">
      <w:pPr>
        <w:pStyle w:val="Fotnotstext"/>
      </w:pPr>
      <w:r w:rsidRPr="00394CEC">
        <w:rPr>
          <w:rStyle w:val="Fotnotsreferens"/>
        </w:rPr>
        <w:footnoteRef/>
      </w:r>
      <w:r w:rsidRPr="00394CEC">
        <w:tab/>
        <w:t>KOM(2002) 72.</w:t>
      </w:r>
    </w:p>
  </w:footnote>
  <w:footnote w:id="16">
    <w:p w:rsidR="00893675" w:rsidRPr="00394CEC" w:rsidRDefault="00893675" w:rsidP="00893675">
      <w:pPr>
        <w:pStyle w:val="Fotnotstext"/>
      </w:pPr>
      <w:r w:rsidRPr="00394CEC">
        <w:rPr>
          <w:rStyle w:val="Fotnotsreferens"/>
        </w:rPr>
        <w:footnoteRef/>
      </w:r>
      <w:r w:rsidRPr="00394CEC">
        <w:tab/>
        <w:t>KOM(2003) 449 slutlig.</w:t>
      </w:r>
    </w:p>
  </w:footnote>
  <w:footnote w:id="17">
    <w:p w:rsidR="00893675" w:rsidRPr="00394CEC" w:rsidRDefault="00893675" w:rsidP="00893675">
      <w:pPr>
        <w:pStyle w:val="Fotnotstext"/>
      </w:pPr>
      <w:r w:rsidRPr="00394CEC">
        <w:rPr>
          <w:rStyle w:val="Fotnotsreferens"/>
        </w:rPr>
        <w:footnoteRef/>
      </w:r>
      <w:r w:rsidRPr="00394CEC">
        <w:tab/>
        <w:t>KOM(2004) 101, s. 13</w:t>
      </w:r>
      <w:r w:rsidRPr="00394CEC">
        <w:sym w:font="Symbol" w:char="F02D"/>
      </w:r>
      <w:r w:rsidRPr="00394CEC">
        <w:t>14.</w:t>
      </w:r>
    </w:p>
  </w:footnote>
  <w:footnote w:id="18">
    <w:p w:rsidR="00893675" w:rsidRPr="00394CEC" w:rsidRDefault="00893675" w:rsidP="00893675">
      <w:pPr>
        <w:pStyle w:val="Fotnotstext"/>
      </w:pPr>
      <w:r w:rsidRPr="00394CEC">
        <w:rPr>
          <w:rStyle w:val="Fotnotsreferens"/>
        </w:rPr>
        <w:footnoteRef/>
      </w:r>
      <w:r w:rsidRPr="00394CEC">
        <w:t xml:space="preserve"> </w:t>
      </w:r>
      <w:r w:rsidRPr="00394CEC">
        <w:tab/>
        <w:t>Skäl 20 i kommissionens förslag har följande lydelse: "</w:t>
      </w:r>
      <w:r w:rsidRPr="00394CEC">
        <w:rPr>
          <w:i/>
        </w:rPr>
        <w:t>Med tanke på de påvisade positiva effekterna av rörlighet över gränserna både för individer och för utbildningssystem, den omfattande efterfrågan på rörlighet inom alla sektorer som inte kunnat uppfyllas, och vikten av denna verksamhet mot bakgrund av Lissabonmålet, är det nödvändigt att avsevärt öka omfattningen av stöd till rörlighet över gränserna i de fyra programmen för de olika sektorerna.</w:t>
      </w:r>
      <w:r w:rsidRPr="00394CEC">
        <w:t>"</w:t>
      </w:r>
    </w:p>
  </w:footnote>
  <w:footnote w:id="19">
    <w:p w:rsidR="00893675" w:rsidRPr="00394CEC" w:rsidRDefault="00893675" w:rsidP="00893675">
      <w:pPr>
        <w:pStyle w:val="Fotnotstext"/>
      </w:pPr>
      <w:r w:rsidRPr="00394CEC">
        <w:rPr>
          <w:rStyle w:val="Fotnotsreferens"/>
        </w:rPr>
        <w:footnoteRef/>
      </w:r>
      <w:r w:rsidRPr="00394CEC">
        <w:tab/>
        <w:t>EGT C 293 E, 28.2.2002, s. 103.</w:t>
      </w:r>
    </w:p>
  </w:footnote>
  <w:footnote w:id="20">
    <w:p w:rsidR="00893675" w:rsidRPr="00394CEC" w:rsidRDefault="00893675" w:rsidP="00893675">
      <w:pPr>
        <w:pStyle w:val="Fotnotstext"/>
      </w:pPr>
      <w:r w:rsidRPr="00394CEC">
        <w:rPr>
          <w:rStyle w:val="Fotnotsreferens"/>
        </w:rPr>
        <w:footnoteRef/>
      </w:r>
      <w:r w:rsidRPr="00394CEC">
        <w:tab/>
        <w:t>EGT L 248, 16.9.2002, s. 1.</w:t>
      </w:r>
    </w:p>
  </w:footnote>
  <w:footnote w:id="21">
    <w:p w:rsidR="00893675" w:rsidRPr="00394CEC" w:rsidRDefault="00893675" w:rsidP="00893675">
      <w:pPr>
        <w:pStyle w:val="Fotnotstext"/>
      </w:pPr>
      <w:r w:rsidRPr="00394CEC">
        <w:rPr>
          <w:rStyle w:val="Fotnotsreferens"/>
        </w:rPr>
        <w:footnoteRef/>
      </w:r>
      <w:r w:rsidRPr="00394CEC">
        <w:tab/>
        <w:t>EGT L 357, 31.12.2002, s. 1.</w:t>
      </w:r>
    </w:p>
  </w:footnote>
  <w:footnote w:id="22">
    <w:p w:rsidR="00893675" w:rsidRPr="00394CEC" w:rsidRDefault="00893675" w:rsidP="00893675">
      <w:pPr>
        <w:pStyle w:val="Fotnotstext"/>
      </w:pPr>
      <w:r w:rsidRPr="00394CEC">
        <w:rPr>
          <w:rStyle w:val="Fotnotsreferens"/>
        </w:rPr>
        <w:footnoteRef/>
      </w:r>
      <w:r w:rsidRPr="00394CEC">
        <w:tab/>
        <w:t>EGT C 172, 18.6.1999, s. 1.</w:t>
      </w:r>
    </w:p>
  </w:footnote>
  <w:footnote w:id="23">
    <w:p w:rsidR="00893675" w:rsidRPr="00394CEC" w:rsidRDefault="00893675" w:rsidP="00893675">
      <w:pPr>
        <w:pStyle w:val="Fotnotstext"/>
      </w:pPr>
      <w:r w:rsidRPr="00394CEC">
        <w:rPr>
          <w:rStyle w:val="Fotnotsreferens"/>
        </w:rPr>
        <w:footnoteRef/>
      </w:r>
      <w:r w:rsidRPr="00394CEC">
        <w:t xml:space="preserve"> </w:t>
      </w:r>
      <w:r w:rsidRPr="00394CEC">
        <w:tab/>
        <w:t>EGT L 184, 17.7.1999, s. 23.</w:t>
      </w:r>
    </w:p>
  </w:footnote>
  <w:footnote w:id="24">
    <w:p w:rsidR="00893675" w:rsidRPr="00394CEC" w:rsidRDefault="00893675" w:rsidP="00893675">
      <w:pPr>
        <w:pStyle w:val="Fotnotstext"/>
      </w:pPr>
      <w:r w:rsidRPr="00394CEC">
        <w:rPr>
          <w:rStyle w:val="Fotnotsreferens"/>
        </w:rPr>
        <w:footnoteRef/>
      </w:r>
      <w:r w:rsidRPr="00394CEC">
        <w:t xml:space="preserve"> </w:t>
      </w:r>
      <w:r w:rsidRPr="00394CEC">
        <w:tab/>
        <w:t>EGT L 248, 16.9.2002, s. 1.</w:t>
      </w:r>
    </w:p>
  </w:footnote>
  <w:footnote w:id="25">
    <w:p w:rsidR="00893675" w:rsidRPr="00394CEC" w:rsidRDefault="00893675" w:rsidP="00893675">
      <w:pPr>
        <w:pStyle w:val="Fotnotstext"/>
      </w:pPr>
      <w:r w:rsidRPr="00394CEC">
        <w:rPr>
          <w:rStyle w:val="Fotnotsreferens"/>
        </w:rPr>
        <w:footnoteRef/>
      </w:r>
      <w:r w:rsidRPr="00394CEC">
        <w:tab/>
        <w:t>EGT L 357, 31.12.2002, s. 1.</w:t>
      </w:r>
    </w:p>
  </w:footnote>
  <w:footnote w:id="26">
    <w:p w:rsidR="00893675" w:rsidRPr="00394CEC" w:rsidRDefault="00893675" w:rsidP="00893675">
      <w:pPr>
        <w:pStyle w:val="Fotnotstext"/>
      </w:pPr>
      <w:r w:rsidRPr="00394CEC">
        <w:rPr>
          <w:rStyle w:val="Fotnotsreferens"/>
        </w:rPr>
        <w:footnoteRef/>
      </w:r>
      <w:r w:rsidRPr="00394CEC">
        <w:tab/>
        <w:t>EGT L 39, 13.2.1975.</w:t>
      </w:r>
    </w:p>
  </w:footnote>
  <w:footnote w:id="27">
    <w:p w:rsidR="00893675" w:rsidRPr="00394CEC" w:rsidRDefault="00893675" w:rsidP="00893675">
      <w:pPr>
        <w:pStyle w:val="Fotnotstext"/>
      </w:pPr>
      <w:r w:rsidRPr="00394CEC">
        <w:rPr>
          <w:rStyle w:val="Fotnotsreferens"/>
        </w:rPr>
        <w:footnoteRef/>
      </w:r>
      <w:r w:rsidRPr="00394CEC">
        <w:tab/>
        <w:t>EGT L 131, 25.5.1990, s. 1.</w:t>
      </w:r>
    </w:p>
  </w:footnote>
  <w:footnote w:id="28">
    <w:p w:rsidR="00893675" w:rsidRPr="00394CEC" w:rsidRDefault="00893675" w:rsidP="00893675">
      <w:pPr>
        <w:pStyle w:val="Fotnotstext"/>
      </w:pPr>
      <w:r w:rsidRPr="00394CEC">
        <w:rPr>
          <w:rStyle w:val="Fotnotsreferens"/>
        </w:rPr>
        <w:footnoteRef/>
      </w:r>
      <w:r w:rsidRPr="00394CEC">
        <w:t xml:space="preserve"> </w:t>
      </w:r>
      <w:r w:rsidRPr="00394CEC">
        <w:tab/>
        <w:t>Artikel 15 i kommissionens förslag har följande lydelse:</w:t>
      </w:r>
    </w:p>
    <w:p w:rsidR="00893675" w:rsidRPr="00394CEC" w:rsidRDefault="00893675" w:rsidP="00893675">
      <w:pPr>
        <w:spacing w:line="240" w:lineRule="auto"/>
        <w:ind w:left="567"/>
        <w:outlineLvl w:val="0"/>
        <w:rPr>
          <w:i/>
        </w:rPr>
      </w:pPr>
      <w:r w:rsidRPr="00394CEC">
        <w:t>"</w:t>
      </w:r>
      <w:r w:rsidRPr="00394CEC">
        <w:rPr>
          <w:i/>
        </w:rPr>
        <w:t>1.</w:t>
      </w:r>
      <w:r w:rsidRPr="00394CEC">
        <w:rPr>
          <w:i/>
        </w:rPr>
        <w:tab/>
        <w:t>Den finansiella ramen för genomförandet av Integrerade programmet fastställs härmed till 13 620 miljoner euro. Av denna summa skall de belopp som fördelas mellan Comenius, Erasmus, Leonardo da Vinci and Grundtvig inte vara mindre än vad som anges under punkt B.8 i bilagan. Dessa belopp får ändras av kommissionen i enlighet med det förfarande som fastställs i artikel 10.2.</w:t>
      </w:r>
    </w:p>
    <w:p w:rsidR="00893675" w:rsidRPr="00394CEC" w:rsidRDefault="00893675" w:rsidP="00893675">
      <w:pPr>
        <w:spacing w:line="240" w:lineRule="auto"/>
        <w:ind w:left="567"/>
        <w:outlineLvl w:val="0"/>
        <w:rPr>
          <w:i/>
        </w:rPr>
      </w:pPr>
      <w:r w:rsidRPr="00394CEC">
        <w:rPr>
          <w:i/>
        </w:rPr>
        <w:t>2.</w:t>
      </w:r>
      <w:r w:rsidRPr="00394CEC">
        <w:rPr>
          <w:i/>
        </w:rPr>
        <w:tab/>
        <w:t>Högst 1 % av Integrerade programmets budget får användas för att stödja partnerskap, projekt och nätverk som anordnas inom Integrerade programmet av partner från länder utanför EU vilka inte deltar i Integrerade programmet enligt bestämmelserna i artikel 7.</w:t>
      </w:r>
    </w:p>
    <w:p w:rsidR="00893675" w:rsidRPr="00394CEC" w:rsidRDefault="003044AB" w:rsidP="00893675">
      <w:pPr>
        <w:spacing w:line="240" w:lineRule="auto"/>
        <w:ind w:left="567"/>
        <w:outlineLvl w:val="0"/>
      </w:pPr>
      <w:r w:rsidRPr="00394CEC">
        <w:rPr>
          <w:i/>
        </w:rPr>
        <w:t>3.</w:t>
      </w:r>
      <w:r w:rsidR="00893675" w:rsidRPr="00394CEC">
        <w:rPr>
          <w:i/>
        </w:rPr>
        <w:tab/>
        <w:t>De årliga anslagen skall beviljas av budgetmyndigheten inom ramen för budgetplanen.</w:t>
      </w:r>
      <w:r w:rsidR="00893675" w:rsidRPr="00394CEC">
        <w:t>"</w:t>
      </w:r>
    </w:p>
  </w:footnote>
  <w:footnote w:id="29">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0">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1">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tjugo</w:t>
      </w:r>
      <w:r w:rsidRPr="00394CEC">
        <w:t>".</w:t>
      </w:r>
    </w:p>
  </w:footnote>
  <w:footnote w:id="32">
    <w:p w:rsidR="00893675" w:rsidRPr="00394CEC" w:rsidRDefault="00893675" w:rsidP="00893675">
      <w:pPr>
        <w:pStyle w:val="Fotnotstext"/>
      </w:pPr>
      <w:r w:rsidRPr="00394CEC">
        <w:rPr>
          <w:rStyle w:val="Fotnotsreferens"/>
        </w:rPr>
        <w:footnoteRef/>
      </w:r>
      <w:r w:rsidRPr="00394CEC">
        <w:t xml:space="preserve"> </w:t>
      </w:r>
      <w:r w:rsidRPr="00394CEC">
        <w:tab/>
        <w:t>Artikel 20 i kommissionens förslag har följande lydelse: "</w:t>
      </w:r>
      <w:r w:rsidRPr="00394CEC">
        <w:rPr>
          <w:i/>
        </w:rPr>
        <w:t>Minst 85 % av den tillgängliga budgeten för programmet Comenius skall användas till bidrag till rörlighet enligt artikel</w:t>
      </w:r>
      <w:r w:rsidR="00CF30D7" w:rsidRPr="00394CEC">
        <w:rPr>
          <w:i/>
        </w:rPr>
        <w:t> </w:t>
      </w:r>
      <w:r w:rsidRPr="00394CEC">
        <w:rPr>
          <w:i/>
        </w:rPr>
        <w:t>19.1 a och till Comeniuspartnerskap enligt artikel 19.1 b.</w:t>
      </w:r>
      <w:r w:rsidRPr="00394CEC">
        <w:t>"</w:t>
      </w:r>
    </w:p>
  </w:footnote>
  <w:footnote w:id="33">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4">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3 miljoner</w:t>
      </w:r>
      <w:r w:rsidRPr="00394CEC">
        <w:t>".</w:t>
      </w:r>
    </w:p>
  </w:footnote>
  <w:footnote w:id="35">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6">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7">
    <w:p w:rsidR="00893675" w:rsidRPr="00394CEC" w:rsidRDefault="00893675" w:rsidP="00893675">
      <w:pPr>
        <w:pStyle w:val="Fotnotstext"/>
      </w:pPr>
      <w:r w:rsidRPr="00394CEC">
        <w:rPr>
          <w:rStyle w:val="Fotnotsreferens"/>
        </w:rPr>
        <w:footnoteRef/>
      </w:r>
      <w:r w:rsidRPr="00394CEC">
        <w:t xml:space="preserve"> </w:t>
      </w:r>
      <w:r w:rsidRPr="00394CEC">
        <w:tab/>
        <w:t>Artikel 25 i kommissionens förslag har följande lydelse: "</w:t>
      </w:r>
      <w:r w:rsidRPr="00394CEC">
        <w:rPr>
          <w:i/>
        </w:rPr>
        <w:t>Minst 85 % av den tillgängliga budgeten för programmet Erasmus skall användas till bidrag till rörlighet enligt artikel</w:t>
      </w:r>
      <w:r w:rsidR="00CF30D7" w:rsidRPr="00394CEC">
        <w:rPr>
          <w:i/>
        </w:rPr>
        <w:t> </w:t>
      </w:r>
      <w:r w:rsidRPr="00394CEC">
        <w:rPr>
          <w:i/>
        </w:rPr>
        <w:t>24.1 a.</w:t>
      </w:r>
      <w:r w:rsidRPr="00394CEC">
        <w:t>"</w:t>
      </w:r>
    </w:p>
  </w:footnote>
  <w:footnote w:id="38">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39">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150 000</w:t>
      </w:r>
      <w:r w:rsidRPr="00394CEC">
        <w:t>".</w:t>
      </w:r>
    </w:p>
  </w:footnote>
  <w:footnote w:id="40">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41">
    <w:p w:rsidR="00893675" w:rsidRPr="00394CEC" w:rsidRDefault="00893675" w:rsidP="00893675">
      <w:pPr>
        <w:pStyle w:val="Fotnotstext"/>
      </w:pPr>
      <w:r w:rsidRPr="00394CEC">
        <w:rPr>
          <w:rStyle w:val="Fotnotsreferens"/>
        </w:rPr>
        <w:footnoteRef/>
      </w:r>
      <w:r w:rsidRPr="00394CEC">
        <w:t xml:space="preserve"> </w:t>
      </w:r>
      <w:r w:rsidRPr="00394CEC">
        <w:tab/>
        <w:t>Artikel 30 i kommissionens förslag har följande lydelse: "</w:t>
      </w:r>
      <w:r w:rsidRPr="00394CEC">
        <w:rPr>
          <w:i/>
        </w:rPr>
        <w:t>Minst 75 % av den tillgängliga budgeten för programmet Leonardo da Vinci skall användas till bidrag till rörlighet och partnerskap enligt artikel 29.1 a och b.</w:t>
      </w:r>
      <w:r w:rsidRPr="00394CEC">
        <w:t>"</w:t>
      </w:r>
    </w:p>
  </w:footnote>
  <w:footnote w:id="42">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samt öka rörligheten</w:t>
      </w:r>
      <w:r w:rsidRPr="00394CEC">
        <w:t>".</w:t>
      </w:r>
    </w:p>
  </w:footnote>
  <w:footnote w:id="43">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25 000</w:t>
      </w:r>
      <w:r w:rsidRPr="00394CEC">
        <w:t>".</w:t>
      </w:r>
    </w:p>
  </w:footnote>
  <w:footnote w:id="44">
    <w:p w:rsidR="00893675" w:rsidRPr="00394CEC" w:rsidRDefault="00893675" w:rsidP="00893675">
      <w:pPr>
        <w:pStyle w:val="Fotnotstext"/>
      </w:pPr>
      <w:r w:rsidRPr="00394CEC">
        <w:rPr>
          <w:rStyle w:val="Fotnotsreferens"/>
        </w:rPr>
        <w:footnoteRef/>
      </w:r>
      <w:r w:rsidRPr="00394CEC">
        <w:t xml:space="preserve"> </w:t>
      </w:r>
      <w:r w:rsidRPr="00394CEC">
        <w:tab/>
        <w:t>Kommissionens förslag har följande lydelse: "</w:t>
      </w:r>
      <w:r w:rsidRPr="00394CEC">
        <w:rPr>
          <w:i/>
        </w:rPr>
        <w:t>och utöka</w:t>
      </w:r>
      <w:r w:rsidRPr="00394CEC">
        <w:t>".</w:t>
      </w:r>
    </w:p>
  </w:footnote>
  <w:footnote w:id="45">
    <w:p w:rsidR="00893675" w:rsidRPr="00394CEC" w:rsidRDefault="00893675" w:rsidP="00893675">
      <w:pPr>
        <w:pStyle w:val="Fotnotstext"/>
      </w:pPr>
      <w:r w:rsidRPr="00394CEC">
        <w:rPr>
          <w:rStyle w:val="Fotnotsreferens"/>
        </w:rPr>
        <w:footnoteRef/>
      </w:r>
      <w:r w:rsidRPr="00394CEC">
        <w:t xml:space="preserve"> </w:t>
      </w:r>
      <w:r w:rsidRPr="00394CEC">
        <w:tab/>
        <w:t>Artikel 35 i kommissionens förslag har följande lydelse: "</w:t>
      </w:r>
      <w:r w:rsidRPr="00394CEC">
        <w:rPr>
          <w:i/>
        </w:rPr>
        <w:t>Minst 60 % av den tillgängliga budgeten för programmet Grundtvig skall användas till bidrag till rörlighet och partnerskap enligt artikel 34.1 a och 34.1 b.</w:t>
      </w:r>
      <w:r w:rsidRPr="00394CEC">
        <w:t>"</w:t>
      </w:r>
    </w:p>
  </w:footnote>
  <w:footnote w:id="46">
    <w:p w:rsidR="00893675" w:rsidRPr="00394CEC" w:rsidRDefault="00893675" w:rsidP="00893675">
      <w:pPr>
        <w:spacing w:line="240" w:lineRule="auto"/>
        <w:ind w:left="567" w:hanging="567"/>
      </w:pPr>
      <w:r w:rsidRPr="00394CEC">
        <w:rPr>
          <w:rStyle w:val="Fotnotsreferens"/>
        </w:rPr>
        <w:footnoteRef/>
      </w:r>
      <w:r w:rsidRPr="00394CEC">
        <w:t xml:space="preserve"> </w:t>
      </w:r>
      <w:r w:rsidRPr="00394CEC">
        <w:tab/>
        <w:t>Artikel 43 i kommissionens förslag skall ha följande lydelse: "</w:t>
      </w:r>
      <w:r w:rsidRPr="00394CEC">
        <w:rPr>
          <w:i/>
        </w:rPr>
        <w:t>Minst 28 % av den tillgängliga budgeten för programmet Jean Monnet skall användas som bidrag till det centrala verksamhetsområde som avses i artikel 3.3 a, minst 44 % till det centrala verksamhetsområde som avses i artikel 3.3 b, och minst 18 % till det centrala verksamhetsområde som avses i artikel 3.3 c.</w:t>
      </w:r>
      <w:r w:rsidRPr="00394CEC">
        <w:t>"</w:t>
      </w:r>
    </w:p>
  </w:footnote>
  <w:footnote w:id="47">
    <w:p w:rsidR="00893675" w:rsidRPr="00394CEC" w:rsidRDefault="00893675" w:rsidP="00893675">
      <w:pPr>
        <w:pStyle w:val="Fotnotstext"/>
      </w:pPr>
      <w:r w:rsidRPr="00394CEC">
        <w:rPr>
          <w:rStyle w:val="Fotnotsreferens"/>
        </w:rPr>
        <w:footnoteRef/>
      </w:r>
      <w:r w:rsidRPr="00394CEC">
        <w:t xml:space="preserve"> </w:t>
      </w:r>
      <w:r w:rsidRPr="00394CEC">
        <w:tab/>
        <w:t xml:space="preserve">De belopp som anges i kommissionens förslag är </w:t>
      </w:r>
      <w:r w:rsidRPr="00394CEC">
        <w:rPr>
          <w:i/>
        </w:rPr>
        <w:t>10 %</w:t>
      </w:r>
      <w:r w:rsidRPr="00394CEC">
        <w:t xml:space="preserve">, </w:t>
      </w:r>
      <w:r w:rsidRPr="00394CEC">
        <w:rPr>
          <w:i/>
        </w:rPr>
        <w:t>40 %</w:t>
      </w:r>
      <w:r w:rsidRPr="00394CEC">
        <w:t xml:space="preserve">, </w:t>
      </w:r>
      <w:r w:rsidRPr="00394CEC">
        <w:rPr>
          <w:i/>
        </w:rPr>
        <w:t>25 %</w:t>
      </w:r>
      <w:r w:rsidRPr="00394CEC">
        <w:t xml:space="preserve"> respektive </w:t>
      </w:r>
      <w:r w:rsidRPr="00394CEC">
        <w:rPr>
          <w:i/>
        </w:rPr>
        <w:t>3 %</w:t>
      </w:r>
      <w:r w:rsidRPr="00394CE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14C04A6C"/>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7855307"/>
    <w:multiLevelType w:val="singleLevel"/>
    <w:tmpl w:val="E87C9614"/>
    <w:lvl w:ilvl="0">
      <w:start w:val="8"/>
      <w:numFmt w:val="lowerLetter"/>
      <w:lvlText w:val="%1)"/>
      <w:lvlJc w:val="left"/>
      <w:pPr>
        <w:tabs>
          <w:tab w:val="num" w:pos="570"/>
        </w:tabs>
        <w:ind w:left="570" w:hanging="570"/>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5"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6" w15:restartNumberingAfterBreak="0">
    <w:nsid w:val="35221C18"/>
    <w:multiLevelType w:val="singleLevel"/>
    <w:tmpl w:val="DD4C4112"/>
    <w:lvl w:ilvl="0">
      <w:start w:val="1"/>
      <w:numFmt w:val="lowerRoman"/>
      <w:lvlText w:val="%1)"/>
      <w:lvlJc w:val="left"/>
      <w:pPr>
        <w:tabs>
          <w:tab w:val="num" w:pos="720"/>
        </w:tabs>
        <w:ind w:left="720" w:hanging="720"/>
      </w:pPr>
    </w:lvl>
  </w:abstractNum>
  <w:abstractNum w:abstractNumId="27"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2"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3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4"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9EF13C4"/>
    <w:multiLevelType w:val="singleLevel"/>
    <w:tmpl w:val="D6785ED2"/>
    <w:lvl w:ilvl="0">
      <w:start w:val="1"/>
      <w:numFmt w:val="lowerRoman"/>
      <w:lvlText w:val="%1)"/>
      <w:lvlJc w:val="left"/>
      <w:pPr>
        <w:tabs>
          <w:tab w:val="num" w:pos="720"/>
        </w:tabs>
        <w:ind w:left="720" w:hanging="720"/>
      </w:pPr>
    </w:lvl>
  </w:abstractNum>
  <w:abstractNum w:abstractNumId="3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8" w15:restartNumberingAfterBreak="0">
    <w:nsid w:val="4CEE0FDB"/>
    <w:multiLevelType w:val="singleLevel"/>
    <w:tmpl w:val="EFECC1A4"/>
    <w:lvl w:ilvl="0">
      <w:start w:val="1"/>
      <w:numFmt w:val="lowerRoman"/>
      <w:lvlText w:val="%1)"/>
      <w:lvlJc w:val="left"/>
      <w:pPr>
        <w:tabs>
          <w:tab w:val="num" w:pos="720"/>
        </w:tabs>
        <w:ind w:left="720" w:hanging="720"/>
      </w:pPr>
    </w:lvl>
  </w:abstractNum>
  <w:abstractNum w:abstractNumId="39"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0"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1" w15:restartNumberingAfterBreak="0">
    <w:nsid w:val="53151520"/>
    <w:multiLevelType w:val="singleLevel"/>
    <w:tmpl w:val="04090017"/>
    <w:lvl w:ilvl="0">
      <w:start w:val="1"/>
      <w:numFmt w:val="lowerLetter"/>
      <w:lvlText w:val="%1)"/>
      <w:lvlJc w:val="left"/>
      <w:pPr>
        <w:tabs>
          <w:tab w:val="num" w:pos="360"/>
        </w:tabs>
        <w:ind w:left="360" w:hanging="360"/>
      </w:pPr>
    </w:lvl>
  </w:abstractNum>
  <w:abstractNum w:abstractNumId="42"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3"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6"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7"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8"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30847960">
    <w:abstractNumId w:val="9"/>
  </w:num>
  <w:num w:numId="2" w16cid:durableId="940264583">
    <w:abstractNumId w:val="7"/>
  </w:num>
  <w:num w:numId="3" w16cid:durableId="487939649">
    <w:abstractNumId w:val="6"/>
  </w:num>
  <w:num w:numId="4" w16cid:durableId="932395429">
    <w:abstractNumId w:val="5"/>
  </w:num>
  <w:num w:numId="5" w16cid:durableId="1096707919">
    <w:abstractNumId w:val="4"/>
  </w:num>
  <w:num w:numId="6" w16cid:durableId="1982617628">
    <w:abstractNumId w:val="8"/>
  </w:num>
  <w:num w:numId="7" w16cid:durableId="1642690048">
    <w:abstractNumId w:val="3"/>
  </w:num>
  <w:num w:numId="8" w16cid:durableId="909777553">
    <w:abstractNumId w:val="2"/>
  </w:num>
  <w:num w:numId="9" w16cid:durableId="1441996068">
    <w:abstractNumId w:val="1"/>
  </w:num>
  <w:num w:numId="10" w16cid:durableId="586184495">
    <w:abstractNumId w:val="0"/>
  </w:num>
  <w:num w:numId="11" w16cid:durableId="186255494">
    <w:abstractNumId w:val="28"/>
  </w:num>
  <w:num w:numId="12" w16cid:durableId="1064832700">
    <w:abstractNumId w:val="48"/>
  </w:num>
  <w:num w:numId="13" w16cid:durableId="1719694931">
    <w:abstractNumId w:val="46"/>
  </w:num>
  <w:num w:numId="14" w16cid:durableId="323046480">
    <w:abstractNumId w:val="34"/>
  </w:num>
  <w:num w:numId="15" w16cid:durableId="1730030859">
    <w:abstractNumId w:val="13"/>
  </w:num>
  <w:num w:numId="16" w16cid:durableId="831531511">
    <w:abstractNumId w:val="37"/>
  </w:num>
  <w:num w:numId="17" w16cid:durableId="671179979">
    <w:abstractNumId w:val="23"/>
  </w:num>
  <w:num w:numId="18" w16cid:durableId="2071224729">
    <w:abstractNumId w:val="16"/>
  </w:num>
  <w:num w:numId="19" w16cid:durableId="1981761897">
    <w:abstractNumId w:val="14"/>
  </w:num>
  <w:num w:numId="20" w16cid:durableId="2121995360">
    <w:abstractNumId w:val="14"/>
  </w:num>
  <w:num w:numId="21" w16cid:durableId="1726248409">
    <w:abstractNumId w:val="14"/>
  </w:num>
  <w:num w:numId="22" w16cid:durableId="1189297749">
    <w:abstractNumId w:val="14"/>
  </w:num>
  <w:num w:numId="23" w16cid:durableId="45182063">
    <w:abstractNumId w:val="14"/>
  </w:num>
  <w:num w:numId="24" w16cid:durableId="775246818">
    <w:abstractNumId w:val="14"/>
  </w:num>
  <w:num w:numId="25" w16cid:durableId="1472793098">
    <w:abstractNumId w:val="14"/>
  </w:num>
  <w:num w:numId="26" w16cid:durableId="1326592521">
    <w:abstractNumId w:val="14"/>
  </w:num>
  <w:num w:numId="27" w16cid:durableId="993417194">
    <w:abstractNumId w:val="14"/>
  </w:num>
  <w:num w:numId="28" w16cid:durableId="1890917960">
    <w:abstractNumId w:val="14"/>
  </w:num>
  <w:num w:numId="29" w16cid:durableId="1815023785">
    <w:abstractNumId w:val="14"/>
  </w:num>
  <w:num w:numId="30" w16cid:durableId="1315798955">
    <w:abstractNumId w:val="14"/>
  </w:num>
  <w:num w:numId="31" w16cid:durableId="398137974">
    <w:abstractNumId w:val="14"/>
  </w:num>
  <w:num w:numId="32" w16cid:durableId="1617178921">
    <w:abstractNumId w:val="14"/>
  </w:num>
  <w:num w:numId="33" w16cid:durableId="712656490">
    <w:abstractNumId w:val="14"/>
  </w:num>
  <w:num w:numId="34" w16cid:durableId="124662249">
    <w:abstractNumId w:val="14"/>
  </w:num>
  <w:num w:numId="35" w16cid:durableId="1899588078">
    <w:abstractNumId w:val="14"/>
  </w:num>
  <w:num w:numId="36" w16cid:durableId="348796860">
    <w:abstractNumId w:val="14"/>
  </w:num>
  <w:num w:numId="37" w16cid:durableId="1465198761">
    <w:abstractNumId w:val="43"/>
  </w:num>
  <w:num w:numId="38" w16cid:durableId="578834739">
    <w:abstractNumId w:val="45"/>
  </w:num>
  <w:num w:numId="39" w16cid:durableId="1734964824">
    <w:abstractNumId w:val="35"/>
  </w:num>
  <w:num w:numId="40" w16cid:durableId="1686396483">
    <w:abstractNumId w:val="40"/>
  </w:num>
  <w:num w:numId="41" w16cid:durableId="58331359">
    <w:abstractNumId w:val="27"/>
  </w:num>
  <w:num w:numId="42" w16cid:durableId="1530604925">
    <w:abstractNumId w:val="50"/>
  </w:num>
  <w:num w:numId="43" w16cid:durableId="1611086595">
    <w:abstractNumId w:val="33"/>
  </w:num>
  <w:num w:numId="44" w16cid:durableId="514926354">
    <w:abstractNumId w:val="25"/>
  </w:num>
  <w:num w:numId="45" w16cid:durableId="671688777">
    <w:abstractNumId w:val="29"/>
  </w:num>
  <w:num w:numId="46" w16cid:durableId="1017315797">
    <w:abstractNumId w:val="49"/>
  </w:num>
  <w:num w:numId="47" w16cid:durableId="1860509711">
    <w:abstractNumId w:val="11"/>
  </w:num>
  <w:num w:numId="48" w16cid:durableId="493640983">
    <w:abstractNumId w:val="17"/>
  </w:num>
  <w:num w:numId="49" w16cid:durableId="2108307026">
    <w:abstractNumId w:val="14"/>
  </w:num>
  <w:num w:numId="50" w16cid:durableId="573664663">
    <w:abstractNumId w:val="14"/>
  </w:num>
  <w:num w:numId="51" w16cid:durableId="436296745">
    <w:abstractNumId w:val="14"/>
  </w:num>
  <w:num w:numId="52" w16cid:durableId="1315643019">
    <w:abstractNumId w:val="14"/>
  </w:num>
  <w:num w:numId="53" w16cid:durableId="1712919733">
    <w:abstractNumId w:val="14"/>
  </w:num>
  <w:num w:numId="54" w16cid:durableId="424150839">
    <w:abstractNumId w:val="14"/>
  </w:num>
  <w:num w:numId="55" w16cid:durableId="1746679398">
    <w:abstractNumId w:val="14"/>
  </w:num>
  <w:num w:numId="56" w16cid:durableId="554051629">
    <w:abstractNumId w:val="14"/>
  </w:num>
  <w:num w:numId="57" w16cid:durableId="32123916">
    <w:abstractNumId w:val="14"/>
  </w:num>
  <w:num w:numId="58" w16cid:durableId="150175224">
    <w:abstractNumId w:val="50"/>
  </w:num>
  <w:num w:numId="59" w16cid:durableId="1426724959">
    <w:abstractNumId w:val="33"/>
  </w:num>
  <w:num w:numId="60" w16cid:durableId="478035646">
    <w:abstractNumId w:val="25"/>
  </w:num>
  <w:num w:numId="61" w16cid:durableId="1375160011">
    <w:abstractNumId w:val="29"/>
  </w:num>
  <w:num w:numId="62" w16cid:durableId="482508315">
    <w:abstractNumId w:val="49"/>
  </w:num>
  <w:num w:numId="63" w16cid:durableId="586304149">
    <w:abstractNumId w:val="11"/>
  </w:num>
  <w:num w:numId="64" w16cid:durableId="1886209480">
    <w:abstractNumId w:val="17"/>
  </w:num>
  <w:num w:numId="65" w16cid:durableId="1472164456">
    <w:abstractNumId w:val="24"/>
  </w:num>
  <w:num w:numId="66" w16cid:durableId="1547108623">
    <w:abstractNumId w:val="12"/>
  </w:num>
  <w:num w:numId="67" w16cid:durableId="1061640005">
    <w:abstractNumId w:val="23"/>
  </w:num>
  <w:num w:numId="68" w16cid:durableId="784736673">
    <w:abstractNumId w:val="31"/>
  </w:num>
  <w:num w:numId="69" w16cid:durableId="1295016717">
    <w:abstractNumId w:val="21"/>
  </w:num>
  <w:num w:numId="70" w16cid:durableId="833961184">
    <w:abstractNumId w:val="22"/>
  </w:num>
  <w:num w:numId="71" w16cid:durableId="742336002">
    <w:abstractNumId w:val="21"/>
  </w:num>
  <w:num w:numId="72" w16cid:durableId="1678344123">
    <w:abstractNumId w:val="14"/>
  </w:num>
  <w:num w:numId="73" w16cid:durableId="44187496">
    <w:abstractNumId w:val="14"/>
  </w:num>
  <w:num w:numId="74" w16cid:durableId="978076400">
    <w:abstractNumId w:val="14"/>
  </w:num>
  <w:num w:numId="75" w16cid:durableId="971012688">
    <w:abstractNumId w:val="14"/>
  </w:num>
  <w:num w:numId="76" w16cid:durableId="398553161">
    <w:abstractNumId w:val="14"/>
  </w:num>
  <w:num w:numId="77" w16cid:durableId="2092392106">
    <w:abstractNumId w:val="14"/>
  </w:num>
  <w:num w:numId="78" w16cid:durableId="1748305222">
    <w:abstractNumId w:val="14"/>
  </w:num>
  <w:num w:numId="79" w16cid:durableId="196281574">
    <w:abstractNumId w:val="14"/>
  </w:num>
  <w:num w:numId="80" w16cid:durableId="479005201">
    <w:abstractNumId w:val="14"/>
  </w:num>
  <w:num w:numId="81" w16cid:durableId="1840346198">
    <w:abstractNumId w:val="50"/>
  </w:num>
  <w:num w:numId="82" w16cid:durableId="1275360361">
    <w:abstractNumId w:val="17"/>
  </w:num>
  <w:num w:numId="83" w16cid:durableId="975838211">
    <w:abstractNumId w:val="33"/>
  </w:num>
  <w:num w:numId="84" w16cid:durableId="1675300683">
    <w:abstractNumId w:val="25"/>
  </w:num>
  <w:num w:numId="85" w16cid:durableId="1500385114">
    <w:abstractNumId w:val="21"/>
  </w:num>
  <w:num w:numId="86" w16cid:durableId="660889326">
    <w:abstractNumId w:val="22"/>
  </w:num>
  <w:num w:numId="87" w16cid:durableId="769350601">
    <w:abstractNumId w:val="21"/>
  </w:num>
  <w:num w:numId="88" w16cid:durableId="1988894150">
    <w:abstractNumId w:val="11"/>
  </w:num>
  <w:num w:numId="89" w16cid:durableId="1545753141">
    <w:abstractNumId w:val="49"/>
  </w:num>
  <w:num w:numId="90" w16cid:durableId="2095083603">
    <w:abstractNumId w:val="30"/>
  </w:num>
  <w:num w:numId="91" w16cid:durableId="2035840927">
    <w:abstractNumId w:val="31"/>
  </w:num>
  <w:num w:numId="92" w16cid:durableId="1652636077">
    <w:abstractNumId w:val="22"/>
  </w:num>
  <w:num w:numId="93" w16cid:durableId="1404135595">
    <w:abstractNumId w:val="17"/>
  </w:num>
  <w:num w:numId="94" w16cid:durableId="1083575500">
    <w:abstractNumId w:val="33"/>
  </w:num>
  <w:num w:numId="95" w16cid:durableId="413429448">
    <w:abstractNumId w:val="50"/>
  </w:num>
  <w:num w:numId="96" w16cid:durableId="968315303">
    <w:abstractNumId w:val="29"/>
  </w:num>
  <w:num w:numId="97" w16cid:durableId="925924021">
    <w:abstractNumId w:val="19"/>
  </w:num>
  <w:num w:numId="98" w16cid:durableId="1258563041">
    <w:abstractNumId w:val="19"/>
  </w:num>
  <w:num w:numId="99" w16cid:durableId="1471938627">
    <w:abstractNumId w:val="19"/>
  </w:num>
  <w:num w:numId="100" w16cid:durableId="923228207">
    <w:abstractNumId w:val="19"/>
  </w:num>
  <w:num w:numId="101" w16cid:durableId="1282758827">
    <w:abstractNumId w:val="19"/>
  </w:num>
  <w:num w:numId="102" w16cid:durableId="1551916789">
    <w:abstractNumId w:val="19"/>
  </w:num>
  <w:num w:numId="103" w16cid:durableId="571041833">
    <w:abstractNumId w:val="19"/>
  </w:num>
  <w:num w:numId="104" w16cid:durableId="972177469">
    <w:abstractNumId w:val="19"/>
  </w:num>
  <w:num w:numId="105" w16cid:durableId="473183129">
    <w:abstractNumId w:val="19"/>
  </w:num>
  <w:num w:numId="106" w16cid:durableId="1154446011">
    <w:abstractNumId w:val="19"/>
  </w:num>
  <w:num w:numId="107" w16cid:durableId="1241064399">
    <w:abstractNumId w:val="19"/>
  </w:num>
  <w:num w:numId="108" w16cid:durableId="1950165176">
    <w:abstractNumId w:val="19"/>
  </w:num>
  <w:num w:numId="109" w16cid:durableId="1225529387">
    <w:abstractNumId w:val="19"/>
  </w:num>
  <w:num w:numId="110" w16cid:durableId="1370302179">
    <w:abstractNumId w:val="14"/>
  </w:num>
  <w:num w:numId="111" w16cid:durableId="27997612">
    <w:abstractNumId w:val="14"/>
  </w:num>
  <w:num w:numId="112" w16cid:durableId="982082180">
    <w:abstractNumId w:val="14"/>
  </w:num>
  <w:num w:numId="113" w16cid:durableId="999695693">
    <w:abstractNumId w:val="14"/>
  </w:num>
  <w:num w:numId="114" w16cid:durableId="590309773">
    <w:abstractNumId w:val="14"/>
  </w:num>
  <w:num w:numId="115" w16cid:durableId="321466282">
    <w:abstractNumId w:val="14"/>
  </w:num>
  <w:num w:numId="116" w16cid:durableId="931351100">
    <w:abstractNumId w:val="14"/>
  </w:num>
  <w:num w:numId="117" w16cid:durableId="492767661">
    <w:abstractNumId w:val="14"/>
  </w:num>
  <w:num w:numId="118" w16cid:durableId="1799452368">
    <w:abstractNumId w:val="14"/>
  </w:num>
  <w:num w:numId="119" w16cid:durableId="1378166069">
    <w:abstractNumId w:val="14"/>
  </w:num>
  <w:num w:numId="120" w16cid:durableId="463163932">
    <w:abstractNumId w:val="14"/>
  </w:num>
  <w:num w:numId="121" w16cid:durableId="958342275">
    <w:abstractNumId w:val="14"/>
  </w:num>
  <w:num w:numId="122" w16cid:durableId="1949389507">
    <w:abstractNumId w:val="14"/>
  </w:num>
  <w:num w:numId="123" w16cid:durableId="1150825536">
    <w:abstractNumId w:val="14"/>
  </w:num>
  <w:num w:numId="124" w16cid:durableId="1083531742">
    <w:abstractNumId w:val="14"/>
  </w:num>
  <w:num w:numId="125" w16cid:durableId="1066490725">
    <w:abstractNumId w:val="14"/>
  </w:num>
  <w:num w:numId="126" w16cid:durableId="2136212646">
    <w:abstractNumId w:val="14"/>
  </w:num>
  <w:num w:numId="127" w16cid:durableId="1906986059">
    <w:abstractNumId w:val="14"/>
  </w:num>
  <w:num w:numId="128" w16cid:durableId="214389113">
    <w:abstractNumId w:val="30"/>
  </w:num>
  <w:num w:numId="129" w16cid:durableId="1306086364">
    <w:abstractNumId w:val="25"/>
  </w:num>
  <w:num w:numId="130" w16cid:durableId="233201871">
    <w:abstractNumId w:val="14"/>
  </w:num>
  <w:num w:numId="131" w16cid:durableId="753741643">
    <w:abstractNumId w:val="14"/>
  </w:num>
  <w:num w:numId="132" w16cid:durableId="455834951">
    <w:abstractNumId w:val="14"/>
  </w:num>
  <w:num w:numId="133" w16cid:durableId="1651906610">
    <w:abstractNumId w:val="14"/>
  </w:num>
  <w:num w:numId="134" w16cid:durableId="1507593602">
    <w:abstractNumId w:val="14"/>
  </w:num>
  <w:num w:numId="135" w16cid:durableId="1762137124">
    <w:abstractNumId w:val="14"/>
  </w:num>
  <w:num w:numId="136" w16cid:durableId="1630625495">
    <w:abstractNumId w:val="14"/>
  </w:num>
  <w:num w:numId="137" w16cid:durableId="508525553">
    <w:abstractNumId w:val="14"/>
  </w:num>
  <w:num w:numId="138" w16cid:durableId="664094161">
    <w:abstractNumId w:val="14"/>
  </w:num>
  <w:num w:numId="139" w16cid:durableId="575668443">
    <w:abstractNumId w:val="50"/>
  </w:num>
  <w:num w:numId="140" w16cid:durableId="232083748">
    <w:abstractNumId w:val="17"/>
  </w:num>
  <w:num w:numId="141" w16cid:durableId="391781571">
    <w:abstractNumId w:val="33"/>
  </w:num>
  <w:num w:numId="142" w16cid:durableId="240452187">
    <w:abstractNumId w:val="29"/>
  </w:num>
  <w:num w:numId="143" w16cid:durableId="2136824619">
    <w:abstractNumId w:val="31"/>
  </w:num>
  <w:num w:numId="144" w16cid:durableId="1526022068">
    <w:abstractNumId w:val="49"/>
  </w:num>
  <w:num w:numId="145" w16cid:durableId="229079301">
    <w:abstractNumId w:val="30"/>
  </w:num>
  <w:num w:numId="146" w16cid:durableId="151485133">
    <w:abstractNumId w:val="21"/>
  </w:num>
  <w:num w:numId="147" w16cid:durableId="1584798297">
    <w:abstractNumId w:val="22"/>
  </w:num>
  <w:num w:numId="148" w16cid:durableId="2131779962">
    <w:abstractNumId w:val="11"/>
  </w:num>
  <w:num w:numId="149" w16cid:durableId="1227111170">
    <w:abstractNumId w:val="14"/>
  </w:num>
  <w:num w:numId="150" w16cid:durableId="97144070">
    <w:abstractNumId w:val="42"/>
  </w:num>
  <w:num w:numId="151" w16cid:durableId="558248770">
    <w:abstractNumId w:val="39"/>
  </w:num>
  <w:num w:numId="152" w16cid:durableId="551575623">
    <w:abstractNumId w:val="22"/>
  </w:num>
  <w:num w:numId="153" w16cid:durableId="1453086045">
    <w:abstractNumId w:val="44"/>
  </w:num>
  <w:num w:numId="154" w16cid:durableId="504788640">
    <w:abstractNumId w:val="44"/>
  </w:num>
  <w:num w:numId="155" w16cid:durableId="774783920">
    <w:abstractNumId w:val="44"/>
  </w:num>
  <w:num w:numId="156" w16cid:durableId="1746998782">
    <w:abstractNumId w:val="44"/>
  </w:num>
  <w:num w:numId="157" w16cid:durableId="1682052018">
    <w:abstractNumId w:val="18"/>
  </w:num>
  <w:num w:numId="158" w16cid:durableId="883491358">
    <w:abstractNumId w:val="18"/>
  </w:num>
  <w:num w:numId="159" w16cid:durableId="1973516292">
    <w:abstractNumId w:val="18"/>
  </w:num>
  <w:num w:numId="160" w16cid:durableId="120880312">
    <w:abstractNumId w:val="18"/>
  </w:num>
  <w:num w:numId="161" w16cid:durableId="1648046043">
    <w:abstractNumId w:val="32"/>
  </w:num>
  <w:num w:numId="162" w16cid:durableId="649478411">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20414698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21052057">
    <w:abstractNumId w:val="31"/>
    <w:lvlOverride w:ilvl="0">
      <w:startOverride w:val="1"/>
    </w:lvlOverride>
  </w:num>
  <w:num w:numId="165" w16cid:durableId="100805139">
    <w:abstractNumId w:val="50"/>
    <w:lvlOverride w:ilvl="0"/>
  </w:num>
  <w:num w:numId="166" w16cid:durableId="1266114345">
    <w:abstractNumId w:val="33"/>
    <w:lvlOverride w:ilvl="0"/>
  </w:num>
  <w:num w:numId="167" w16cid:durableId="2025666383">
    <w:abstractNumId w:val="29"/>
    <w:lvlOverride w:ilvl="0">
      <w:startOverride w:val="1"/>
    </w:lvlOverride>
  </w:num>
  <w:num w:numId="168" w16cid:durableId="2114008914">
    <w:abstractNumId w:val="49"/>
    <w:lvlOverride w:ilvl="0">
      <w:startOverride w:val="1"/>
    </w:lvlOverride>
  </w:num>
  <w:num w:numId="169" w16cid:durableId="255947255">
    <w:abstractNumId w:val="11"/>
    <w:lvlOverride w:ilvl="0">
      <w:startOverride w:val="1"/>
    </w:lvlOverride>
  </w:num>
  <w:num w:numId="170" w16cid:durableId="1866097895">
    <w:abstractNumId w:val="17"/>
    <w:lvlOverride w:ilvl="0"/>
  </w:num>
  <w:num w:numId="171" w16cid:durableId="982387935">
    <w:abstractNumId w:val="21"/>
    <w:lvlOverride w:ilvl="0">
      <w:startOverride w:val="1"/>
    </w:lvlOverride>
  </w:num>
  <w:num w:numId="172" w16cid:durableId="81531980">
    <w:abstractNumId w:val="22"/>
    <w:lvlOverride w:ilvl="0">
      <w:startOverride w:val="1"/>
    </w:lvlOverride>
  </w:num>
  <w:num w:numId="173" w16cid:durableId="1341733887">
    <w:abstractNumId w:val="30"/>
    <w:lvlOverride w:ilvl="0">
      <w:startOverride w:val="1"/>
    </w:lvlOverride>
  </w:num>
  <w:num w:numId="174" w16cid:durableId="1950163386">
    <w:abstractNumId w:val="32"/>
    <w:lvlOverride w:ilvl="0">
      <w:startOverride w:val="1"/>
    </w:lvlOverride>
  </w:num>
  <w:num w:numId="175" w16cid:durableId="399987448">
    <w:abstractNumId w:val="20"/>
  </w:num>
  <w:num w:numId="176" w16cid:durableId="1185367998">
    <w:abstractNumId w:val="20"/>
    <w:lvlOverride w:ilvl="0">
      <w:startOverride w:val="8"/>
    </w:lvlOverride>
  </w:num>
  <w:num w:numId="177" w16cid:durableId="58213795">
    <w:abstractNumId w:val="36"/>
  </w:num>
  <w:num w:numId="178" w16cid:durableId="1347361927">
    <w:abstractNumId w:val="36"/>
    <w:lvlOverride w:ilvl="0">
      <w:startOverride w:val="1"/>
    </w:lvlOverride>
  </w:num>
  <w:num w:numId="179" w16cid:durableId="780346414">
    <w:abstractNumId w:val="15"/>
  </w:num>
  <w:num w:numId="180" w16cid:durableId="712074453">
    <w:abstractNumId w:val="15"/>
    <w:lvlOverride w:ilvl="0">
      <w:startOverride w:val="1"/>
    </w:lvlOverride>
  </w:num>
  <w:num w:numId="181" w16cid:durableId="413087403">
    <w:abstractNumId w:val="38"/>
  </w:num>
  <w:num w:numId="182" w16cid:durableId="203248795">
    <w:abstractNumId w:val="38"/>
    <w:lvlOverride w:ilvl="0">
      <w:startOverride w:val="1"/>
    </w:lvlOverride>
  </w:num>
  <w:num w:numId="183" w16cid:durableId="273291629">
    <w:abstractNumId w:val="26"/>
  </w:num>
  <w:num w:numId="184" w16cid:durableId="808936288">
    <w:abstractNumId w:val="26"/>
    <w:lvlOverride w:ilvl="0">
      <w:startOverride w:val="1"/>
    </w:lvlOverride>
  </w:num>
  <w:num w:numId="185" w16cid:durableId="783768390">
    <w:abstractNumId w:val="41"/>
  </w:num>
  <w:num w:numId="186" w16cid:durableId="1241522620">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13FF4"/>
    <w:rsid w:val="00113A48"/>
    <w:rsid w:val="002B1676"/>
    <w:rsid w:val="002C3790"/>
    <w:rsid w:val="003044AB"/>
    <w:rsid w:val="003539B3"/>
    <w:rsid w:val="00373BAB"/>
    <w:rsid w:val="00394CEC"/>
    <w:rsid w:val="003F6B42"/>
    <w:rsid w:val="0041612C"/>
    <w:rsid w:val="004D77A5"/>
    <w:rsid w:val="005E1750"/>
    <w:rsid w:val="007055FF"/>
    <w:rsid w:val="00711EFE"/>
    <w:rsid w:val="00762866"/>
    <w:rsid w:val="00790A0E"/>
    <w:rsid w:val="00893675"/>
    <w:rsid w:val="00966180"/>
    <w:rsid w:val="009C6FD9"/>
    <w:rsid w:val="009D54F0"/>
    <w:rsid w:val="00AA538E"/>
    <w:rsid w:val="00C42F8A"/>
    <w:rsid w:val="00C942E1"/>
    <w:rsid w:val="00CF30D7"/>
    <w:rsid w:val="00D5063E"/>
    <w:rsid w:val="00D65B73"/>
    <w:rsid w:val="00E33CB1"/>
    <w:rsid w:val="00E720D7"/>
    <w:rsid w:val="00F016BD"/>
    <w:rsid w:val="00F63D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BE6384FF-FD79-445F-A95F-F23F6942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Ballongtext">
    <w:name w:val="Balloon Text"/>
    <w:basedOn w:val="Normal"/>
    <w:semiHidden/>
    <w:rPr>
      <w:rFonts w:ascii="Tahoma" w:hAnsi="Tahoma" w:cs="Tahoma"/>
      <w:sz w:val="16"/>
      <w:szCs w:val="16"/>
    </w:rPr>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5E1750"/>
    <w:pPr>
      <w:shd w:val="clear" w:color="auto" w:fill="000080"/>
    </w:pPr>
    <w:rPr>
      <w:rFonts w:ascii="Tahoma" w:hAnsi="Tahoma" w:cs="Tahoma"/>
    </w:rPr>
  </w:style>
  <w:style w:type="character" w:styleId="AnvndHyperlnk">
    <w:name w:val="FollowedHyperlink"/>
    <w:basedOn w:val="Standardstycketeckensnitt"/>
    <w:rsid w:val="00893675"/>
    <w:rPr>
      <w:color w:val="800080"/>
      <w:u w:val="single"/>
    </w:rPr>
  </w:style>
  <w:style w:type="paragraph" w:customStyle="1" w:styleId="Institutionquiagit">
    <w:name w:val="Institution qui agit"/>
    <w:basedOn w:val="Normal"/>
    <w:next w:val="Normal"/>
    <w:rsid w:val="00893675"/>
    <w:pPr>
      <w:keepNext/>
      <w:widowControl/>
      <w:spacing w:before="600" w:after="120" w:line="240" w:lineRule="auto"/>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12501</Words>
  <Characters>79387</Characters>
  <Application>Microsoft Office Word</Application>
  <DocSecurity>4</DocSecurity>
  <Lines>2145</Lines>
  <Paragraphs>759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91129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2006-01-06T09:51:00Z</cp:lastPrinted>
  <dcterms:created xsi:type="dcterms:W3CDTF">2025-12-16T23:06:00Z</dcterms:created>
  <dcterms:modified xsi:type="dcterms:W3CDTF">2025-12-16T23:06:00Z</dcterms:modified>
</cp:coreProperties>
</file>