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5FA0A900-9108-4D5F-8F8B-9BDDD25AF1DB}"/>
</file>

<file path=customXml/itemProps3.xml><?xml version="1.0" encoding="utf-8"?>
<ds:datastoreItem xmlns:ds="http://schemas.openxmlformats.org/officeDocument/2006/customXml" ds:itemID="{B0D770C9-FD6E-4961-975A-1F1DDC15A293}"/>
</file>

<file path=customXml/itemProps4.xml><?xml version="1.0" encoding="utf-8"?>
<ds:datastoreItem xmlns:ds="http://schemas.openxmlformats.org/officeDocument/2006/customXml" ds:itemID="{B5161448-5516-4F61-9065-C6E75E49B011}"/>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