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D62A0">
        <w:tblPrEx>
          <w:tblCellMar>
            <w:top w:w="0" w:type="dxa"/>
            <w:bottom w:w="0" w:type="dxa"/>
          </w:tblCellMar>
        </w:tblPrEx>
        <w:trPr>
          <w:cantSplit/>
          <w:trHeight w:hRule="exact" w:val="1260"/>
        </w:trPr>
        <w:tc>
          <w:tcPr>
            <w:tcW w:w="6024" w:type="dxa"/>
            <w:gridSpan w:val="2"/>
            <w:vMerge w:val="restart"/>
          </w:tcPr>
          <w:p w:rsidR="00524B4B" w:rsidRPr="00AD62A0" w:rsidRDefault="00524B4B">
            <w:pPr>
              <w:pStyle w:val="HuvudRubrik"/>
            </w:pPr>
            <w:bookmarkStart w:id="0" w:name="BetänkandeRubrik"/>
            <w:bookmarkEnd w:id="0"/>
            <w:r w:rsidRPr="00AD62A0">
              <w:t>Utrikesutskottets yttrande</w:t>
            </w:r>
            <w:r w:rsidR="00AD62A0" w:rsidRPr="00AD62A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5250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24B4B" w:rsidRPr="00AD62A0" w:rsidRDefault="00524B4B">
                                  <w:pPr>
                                    <w:pStyle w:val="Logo"/>
                                  </w:pPr>
                                  <w:r w:rsidRPr="00AD62A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6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24B4B" w:rsidRPr="00AD62A0" w:rsidRDefault="00524B4B">
                            <w:pPr>
                              <w:pStyle w:val="Logo"/>
                            </w:pPr>
                            <w:r w:rsidRPr="00AD62A0">
                              <w:object w:dxaOrig="840" w:dyaOrig="1545">
                                <v:shape id="_x0000_i1025" type="#_x0000_t75" style="width:90.45pt;height:77.15pt" fillcolor="window">
                                  <v:imagedata r:id="rId6" o:title="" cropright="-75835f"/>
                                </v:shape>
                                <o:OLEObject Type="Embed" ProgID="Word.Picture.8" ShapeID="_x0000_i1025" DrawAspect="Content" ObjectID="_1827347961" r:id="rId8"/>
                              </w:object>
                            </w:r>
                          </w:p>
                        </w:txbxContent>
                      </v:textbox>
                      <w10:wrap anchorx="page" anchory="page"/>
                    </v:shape>
                  </w:pict>
                </mc:Fallback>
              </mc:AlternateContent>
            </w:r>
          </w:p>
          <w:p w:rsidR="00524B4B" w:rsidRPr="00AD62A0" w:rsidRDefault="00524B4B">
            <w:pPr>
              <w:pStyle w:val="HuvudRubrikRad2"/>
            </w:pPr>
            <w:bookmarkStart w:id="17" w:name="BetänkandeNr"/>
            <w:bookmarkEnd w:id="17"/>
            <w:r w:rsidRPr="00AD62A0">
              <w:t>1999/2000:UU2y</w:t>
            </w:r>
          </w:p>
          <w:p w:rsidR="00524B4B" w:rsidRPr="00AD62A0" w:rsidRDefault="00524B4B">
            <w:pPr>
              <w:pStyle w:val="BetnkandeRubrik"/>
            </w:pPr>
            <w:bookmarkStart w:id="18" w:name="Huvudrubrik"/>
            <w:bookmarkEnd w:id="18"/>
            <w:r w:rsidRPr="00AD62A0">
              <w:t>Riksdagens skrivelser till regeringen</w:t>
            </w:r>
          </w:p>
        </w:tc>
        <w:tc>
          <w:tcPr>
            <w:tcW w:w="1559" w:type="dxa"/>
            <w:tcBorders>
              <w:bottom w:val="nil"/>
            </w:tcBorders>
          </w:tcPr>
          <w:p w:rsidR="00524B4B" w:rsidRPr="00AD62A0" w:rsidRDefault="00524B4B">
            <w:pPr>
              <w:spacing w:before="0" w:line="230" w:lineRule="auto"/>
              <w:rPr>
                <w:sz w:val="24"/>
              </w:rPr>
            </w:pPr>
          </w:p>
        </w:tc>
      </w:tr>
      <w:tr w:rsidR="00000000" w:rsidRPr="00AD62A0">
        <w:tblPrEx>
          <w:tblCellMar>
            <w:top w:w="0" w:type="dxa"/>
            <w:bottom w:w="0" w:type="dxa"/>
          </w:tblCellMar>
        </w:tblPrEx>
        <w:trPr>
          <w:cantSplit/>
          <w:trHeight w:hRule="exact" w:val="240"/>
        </w:trPr>
        <w:tc>
          <w:tcPr>
            <w:tcW w:w="6024" w:type="dxa"/>
            <w:gridSpan w:val="2"/>
            <w:vMerge/>
            <w:tcBorders>
              <w:top w:val="nil"/>
              <w:bottom w:val="nil"/>
            </w:tcBorders>
          </w:tcPr>
          <w:p w:rsidR="00524B4B" w:rsidRPr="00AD62A0" w:rsidRDefault="00524B4B">
            <w:pPr>
              <w:spacing w:before="40" w:after="900" w:line="280" w:lineRule="exact"/>
              <w:jc w:val="left"/>
              <w:rPr>
                <w:sz w:val="28"/>
              </w:rPr>
            </w:pPr>
          </w:p>
        </w:tc>
        <w:tc>
          <w:tcPr>
            <w:tcW w:w="1559" w:type="dxa"/>
          </w:tcPr>
          <w:p w:rsidR="00524B4B" w:rsidRPr="00AD62A0" w:rsidRDefault="00524B4B">
            <w:pPr>
              <w:pStyle w:val="rtal"/>
            </w:pPr>
            <w:r w:rsidRPr="00AD62A0">
              <w:t>1999/2000</w:t>
            </w:r>
          </w:p>
        </w:tc>
      </w:tr>
      <w:tr w:rsidR="00000000" w:rsidRPr="00AD62A0">
        <w:tblPrEx>
          <w:tblCellMar>
            <w:top w:w="0" w:type="dxa"/>
            <w:bottom w:w="0" w:type="dxa"/>
          </w:tblCellMar>
        </w:tblPrEx>
        <w:trPr>
          <w:cantSplit/>
          <w:trHeight w:val="560"/>
        </w:trPr>
        <w:tc>
          <w:tcPr>
            <w:tcW w:w="6024" w:type="dxa"/>
            <w:gridSpan w:val="2"/>
            <w:vMerge/>
            <w:tcBorders>
              <w:top w:val="nil"/>
              <w:bottom w:val="single" w:sz="6" w:space="0" w:color="auto"/>
            </w:tcBorders>
          </w:tcPr>
          <w:p w:rsidR="00524B4B" w:rsidRPr="00AD62A0" w:rsidRDefault="00524B4B">
            <w:pPr>
              <w:spacing w:before="40" w:after="900" w:line="280" w:lineRule="exact"/>
              <w:jc w:val="left"/>
              <w:rPr>
                <w:sz w:val="28"/>
              </w:rPr>
            </w:pPr>
          </w:p>
        </w:tc>
        <w:tc>
          <w:tcPr>
            <w:tcW w:w="1559" w:type="dxa"/>
            <w:tcBorders>
              <w:bottom w:val="single" w:sz="6" w:space="0" w:color="auto"/>
            </w:tcBorders>
          </w:tcPr>
          <w:p w:rsidR="00524B4B" w:rsidRPr="00AD62A0" w:rsidRDefault="00524B4B">
            <w:pPr>
              <w:pStyle w:val="rtal"/>
            </w:pPr>
            <w:r w:rsidRPr="00AD62A0">
              <w:t>UU2y</w:t>
            </w:r>
          </w:p>
        </w:tc>
      </w:tr>
      <w:tr w:rsidR="00000000" w:rsidRPr="00AD62A0">
        <w:tblPrEx>
          <w:tblCellMar>
            <w:top w:w="0" w:type="dxa"/>
            <w:bottom w:w="0" w:type="dxa"/>
          </w:tblCellMar>
        </w:tblPrEx>
        <w:trPr>
          <w:cantSplit/>
          <w:trHeight w:hRule="exact" w:val="660"/>
        </w:trPr>
        <w:tc>
          <w:tcPr>
            <w:tcW w:w="3012" w:type="dxa"/>
          </w:tcPr>
          <w:p w:rsidR="00524B4B" w:rsidRPr="00AD62A0" w:rsidRDefault="00524B4B">
            <w:pPr>
              <w:pStyle w:val="StatusSida1"/>
            </w:pPr>
          </w:p>
        </w:tc>
        <w:tc>
          <w:tcPr>
            <w:tcW w:w="3012" w:type="dxa"/>
          </w:tcPr>
          <w:p w:rsidR="00524B4B" w:rsidRPr="00AD62A0" w:rsidRDefault="00524B4B">
            <w:pPr>
              <w:pStyle w:val="UtskriftsdatumSida1"/>
              <w:rPr>
                <w:b/>
                <w:sz w:val="28"/>
              </w:rPr>
            </w:pPr>
          </w:p>
        </w:tc>
        <w:tc>
          <w:tcPr>
            <w:tcW w:w="1559" w:type="dxa"/>
          </w:tcPr>
          <w:p w:rsidR="00524B4B" w:rsidRPr="00AD62A0" w:rsidRDefault="00524B4B"/>
        </w:tc>
      </w:tr>
    </w:tbl>
    <w:p w:rsidR="00524B4B" w:rsidRPr="00AD62A0" w:rsidRDefault="00524B4B">
      <w:pPr>
        <w:pStyle w:val="Rubrik1"/>
        <w:spacing w:before="0"/>
      </w:pPr>
      <w:bookmarkStart w:id="19" w:name="_Toc466082825"/>
      <w:r w:rsidRPr="00AD62A0">
        <w:t>Till konstitutionsutskottet</w:t>
      </w:r>
      <w:bookmarkEnd w:id="19"/>
    </w:p>
    <w:p w:rsidR="00524B4B" w:rsidRPr="00AD62A0" w:rsidRDefault="00524B4B">
      <w:bookmarkStart w:id="20" w:name="Textstart"/>
      <w:bookmarkEnd w:id="20"/>
      <w:r w:rsidRPr="00AD62A0">
        <w:t>Konstitutionsutskottet har den 6 maj 1999 berett samtliga utskott tillfälle att yttra sig över regeringens skrivelse 1998/99:75, Redogörelse för behandlin</w:t>
      </w:r>
      <w:r w:rsidRPr="00AD62A0">
        <w:t>g</w:t>
      </w:r>
      <w:r w:rsidRPr="00AD62A0">
        <w:t>en av riksdagens skrivelser till regeringen, i de delar som har samband med respektive utskotts beredningsområde.</w:t>
      </w:r>
    </w:p>
    <w:p w:rsidR="00524B4B" w:rsidRPr="00AD62A0" w:rsidRDefault="00524B4B">
      <w:pPr>
        <w:pStyle w:val="Normaltindrag"/>
      </w:pPr>
      <w:r w:rsidRPr="00AD62A0">
        <w:t>Ingen motion har väckts på utrikesutskottets beredningsområde med a</w:t>
      </w:r>
      <w:r w:rsidRPr="00AD62A0">
        <w:t>n</w:t>
      </w:r>
      <w:r w:rsidRPr="00AD62A0">
        <w:t>ledning av skr</w:t>
      </w:r>
      <w:r w:rsidRPr="00AD62A0">
        <w:t>i</w:t>
      </w:r>
      <w:r w:rsidRPr="00AD62A0">
        <w:t>velsen.</w:t>
      </w:r>
    </w:p>
    <w:p w:rsidR="00524B4B" w:rsidRPr="00AD62A0" w:rsidRDefault="00524B4B">
      <w:pPr>
        <w:pStyle w:val="Rubrik1"/>
      </w:pPr>
      <w:bookmarkStart w:id="21" w:name="_Toc466082826"/>
      <w:r w:rsidRPr="00AD62A0">
        <w:t>Utskottet</w:t>
      </w:r>
      <w:bookmarkEnd w:id="21"/>
    </w:p>
    <w:p w:rsidR="00524B4B" w:rsidRPr="00AD62A0" w:rsidRDefault="00524B4B">
      <w:r w:rsidRPr="00AD62A0">
        <w:t>I skrivelse 1998/99:75 redovisar regeringen vilka åtgärder den vidtagit med anledning av bl.a. 20 riksdagsskrivelser på utrikesutskottets beredningsomr</w:t>
      </w:r>
      <w:r w:rsidRPr="00AD62A0">
        <w:t>å</w:t>
      </w:r>
      <w:r w:rsidRPr="00AD62A0">
        <w:t>de avlämnade under riksmötena 1997/98 och 1998/99.</w:t>
      </w:r>
    </w:p>
    <w:p w:rsidR="00524B4B" w:rsidRPr="00AD62A0" w:rsidRDefault="00524B4B">
      <w:pPr>
        <w:pStyle w:val="Normaltindrag"/>
      </w:pPr>
      <w:r w:rsidRPr="00AD62A0">
        <w:t>15 skrivelser som avlämnats under riksmötet 1996/97 redovisas som slu</w:t>
      </w:r>
      <w:r w:rsidRPr="00AD62A0">
        <w:t>t</w:t>
      </w:r>
      <w:r w:rsidRPr="00AD62A0">
        <w:t>behandlade av regeringen. Beträffande riksmötet 1997/98 redovisar reg</w:t>
      </w:r>
      <w:r w:rsidRPr="00AD62A0">
        <w:t>e</w:t>
      </w:r>
      <w:r w:rsidRPr="00AD62A0">
        <w:t>ringen åtgärder med anledning av fem riksdagsskrivelser på utrikesutskottets beredningsområde. Med ett undantag anges dessa skrivelser vara slutb</w:t>
      </w:r>
      <w:r w:rsidRPr="00AD62A0">
        <w:t>e</w:t>
      </w:r>
      <w:r w:rsidRPr="00AD62A0">
        <w:t>handlade.</w:t>
      </w:r>
    </w:p>
    <w:p w:rsidR="00524B4B" w:rsidRPr="00AD62A0" w:rsidRDefault="00524B4B">
      <w:r w:rsidRPr="00AD62A0">
        <w:t>Utskottet anser att regeringens skrivelse 1998/99:75 i allt väsentligt ger en god bild av regeringens åtgärder inom utrikesutskottets beredningsområde. Utskottet har funnit att regeringen vidtagit åtgärder i enlighet med riksdagens beslut och att ärendena – såvitt utskottet kan bedöma</w:t>
      </w:r>
      <w:r w:rsidRPr="00AD62A0">
        <w:t xml:space="preserve"> – har beretts på ett tillfredsställande sätt. Utöver dessa generella iakttagelser vill utskottet göra följande kommentarer till regeringens red</w:t>
      </w:r>
      <w:r w:rsidRPr="00AD62A0">
        <w:t>o</w:t>
      </w:r>
      <w:r w:rsidRPr="00AD62A0">
        <w:t>visning.</w:t>
      </w:r>
    </w:p>
    <w:p w:rsidR="00524B4B" w:rsidRPr="00AD62A0" w:rsidRDefault="00524B4B">
      <w:r w:rsidRPr="00AD62A0">
        <w:t>Den skrivelse från riksmötet 1997/98 som inte slutbehandlats avser betä</w:t>
      </w:r>
      <w:r w:rsidRPr="00AD62A0">
        <w:t>n</w:t>
      </w:r>
      <w:r w:rsidRPr="00AD62A0">
        <w:t>kandet 1998/99:UU2 utgiftsområde 7 Internationellt bistånd. Regeringen redovisar att den har beslutat om regleringsbrev avseende de beslut riksdagen fattade i skrivelsens moment 4, 5, 6, 12, 45 och 57. Vad gäller riksdagens beslut i mom. 16 om redogörelse för de mänskliga rättigheterna anger reg</w:t>
      </w:r>
      <w:r w:rsidRPr="00AD62A0">
        <w:t>e</w:t>
      </w:r>
      <w:r w:rsidRPr="00AD62A0">
        <w:t>ringen att den avser återkomma till riksdagen under hösten 1999 i samband med bu</w:t>
      </w:r>
      <w:r w:rsidRPr="00AD62A0">
        <w:t>d</w:t>
      </w:r>
      <w:r w:rsidRPr="00AD62A0">
        <w:t xml:space="preserve">getförslaget. </w:t>
      </w:r>
    </w:p>
    <w:p w:rsidR="00524B4B" w:rsidRPr="00AD62A0" w:rsidRDefault="00524B4B">
      <w:pPr>
        <w:pStyle w:val="Normaltindrag"/>
      </w:pPr>
      <w:r w:rsidRPr="00AD62A0">
        <w:t>Riksdagen gjorde i betänkande 1998/99:UU2 ett tillkännagivande om att regeringen årligen i samband med budgetförslaget</w:t>
      </w:r>
      <w:r w:rsidRPr="00AD62A0">
        <w:t xml:space="preserve"> bör tillställa riksdagen en rapport om situationen och utvecklingen när det gäller mänskliga rättigheter och demokrati i mottagarländerna för svenskt bistånd.</w:t>
      </w:r>
    </w:p>
    <w:p w:rsidR="00524B4B" w:rsidRPr="00AD62A0" w:rsidRDefault="00524B4B">
      <w:pPr>
        <w:pStyle w:val="Normaltindrag"/>
      </w:pPr>
      <w:r w:rsidRPr="00AD62A0">
        <w:lastRenderedPageBreak/>
        <w:t xml:space="preserve">I budgetpropositionen 1999/2000:1 utgiftsområde 7 meddelade regeringen att den i enlighet med riksdagens begäran avsåg att lämna en redogörelse för situationen och utvecklingen vad gäller mänskliga rättigheter och demokrati i mottagarländerna i </w:t>
      </w:r>
      <w:r w:rsidRPr="00AD62A0">
        <w:rPr>
          <w:i/>
        </w:rPr>
        <w:t>Sveriges internationella utvecklingssamarbete, Årsbok 1999</w:t>
      </w:r>
      <w:r w:rsidRPr="00AD62A0">
        <w:t xml:space="preserve">. Årsboken, som utgivits under ett antal år, brukar innehålla en utförlig redogörelse för verksamhet och resultat inom biståndet, fördelat på mål, länder och verksamhetsgrenar. </w:t>
      </w:r>
    </w:p>
    <w:p w:rsidR="00524B4B" w:rsidRPr="00AD62A0" w:rsidRDefault="00524B4B">
      <w:pPr>
        <w:pStyle w:val="Normaltindrag"/>
      </w:pPr>
      <w:r w:rsidRPr="00AD62A0">
        <w:t xml:space="preserve">Årsboken utges normalt samtidigt som budgetpropositionen. Utskottet har från Regeringskansliet inhämtat att </w:t>
      </w:r>
      <w:r w:rsidRPr="00AD62A0">
        <w:rPr>
          <w:i/>
        </w:rPr>
        <w:t>Årsbok 1999</w:t>
      </w:r>
      <w:r w:rsidRPr="00AD62A0">
        <w:t xml:space="preserve"> kommer att ges ut under hösten 1999 och troligen innan utskottet justerar betänkandet för internati</w:t>
      </w:r>
      <w:r w:rsidRPr="00AD62A0">
        <w:t>o</w:t>
      </w:r>
      <w:r w:rsidRPr="00AD62A0">
        <w:t xml:space="preserve">nellt bistånd. Därmed skulle riksdagens begäran om en tydligare redovisning om förhållandena beträffande mänskliga rättigheter i de länder som mottar svenskt bistånd ha uppfyllts. </w:t>
      </w:r>
    </w:p>
    <w:p w:rsidR="00524B4B" w:rsidRPr="00AD62A0" w:rsidRDefault="00524B4B">
      <w:r w:rsidRPr="00AD62A0">
        <w:t>I samband med riksdagens behandling av regeringens förslag till en Asie</w:t>
      </w:r>
      <w:r w:rsidRPr="00AD62A0">
        <w:t>n</w:t>
      </w:r>
      <w:r w:rsidRPr="00AD62A0">
        <w:t>strategi (bet. 1998/99:UU11) gjorde riksdagen ett tillkännagivande om rel</w:t>
      </w:r>
      <w:r w:rsidRPr="00AD62A0">
        <w:t>i</w:t>
      </w:r>
      <w:r w:rsidRPr="00AD62A0">
        <w:t>gionsperspektivets betydelse i det framtida Asiensamarbetet. Eftersom til</w:t>
      </w:r>
      <w:r w:rsidRPr="00AD62A0">
        <w:t>l</w:t>
      </w:r>
      <w:r w:rsidRPr="00AD62A0">
        <w:t>kännagivandet gjordes under våren redovisar inte regeringen detta i skrivelse 1998/99:75. I budgetpropositionen 1999/2000:1 skriver dock regeringen under utgiftsområde 7, s. 50, att den ”[i] enlighet med riksdagens önskemål avser [...] att komplettera arbetet med att utveckla Asienstrategin med fö</w:t>
      </w:r>
      <w:r w:rsidRPr="00AD62A0">
        <w:t>r</w:t>
      </w:r>
      <w:r w:rsidRPr="00AD62A0">
        <w:t xml:space="preserve">stärkt kunskapsinhämtning om religionens betydelse och roll och </w:t>
      </w:r>
      <w:r w:rsidRPr="00AD62A0">
        <w:t>hur detta kan förbä</w:t>
      </w:r>
      <w:r w:rsidRPr="00AD62A0">
        <w:t>t</w:t>
      </w:r>
      <w:r w:rsidRPr="00AD62A0">
        <w:t>tra vårt partnerskap med Asien”.</w:t>
      </w:r>
    </w:p>
    <w:p w:rsidR="00524B4B" w:rsidRPr="00AD62A0" w:rsidRDefault="00524B4B">
      <w:pPr>
        <w:pStyle w:val="Normaltindrag"/>
      </w:pPr>
      <w:r w:rsidRPr="00AD62A0">
        <w:t>Givet tillkännagivandets natur anser utskottet att regeringen svårligen på ett mera konkret sätt kan tillmötesgå riksdagens önskemål. Utskottet vill därför redan nu ange att den anser riksdagens begäran vara tillgodosedd i och med att regeringen på detta sätt kompletterat implementeringen av den b</w:t>
      </w:r>
      <w:r w:rsidRPr="00AD62A0">
        <w:t>e</w:t>
      </w:r>
      <w:r w:rsidRPr="00AD62A0">
        <w:t>slutade Asienstrategin. Något behov av att regeringen återkommer i andra former torde därmed inte för</w:t>
      </w:r>
      <w:r w:rsidRPr="00AD62A0">
        <w:t>e</w:t>
      </w:r>
      <w:r w:rsidRPr="00AD62A0">
        <w:t>ligga.</w:t>
      </w:r>
    </w:p>
    <w:p w:rsidR="00524B4B" w:rsidRPr="00AD62A0" w:rsidRDefault="00524B4B">
      <w:pPr>
        <w:pStyle w:val="Stockholm"/>
      </w:pPr>
      <w:r w:rsidRPr="00AD62A0">
        <w:t>Stockholm den 28 oktober 1999</w:t>
      </w:r>
    </w:p>
    <w:p w:rsidR="00524B4B" w:rsidRPr="00AD62A0" w:rsidRDefault="00524B4B">
      <w:pPr>
        <w:pStyle w:val="Vgnar"/>
      </w:pPr>
      <w:r w:rsidRPr="00AD62A0">
        <w:t>På utrikesutskottets vägnar</w:t>
      </w:r>
    </w:p>
    <w:p w:rsidR="00524B4B" w:rsidRPr="00AD62A0" w:rsidRDefault="00524B4B">
      <w:pPr>
        <w:pStyle w:val="Ordfnamn"/>
      </w:pPr>
      <w:bookmarkStart w:id="22" w:name="Ordförande"/>
      <w:bookmarkEnd w:id="22"/>
      <w:r w:rsidRPr="00AD62A0">
        <w:t xml:space="preserve">Viola Furubjelke </w:t>
      </w:r>
      <w:bookmarkStart w:id="23" w:name="Deltagare"/>
      <w:bookmarkEnd w:id="23"/>
    </w:p>
    <w:p w:rsidR="00524B4B" w:rsidRPr="00AD62A0" w:rsidRDefault="00524B4B">
      <w:pPr>
        <w:pStyle w:val="Citat"/>
      </w:pPr>
      <w:r w:rsidRPr="00AD62A0">
        <w:t>I beslutet har deltagit: Viola Furubjelke (s), Göran Lennmarker (m), Sören Lekberg (s), Berndt Ekholm (s), Bertil Persson (m), Carina Hägg (s), Agneta Brendt (s), Jan Erik Ågren (kd), Sten Tolgfors (m), Marianne Samuelsson (mp), Marianne Andersson (c), Karl-Göran Biörsmark (fp), Marianne Jön</w:t>
      </w:r>
      <w:r w:rsidRPr="00AD62A0">
        <w:t>s</w:t>
      </w:r>
      <w:r w:rsidRPr="00AD62A0">
        <w:t>son (s), Karin E</w:t>
      </w:r>
      <w:r w:rsidRPr="00AD62A0">
        <w:t>n</w:t>
      </w:r>
      <w:r w:rsidRPr="00AD62A0">
        <w:t>ström (m) och Åke Carnerö (kd).</w:t>
      </w:r>
    </w:p>
    <w:p w:rsidR="00524B4B" w:rsidRPr="00AD62A0" w:rsidRDefault="00524B4B">
      <w:pPr>
        <w:pStyle w:val="Normaltindrag"/>
      </w:pPr>
    </w:p>
    <w:p w:rsidR="00524B4B" w:rsidRPr="00AD62A0" w:rsidRDefault="00524B4B">
      <w:pPr>
        <w:pStyle w:val="Rubrik1"/>
      </w:pPr>
    </w:p>
    <w:p w:rsidR="00524B4B" w:rsidRPr="00AD62A0" w:rsidRDefault="00524B4B"/>
    <w:p w:rsidR="00524B4B" w:rsidRPr="00AD62A0" w:rsidRDefault="00524B4B">
      <w:pPr>
        <w:pStyle w:val="Normaltindrag"/>
      </w:pPr>
      <w:bookmarkStart w:id="24" w:name="Nästa_Reservation"/>
      <w:bookmarkEnd w:id="24"/>
    </w:p>
    <w:p w:rsidR="00524B4B" w:rsidRPr="00AD62A0" w:rsidRDefault="00524B4B">
      <w:pPr>
        <w:pStyle w:val="Tryckort"/>
        <w:framePr w:wrap="around"/>
      </w:pPr>
      <w:r w:rsidRPr="00AD62A0">
        <w:t>Elanders Gotab, Stockholm  1999</w:t>
      </w:r>
    </w:p>
    <w:p w:rsidR="00524B4B" w:rsidRPr="00AD62A0" w:rsidRDefault="00524B4B">
      <w:pPr>
        <w:pStyle w:val="Normaltindrag"/>
      </w:pPr>
    </w:p>
    <w:sectPr w:rsidR="00524B4B" w:rsidRPr="00AD62A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B4B" w:rsidRPr="00AD62A0" w:rsidRDefault="00524B4B">
      <w:pPr>
        <w:spacing w:before="0" w:line="240" w:lineRule="auto"/>
      </w:pPr>
      <w:r w:rsidRPr="00AD62A0">
        <w:separator/>
      </w:r>
    </w:p>
  </w:endnote>
  <w:endnote w:type="continuationSeparator" w:id="0">
    <w:p w:rsidR="00524B4B" w:rsidRPr="00AD62A0" w:rsidRDefault="00524B4B">
      <w:pPr>
        <w:spacing w:before="0" w:line="240" w:lineRule="auto"/>
      </w:pPr>
      <w:r w:rsidRPr="00AD6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4B" w:rsidRPr="00AD62A0" w:rsidRDefault="00524B4B">
    <w:pPr>
      <w:pStyle w:val="SidfotH"/>
      <w:framePr w:wrap="around"/>
    </w:pPr>
    <w:r w:rsidRPr="00AD62A0">
      <w:fldChar w:fldCharType="begin" w:fldLock="1"/>
    </w:r>
    <w:r w:rsidRPr="00AD62A0">
      <w:instrText xml:space="preserve"> PAGE </w:instrText>
    </w:r>
    <w:r w:rsidRPr="00AD62A0">
      <w:fldChar w:fldCharType="separate"/>
    </w:r>
    <w:r w:rsidRPr="00AD62A0">
      <w:t>1</w:t>
    </w:r>
    <w:r w:rsidRPr="00AD62A0">
      <w:fldChar w:fldCharType="end"/>
    </w:r>
  </w:p>
  <w:p w:rsidR="00524B4B" w:rsidRPr="00AD62A0" w:rsidRDefault="00524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B4B" w:rsidRPr="00AD62A0" w:rsidRDefault="00524B4B">
      <w:pPr>
        <w:pStyle w:val="Sidfot"/>
      </w:pPr>
    </w:p>
  </w:footnote>
  <w:footnote w:type="continuationSeparator" w:id="0">
    <w:p w:rsidR="00524B4B" w:rsidRPr="00AD62A0" w:rsidRDefault="00524B4B">
      <w:pPr>
        <w:spacing w:before="0" w:line="240" w:lineRule="auto"/>
      </w:pPr>
      <w:r w:rsidRPr="00AD6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4B" w:rsidRPr="00AD62A0" w:rsidRDefault="00524B4B">
    <w:pPr>
      <w:pStyle w:val="SidhuvudKant"/>
      <w:framePr w:w="1758" w:h="2744" w:hRule="exact" w:wrap="around" w:vAnchor="page" w:hAnchor="page" w:x="7372" w:y="568" w:anchorLock="0"/>
    </w:pPr>
  </w:p>
  <w:p w:rsidR="00524B4B" w:rsidRPr="00AD62A0" w:rsidRDefault="00524B4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GB" w:vendorID="8" w:dllVersion="513" w:checkStyle="1"/>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A2263A"/>
    <w:rsid w:val="00524B4B"/>
    <w:rsid w:val="00A2263A"/>
    <w:rsid w:val="00AD62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78331-9D9F-4E2D-B5A5-2FDD4AE3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3974</Characters>
  <Application>Microsoft Office Word</Application>
  <DocSecurity>4</DocSecurity>
  <Lines>86</Lines>
  <Paragraphs>26</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Utrikesutskottets yttrande</vt:lpstr>
      <vt:lpstr>Till konstitutionsutskottet</vt:lpstr>
      <vt:lpstr>Utskottet</vt:lpstr>
      <vt:lpstr/>
    </vt:vector>
  </TitlesOfParts>
  <Company>Riksdagen</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1999-11-02T11:04:00Z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