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2458B4B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5355B6">
              <w:rPr>
                <w:b/>
              </w:rPr>
              <w:t>9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40307B52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5355B6">
              <w:t>10-05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3D261BD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5355B6">
              <w:t>10.30-11.38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53316D25" w14:textId="4C137AE4" w:rsidR="00A44FE3" w:rsidRDefault="00457991" w:rsidP="005355B6">
            <w:pPr>
              <w:pStyle w:val="Default"/>
              <w:rPr>
                <w:bCs/>
              </w:rPr>
            </w:pPr>
            <w:r w:rsidRPr="00457991">
              <w:rPr>
                <w:b/>
              </w:rPr>
              <w:t>Externa experter kommenterar Riksbankens senaste penningpolitiska beslut</w:t>
            </w:r>
            <w:r>
              <w:rPr>
                <w:b/>
              </w:rPr>
              <w:br/>
            </w:r>
            <w:r>
              <w:rPr>
                <w:bCs/>
              </w:rPr>
              <w:t>Biträdande prognoschef på Ekonomistyrningsverket, Ann-Sofie Öberg</w:t>
            </w:r>
            <w:r w:rsidR="00D07381">
              <w:rPr>
                <w:bCs/>
              </w:rPr>
              <w:t>,</w:t>
            </w:r>
            <w:r>
              <w:rPr>
                <w:bCs/>
              </w:rPr>
              <w:t xml:space="preserve"> och chefsanalytiker på Nordea, Torbjörn Isaksson</w:t>
            </w:r>
            <w:r w:rsidR="00D07381">
              <w:rPr>
                <w:bCs/>
              </w:rPr>
              <w:t>,</w:t>
            </w:r>
            <w:r>
              <w:rPr>
                <w:bCs/>
              </w:rPr>
              <w:t xml:space="preserve"> lämnade information och svarade på ledamöterna</w:t>
            </w:r>
            <w:r w:rsidR="00D07381">
              <w:rPr>
                <w:bCs/>
              </w:rPr>
              <w:t>s frågor</w:t>
            </w:r>
            <w:r>
              <w:rPr>
                <w:bCs/>
              </w:rPr>
              <w:t>.</w:t>
            </w:r>
          </w:p>
          <w:p w14:paraId="17EE5049" w14:textId="3426E524" w:rsidR="00D07381" w:rsidRPr="00457991" w:rsidRDefault="00D07381" w:rsidP="005355B6">
            <w:pPr>
              <w:pStyle w:val="Default"/>
              <w:rPr>
                <w:bCs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5C94CDFD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69A701D0" w14:textId="49C7A9E5" w:rsidR="008A0D82" w:rsidRDefault="004C462E" w:rsidP="008A0D82">
            <w:pPr>
              <w:pStyle w:val="Default"/>
              <w:rPr>
                <w:bCs/>
              </w:rPr>
            </w:pPr>
            <w:r>
              <w:rPr>
                <w:b/>
              </w:rPr>
              <w:t>Anmälningar</w:t>
            </w:r>
            <w:r>
              <w:rPr>
                <w:b/>
              </w:rPr>
              <w:br/>
            </w:r>
            <w:r w:rsidRPr="004C462E">
              <w:rPr>
                <w:bCs/>
              </w:rPr>
              <w:t>En inkommen skrivelse anmäldes</w:t>
            </w:r>
            <w:r>
              <w:rPr>
                <w:bCs/>
              </w:rPr>
              <w:t xml:space="preserve"> (dnr 140-2023/24).</w:t>
            </w:r>
            <w:r w:rsidR="008A0D82">
              <w:rPr>
                <w:bCs/>
              </w:rPr>
              <w:br/>
            </w:r>
            <w:r w:rsidR="008A0D82">
              <w:rPr>
                <w:bCs/>
              </w:rPr>
              <w:br/>
              <w:t>Information från kanslichefen:</w:t>
            </w:r>
          </w:p>
          <w:p w14:paraId="0BCD8997" w14:textId="77777777" w:rsidR="008A0D82" w:rsidRDefault="008A0D82" w:rsidP="008A0D82">
            <w:pPr>
              <w:pStyle w:val="Default"/>
              <w:rPr>
                <w:bCs/>
              </w:rPr>
            </w:pPr>
          </w:p>
          <w:p w14:paraId="0FA8DF88" w14:textId="76AD9533" w:rsidR="00AC0311" w:rsidRPr="00AC0311" w:rsidRDefault="008A0D82" w:rsidP="008A0D82">
            <w:pPr>
              <w:pStyle w:val="Liststycke"/>
              <w:numPr>
                <w:ilvl w:val="0"/>
                <w:numId w:val="15"/>
              </w:numPr>
              <w:outlineLvl w:val="0"/>
              <w:rPr>
                <w:b/>
              </w:rPr>
            </w:pPr>
            <w:r w:rsidRPr="008A0D82">
              <w:rPr>
                <w:bCs/>
              </w:rPr>
              <w:t>M</w:t>
            </w:r>
            <w:r w:rsidR="002C5C8F" w:rsidRPr="008A0D82">
              <w:rPr>
                <w:bCs/>
              </w:rPr>
              <w:t xml:space="preserve">ötet </w:t>
            </w:r>
            <w:r w:rsidRPr="008A0D82">
              <w:rPr>
                <w:bCs/>
              </w:rPr>
              <w:t xml:space="preserve">den 17 oktober kl. 14.45-15.30 </w:t>
            </w:r>
            <w:r w:rsidR="002C5C8F" w:rsidRPr="008A0D82">
              <w:rPr>
                <w:bCs/>
              </w:rPr>
              <w:t xml:space="preserve">med Mongoliets vice talman. </w:t>
            </w:r>
            <w:r w:rsidR="002C5C8F">
              <w:t xml:space="preserve">Den mongoliska delegationen, som leds av vice talman </w:t>
            </w:r>
            <w:proofErr w:type="spellStart"/>
            <w:r w:rsidR="002C5C8F">
              <w:t>Munkhbaatar</w:t>
            </w:r>
            <w:proofErr w:type="spellEnd"/>
            <w:r w:rsidR="002C5C8F">
              <w:t xml:space="preserve"> </w:t>
            </w:r>
            <w:proofErr w:type="spellStart"/>
            <w:r w:rsidR="002C5C8F">
              <w:t>Lkhagva</w:t>
            </w:r>
            <w:proofErr w:type="spellEnd"/>
            <w:r w:rsidR="002C5C8F">
              <w:t>, har uttryckt önskemål om ett möte med ledamöter från FiU, KU och UbU för erfarenhetsutbyte om parlamentariskt arbete.</w:t>
            </w:r>
            <w:r w:rsidR="003B1B7A">
              <w:t xml:space="preserve"> </w:t>
            </w:r>
            <w:r w:rsidR="002C5C8F">
              <w:t xml:space="preserve">Intresse om deltagande </w:t>
            </w:r>
            <w:r w:rsidR="008269E9">
              <w:t>på</w:t>
            </w:r>
            <w:r w:rsidR="002C5C8F">
              <w:t xml:space="preserve"> mötet </w:t>
            </w:r>
            <w:r w:rsidR="003B1B7A">
              <w:t xml:space="preserve">anmäls </w:t>
            </w:r>
            <w:r w:rsidR="002C5C8F">
              <w:t>till kansliet senast fredag 6 oktober.</w:t>
            </w:r>
          </w:p>
          <w:p w14:paraId="08AF646D" w14:textId="77777777" w:rsidR="00AC0311" w:rsidRPr="00AC0311" w:rsidRDefault="00AC0311" w:rsidP="00AC0311">
            <w:pPr>
              <w:pStyle w:val="Liststycke"/>
              <w:outlineLvl w:val="0"/>
              <w:rPr>
                <w:b/>
              </w:rPr>
            </w:pPr>
          </w:p>
          <w:p w14:paraId="6A462D42" w14:textId="3F19C072" w:rsidR="00AC0311" w:rsidRPr="006A1C15" w:rsidRDefault="00AC0311" w:rsidP="006A1C15">
            <w:pPr>
              <w:pStyle w:val="Liststycke"/>
              <w:widowControl/>
              <w:numPr>
                <w:ilvl w:val="0"/>
                <w:numId w:val="15"/>
              </w:numPr>
              <w:contextualSpacing w:val="0"/>
              <w:rPr>
                <w:b/>
                <w:bCs/>
                <w:sz w:val="22"/>
              </w:rPr>
            </w:pPr>
            <w:r>
              <w:t>T</w:t>
            </w:r>
            <w:r w:rsidRPr="00AC0311">
              <w:t xml:space="preserve">rafikutskottet ordnar </w:t>
            </w:r>
            <w:r>
              <w:t xml:space="preserve">ett </w:t>
            </w:r>
            <w:r w:rsidRPr="00AC0311">
              <w:t xml:space="preserve">offentligt sammanträde om AI </w:t>
            </w:r>
            <w:r>
              <w:t xml:space="preserve">den </w:t>
            </w:r>
            <w:r w:rsidRPr="00AC0311">
              <w:t>9 november kl. 08.45-12.00</w:t>
            </w:r>
            <w:r>
              <w:t xml:space="preserve"> och ser gärna deltagande från ledamöter i andra utskott. </w:t>
            </w:r>
          </w:p>
          <w:p w14:paraId="20A4B87C" w14:textId="77777777" w:rsidR="00AC0311" w:rsidRDefault="00AC0311" w:rsidP="00AC0311">
            <w:pPr>
              <w:pStyle w:val="Liststycke"/>
              <w:widowControl/>
              <w:contextualSpacing w:val="0"/>
              <w:rPr>
                <w:b/>
                <w:bCs/>
                <w:sz w:val="22"/>
              </w:rPr>
            </w:pPr>
          </w:p>
          <w:p w14:paraId="36BB9EED" w14:textId="751B49F0" w:rsidR="002C5C8F" w:rsidRPr="008269E9" w:rsidRDefault="00AC0311" w:rsidP="009476AF">
            <w:pPr>
              <w:pStyle w:val="Liststycke"/>
              <w:numPr>
                <w:ilvl w:val="0"/>
                <w:numId w:val="15"/>
              </w:numPr>
              <w:outlineLvl w:val="0"/>
              <w:rPr>
                <w:b/>
              </w:rPr>
            </w:pPr>
            <w:r w:rsidRPr="008269E9">
              <w:t xml:space="preserve">Påminnelse om SESS- konferensen i Madrid </w:t>
            </w:r>
            <w:r w:rsidR="008269E9" w:rsidRPr="008269E9">
              <w:t xml:space="preserve">den </w:t>
            </w:r>
            <w:r w:rsidRPr="008269E9">
              <w:t>26 och 27 oktober.</w:t>
            </w:r>
            <w:r w:rsidR="008269E9" w:rsidRPr="008269E9">
              <w:t xml:space="preserve"> Anmäl intresse om deltagande till kansliet senast den 10 oktober.</w:t>
            </w:r>
          </w:p>
          <w:p w14:paraId="14DD40BE" w14:textId="0E98A9B5" w:rsidR="009476AF" w:rsidRDefault="009476AF" w:rsidP="009476AF">
            <w:pPr>
              <w:outlineLvl w:val="0"/>
              <w:rPr>
                <w:b/>
              </w:rPr>
            </w:pP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53AF5912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5846DD02" w14:textId="77FE70E2" w:rsidR="009476AF" w:rsidRDefault="00970D18" w:rsidP="009476AF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 w:rsidRPr="006F1A88">
              <w:rPr>
                <w:bCs/>
              </w:rPr>
              <w:t>Utskottet</w:t>
            </w:r>
            <w:r>
              <w:rPr>
                <w:bCs/>
              </w:rPr>
              <w:t xml:space="preserve"> justerade protokoll 2023/24:8.</w:t>
            </w:r>
            <w:r>
              <w:rPr>
                <w:b/>
              </w:rPr>
              <w:br/>
            </w:r>
          </w:p>
          <w:p w14:paraId="1BBF50B3" w14:textId="1A74F0C9" w:rsidR="009476AF" w:rsidRPr="00C92C53" w:rsidRDefault="009476AF" w:rsidP="009476AF">
            <w:pPr>
              <w:outlineLvl w:val="0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78B2FD63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2B013B23" w14:textId="61BD01EB" w:rsidR="00B33983" w:rsidRPr="00614E8E" w:rsidRDefault="00970D18" w:rsidP="00A44FE3">
            <w:pPr>
              <w:outlineLvl w:val="0"/>
              <w:rPr>
                <w:b/>
              </w:rPr>
            </w:pPr>
            <w:r>
              <w:rPr>
                <w:b/>
              </w:rPr>
              <w:t>Riksrevisorns årliga rapport 2023 (FiU9)</w:t>
            </w:r>
            <w:r>
              <w:rPr>
                <w:b/>
              </w:rPr>
              <w:br/>
            </w:r>
            <w:r w:rsidR="00614E8E" w:rsidRPr="009719B2">
              <w:rPr>
                <w:bCs/>
              </w:rPr>
              <w:t xml:space="preserve">Utskottet fortsatte beredningen </w:t>
            </w:r>
            <w:r w:rsidR="00614E8E">
              <w:rPr>
                <w:iCs/>
                <w:color w:val="000000"/>
              </w:rPr>
              <w:t>av redogörelse 2022/23:RR5.</w:t>
            </w:r>
            <w:r w:rsidR="00614E8E">
              <w:rPr>
                <w:iCs/>
                <w:color w:val="000000"/>
              </w:rPr>
              <w:br/>
            </w:r>
            <w:r w:rsidR="00614E8E">
              <w:rPr>
                <w:iCs/>
                <w:color w:val="000000"/>
              </w:rPr>
              <w:br/>
              <w:t>Ärendet bordlades.</w:t>
            </w:r>
            <w:r w:rsidR="00614E8E">
              <w:rPr>
                <w:iCs/>
                <w:color w:val="000000"/>
              </w:rPr>
              <w:br/>
            </w:r>
          </w:p>
        </w:tc>
      </w:tr>
      <w:tr w:rsidR="009719B2" w14:paraId="74CE437C" w14:textId="77777777" w:rsidTr="008035C8">
        <w:tc>
          <w:tcPr>
            <w:tcW w:w="567" w:type="dxa"/>
          </w:tcPr>
          <w:p w14:paraId="37FCE47F" w14:textId="0416A666" w:rsidR="009719B2" w:rsidRDefault="009719B2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73FA3759" w14:textId="6F56C28A" w:rsidR="009719B2" w:rsidRPr="009719B2" w:rsidRDefault="009719B2" w:rsidP="009719B2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bCs/>
              </w:rPr>
            </w:pPr>
            <w:r w:rsidRPr="009719B2">
              <w:rPr>
                <w:b/>
                <w:bCs/>
                <w:iCs/>
              </w:rPr>
              <w:t>EU:s kapitaltäcknings- och krishanteringsregelverk – några förtydliganden (FiU13)</w:t>
            </w:r>
            <w:r>
              <w:rPr>
                <w:b/>
                <w:bCs/>
                <w:iCs/>
                <w:color w:val="000000"/>
              </w:rPr>
              <w:br/>
            </w:r>
            <w:r w:rsidRPr="009719B2">
              <w:rPr>
                <w:bCs/>
              </w:rPr>
              <w:t>Utskottet fortsatte beredningen av proposition 2023/24:4.</w:t>
            </w:r>
          </w:p>
          <w:p w14:paraId="7BD6A6E9" w14:textId="2B6D95CC" w:rsidR="009719B2" w:rsidRDefault="009719B2" w:rsidP="009719B2">
            <w:pPr>
              <w:outlineLvl w:val="0"/>
              <w:rPr>
                <w:b/>
              </w:rPr>
            </w:pPr>
            <w:r w:rsidRPr="009719B2">
              <w:rPr>
                <w:bCs/>
              </w:rPr>
              <w:t>Ärendet bordlades.</w:t>
            </w:r>
          </w:p>
        </w:tc>
      </w:tr>
      <w:tr w:rsidR="00614E8E" w14:paraId="7B632D79" w14:textId="77777777" w:rsidTr="008035C8">
        <w:tc>
          <w:tcPr>
            <w:tcW w:w="567" w:type="dxa"/>
          </w:tcPr>
          <w:p w14:paraId="03390C19" w14:textId="77777777" w:rsidR="00614E8E" w:rsidRDefault="00614E8E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3E91D347" w14:textId="77777777" w:rsidR="00614E8E" w:rsidRPr="009719B2" w:rsidRDefault="00614E8E" w:rsidP="009719B2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b/>
                <w:bCs/>
                <w:iCs/>
              </w:rPr>
            </w:pPr>
          </w:p>
        </w:tc>
      </w:tr>
      <w:tr w:rsidR="008B6B6E" w14:paraId="0883192C" w14:textId="77777777" w:rsidTr="008035C8">
        <w:tc>
          <w:tcPr>
            <w:tcW w:w="567" w:type="dxa"/>
          </w:tcPr>
          <w:p w14:paraId="211E305E" w14:textId="77777777" w:rsidR="008B6B6E" w:rsidRDefault="008B6B6E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E323E0C" w14:textId="77777777" w:rsidR="008B6B6E" w:rsidRPr="009719B2" w:rsidRDefault="008B6B6E" w:rsidP="009719B2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b/>
                <w:bCs/>
                <w:iCs/>
              </w:rPr>
            </w:pPr>
          </w:p>
        </w:tc>
      </w:tr>
      <w:tr w:rsidR="008B6B6E" w14:paraId="7D108832" w14:textId="77777777" w:rsidTr="008035C8">
        <w:tc>
          <w:tcPr>
            <w:tcW w:w="567" w:type="dxa"/>
          </w:tcPr>
          <w:p w14:paraId="3CF8A731" w14:textId="07965D19" w:rsidR="008B6B6E" w:rsidRDefault="008B6B6E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655" w:type="dxa"/>
          </w:tcPr>
          <w:p w14:paraId="0552C245" w14:textId="77777777" w:rsidR="008B6B6E" w:rsidRPr="00E8106B" w:rsidRDefault="008B6B6E" w:rsidP="008B6B6E">
            <w:pPr>
              <w:widowControl/>
              <w:tabs>
                <w:tab w:val="left" w:pos="284"/>
              </w:tabs>
              <w:spacing w:after="120" w:line="280" w:lineRule="atLeast"/>
            </w:pPr>
            <w:r w:rsidRPr="008B6B6E">
              <w:rPr>
                <w:rStyle w:val="Hyperlnk"/>
                <w:b/>
                <w:bCs/>
                <w:color w:val="auto"/>
                <w:u w:val="none"/>
              </w:rPr>
              <w:t>Statens Budget 2024 – Rambeslutet (FiU1)</w:t>
            </w:r>
            <w:r>
              <w:rPr>
                <w:rStyle w:val="Hyperlnk"/>
                <w:b/>
                <w:bCs/>
                <w:color w:val="auto"/>
                <w:u w:val="none"/>
              </w:rPr>
              <w:br/>
            </w:r>
            <w:r>
              <w:rPr>
                <w:iCs/>
              </w:rPr>
              <w:t>Utskottet beslutade att ge</w:t>
            </w:r>
            <w:r>
              <w:rPr>
                <w:b/>
                <w:bCs/>
                <w:color w:val="000000"/>
              </w:rPr>
              <w:t xml:space="preserve"> </w:t>
            </w:r>
            <w:r w:rsidRPr="008C33FD">
              <w:rPr>
                <w:color w:val="000000"/>
              </w:rPr>
              <w:t>skatteutskottet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t>tillfälle att senast tisdag 7 november kl. 14.00 yttra sig över prop. 2023/24:13 och över prop. 2023/24:16 och eventuella följdmotioner.</w:t>
            </w:r>
            <w:r>
              <w:br/>
            </w:r>
            <w:r>
              <w:br/>
            </w:r>
            <w:r w:rsidRPr="00E8106B">
              <w:t>Denna paragraf förklarades omedelbart justerad.</w:t>
            </w:r>
          </w:p>
          <w:p w14:paraId="2A32E1E3" w14:textId="52F38524" w:rsidR="008B6B6E" w:rsidRPr="008B6B6E" w:rsidRDefault="008B6B6E" w:rsidP="009719B2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b/>
                <w:bCs/>
                <w:iCs/>
              </w:rPr>
            </w:pPr>
          </w:p>
        </w:tc>
      </w:tr>
      <w:tr w:rsidR="008B6B6E" w14:paraId="13EDE44E" w14:textId="77777777" w:rsidTr="008035C8">
        <w:tc>
          <w:tcPr>
            <w:tcW w:w="567" w:type="dxa"/>
          </w:tcPr>
          <w:p w14:paraId="345D9F11" w14:textId="7A0A883F" w:rsidR="008B6B6E" w:rsidRDefault="008B6B6E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14:paraId="0657903D" w14:textId="77777777" w:rsidR="008B6B6E" w:rsidRPr="00E8106B" w:rsidRDefault="008B6B6E" w:rsidP="008B6B6E">
            <w:pPr>
              <w:widowControl/>
              <w:tabs>
                <w:tab w:val="left" w:pos="284"/>
              </w:tabs>
              <w:spacing w:after="120" w:line="280" w:lineRule="atLeast"/>
            </w:pPr>
            <w:r w:rsidRPr="008B6B6E">
              <w:rPr>
                <w:rStyle w:val="Hyperlnk"/>
                <w:b/>
                <w:bCs/>
                <w:color w:val="auto"/>
                <w:u w:val="none"/>
              </w:rPr>
              <w:t>Statens Budget 2024 – Rambeslutet (FiU1)</w:t>
            </w:r>
            <w:r>
              <w:rPr>
                <w:rStyle w:val="Hyperlnk"/>
                <w:b/>
                <w:bCs/>
                <w:color w:val="auto"/>
                <w:u w:val="none"/>
              </w:rPr>
              <w:br/>
            </w:r>
            <w:r>
              <w:rPr>
                <w:iCs/>
              </w:rPr>
              <w:t>Utskottet beslutade att ge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socialförsäkringsutskottet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t>tillfälle att senast tisdag 7 november kl. 14.00 yttra sig över prop. 2023/24:14 och eventuella följdmotioner.</w:t>
            </w:r>
            <w:r>
              <w:br/>
            </w:r>
            <w:r>
              <w:br/>
            </w:r>
            <w:r w:rsidRPr="00E8106B">
              <w:t>Denna paragraf förklarades omedelbart justerad.</w:t>
            </w:r>
          </w:p>
          <w:p w14:paraId="06AC1D54" w14:textId="68453160" w:rsidR="008B6B6E" w:rsidRPr="008B6B6E" w:rsidRDefault="008B6B6E" w:rsidP="008B6B6E">
            <w:pPr>
              <w:widowControl/>
              <w:tabs>
                <w:tab w:val="left" w:pos="284"/>
              </w:tabs>
              <w:spacing w:after="120" w:line="280" w:lineRule="atLeast"/>
              <w:rPr>
                <w:rStyle w:val="Hyperlnk"/>
                <w:b/>
                <w:bCs/>
                <w:color w:val="auto"/>
                <w:u w:val="none"/>
              </w:rPr>
            </w:pPr>
          </w:p>
        </w:tc>
      </w:tr>
      <w:tr w:rsidR="00340700" w14:paraId="0ACA4228" w14:textId="77777777" w:rsidTr="008035C8">
        <w:tc>
          <w:tcPr>
            <w:tcW w:w="567" w:type="dxa"/>
          </w:tcPr>
          <w:p w14:paraId="164A4D12" w14:textId="0DB0CF27" w:rsidR="00340700" w:rsidRDefault="00340700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14:paraId="6C6A353B" w14:textId="77777777" w:rsidR="009B32D8" w:rsidRDefault="00340700" w:rsidP="008B6B6E">
            <w:pPr>
              <w:widowControl/>
              <w:tabs>
                <w:tab w:val="left" w:pos="284"/>
              </w:tabs>
              <w:spacing w:after="120" w:line="280" w:lineRule="atLeast"/>
              <w:rPr>
                <w:rStyle w:val="Hyperlnk"/>
                <w:color w:val="auto"/>
                <w:u w:val="none"/>
              </w:rPr>
            </w:pPr>
            <w:r>
              <w:rPr>
                <w:b/>
                <w:bCs/>
              </w:rPr>
              <w:t>Fråga om utskottsinitiativ om resurser för att stävja ungas gängkriminalitet</w:t>
            </w:r>
            <w:r w:rsidR="00030B57">
              <w:rPr>
                <w:b/>
                <w:bCs/>
              </w:rPr>
              <w:br/>
            </w:r>
            <w:r w:rsidR="00030B57" w:rsidRPr="00030B57">
              <w:t>Utskottet fortsatte behandlingen</w:t>
            </w:r>
            <w:r w:rsidR="00030B57">
              <w:rPr>
                <w:b/>
                <w:bCs/>
              </w:rPr>
              <w:t xml:space="preserve"> </w:t>
            </w:r>
            <w:r w:rsidR="00030B57" w:rsidRPr="00030B57">
              <w:t>av frågan om ett initiativ om</w:t>
            </w:r>
            <w:r w:rsidR="00030B57">
              <w:t xml:space="preserve"> </w:t>
            </w:r>
            <w:r w:rsidR="00030B57" w:rsidRPr="00030B57">
              <w:t xml:space="preserve">resurser för att stävja ungas </w:t>
            </w:r>
            <w:r w:rsidR="00030B57" w:rsidRPr="00EE0CB8">
              <w:t>gängkriminalitet</w:t>
            </w:r>
            <w:r w:rsidR="00030B57" w:rsidRPr="00EE0CB8">
              <w:rPr>
                <w:rStyle w:val="Hyperlnk"/>
                <w:color w:val="auto"/>
                <w:u w:val="none"/>
              </w:rPr>
              <w:t>.</w:t>
            </w:r>
            <w:r w:rsidR="00030B57" w:rsidRPr="00EE0CB8">
              <w:rPr>
                <w:rStyle w:val="Hyperlnk"/>
                <w:color w:val="auto"/>
                <w:u w:val="none"/>
              </w:rPr>
              <w:br/>
            </w:r>
          </w:p>
          <w:p w14:paraId="3B7B787E" w14:textId="34F3149A" w:rsidR="00340700" w:rsidRPr="008B6B6E" w:rsidRDefault="00030B57" w:rsidP="008B6B6E">
            <w:pPr>
              <w:widowControl/>
              <w:tabs>
                <w:tab w:val="left" w:pos="284"/>
              </w:tabs>
              <w:spacing w:after="120" w:line="280" w:lineRule="atLeast"/>
              <w:rPr>
                <w:rStyle w:val="Hyperlnk"/>
                <w:b/>
                <w:bCs/>
                <w:color w:val="auto"/>
                <w:u w:val="none"/>
              </w:rPr>
            </w:pPr>
            <w:r w:rsidRPr="00030B57">
              <w:rPr>
                <w:rStyle w:val="Hyperlnk"/>
                <w:color w:val="auto"/>
                <w:u w:val="none"/>
              </w:rPr>
              <w:t>Utskottet beslutade att inte ta något initiativ.</w:t>
            </w:r>
            <w:r w:rsidRPr="00030B57">
              <w:rPr>
                <w:rStyle w:val="Hyperlnk"/>
                <w:b/>
                <w:bCs/>
                <w:color w:val="auto"/>
                <w:u w:val="none"/>
              </w:rPr>
              <w:br/>
            </w:r>
            <w:r w:rsidR="00340700" w:rsidRPr="00030B57">
              <w:rPr>
                <w:rStyle w:val="Hyperlnk"/>
                <w:b/>
                <w:bCs/>
                <w:color w:val="auto"/>
                <w:u w:val="none"/>
              </w:rPr>
              <w:br/>
            </w:r>
          </w:p>
        </w:tc>
      </w:tr>
      <w:tr w:rsidR="00E23B6B" w14:paraId="1F2CFBCA" w14:textId="77777777" w:rsidTr="008035C8">
        <w:tc>
          <w:tcPr>
            <w:tcW w:w="567" w:type="dxa"/>
          </w:tcPr>
          <w:p w14:paraId="453E184A" w14:textId="540331FC" w:rsidR="00E23B6B" w:rsidRDefault="00E23B6B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14:paraId="0D5DD039" w14:textId="66963178" w:rsidR="00E23B6B" w:rsidRPr="0040365D" w:rsidRDefault="00E23B6B" w:rsidP="00E23B6B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  <w:r w:rsidRPr="000912D7">
              <w:rPr>
                <w:bCs/>
              </w:rPr>
              <w:t xml:space="preserve">Tisdag </w:t>
            </w:r>
            <w:r>
              <w:rPr>
                <w:bCs/>
              </w:rPr>
              <w:t>17 oktober kl. 9.00 offentligt sammanträde i Förstakammarsalen</w:t>
            </w:r>
            <w:r>
              <w:rPr>
                <w:bCs/>
              </w:rPr>
              <w:br/>
              <w:t>och tisdag 17 oktober ca kl. 10</w:t>
            </w:r>
            <w:r w:rsidR="007F4E1B">
              <w:rPr>
                <w:bCs/>
              </w:rPr>
              <w:t>.</w:t>
            </w:r>
            <w:r>
              <w:rPr>
                <w:bCs/>
              </w:rPr>
              <w:t>50 i FiU:s sessionssal.</w:t>
            </w:r>
            <w:r w:rsidRPr="000912D7">
              <w:rPr>
                <w:b/>
              </w:rPr>
              <w:br/>
            </w:r>
          </w:p>
          <w:p w14:paraId="7A36B0E3" w14:textId="6309C9C3" w:rsidR="00E23B6B" w:rsidRDefault="00E23B6B" w:rsidP="008B6B6E">
            <w:pPr>
              <w:widowControl/>
              <w:tabs>
                <w:tab w:val="left" w:pos="284"/>
              </w:tabs>
              <w:spacing w:after="120" w:line="280" w:lineRule="atLeast"/>
              <w:rPr>
                <w:b/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4EC1B3FD" w14:textId="317481E8" w:rsidR="00C92C53" w:rsidRDefault="00C92C53" w:rsidP="002C538C">
            <w:pPr>
              <w:outlineLvl w:val="0"/>
            </w:pPr>
          </w:p>
          <w:p w14:paraId="6A7291CA" w14:textId="0BFF219B" w:rsidR="00C92C53" w:rsidRDefault="00C92C53" w:rsidP="002C538C">
            <w:pPr>
              <w:outlineLvl w:val="0"/>
            </w:pPr>
          </w:p>
          <w:p w14:paraId="55B8E90F" w14:textId="31D1D5AB" w:rsidR="00B35D88" w:rsidRDefault="00B35D88" w:rsidP="002C538C">
            <w:pPr>
              <w:outlineLvl w:val="0"/>
            </w:pPr>
          </w:p>
          <w:p w14:paraId="59FEC634" w14:textId="1E06A4DD" w:rsidR="00B35D88" w:rsidRDefault="00B35D88" w:rsidP="002C538C">
            <w:pPr>
              <w:outlineLvl w:val="0"/>
            </w:pPr>
          </w:p>
          <w:p w14:paraId="7FEF824E" w14:textId="2266EA3E" w:rsidR="00B35D88" w:rsidRDefault="00B35D88" w:rsidP="002C538C">
            <w:pPr>
              <w:outlineLvl w:val="0"/>
            </w:pPr>
            <w:r>
              <w:t>Edvard Riedl</w:t>
            </w:r>
          </w:p>
          <w:p w14:paraId="16576EC6" w14:textId="33415794" w:rsidR="00C92C53" w:rsidRDefault="00C92C53" w:rsidP="002C538C">
            <w:pPr>
              <w:outlineLvl w:val="0"/>
            </w:pPr>
          </w:p>
          <w:p w14:paraId="6CC9A4B3" w14:textId="0EC0625D" w:rsidR="00C92C53" w:rsidRDefault="00C92C53" w:rsidP="002C538C">
            <w:pPr>
              <w:outlineLvl w:val="0"/>
            </w:pPr>
          </w:p>
          <w:p w14:paraId="058A3CAA" w14:textId="2346060C" w:rsidR="00C92C53" w:rsidRDefault="00C92C53" w:rsidP="002C538C">
            <w:pPr>
              <w:outlineLvl w:val="0"/>
            </w:pPr>
          </w:p>
          <w:p w14:paraId="5062CE5A" w14:textId="23B43A82" w:rsidR="00C92C53" w:rsidRDefault="00C92C53" w:rsidP="002C538C">
            <w:pPr>
              <w:outlineLvl w:val="0"/>
            </w:pPr>
            <w:r>
              <w:t>Justera</w:t>
            </w:r>
            <w:r w:rsidR="00B35D88">
              <w:t>t</w:t>
            </w:r>
            <w:r>
              <w:t xml:space="preserve"> </w:t>
            </w:r>
            <w:r w:rsidR="00E23B6B">
              <w:t xml:space="preserve">den 17 oktober 2023 </w:t>
            </w:r>
          </w:p>
          <w:p w14:paraId="62CF4752" w14:textId="77777777" w:rsidR="00C92C53" w:rsidRDefault="00C92C53" w:rsidP="002C538C">
            <w:pPr>
              <w:outlineLvl w:val="0"/>
            </w:pP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68FC9182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5355B6">
        <w:rPr>
          <w:sz w:val="22"/>
          <w:szCs w:val="22"/>
        </w:rPr>
        <w:t>9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597D0144" w:rsidR="00EF6F88" w:rsidRPr="000E151F" w:rsidRDefault="005355B6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E6FDA60" w:rsidR="00EF6F88" w:rsidRPr="000E151F" w:rsidRDefault="005355B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457991">
              <w:rPr>
                <w:sz w:val="22"/>
                <w:szCs w:val="22"/>
              </w:rPr>
              <w:t>2–9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BA67F72" w:rsidR="00EF6F88" w:rsidRPr="000E151F" w:rsidRDefault="005355B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68B09CE1" w:rsidR="005355B6" w:rsidRPr="000E151F" w:rsidRDefault="005355B6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5A7F5F85" w:rsidR="005355B6" w:rsidRPr="000E151F" w:rsidRDefault="005355B6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63804DDA" w:rsidR="005355B6" w:rsidRPr="000E151F" w:rsidRDefault="005355B6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4C378A8C" w:rsidR="005355B6" w:rsidRPr="000E151F" w:rsidRDefault="005355B6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09CAFB59" w:rsidR="005355B6" w:rsidRPr="000E151F" w:rsidRDefault="005355B6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4B193AAE" w:rsidR="005355B6" w:rsidRPr="000E151F" w:rsidRDefault="005355B6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DE451AC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5B1DE4B6" w:rsidR="00EF6F88" w:rsidRPr="000E151F" w:rsidRDefault="005355B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4DC00EC" w:rsidR="00EF6F88" w:rsidRPr="000E151F" w:rsidRDefault="005355B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2E919A77" w:rsidR="00EF6F88" w:rsidRPr="000E151F" w:rsidRDefault="005355B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22DF97A1" w:rsidR="00EF6F88" w:rsidRPr="000E151F" w:rsidRDefault="005355B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728F6729" w:rsidR="00EF6F88" w:rsidRPr="000E151F" w:rsidRDefault="005355B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6C8D181" w:rsidR="00EF6F88" w:rsidRPr="000E151F" w:rsidRDefault="005355B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111A2FC9" w:rsidR="00EF6F88" w:rsidRPr="000E151F" w:rsidRDefault="005355B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34A7F77B" w:rsidR="00EF6F88" w:rsidRPr="000E151F" w:rsidRDefault="005355B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2ACDEBC6" w:rsidR="00EF6F88" w:rsidRPr="000E151F" w:rsidRDefault="005355B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38DAC659" w:rsidR="00EF6F88" w:rsidRPr="000E151F" w:rsidRDefault="005355B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3BF81FBF" w:rsidR="00EF6F88" w:rsidRPr="000E151F" w:rsidRDefault="005355B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04856921" w:rsidR="00EF6F88" w:rsidRPr="000E151F" w:rsidRDefault="005355B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0D1EC6B9" w:rsidR="00EF6F88" w:rsidRPr="000E151F" w:rsidRDefault="005355B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477BE3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0CAF" w14:textId="09A31ED9" w:rsidR="00EF6F88" w:rsidRPr="000E151F" w:rsidRDefault="000736F6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Katja Nyberg</w:t>
            </w:r>
            <w:r w:rsidR="00EF6F88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4AA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A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30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65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D8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9F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7D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5E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47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51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85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3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30F9DC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BD0D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83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8E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1A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4D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BF5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F4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69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D4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E1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A8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1F9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F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38E6ACF1" w:rsidR="00EF6F88" w:rsidRPr="000E151F" w:rsidRDefault="005355B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027582C4" w:rsidR="00EF6F88" w:rsidRPr="000E151F" w:rsidRDefault="005355B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8760B"/>
    <w:multiLevelType w:val="hybridMultilevel"/>
    <w:tmpl w:val="7DEC33E4"/>
    <w:lvl w:ilvl="0" w:tplc="72BE4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37B50"/>
    <w:multiLevelType w:val="hybridMultilevel"/>
    <w:tmpl w:val="D8FCDC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14"/>
  </w:num>
  <w:num w:numId="11">
    <w:abstractNumId w:val="10"/>
  </w:num>
  <w:num w:numId="12">
    <w:abstractNumId w:val="8"/>
  </w:num>
  <w:num w:numId="13">
    <w:abstractNumId w:val="1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0B57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C5C8F"/>
    <w:rsid w:val="002D2AB5"/>
    <w:rsid w:val="002D7BA8"/>
    <w:rsid w:val="002F284C"/>
    <w:rsid w:val="002F654D"/>
    <w:rsid w:val="00305C38"/>
    <w:rsid w:val="0030711A"/>
    <w:rsid w:val="0032581E"/>
    <w:rsid w:val="00340700"/>
    <w:rsid w:val="00342BB1"/>
    <w:rsid w:val="003441D7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B1B7A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57991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462E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4E8E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1C15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7F4E1B"/>
    <w:rsid w:val="008035C8"/>
    <w:rsid w:val="00804511"/>
    <w:rsid w:val="00813862"/>
    <w:rsid w:val="00822922"/>
    <w:rsid w:val="008231F4"/>
    <w:rsid w:val="00825025"/>
    <w:rsid w:val="008269E9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0D82"/>
    <w:rsid w:val="008A1F6A"/>
    <w:rsid w:val="008A458A"/>
    <w:rsid w:val="008B3639"/>
    <w:rsid w:val="008B6B6E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0D18"/>
    <w:rsid w:val="009719B2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32D8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0311"/>
    <w:rsid w:val="00AC283D"/>
    <w:rsid w:val="00AD0133"/>
    <w:rsid w:val="00AD47F5"/>
    <w:rsid w:val="00AE5BBD"/>
    <w:rsid w:val="00AE7247"/>
    <w:rsid w:val="00AF3CA6"/>
    <w:rsid w:val="00B054F1"/>
    <w:rsid w:val="00B33983"/>
    <w:rsid w:val="00B35D88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77C5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07381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3B6B"/>
    <w:rsid w:val="00E264E7"/>
    <w:rsid w:val="00E27E50"/>
    <w:rsid w:val="00E43F8A"/>
    <w:rsid w:val="00E443F3"/>
    <w:rsid w:val="00E5492F"/>
    <w:rsid w:val="00E653E8"/>
    <w:rsid w:val="00E67EBA"/>
    <w:rsid w:val="00E72CE6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0CB8"/>
    <w:rsid w:val="00EE57B7"/>
    <w:rsid w:val="00EF16D4"/>
    <w:rsid w:val="00EF57E7"/>
    <w:rsid w:val="00EF6F88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262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535</Words>
  <Characters>3811</Characters>
  <Application>Microsoft Office Word</Application>
  <DocSecurity>0</DocSecurity>
  <Lines>952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19</cp:revision>
  <cp:lastPrinted>2018-10-02T11:13:00Z</cp:lastPrinted>
  <dcterms:created xsi:type="dcterms:W3CDTF">2023-10-05T11:45:00Z</dcterms:created>
  <dcterms:modified xsi:type="dcterms:W3CDTF">2023-10-16T12:52:00Z</dcterms:modified>
</cp:coreProperties>
</file>