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04379" w:rsidTr="007A5550">
        <w:tblPrEx>
          <w:tblCellMar>
            <w:top w:w="0" w:type="dxa"/>
            <w:bottom w:w="0" w:type="dxa"/>
          </w:tblCellMar>
        </w:tblPrEx>
        <w:tc>
          <w:tcPr>
            <w:tcW w:w="2268" w:type="dxa"/>
          </w:tcPr>
          <w:p w:rsidR="006E4E11" w:rsidRPr="0020437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04379" w:rsidRDefault="006E4E11" w:rsidP="007242A3">
            <w:pPr>
              <w:framePr w:w="5035" w:h="1644" w:wrap="notBeside" w:vAnchor="page" w:hAnchor="page" w:x="6573" w:y="721"/>
              <w:rPr>
                <w:rFonts w:ascii="TradeGothic" w:hAnsi="TradeGothic"/>
                <w:i/>
                <w:sz w:val="18"/>
              </w:rPr>
            </w:pPr>
          </w:p>
        </w:tc>
      </w:tr>
      <w:tr w:rsidR="007A5550" w:rsidRPr="00204379" w:rsidTr="007A5550">
        <w:tblPrEx>
          <w:tblCellMar>
            <w:top w:w="0" w:type="dxa"/>
            <w:bottom w:w="0" w:type="dxa"/>
          </w:tblCellMar>
        </w:tblPrEx>
        <w:tc>
          <w:tcPr>
            <w:tcW w:w="5267" w:type="dxa"/>
            <w:gridSpan w:val="3"/>
          </w:tcPr>
          <w:p w:rsidR="007A5550" w:rsidRPr="00204379" w:rsidRDefault="009032A3" w:rsidP="007242A3">
            <w:pPr>
              <w:framePr w:w="5035" w:h="1644" w:wrap="notBeside" w:vAnchor="page" w:hAnchor="page" w:x="6573" w:y="721"/>
              <w:rPr>
                <w:rFonts w:ascii="TradeGothic" w:hAnsi="TradeGothic"/>
                <w:b/>
                <w:sz w:val="22"/>
              </w:rPr>
            </w:pPr>
            <w:r w:rsidRPr="00204379">
              <w:rPr>
                <w:rFonts w:ascii="TradeGothic" w:hAnsi="TradeGothic"/>
                <w:b/>
                <w:i/>
                <w:sz w:val="22"/>
              </w:rPr>
              <w:t>Information till E</w:t>
            </w:r>
            <w:r w:rsidR="001237B7" w:rsidRPr="00204379">
              <w:rPr>
                <w:rFonts w:ascii="TradeGothic" w:hAnsi="TradeGothic"/>
                <w:b/>
                <w:i/>
                <w:sz w:val="22"/>
              </w:rPr>
              <w:t>UN</w:t>
            </w:r>
          </w:p>
        </w:tc>
      </w:tr>
      <w:tr w:rsidR="006E4E11" w:rsidRPr="00204379" w:rsidTr="007A5550">
        <w:tblPrEx>
          <w:tblCellMar>
            <w:top w:w="0" w:type="dxa"/>
            <w:bottom w:w="0" w:type="dxa"/>
          </w:tblCellMar>
        </w:tblPrEx>
        <w:tc>
          <w:tcPr>
            <w:tcW w:w="3402" w:type="dxa"/>
            <w:gridSpan w:val="2"/>
          </w:tcPr>
          <w:p w:rsidR="006E4E11" w:rsidRPr="00204379" w:rsidRDefault="006E4E11" w:rsidP="007242A3">
            <w:pPr>
              <w:framePr w:w="5035" w:h="1644" w:wrap="notBeside" w:vAnchor="page" w:hAnchor="page" w:x="6573" w:y="721"/>
            </w:pPr>
          </w:p>
        </w:tc>
        <w:tc>
          <w:tcPr>
            <w:tcW w:w="1865" w:type="dxa"/>
          </w:tcPr>
          <w:p w:rsidR="006E4E11" w:rsidRPr="00204379" w:rsidRDefault="006E4E11" w:rsidP="007242A3">
            <w:pPr>
              <w:framePr w:w="5035" w:h="1644" w:wrap="notBeside" w:vAnchor="page" w:hAnchor="page" w:x="6573" w:y="721"/>
            </w:pPr>
          </w:p>
        </w:tc>
      </w:tr>
      <w:tr w:rsidR="006E4E11" w:rsidRPr="00204379" w:rsidTr="007A5550">
        <w:tblPrEx>
          <w:tblCellMar>
            <w:top w:w="0" w:type="dxa"/>
            <w:bottom w:w="0" w:type="dxa"/>
          </w:tblCellMar>
        </w:tblPrEx>
        <w:tc>
          <w:tcPr>
            <w:tcW w:w="2268" w:type="dxa"/>
          </w:tcPr>
          <w:p w:rsidR="006E4E11" w:rsidRPr="00204379" w:rsidRDefault="007A5550" w:rsidP="007242A3">
            <w:pPr>
              <w:framePr w:w="5035" w:h="1644" w:wrap="notBeside" w:vAnchor="page" w:hAnchor="page" w:x="6573" w:y="721"/>
            </w:pPr>
            <w:r w:rsidRPr="00204379">
              <w:t>2010-</w:t>
            </w:r>
            <w:r w:rsidR="000666F3" w:rsidRPr="00204379">
              <w:t>07-09</w:t>
            </w:r>
          </w:p>
        </w:tc>
        <w:tc>
          <w:tcPr>
            <w:tcW w:w="2999" w:type="dxa"/>
            <w:gridSpan w:val="2"/>
          </w:tcPr>
          <w:p w:rsidR="006E4E11" w:rsidRPr="00204379" w:rsidRDefault="006E4E11" w:rsidP="007242A3">
            <w:pPr>
              <w:framePr w:w="5035" w:h="1644" w:wrap="notBeside" w:vAnchor="page" w:hAnchor="page" w:x="6573" w:y="721"/>
            </w:pPr>
          </w:p>
        </w:tc>
      </w:tr>
      <w:tr w:rsidR="006E4E11" w:rsidRPr="00204379" w:rsidTr="007A5550">
        <w:tblPrEx>
          <w:tblCellMar>
            <w:top w:w="0" w:type="dxa"/>
            <w:bottom w:w="0" w:type="dxa"/>
          </w:tblCellMar>
        </w:tblPrEx>
        <w:tc>
          <w:tcPr>
            <w:tcW w:w="2268" w:type="dxa"/>
          </w:tcPr>
          <w:p w:rsidR="006E4E11" w:rsidRPr="00204379" w:rsidRDefault="006E4E11" w:rsidP="007242A3">
            <w:pPr>
              <w:framePr w:w="5035" w:h="1644" w:wrap="notBeside" w:vAnchor="page" w:hAnchor="page" w:x="6573" w:y="721"/>
            </w:pPr>
          </w:p>
        </w:tc>
        <w:tc>
          <w:tcPr>
            <w:tcW w:w="2999" w:type="dxa"/>
            <w:gridSpan w:val="2"/>
          </w:tcPr>
          <w:p w:rsidR="006E4E11" w:rsidRPr="0020437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04379">
        <w:tblPrEx>
          <w:tblCellMar>
            <w:top w:w="0" w:type="dxa"/>
            <w:bottom w:w="0" w:type="dxa"/>
          </w:tblCellMar>
        </w:tblPrEx>
        <w:trPr>
          <w:trHeight w:val="284"/>
        </w:trPr>
        <w:tc>
          <w:tcPr>
            <w:tcW w:w="4911" w:type="dxa"/>
          </w:tcPr>
          <w:p w:rsidR="006E4E11" w:rsidRPr="00204379" w:rsidRDefault="007A5550">
            <w:pPr>
              <w:pStyle w:val="Avsndare"/>
              <w:framePr w:h="2483" w:wrap="notBeside" w:x="1504"/>
              <w:rPr>
                <w:b/>
                <w:i w:val="0"/>
                <w:sz w:val="22"/>
              </w:rPr>
            </w:pPr>
            <w:r w:rsidRPr="00204379">
              <w:rPr>
                <w:b/>
                <w:i w:val="0"/>
                <w:sz w:val="22"/>
              </w:rPr>
              <w:t>Finansdepartementet</w:t>
            </w: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9032A3">
            <w:pPr>
              <w:pStyle w:val="Avsndare"/>
              <w:framePr w:h="2483" w:wrap="notBeside" w:x="1504"/>
              <w:rPr>
                <w:bCs/>
                <w:iCs/>
              </w:rPr>
            </w:pPr>
            <w:r w:rsidRPr="00204379">
              <w:rPr>
                <w:bCs/>
                <w:iCs/>
              </w:rPr>
              <w:t>Finansmarknadsavdelningen &amp; Budgetavdelningen</w:t>
            </w: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r w:rsidR="006E4E11" w:rsidRPr="00204379">
        <w:tblPrEx>
          <w:tblCellMar>
            <w:top w:w="0" w:type="dxa"/>
            <w:bottom w:w="0" w:type="dxa"/>
          </w:tblCellMar>
        </w:tblPrEx>
        <w:trPr>
          <w:trHeight w:val="284"/>
        </w:trPr>
        <w:tc>
          <w:tcPr>
            <w:tcW w:w="4911" w:type="dxa"/>
          </w:tcPr>
          <w:p w:rsidR="006E4E11" w:rsidRPr="00204379" w:rsidRDefault="006E4E11">
            <w:pPr>
              <w:pStyle w:val="Avsndare"/>
              <w:framePr w:h="2483" w:wrap="notBeside" w:x="1504"/>
              <w:rPr>
                <w:bCs/>
                <w:iCs/>
              </w:rPr>
            </w:pPr>
          </w:p>
        </w:tc>
      </w:tr>
    </w:tbl>
    <w:p w:rsidR="008C3807" w:rsidRPr="00204379" w:rsidRDefault="009032A3" w:rsidP="008C3807">
      <w:pPr>
        <w:pStyle w:val="RKrubrik"/>
        <w:pBdr>
          <w:bottom w:val="single" w:sz="6" w:space="1" w:color="auto"/>
        </w:pBdr>
      </w:pPr>
      <w:bookmarkStart w:id="0" w:name="bRubrik"/>
      <w:bookmarkEnd w:id="0"/>
      <w:r w:rsidRPr="00204379">
        <w:t>Uppdatering av läget i tillsynsförhandlingarna</w:t>
      </w:r>
    </w:p>
    <w:p w:rsidR="007A5550" w:rsidRPr="00204379" w:rsidRDefault="007A5550">
      <w:pPr>
        <w:pStyle w:val="RKrubrik"/>
      </w:pPr>
      <w:r w:rsidRPr="00204379">
        <w:t>Dokument</w:t>
      </w:r>
    </w:p>
    <w:p w:rsidR="00DB40B8" w:rsidRPr="00204379" w:rsidRDefault="009032A3">
      <w:pPr>
        <w:pStyle w:val="RKnormal"/>
      </w:pPr>
      <w:r w:rsidRPr="00204379">
        <w:t xml:space="preserve">Översända dokument till EU-nämnden är de av Ekofin överenskomna </w:t>
      </w:r>
      <w:r w:rsidR="003617D1" w:rsidRPr="00204379">
        <w:t xml:space="preserve">allmänna inriktningarna </w:t>
      </w:r>
      <w:r w:rsidRPr="00204379">
        <w:t xml:space="preserve">för </w:t>
      </w:r>
    </w:p>
    <w:p w:rsidR="00AC5B6E" w:rsidRPr="00204379" w:rsidRDefault="00C94015" w:rsidP="00AC5B6E">
      <w:pPr>
        <w:pStyle w:val="RKnormal"/>
        <w:numPr>
          <w:ilvl w:val="0"/>
          <w:numId w:val="7"/>
        </w:numPr>
      </w:pPr>
      <w:r w:rsidRPr="00204379">
        <w:t xml:space="preserve">European Systemic Risk Board (ESRB) </w:t>
      </w:r>
      <w:r w:rsidR="009032A3" w:rsidRPr="00204379">
        <w:t>beslut</w:t>
      </w:r>
      <w:r w:rsidR="00AC5B6E" w:rsidRPr="00204379">
        <w:t>sdatum</w:t>
      </w:r>
      <w:r w:rsidRPr="00204379">
        <w:t xml:space="preserve"> </w:t>
      </w:r>
      <w:r w:rsidR="009032A3" w:rsidRPr="00204379">
        <w:t>091020</w:t>
      </w:r>
      <w:r w:rsidRPr="00204379">
        <w:t>,</w:t>
      </w:r>
      <w:r w:rsidR="009032A3" w:rsidRPr="00204379">
        <w:t xml:space="preserve"> </w:t>
      </w:r>
    </w:p>
    <w:p w:rsidR="00C94015" w:rsidRPr="00204379" w:rsidRDefault="00AC5B6E" w:rsidP="00AC5B6E">
      <w:pPr>
        <w:pStyle w:val="RKnormal"/>
        <w:numPr>
          <w:ilvl w:val="0"/>
          <w:numId w:val="7"/>
        </w:numPr>
      </w:pPr>
      <w:r w:rsidRPr="00204379">
        <w:t>E</w:t>
      </w:r>
      <w:r w:rsidR="00C94015" w:rsidRPr="00204379">
        <w:t>uropean Banking Authority (</w:t>
      </w:r>
      <w:r w:rsidR="009032A3" w:rsidRPr="00204379">
        <w:t>EBA</w:t>
      </w:r>
      <w:r w:rsidR="00C94015" w:rsidRPr="00204379">
        <w:t>) beslut</w:t>
      </w:r>
      <w:r w:rsidRPr="00204379">
        <w:t xml:space="preserve">sdatum </w:t>
      </w:r>
      <w:r w:rsidR="009032A3" w:rsidRPr="00204379">
        <w:t>091202</w:t>
      </w:r>
      <w:r w:rsidR="00C94015" w:rsidRPr="00204379">
        <w:t>,</w:t>
      </w:r>
      <w:r w:rsidR="009032A3" w:rsidRPr="00204379">
        <w:t xml:space="preserve"> </w:t>
      </w:r>
    </w:p>
    <w:p w:rsidR="00DB40B8" w:rsidRPr="00204379" w:rsidRDefault="00C94015" w:rsidP="00AC5B6E">
      <w:pPr>
        <w:pStyle w:val="RKnormal"/>
        <w:numPr>
          <w:ilvl w:val="0"/>
          <w:numId w:val="7"/>
        </w:numPr>
      </w:pPr>
      <w:r w:rsidRPr="00204379">
        <w:t>European Insurance and Occupational Pensions Authority (</w:t>
      </w:r>
      <w:r w:rsidR="009032A3" w:rsidRPr="00204379">
        <w:t>EIOPA</w:t>
      </w:r>
      <w:r w:rsidRPr="00204379">
        <w:t>) beslut</w:t>
      </w:r>
      <w:r w:rsidR="00AC5B6E" w:rsidRPr="00204379">
        <w:t xml:space="preserve">sdatum </w:t>
      </w:r>
      <w:r w:rsidR="009032A3" w:rsidRPr="00204379">
        <w:t xml:space="preserve">091202, </w:t>
      </w:r>
    </w:p>
    <w:p w:rsidR="00DB40B8" w:rsidRPr="00204379" w:rsidRDefault="00C94015" w:rsidP="00AC5B6E">
      <w:pPr>
        <w:pStyle w:val="RKnormal"/>
        <w:numPr>
          <w:ilvl w:val="0"/>
          <w:numId w:val="7"/>
        </w:numPr>
      </w:pPr>
      <w:r w:rsidRPr="00204379">
        <w:t>European Securities and Markets Authority (</w:t>
      </w:r>
      <w:r w:rsidR="009032A3" w:rsidRPr="00204379">
        <w:t>ESMA</w:t>
      </w:r>
      <w:r w:rsidRPr="00204379">
        <w:t>) beslut</w:t>
      </w:r>
      <w:r w:rsidR="00AC5B6E" w:rsidRPr="00204379">
        <w:t>sdatum</w:t>
      </w:r>
      <w:r w:rsidRPr="00204379">
        <w:t xml:space="preserve"> </w:t>
      </w:r>
      <w:r w:rsidR="009032A3" w:rsidRPr="00204379">
        <w:t xml:space="preserve">091202 och </w:t>
      </w:r>
    </w:p>
    <w:p w:rsidR="00AC5B6E" w:rsidRPr="00204379" w:rsidRDefault="009032A3" w:rsidP="00AC5B6E">
      <w:pPr>
        <w:pStyle w:val="RKnormal"/>
        <w:numPr>
          <w:ilvl w:val="0"/>
          <w:numId w:val="7"/>
        </w:numPr>
      </w:pPr>
      <w:r w:rsidRPr="00204379">
        <w:t>Lissabonf</w:t>
      </w:r>
      <w:r w:rsidR="00AC5B6E" w:rsidRPr="00204379">
        <w:t>iering av förordningen för ECB, dat</w:t>
      </w:r>
      <w:r w:rsidR="005244BA" w:rsidRPr="00204379">
        <w:t>erad</w:t>
      </w:r>
      <w:r w:rsidR="00AC5B6E" w:rsidRPr="00204379">
        <w:t xml:space="preserve"> </w:t>
      </w:r>
      <w:r w:rsidRPr="00204379">
        <w:t xml:space="preserve">100121. </w:t>
      </w:r>
    </w:p>
    <w:p w:rsidR="00AC5B6E" w:rsidRPr="00204379" w:rsidRDefault="009032A3" w:rsidP="00AC5B6E">
      <w:pPr>
        <w:pStyle w:val="RKnormal"/>
        <w:spacing w:before="120"/>
      </w:pPr>
      <w:r w:rsidRPr="00204379">
        <w:t xml:space="preserve">Översänder även den på Coreper överenskomna </w:t>
      </w:r>
    </w:p>
    <w:p w:rsidR="00AC5B6E" w:rsidRPr="00204379" w:rsidRDefault="00AC5B6E" w:rsidP="00AC5B6E">
      <w:pPr>
        <w:pStyle w:val="RKnormal"/>
        <w:numPr>
          <w:ilvl w:val="0"/>
          <w:numId w:val="9"/>
        </w:numPr>
        <w:spacing w:before="120"/>
      </w:pPr>
      <w:r w:rsidRPr="00204379">
        <w:t>Omnibusförordningen, beslut</w:t>
      </w:r>
      <w:r w:rsidR="005244BA" w:rsidRPr="00204379">
        <w:t>s</w:t>
      </w:r>
      <w:r w:rsidRPr="00204379">
        <w:t xml:space="preserve">datum </w:t>
      </w:r>
      <w:r w:rsidR="009032A3" w:rsidRPr="00204379">
        <w:t xml:space="preserve">100414. </w:t>
      </w:r>
    </w:p>
    <w:p w:rsidR="00AC5B6E" w:rsidRPr="00204379" w:rsidRDefault="009032A3" w:rsidP="00AC5B6E">
      <w:pPr>
        <w:pStyle w:val="RKnormal"/>
        <w:spacing w:before="120"/>
      </w:pPr>
      <w:r w:rsidRPr="00204379">
        <w:t>Slutligen översändes de senaste kompromisstexterna efter trepartsförhandlingarna (</w:t>
      </w:r>
      <w:r w:rsidR="00DB40B8" w:rsidRPr="00204379">
        <w:t xml:space="preserve">mellan </w:t>
      </w:r>
      <w:r w:rsidRPr="00204379">
        <w:t>Ekofin, Europaparlamentet och Kommissionen)</w:t>
      </w:r>
      <w:r w:rsidR="00DB40B8" w:rsidRPr="00204379">
        <w:t xml:space="preserve">: </w:t>
      </w:r>
    </w:p>
    <w:p w:rsidR="00DB40B8" w:rsidRPr="00204379" w:rsidRDefault="00DB40B8" w:rsidP="00AC5B6E">
      <w:pPr>
        <w:pStyle w:val="RKnormal"/>
        <w:numPr>
          <w:ilvl w:val="0"/>
          <w:numId w:val="9"/>
        </w:numPr>
        <w:spacing w:before="120"/>
      </w:pPr>
      <w:r w:rsidRPr="00204379">
        <w:t xml:space="preserve">ESRB i den senaste kompromisstexten daterad 100708 (ej överenskommen), </w:t>
      </w:r>
    </w:p>
    <w:p w:rsidR="00DB40B8" w:rsidRPr="00204379" w:rsidRDefault="00DB40B8" w:rsidP="00AC5B6E">
      <w:pPr>
        <w:pStyle w:val="RKnormal"/>
        <w:numPr>
          <w:ilvl w:val="0"/>
          <w:numId w:val="9"/>
        </w:numPr>
      </w:pPr>
      <w:r w:rsidRPr="00204379">
        <w:t xml:space="preserve">EBA i den senaste framstegsrapporten från juni 2010 och </w:t>
      </w:r>
    </w:p>
    <w:p w:rsidR="008C3807" w:rsidRPr="00204379" w:rsidRDefault="00DB40B8" w:rsidP="00AC5B6E">
      <w:pPr>
        <w:pStyle w:val="RKnormal"/>
        <w:numPr>
          <w:ilvl w:val="0"/>
          <w:numId w:val="9"/>
        </w:numPr>
      </w:pPr>
      <w:r w:rsidRPr="00204379">
        <w:t>den senaste kompromisstexten gällande de utestående artiklarna i EBA daterad 100708 (ej överenskommen).</w:t>
      </w:r>
    </w:p>
    <w:p w:rsidR="003617D1" w:rsidRPr="00204379" w:rsidRDefault="003617D1" w:rsidP="003617D1">
      <w:pPr>
        <w:pStyle w:val="RKnormal"/>
      </w:pPr>
    </w:p>
    <w:p w:rsidR="003617D1" w:rsidRPr="00204379" w:rsidRDefault="003617D1" w:rsidP="003617D1">
      <w:pPr>
        <w:pStyle w:val="RKnormal"/>
      </w:pPr>
      <w:r w:rsidRPr="00204379">
        <w:t>Vad gäller ESMA och EIOPA finns inga uppdaterade texter då ordförande</w:t>
      </w:r>
      <w:r w:rsidRPr="00204379">
        <w:softHyphen/>
      </w:r>
      <w:r w:rsidR="000666F3" w:rsidRPr="00204379">
        <w:softHyphen/>
      </w:r>
      <w:r w:rsidRPr="00204379">
        <w:t xml:space="preserve">skapet har fokuserat på att </w:t>
      </w:r>
      <w:r w:rsidR="00D71157" w:rsidRPr="00204379">
        <w:t xml:space="preserve">först </w:t>
      </w:r>
      <w:r w:rsidRPr="00204379">
        <w:t>förhandla färdigt ESRB och EBA.</w:t>
      </w:r>
    </w:p>
    <w:p w:rsidR="003617D1" w:rsidRPr="00204379" w:rsidRDefault="003617D1" w:rsidP="003617D1">
      <w:pPr>
        <w:pStyle w:val="RKnormal"/>
      </w:pPr>
    </w:p>
    <w:p w:rsidR="00BC553F" w:rsidRPr="00204379" w:rsidRDefault="00BC553F" w:rsidP="003617D1">
      <w:pPr>
        <w:pStyle w:val="RKnormal"/>
      </w:pPr>
    </w:p>
    <w:p w:rsidR="00C94015" w:rsidRPr="00204379" w:rsidRDefault="00C94015" w:rsidP="00C94015">
      <w:pPr>
        <w:pStyle w:val="RKrubrik"/>
      </w:pPr>
      <w:r w:rsidRPr="00204379">
        <w:t>Bakgrund och beredningsläge</w:t>
      </w:r>
    </w:p>
    <w:p w:rsidR="007A5550" w:rsidRPr="00204379" w:rsidRDefault="00AF54FA">
      <w:pPr>
        <w:pStyle w:val="RKnormal"/>
      </w:pPr>
      <w:r w:rsidRPr="00204379">
        <w:rPr>
          <w:szCs w:val="24"/>
        </w:rPr>
        <w:t xml:space="preserve">Rådet antog i oktober 2009 allmän inriktning avseende </w:t>
      </w:r>
      <w:r w:rsidR="00060CF1" w:rsidRPr="00204379">
        <w:rPr>
          <w:szCs w:val="24"/>
        </w:rPr>
        <w:t>makro</w:t>
      </w:r>
      <w:r w:rsidR="00B76586" w:rsidRPr="00204379">
        <w:rPr>
          <w:szCs w:val="24"/>
        </w:rPr>
        <w:softHyphen/>
      </w:r>
      <w:r w:rsidR="00060CF1" w:rsidRPr="00204379">
        <w:rPr>
          <w:szCs w:val="24"/>
        </w:rPr>
        <w:t>förordningen och rådsbeslutet</w:t>
      </w:r>
      <w:r w:rsidRPr="00204379">
        <w:rPr>
          <w:szCs w:val="24"/>
        </w:rPr>
        <w:t>. E</w:t>
      </w:r>
      <w:r w:rsidR="00060CF1" w:rsidRPr="00204379">
        <w:rPr>
          <w:szCs w:val="24"/>
        </w:rPr>
        <w:t>P</w:t>
      </w:r>
      <w:r w:rsidR="00C94015" w:rsidRPr="00204379">
        <w:rPr>
          <w:szCs w:val="24"/>
        </w:rPr>
        <w:t>:</w:t>
      </w:r>
      <w:r w:rsidR="00060CF1" w:rsidRPr="00204379">
        <w:rPr>
          <w:szCs w:val="24"/>
        </w:rPr>
        <w:t>s</w:t>
      </w:r>
      <w:r w:rsidRPr="00204379">
        <w:rPr>
          <w:szCs w:val="24"/>
        </w:rPr>
        <w:t xml:space="preserve"> utskott för </w:t>
      </w:r>
      <w:r w:rsidR="000649F3" w:rsidRPr="00204379">
        <w:rPr>
          <w:szCs w:val="24"/>
        </w:rPr>
        <w:t>ekonomi och valuta</w:t>
      </w:r>
      <w:r w:rsidR="00B76586" w:rsidRPr="00204379">
        <w:rPr>
          <w:szCs w:val="24"/>
        </w:rPr>
        <w:softHyphen/>
      </w:r>
      <w:r w:rsidR="000649F3" w:rsidRPr="00204379">
        <w:rPr>
          <w:szCs w:val="24"/>
        </w:rPr>
        <w:t xml:space="preserve">frågor (ECON) </w:t>
      </w:r>
      <w:r w:rsidRPr="00204379">
        <w:rPr>
          <w:szCs w:val="24"/>
        </w:rPr>
        <w:t xml:space="preserve">röstade den 10 maj i år om det s.k. tillsynspaketet som </w:t>
      </w:r>
      <w:r w:rsidRPr="00204379">
        <w:rPr>
          <w:szCs w:val="24"/>
        </w:rPr>
        <w:lastRenderedPageBreak/>
        <w:t>också innefattar förordningsförslag för tre europeiska tillsyns</w:t>
      </w:r>
      <w:r w:rsidR="00B76586" w:rsidRPr="00204379">
        <w:rPr>
          <w:szCs w:val="24"/>
        </w:rPr>
        <w:softHyphen/>
      </w:r>
      <w:r w:rsidRPr="00204379">
        <w:rPr>
          <w:szCs w:val="24"/>
        </w:rPr>
        <w:t>myndigheter på respektive bank-</w:t>
      </w:r>
      <w:r w:rsidR="000649F3" w:rsidRPr="00204379">
        <w:rPr>
          <w:szCs w:val="24"/>
        </w:rPr>
        <w:t xml:space="preserve">, </w:t>
      </w:r>
      <w:r w:rsidRPr="00204379">
        <w:rPr>
          <w:szCs w:val="24"/>
        </w:rPr>
        <w:t>försäkrings-</w:t>
      </w:r>
      <w:r w:rsidR="000649F3" w:rsidRPr="00204379">
        <w:rPr>
          <w:szCs w:val="24"/>
        </w:rPr>
        <w:t xml:space="preserve"> </w:t>
      </w:r>
      <w:r w:rsidRPr="00204379">
        <w:rPr>
          <w:szCs w:val="24"/>
        </w:rPr>
        <w:t>och värdepappersområdet samt omnibusdirektivet som avser ändringar i sektorsspecifika direktiv till följd av inrättandet av en ny tillsynsstruktur i EU.</w:t>
      </w:r>
      <w:r w:rsidR="00665330" w:rsidRPr="00204379">
        <w:rPr>
          <w:szCs w:val="24"/>
        </w:rPr>
        <w:t xml:space="preserve"> Ordförandeskapet inledde triloger med E</w:t>
      </w:r>
      <w:r w:rsidR="00060CF1" w:rsidRPr="00204379">
        <w:rPr>
          <w:szCs w:val="24"/>
        </w:rPr>
        <w:t>P</w:t>
      </w:r>
      <w:r w:rsidR="00665330" w:rsidRPr="00204379">
        <w:rPr>
          <w:szCs w:val="24"/>
        </w:rPr>
        <w:t xml:space="preserve"> den 11 maj i år.</w:t>
      </w:r>
      <w:r w:rsidR="00C94015" w:rsidRPr="00204379">
        <w:rPr>
          <w:szCs w:val="24"/>
        </w:rPr>
        <w:t xml:space="preserve"> </w:t>
      </w:r>
      <w:r w:rsidR="00C94015" w:rsidRPr="00204379">
        <w:t xml:space="preserve">Förhandlingar på attachénivå har pågått </w:t>
      </w:r>
      <w:r w:rsidR="005244BA" w:rsidRPr="00204379">
        <w:t>kontinuerligt och i hög takt</w:t>
      </w:r>
      <w:r w:rsidR="00C94015" w:rsidRPr="00204379">
        <w:t xml:space="preserve"> under våren och försommaren.</w:t>
      </w:r>
    </w:p>
    <w:p w:rsidR="00C94015" w:rsidRPr="00204379" w:rsidRDefault="00C94015">
      <w:pPr>
        <w:pStyle w:val="RKnormal"/>
      </w:pPr>
    </w:p>
    <w:p w:rsidR="00C94015" w:rsidRPr="00204379" w:rsidRDefault="00C94015" w:rsidP="00C94015">
      <w:pPr>
        <w:pStyle w:val="RKnormal"/>
      </w:pPr>
      <w:r w:rsidRPr="00204379">
        <w:t xml:space="preserve">Processen framöver </w:t>
      </w:r>
      <w:r w:rsidR="00B76586" w:rsidRPr="00204379">
        <w:t>beror på hur förhandlingarna går</w:t>
      </w:r>
      <w:r w:rsidRPr="00204379">
        <w:t xml:space="preserve">. ORDF presenterade vid Coreper </w:t>
      </w:r>
      <w:r w:rsidR="005244BA" w:rsidRPr="00204379">
        <w:t>den 8 juli</w:t>
      </w:r>
      <w:r w:rsidRPr="00204379">
        <w:t xml:space="preserve"> två kompromissförslag dels för etablering av E</w:t>
      </w:r>
      <w:r w:rsidR="00B76586" w:rsidRPr="00204379">
        <w:t>BA</w:t>
      </w:r>
      <w:r w:rsidRPr="00204379">
        <w:t>, dels angående inrättande av E</w:t>
      </w:r>
      <w:r w:rsidR="00B76586" w:rsidRPr="00204379">
        <w:t>SRB</w:t>
      </w:r>
      <w:r w:rsidRPr="00204379">
        <w:t xml:space="preserve">. </w:t>
      </w:r>
      <w:r w:rsidR="000666F3" w:rsidRPr="00204379">
        <w:t xml:space="preserve">På Coreper framkom att samtliga MS utom UK och CZ kan acceptera det nu liggande kompromissförslaget, och dessa har inte en blockerande minoritet. </w:t>
      </w:r>
      <w:r w:rsidRPr="00204379">
        <w:t xml:space="preserve">Dossiern är </w:t>
      </w:r>
      <w:r w:rsidR="005244BA" w:rsidRPr="00204379">
        <w:t xml:space="preserve">i dagsläget </w:t>
      </w:r>
      <w:r w:rsidR="000666F3" w:rsidRPr="00204379">
        <w:t xml:space="preserve">inte </w:t>
      </w:r>
      <w:r w:rsidRPr="00204379">
        <w:t>uppsatt</w:t>
      </w:r>
      <w:r w:rsidR="000666F3" w:rsidRPr="00204379">
        <w:t xml:space="preserve"> på den officiella agendan på Ekofinmötet den 13 juli 2010, men kommer att diskuteras informellt under frukosten. Att Ekofin säger ja till kompromissförslaget (om än informellt) kan sätta press på EP att acceptera det liggande förslaget. </w:t>
      </w:r>
    </w:p>
    <w:p w:rsidR="000666F3" w:rsidRPr="00204379" w:rsidRDefault="000666F3" w:rsidP="00C94015">
      <w:pPr>
        <w:pStyle w:val="RKnormal"/>
      </w:pPr>
    </w:p>
    <w:p w:rsidR="00C94015" w:rsidRPr="00204379" w:rsidRDefault="000666F3">
      <w:pPr>
        <w:pStyle w:val="RKnormal"/>
        <w:rPr>
          <w:szCs w:val="24"/>
        </w:rPr>
      </w:pPr>
      <w:r w:rsidRPr="00204379">
        <w:t>När det gäller processen framöver så har EP redan röstat om vissa av ändringsförslagen men uppgivit att man inte kommer att rösta om förslagen i sin helhet förrän efter sommaruppehållet. Detta innebär att rådet och EP har ytterligare tid att förhandla fram en överenskommelse under juli månad. Om EP inte godkänner rådets ändringsförslag så kommer en andra läsning att inledas, vilket skulle riskera att kraftigt försena inrättandet av de nya tillsynsorganen.</w:t>
      </w:r>
    </w:p>
    <w:p w:rsidR="000666F3" w:rsidRPr="00204379" w:rsidRDefault="000666F3" w:rsidP="000666F3">
      <w:pPr>
        <w:pStyle w:val="RKrubrik"/>
      </w:pPr>
      <w:r w:rsidRPr="00204379">
        <w:t>Svensk ståndpunkt</w:t>
      </w:r>
    </w:p>
    <w:p w:rsidR="000666F3" w:rsidRPr="00204379" w:rsidRDefault="000666F3" w:rsidP="000666F3">
      <w:pPr>
        <w:pStyle w:val="RKnormal"/>
      </w:pPr>
      <w:r w:rsidRPr="00204379">
        <w:t>SE har följande positioner när det gäller den pågående och kommande processen.</w:t>
      </w:r>
    </w:p>
    <w:p w:rsidR="000666F3" w:rsidRPr="00204379" w:rsidRDefault="000666F3" w:rsidP="000666F3">
      <w:pPr>
        <w:pStyle w:val="RKnormal"/>
        <w:numPr>
          <w:ilvl w:val="0"/>
          <w:numId w:val="13"/>
        </w:numPr>
      </w:pPr>
      <w:r w:rsidRPr="00204379">
        <w:t>Det är angeläget att det tillskapas starka befogenheter för den nya tillsynsstrukturen så att ESRB och mikromyndigheterna ska kunna arbeta effektivt och operativt i syfte att förhindra framtida finansiella kriser.</w:t>
      </w:r>
    </w:p>
    <w:p w:rsidR="000666F3" w:rsidRPr="00204379" w:rsidRDefault="000666F3" w:rsidP="000666F3">
      <w:pPr>
        <w:pStyle w:val="RKnormal"/>
        <w:numPr>
          <w:ilvl w:val="0"/>
          <w:numId w:val="13"/>
        </w:numPr>
      </w:pPr>
      <w:r w:rsidRPr="00204379">
        <w:t>Det är oerhört angeläget att förhandlingsarbetet inte försenas vilket kan äventyra ett ikraftträdande under början av år 2011 dvs. en överenskommelse bör nås med EP i första läsningen före sommaruppehållet.</w:t>
      </w:r>
    </w:p>
    <w:p w:rsidR="000666F3" w:rsidRPr="00204379" w:rsidRDefault="000666F3" w:rsidP="000666F3">
      <w:pPr>
        <w:pStyle w:val="RKnormal"/>
        <w:numPr>
          <w:ilvl w:val="0"/>
          <w:numId w:val="13"/>
        </w:numPr>
      </w:pPr>
      <w:r w:rsidRPr="00204379">
        <w:t xml:space="preserve">För att uppnå detta resultat måste såväl rådet som EP och KOM visa stor flexibilitet och kompromissvilja och fortsätta i en positiv förhandlingsanda. </w:t>
      </w:r>
    </w:p>
    <w:p w:rsidR="000666F3" w:rsidRPr="00204379" w:rsidRDefault="000666F3" w:rsidP="000666F3">
      <w:pPr>
        <w:pStyle w:val="RKnormal"/>
        <w:numPr>
          <w:ilvl w:val="0"/>
          <w:numId w:val="13"/>
        </w:numPr>
      </w:pPr>
      <w:r w:rsidRPr="00204379">
        <w:t xml:space="preserve">MS behöver därför överväga sina positioner och fokusera på de utestående frågor som nu är de allra viktigaste och överväga om dessa verkligen är av sådan vikt att det är värt att äventyra en överenskommelse och ett eventuellt försenat ikraftträdande </w:t>
      </w:r>
    </w:p>
    <w:p w:rsidR="000666F3" w:rsidRPr="00204379" w:rsidRDefault="000666F3">
      <w:pPr>
        <w:pStyle w:val="RKnormal"/>
        <w:rPr>
          <w:b/>
          <w:szCs w:val="24"/>
        </w:rPr>
      </w:pPr>
    </w:p>
    <w:p w:rsidR="00365D48" w:rsidRPr="00204379" w:rsidRDefault="00365D48" w:rsidP="00365D48">
      <w:pPr>
        <w:pStyle w:val="RKrubrik"/>
      </w:pPr>
      <w:r w:rsidRPr="00204379">
        <w:t>EP:s förslag relativt Ekofin-överenskommelsen</w:t>
      </w:r>
    </w:p>
    <w:p w:rsidR="00AA46FB" w:rsidRPr="00204379" w:rsidRDefault="00365D48">
      <w:pPr>
        <w:pStyle w:val="RKnormal"/>
        <w:rPr>
          <w:szCs w:val="24"/>
        </w:rPr>
      </w:pPr>
      <w:r w:rsidRPr="00204379">
        <w:rPr>
          <w:szCs w:val="24"/>
        </w:rPr>
        <w:t>Generellt kan sägas att Europaparlamentet har önskat stärka de nya myndigheternas mandat och befogenheter</w:t>
      </w:r>
      <w:r w:rsidR="00AA46FB" w:rsidRPr="00204379">
        <w:rPr>
          <w:szCs w:val="24"/>
        </w:rPr>
        <w:t xml:space="preserve"> jämfört med de allmänna inriktningarna som antogs av Ekofin under det svenska ordförande</w:t>
      </w:r>
      <w:r w:rsidR="00594FF6" w:rsidRPr="00204379">
        <w:rPr>
          <w:szCs w:val="24"/>
        </w:rPr>
        <w:softHyphen/>
      </w:r>
      <w:r w:rsidR="00AA46FB" w:rsidRPr="00204379">
        <w:rPr>
          <w:szCs w:val="24"/>
        </w:rPr>
        <w:t>skapet</w:t>
      </w:r>
      <w:r w:rsidRPr="00204379">
        <w:rPr>
          <w:szCs w:val="24"/>
        </w:rPr>
        <w:t xml:space="preserve">. </w:t>
      </w:r>
      <w:r w:rsidR="00AA46FB" w:rsidRPr="00204379">
        <w:rPr>
          <w:szCs w:val="24"/>
        </w:rPr>
        <w:t xml:space="preserve">Bland annat gäller det frågan om att ge mikromyndigheterna </w:t>
      </w:r>
      <w:r w:rsidR="000E6F22" w:rsidRPr="00204379">
        <w:rPr>
          <w:szCs w:val="24"/>
        </w:rPr>
        <w:t xml:space="preserve">(EBA, EIOPA och ESMA) </w:t>
      </w:r>
      <w:r w:rsidR="00AA46FB" w:rsidRPr="00204379">
        <w:rPr>
          <w:szCs w:val="24"/>
        </w:rPr>
        <w:t xml:space="preserve">stärkta befogenheter att rikta beslut direkt riktade till </w:t>
      </w:r>
      <w:r w:rsidR="00594FF6" w:rsidRPr="00204379">
        <w:rPr>
          <w:szCs w:val="24"/>
        </w:rPr>
        <w:t xml:space="preserve">nationella </w:t>
      </w:r>
      <w:r w:rsidR="00AA46FB" w:rsidRPr="00204379">
        <w:rPr>
          <w:szCs w:val="24"/>
        </w:rPr>
        <w:t>finansiella institut</w:t>
      </w:r>
      <w:r w:rsidR="000E6F22" w:rsidRPr="00204379">
        <w:rPr>
          <w:szCs w:val="24"/>
        </w:rPr>
        <w:t xml:space="preserve"> ifall de nationella myndigheterna inte följer mikromyndigheternas beslut</w:t>
      </w:r>
      <w:r w:rsidR="00594FF6" w:rsidRPr="00204379">
        <w:rPr>
          <w:szCs w:val="24"/>
        </w:rPr>
        <w:t xml:space="preserve">. </w:t>
      </w:r>
    </w:p>
    <w:p w:rsidR="00AA46FB" w:rsidRPr="00204379" w:rsidRDefault="00AA46FB">
      <w:pPr>
        <w:pStyle w:val="RKnormal"/>
        <w:rPr>
          <w:szCs w:val="24"/>
        </w:rPr>
      </w:pPr>
    </w:p>
    <w:p w:rsidR="00AA46FB" w:rsidRPr="00204379" w:rsidRDefault="00AA46FB">
      <w:pPr>
        <w:pStyle w:val="RKnormal"/>
        <w:rPr>
          <w:szCs w:val="24"/>
        </w:rPr>
      </w:pPr>
      <w:r w:rsidRPr="00204379">
        <w:t xml:space="preserve">En annan fråga </w:t>
      </w:r>
      <w:r w:rsidR="000E6F22" w:rsidRPr="00204379">
        <w:t>där EP:s förslag går väsentligt länge än överens</w:t>
      </w:r>
      <w:r w:rsidR="000E6F22" w:rsidRPr="00204379">
        <w:softHyphen/>
        <w:t xml:space="preserve">kommelsen i Ekofin </w:t>
      </w:r>
      <w:r w:rsidRPr="00204379">
        <w:t xml:space="preserve">rör </w:t>
      </w:r>
      <w:r w:rsidR="000E6F22" w:rsidRPr="00204379">
        <w:t xml:space="preserve">EP:s tillagda </w:t>
      </w:r>
      <w:r w:rsidRPr="00204379">
        <w:t>artiklar om inrättande av dels ett europeiskt insättningsgarantisystem och dels en europeisk stabilitets</w:t>
      </w:r>
      <w:r w:rsidR="004A6F50" w:rsidRPr="00204379">
        <w:softHyphen/>
      </w:r>
      <w:r w:rsidRPr="00204379">
        <w:t>fond</w:t>
      </w:r>
      <w:r w:rsidR="00E9788A" w:rsidRPr="00204379">
        <w:t xml:space="preserve"> (finansierad av avgifter från finansiella institut)</w:t>
      </w:r>
      <w:r w:rsidRPr="00204379">
        <w:t>. MS anser att dessa skrivningar går för långt</w:t>
      </w:r>
      <w:r w:rsidR="00BC553F" w:rsidRPr="00204379">
        <w:t xml:space="preserve"> och försöker föregripa utvecklingen</w:t>
      </w:r>
      <w:r w:rsidR="000E6F22" w:rsidRPr="00204379">
        <w:t xml:space="preserve">. MS </w:t>
      </w:r>
      <w:r w:rsidRPr="00204379">
        <w:t>kan som kompromiss tänka sig skrivningar om att nationella stabilitetsfonder bör inrättas</w:t>
      </w:r>
      <w:r w:rsidR="004A6F50" w:rsidRPr="00204379">
        <w:t>,</w:t>
      </w:r>
      <w:r w:rsidRPr="00204379">
        <w:t xml:space="preserve"> och harmoniseras inom EU</w:t>
      </w:r>
      <w:r w:rsidR="000E6F22" w:rsidRPr="00204379">
        <w:t xml:space="preserve">, och </w:t>
      </w:r>
      <w:r w:rsidRPr="00204379">
        <w:t>att de nationella insättnings</w:t>
      </w:r>
      <w:r w:rsidR="000E6F22" w:rsidRPr="00204379">
        <w:softHyphen/>
      </w:r>
      <w:r w:rsidRPr="00204379">
        <w:t>garantisystemen bör stärkas. EP:s rapportör har dock signalerat att de inte anser att detta är tillräckligt.</w:t>
      </w:r>
    </w:p>
    <w:p w:rsidR="00365D48" w:rsidRPr="00204379" w:rsidRDefault="00365D48" w:rsidP="00365D48">
      <w:pPr>
        <w:pStyle w:val="RKrubrik"/>
      </w:pPr>
      <w:r w:rsidRPr="00204379">
        <w:t>Utestående frågor</w:t>
      </w:r>
    </w:p>
    <w:p w:rsidR="00E9788A" w:rsidRPr="00204379" w:rsidRDefault="00AA46FB" w:rsidP="00365D48">
      <w:pPr>
        <w:pStyle w:val="RKnormal"/>
      </w:pPr>
      <w:r w:rsidRPr="00204379">
        <w:t xml:space="preserve">Först kan betonas att det finns en stor vilja bland de flesta MS, och även KOM, att nå en överenskommelse av dossiern före sommaruppehållet. </w:t>
      </w:r>
      <w:r w:rsidR="00E9788A" w:rsidRPr="00204379">
        <w:t xml:space="preserve">De enda MS som </w:t>
      </w:r>
      <w:r w:rsidR="000E6F22" w:rsidRPr="00204379">
        <w:t xml:space="preserve">i dagsläget </w:t>
      </w:r>
      <w:r w:rsidR="00E9788A" w:rsidRPr="00204379">
        <w:t>inte kan acceptera det liggande kompromiss</w:t>
      </w:r>
      <w:r w:rsidR="000E6F22" w:rsidRPr="00204379">
        <w:softHyphen/>
      </w:r>
      <w:r w:rsidR="00E9788A" w:rsidRPr="00204379">
        <w:t xml:space="preserve">förslaget är UK och CZ. De viktigaste utestående frågorna är: </w:t>
      </w:r>
    </w:p>
    <w:p w:rsidR="00E9788A" w:rsidRPr="00204379" w:rsidRDefault="00E9788A" w:rsidP="00365D48">
      <w:pPr>
        <w:pStyle w:val="RKnormal"/>
      </w:pPr>
    </w:p>
    <w:p w:rsidR="00E9788A" w:rsidRPr="00204379" w:rsidRDefault="00AA46FB" w:rsidP="00AA46FB">
      <w:pPr>
        <w:pStyle w:val="RKnormal"/>
        <w:numPr>
          <w:ilvl w:val="0"/>
          <w:numId w:val="12"/>
        </w:numPr>
      </w:pPr>
      <w:r w:rsidRPr="00204379">
        <w:rPr>
          <w:i/>
        </w:rPr>
        <w:t xml:space="preserve">Omfattningen av </w:t>
      </w:r>
      <w:r w:rsidR="00594FF6" w:rsidRPr="00204379">
        <w:rPr>
          <w:i/>
        </w:rPr>
        <w:t xml:space="preserve">s.k. </w:t>
      </w:r>
      <w:r w:rsidRPr="00204379">
        <w:rPr>
          <w:i/>
        </w:rPr>
        <w:t xml:space="preserve">direkta beslut. </w:t>
      </w:r>
      <w:r w:rsidR="00E9788A" w:rsidRPr="00204379">
        <w:t>UK och CZ kan inte acceptera kompromissförslaget för EBA eftersom man har ett fundamentalt problem med artikel 10.3</w:t>
      </w:r>
      <w:r w:rsidR="000E6F22" w:rsidRPr="00204379">
        <w:t xml:space="preserve">. Artikeln </w:t>
      </w:r>
      <w:r w:rsidR="00E9788A" w:rsidRPr="00204379">
        <w:t>innebär att mikro</w:t>
      </w:r>
      <w:r w:rsidR="000E6F22" w:rsidRPr="00204379">
        <w:softHyphen/>
      </w:r>
      <w:r w:rsidR="00E9788A" w:rsidRPr="00204379">
        <w:t>myndigheten i krissituationer ges befogenhet att</w:t>
      </w:r>
      <w:r w:rsidR="000E6F22" w:rsidRPr="00204379">
        <w:t xml:space="preserve">, i de fall där de nationella myndigheterna inte vidtar de av åtgärder som EBA har bestämt, </w:t>
      </w:r>
      <w:r w:rsidR="00E9788A" w:rsidRPr="00204379">
        <w:t xml:space="preserve">rikta beslut </w:t>
      </w:r>
      <w:r w:rsidR="000E6F22" w:rsidRPr="00204379">
        <w:t xml:space="preserve">direkt riktade </w:t>
      </w:r>
      <w:r w:rsidR="00E9788A" w:rsidRPr="00204379">
        <w:t>till finansiella institut</w:t>
      </w:r>
      <w:r w:rsidR="000E6F22" w:rsidRPr="00204379">
        <w:t>.</w:t>
      </w:r>
    </w:p>
    <w:p w:rsidR="00E9788A" w:rsidRPr="00204379" w:rsidRDefault="00E9788A" w:rsidP="00E9788A">
      <w:pPr>
        <w:pStyle w:val="RKnormal"/>
        <w:ind w:left="360"/>
      </w:pPr>
    </w:p>
    <w:p w:rsidR="00AA46FB" w:rsidRPr="00204379" w:rsidRDefault="00E9788A" w:rsidP="00AA46FB">
      <w:pPr>
        <w:pStyle w:val="RKnormal"/>
        <w:numPr>
          <w:ilvl w:val="0"/>
          <w:numId w:val="12"/>
        </w:numPr>
      </w:pPr>
      <w:r w:rsidRPr="00204379">
        <w:t>Vidare motsatte sig UK i ESRB förordningen att ECB:s president per automatik blir ordförande i ESRB</w:t>
      </w:r>
      <w:r w:rsidR="00131E14" w:rsidRPr="00204379">
        <w:t xml:space="preserve"> (art. 5)</w:t>
      </w:r>
      <w:r w:rsidR="000E6F22" w:rsidRPr="00204379">
        <w:t>. Detta är</w:t>
      </w:r>
      <w:r w:rsidRPr="00204379">
        <w:t xml:space="preserve"> dock </w:t>
      </w:r>
      <w:r w:rsidR="000E6F22" w:rsidRPr="00204379">
        <w:t>extremt</w:t>
      </w:r>
      <w:r w:rsidRPr="00204379">
        <w:t xml:space="preserve"> viktigt för EP och </w:t>
      </w:r>
      <w:r w:rsidR="00131E14" w:rsidRPr="00204379">
        <w:t xml:space="preserve">därför har </w:t>
      </w:r>
      <w:r w:rsidRPr="00204379">
        <w:t xml:space="preserve">övriga MS </w:t>
      </w:r>
      <w:r w:rsidR="000E6F22" w:rsidRPr="00204379">
        <w:t xml:space="preserve">(inklusive SE) </w:t>
      </w:r>
      <w:r w:rsidRPr="00204379">
        <w:t xml:space="preserve">motvilligt accepterat </w:t>
      </w:r>
      <w:r w:rsidR="000E6F22" w:rsidRPr="00204379">
        <w:t xml:space="preserve">detta </w:t>
      </w:r>
      <w:r w:rsidRPr="00204379">
        <w:t>som en kompromiss.</w:t>
      </w:r>
    </w:p>
    <w:p w:rsidR="00E9788A" w:rsidRPr="00204379" w:rsidRDefault="00E9788A" w:rsidP="00E9788A">
      <w:pPr>
        <w:pStyle w:val="RKnormal"/>
        <w:ind w:left="360"/>
      </w:pPr>
    </w:p>
    <w:p w:rsidR="00E9788A" w:rsidRPr="00204379" w:rsidRDefault="00E9788A" w:rsidP="00AA46FB">
      <w:pPr>
        <w:pStyle w:val="RKnormal"/>
        <w:numPr>
          <w:ilvl w:val="0"/>
          <w:numId w:val="12"/>
        </w:numPr>
      </w:pPr>
      <w:r w:rsidRPr="00204379">
        <w:t>CZ anser bland annat att skrivningarna om att nationella stabilitetsfonder ska inrättas och harmo</w:t>
      </w:r>
      <w:r w:rsidR="000E6F22" w:rsidRPr="00204379">
        <w:t>niseras inom EU är oacceptabelt</w:t>
      </w:r>
      <w:r w:rsidR="004F6E4B" w:rsidRPr="00204379">
        <w:t xml:space="preserve"> (art.12 e)</w:t>
      </w:r>
      <w:r w:rsidR="000E6F22" w:rsidRPr="00204379">
        <w:t>, eftersom de inte anser att det finns ett behov av att ta ut avgifter från de finansiella instituten.</w:t>
      </w:r>
    </w:p>
    <w:p w:rsidR="00E9788A" w:rsidRPr="00204379" w:rsidRDefault="00E9788A" w:rsidP="00E9788A">
      <w:pPr>
        <w:pStyle w:val="RKnormal"/>
        <w:ind w:left="360"/>
      </w:pPr>
    </w:p>
    <w:p w:rsidR="00060CF1" w:rsidRPr="00204379" w:rsidRDefault="00060CF1" w:rsidP="00060CF1">
      <w:pPr>
        <w:ind w:left="360"/>
      </w:pPr>
    </w:p>
    <w:p w:rsidR="003B4836" w:rsidRPr="00204379" w:rsidRDefault="003B4836" w:rsidP="008F3DA2">
      <w:pPr>
        <w:pStyle w:val="RKnormal"/>
      </w:pPr>
    </w:p>
    <w:sectPr w:rsidR="003B4836" w:rsidRPr="0020437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7F6" w:rsidRPr="00204379" w:rsidRDefault="00D807F6">
      <w:r w:rsidRPr="00204379">
        <w:separator/>
      </w:r>
    </w:p>
  </w:endnote>
  <w:endnote w:type="continuationSeparator" w:id="0">
    <w:p w:rsidR="00D807F6" w:rsidRPr="00204379" w:rsidRDefault="00D807F6">
      <w:r w:rsidRPr="002043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7F6" w:rsidRPr="00204379" w:rsidRDefault="00D807F6">
      <w:r w:rsidRPr="00204379">
        <w:separator/>
      </w:r>
    </w:p>
  </w:footnote>
  <w:footnote w:type="continuationSeparator" w:id="0">
    <w:p w:rsidR="00D807F6" w:rsidRPr="00204379" w:rsidRDefault="00D807F6">
      <w:r w:rsidRPr="002043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E4B" w:rsidRPr="00204379" w:rsidRDefault="004F6E4B">
    <w:pPr>
      <w:pStyle w:val="Sidhuvud"/>
      <w:framePr w:wrap="around" w:vAnchor="text" w:hAnchor="margin" w:xAlign="right" w:y="1"/>
      <w:rPr>
        <w:rStyle w:val="Sidnummer"/>
        <w:rPrChange w:id="1" w:author="Lars Brink" w:date="2025-12-18T01:05:00Z" w16du:dateUtc="2025-12-18T00:05:00Z">
          <w:rPr>
            <w:rStyle w:val="Sidnummer"/>
          </w:rPr>
        </w:rPrChange>
      </w:rPr>
    </w:pPr>
    <w:r w:rsidRPr="00204379">
      <w:rPr>
        <w:rStyle w:val="Sidnummer"/>
      </w:rPr>
      <w:fldChar w:fldCharType="begin" w:fldLock="1"/>
    </w:r>
    <w:r w:rsidRPr="00204379">
      <w:rPr>
        <w:rStyle w:val="Sidnummer"/>
      </w:rPr>
      <w:instrText xml:space="preserve">PAGE  </w:instrText>
    </w:r>
    <w:r w:rsidRPr="00204379">
      <w:rPr>
        <w:rStyle w:val="Sidnummer"/>
      </w:rPr>
      <w:fldChar w:fldCharType="separate"/>
    </w:r>
    <w:r w:rsidR="003F1794" w:rsidRPr="00204379">
      <w:rPr>
        <w:rStyle w:val="Sidnummer"/>
        <w:rPrChange w:id="2" w:author="Lars Brink" w:date="2025-12-18T01:05:00Z" w16du:dateUtc="2025-12-18T00:05:00Z">
          <w:rPr>
            <w:rStyle w:val="Sidnummer"/>
            <w:noProof/>
          </w:rPr>
        </w:rPrChange>
      </w:rPr>
      <w:t>2</w:t>
    </w:r>
    <w:r w:rsidRPr="00204379">
      <w:rPr>
        <w:rStyle w:val="Sidnummer"/>
        <w:rPrChange w:id="3" w:author="Lars Brink" w:date="2025-12-18T01:05:00Z" w16du:dateUtc="2025-12-18T00:05: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4F6E4B" w:rsidRPr="00204379">
      <w:tblPrEx>
        <w:tblCellMar>
          <w:top w:w="0" w:type="dxa"/>
          <w:bottom w:w="0" w:type="dxa"/>
        </w:tblCellMar>
      </w:tblPrEx>
      <w:trPr>
        <w:cantSplit/>
      </w:trPr>
      <w:tc>
        <w:tcPr>
          <w:tcW w:w="3119" w:type="dxa"/>
        </w:tcPr>
        <w:p w:rsidR="004F6E4B" w:rsidRPr="00204379" w:rsidRDefault="004F6E4B">
          <w:pPr>
            <w:pStyle w:val="Sidhuvud"/>
            <w:spacing w:line="200" w:lineRule="atLeast"/>
            <w:ind w:right="357"/>
            <w:rPr>
              <w:rFonts w:ascii="TradeGothic" w:hAnsi="TradeGothic"/>
              <w:b/>
              <w:bCs/>
              <w:sz w:val="16"/>
              <w:rPrChange w:id="4" w:author="Lars Brink" w:date="2025-12-18T01:05:00Z" w16du:dateUtc="2025-12-18T00:05:00Z">
                <w:rPr>
                  <w:rFonts w:ascii="TradeGothic" w:hAnsi="TradeGothic"/>
                  <w:b/>
                  <w:bCs/>
                  <w:sz w:val="16"/>
                </w:rPr>
              </w:rPrChange>
            </w:rPr>
          </w:pPr>
        </w:p>
      </w:tc>
      <w:tc>
        <w:tcPr>
          <w:tcW w:w="4111" w:type="dxa"/>
          <w:tcMar>
            <w:left w:w="567" w:type="dxa"/>
          </w:tcMar>
        </w:tcPr>
        <w:p w:rsidR="004F6E4B" w:rsidRPr="00204379" w:rsidRDefault="004F6E4B">
          <w:pPr>
            <w:pStyle w:val="Sidhuvud"/>
            <w:ind w:right="360"/>
            <w:rPr>
              <w:rPrChange w:id="5" w:author="Lars Brink" w:date="2025-12-18T01:05:00Z" w16du:dateUtc="2025-12-18T00:05:00Z">
                <w:rPr/>
              </w:rPrChange>
            </w:rPr>
          </w:pPr>
        </w:p>
      </w:tc>
      <w:tc>
        <w:tcPr>
          <w:tcW w:w="1525" w:type="dxa"/>
        </w:tcPr>
        <w:p w:rsidR="004F6E4B" w:rsidRPr="00204379" w:rsidRDefault="004F6E4B">
          <w:pPr>
            <w:pStyle w:val="Sidhuvud"/>
            <w:ind w:right="360"/>
            <w:rPr>
              <w:rPrChange w:id="6" w:author="Lars Brink" w:date="2025-12-18T01:05:00Z" w16du:dateUtc="2025-12-18T00:05:00Z">
                <w:rPr/>
              </w:rPrChange>
            </w:rPr>
          </w:pPr>
        </w:p>
      </w:tc>
    </w:tr>
  </w:tbl>
  <w:p w:rsidR="004F6E4B" w:rsidRPr="00204379" w:rsidRDefault="004F6E4B">
    <w:pPr>
      <w:pStyle w:val="Sidhuvud"/>
      <w:ind w:right="357" w:firstLine="357"/>
      <w:rPr>
        <w:rPrChange w:id="7" w:author="Lars Brink" w:date="2025-12-18T01:05:00Z" w16du:dateUtc="2025-12-18T00:05: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E4B" w:rsidRPr="00204379" w:rsidRDefault="004F6E4B">
    <w:pPr>
      <w:pStyle w:val="Sidhuvud"/>
      <w:framePr w:wrap="around" w:vAnchor="text" w:hAnchor="margin" w:xAlign="right" w:y="1"/>
      <w:rPr>
        <w:rStyle w:val="Sidnummer"/>
        <w:rPrChange w:id="8" w:author="Lars Brink" w:date="2025-12-18T01:05:00Z" w16du:dateUtc="2025-12-18T00:05:00Z">
          <w:rPr>
            <w:rStyle w:val="Sidnummer"/>
          </w:rPr>
        </w:rPrChange>
      </w:rPr>
    </w:pPr>
    <w:r w:rsidRPr="00204379">
      <w:rPr>
        <w:rStyle w:val="Sidnummer"/>
      </w:rPr>
      <w:fldChar w:fldCharType="begin" w:fldLock="1"/>
    </w:r>
    <w:r w:rsidRPr="00204379">
      <w:rPr>
        <w:rStyle w:val="Sidnummer"/>
      </w:rPr>
      <w:instrText xml:space="preserve">PAGE  </w:instrText>
    </w:r>
    <w:r w:rsidRPr="00204379">
      <w:rPr>
        <w:rStyle w:val="Sidnummer"/>
      </w:rPr>
      <w:fldChar w:fldCharType="separate"/>
    </w:r>
    <w:r w:rsidR="003F1794" w:rsidRPr="00204379">
      <w:rPr>
        <w:rStyle w:val="Sidnummer"/>
        <w:rPrChange w:id="9" w:author="Lars Brink" w:date="2025-12-18T01:05:00Z" w16du:dateUtc="2025-12-18T00:05:00Z">
          <w:rPr>
            <w:rStyle w:val="Sidnummer"/>
            <w:noProof/>
          </w:rPr>
        </w:rPrChange>
      </w:rPr>
      <w:t>3</w:t>
    </w:r>
    <w:r w:rsidRPr="00204379">
      <w:rPr>
        <w:rStyle w:val="Sidnummer"/>
        <w:rPrChange w:id="10" w:author="Lars Brink" w:date="2025-12-18T01:05:00Z" w16du:dateUtc="2025-12-18T00:05: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4F6E4B" w:rsidRPr="00204379">
      <w:tblPrEx>
        <w:tblCellMar>
          <w:top w:w="0" w:type="dxa"/>
          <w:bottom w:w="0" w:type="dxa"/>
        </w:tblCellMar>
      </w:tblPrEx>
      <w:trPr>
        <w:cantSplit/>
      </w:trPr>
      <w:tc>
        <w:tcPr>
          <w:tcW w:w="3119" w:type="dxa"/>
        </w:tcPr>
        <w:p w:rsidR="004F6E4B" w:rsidRPr="00204379" w:rsidRDefault="004F6E4B">
          <w:pPr>
            <w:pStyle w:val="Sidhuvud"/>
            <w:spacing w:line="200" w:lineRule="atLeast"/>
            <w:ind w:right="357"/>
            <w:rPr>
              <w:rFonts w:ascii="TradeGothic" w:hAnsi="TradeGothic"/>
              <w:b/>
              <w:bCs/>
              <w:sz w:val="16"/>
              <w:rPrChange w:id="11" w:author="Lars Brink" w:date="2025-12-18T01:05:00Z" w16du:dateUtc="2025-12-18T00:05:00Z">
                <w:rPr>
                  <w:rFonts w:ascii="TradeGothic" w:hAnsi="TradeGothic"/>
                  <w:b/>
                  <w:bCs/>
                  <w:sz w:val="16"/>
                </w:rPr>
              </w:rPrChange>
            </w:rPr>
          </w:pPr>
        </w:p>
      </w:tc>
      <w:tc>
        <w:tcPr>
          <w:tcW w:w="4111" w:type="dxa"/>
          <w:tcMar>
            <w:left w:w="567" w:type="dxa"/>
          </w:tcMar>
        </w:tcPr>
        <w:p w:rsidR="004F6E4B" w:rsidRPr="00204379" w:rsidRDefault="004F6E4B">
          <w:pPr>
            <w:pStyle w:val="Sidhuvud"/>
            <w:ind w:right="360"/>
            <w:rPr>
              <w:rPrChange w:id="12" w:author="Lars Brink" w:date="2025-12-18T01:05:00Z" w16du:dateUtc="2025-12-18T00:05:00Z">
                <w:rPr/>
              </w:rPrChange>
            </w:rPr>
          </w:pPr>
        </w:p>
      </w:tc>
      <w:tc>
        <w:tcPr>
          <w:tcW w:w="1525" w:type="dxa"/>
        </w:tcPr>
        <w:p w:rsidR="004F6E4B" w:rsidRPr="00204379" w:rsidRDefault="004F6E4B">
          <w:pPr>
            <w:pStyle w:val="Sidhuvud"/>
            <w:ind w:right="360"/>
            <w:rPr>
              <w:rPrChange w:id="13" w:author="Lars Brink" w:date="2025-12-18T01:05:00Z" w16du:dateUtc="2025-12-18T00:05:00Z">
                <w:rPr/>
              </w:rPrChange>
            </w:rPr>
          </w:pPr>
        </w:p>
      </w:tc>
    </w:tr>
  </w:tbl>
  <w:p w:rsidR="004F6E4B" w:rsidRPr="00204379" w:rsidRDefault="004F6E4B">
    <w:pPr>
      <w:pStyle w:val="Sidhuvud"/>
      <w:ind w:right="357" w:firstLine="357"/>
      <w:rPr>
        <w:rPrChange w:id="14" w:author="Lars Brink" w:date="2025-12-18T01:05:00Z" w16du:dateUtc="2025-12-18T00:05: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E4B" w:rsidRPr="00204379" w:rsidRDefault="00204379">
    <w:pPr>
      <w:framePr w:w="2948" w:h="1321" w:hRule="exact" w:wrap="notBeside" w:vAnchor="page" w:hAnchor="page" w:x="1362" w:y="653"/>
    </w:pPr>
    <w:r w:rsidRPr="0020437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F6E4B" w:rsidRPr="00204379" w:rsidRDefault="004F6E4B">
    <w:pPr>
      <w:pStyle w:val="RKrubrik"/>
      <w:keepNext w:val="0"/>
      <w:tabs>
        <w:tab w:val="clear" w:pos="1134"/>
        <w:tab w:val="clear" w:pos="2835"/>
      </w:tabs>
      <w:spacing w:before="0" w:after="0" w:line="320" w:lineRule="atLeast"/>
      <w:rPr>
        <w:bCs/>
      </w:rPr>
    </w:pPr>
  </w:p>
  <w:p w:rsidR="004F6E4B" w:rsidRPr="00204379" w:rsidRDefault="004F6E4B">
    <w:pPr>
      <w:rPr>
        <w:rFonts w:ascii="TradeGothic" w:hAnsi="TradeGothic"/>
        <w:b/>
        <w:bCs/>
        <w:spacing w:val="12"/>
        <w:sz w:val="22"/>
      </w:rPr>
    </w:pPr>
  </w:p>
  <w:p w:rsidR="004F6E4B" w:rsidRPr="00204379" w:rsidRDefault="004F6E4B">
    <w:pPr>
      <w:pStyle w:val="RKrubrik"/>
      <w:keepNext w:val="0"/>
      <w:tabs>
        <w:tab w:val="clear" w:pos="1134"/>
        <w:tab w:val="clear" w:pos="2835"/>
      </w:tabs>
      <w:spacing w:before="0" w:after="0" w:line="320" w:lineRule="atLeast"/>
      <w:rPr>
        <w:bCs/>
      </w:rPr>
    </w:pPr>
  </w:p>
  <w:p w:rsidR="004F6E4B" w:rsidRPr="00204379" w:rsidRDefault="004F6E4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6F8"/>
    <w:multiLevelType w:val="hybridMultilevel"/>
    <w:tmpl w:val="2DB03FC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17E0C"/>
    <w:multiLevelType w:val="hybridMultilevel"/>
    <w:tmpl w:val="B0C863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A3617D"/>
    <w:multiLevelType w:val="multilevel"/>
    <w:tmpl w:val="3AB6A6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D52D8"/>
    <w:multiLevelType w:val="hybridMultilevel"/>
    <w:tmpl w:val="C5DC2DF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F23CE4"/>
    <w:multiLevelType w:val="hybridMultilevel"/>
    <w:tmpl w:val="9B3249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E96DC2"/>
    <w:multiLevelType w:val="multilevel"/>
    <w:tmpl w:val="2DB03F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795955"/>
    <w:multiLevelType w:val="hybridMultilevel"/>
    <w:tmpl w:val="A314A8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D93CA5"/>
    <w:multiLevelType w:val="hybridMultilevel"/>
    <w:tmpl w:val="84485BB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3345FF"/>
    <w:multiLevelType w:val="multilevel"/>
    <w:tmpl w:val="798A0D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03D79"/>
    <w:multiLevelType w:val="multilevel"/>
    <w:tmpl w:val="84485B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A0639"/>
    <w:multiLevelType w:val="hybridMultilevel"/>
    <w:tmpl w:val="C3CE50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F614A"/>
    <w:multiLevelType w:val="hybridMultilevel"/>
    <w:tmpl w:val="2264C1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425FE0"/>
    <w:multiLevelType w:val="hybridMultilevel"/>
    <w:tmpl w:val="3AB6A6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53499606">
    <w:abstractNumId w:val="0"/>
  </w:num>
  <w:num w:numId="2" w16cid:durableId="1991515507">
    <w:abstractNumId w:val="11"/>
  </w:num>
  <w:num w:numId="3" w16cid:durableId="6714612">
    <w:abstractNumId w:val="6"/>
  </w:num>
  <w:num w:numId="4" w16cid:durableId="158618201">
    <w:abstractNumId w:val="7"/>
  </w:num>
  <w:num w:numId="5" w16cid:durableId="1896969886">
    <w:abstractNumId w:val="9"/>
  </w:num>
  <w:num w:numId="6" w16cid:durableId="1383292634">
    <w:abstractNumId w:val="3"/>
  </w:num>
  <w:num w:numId="7" w16cid:durableId="769862300">
    <w:abstractNumId w:val="12"/>
  </w:num>
  <w:num w:numId="8" w16cid:durableId="1266353494">
    <w:abstractNumId w:val="2"/>
  </w:num>
  <w:num w:numId="9" w16cid:durableId="1527063339">
    <w:abstractNumId w:val="4"/>
  </w:num>
  <w:num w:numId="10" w16cid:durableId="1599868292">
    <w:abstractNumId w:val="8"/>
  </w:num>
  <w:num w:numId="11" w16cid:durableId="1062824356">
    <w:abstractNumId w:val="5"/>
  </w:num>
  <w:num w:numId="12" w16cid:durableId="205265221">
    <w:abstractNumId w:val="10"/>
  </w:num>
  <w:num w:numId="13" w16cid:durableId="7313947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Finansdepartementet"/>
    <w:docVar w:name="Regering" w:val="N"/>
  </w:docVars>
  <w:rsids>
    <w:rsidRoot w:val="007A5550"/>
    <w:rsid w:val="00060CF1"/>
    <w:rsid w:val="000649F3"/>
    <w:rsid w:val="000666F3"/>
    <w:rsid w:val="00083633"/>
    <w:rsid w:val="000927E8"/>
    <w:rsid w:val="000D4789"/>
    <w:rsid w:val="000E6F22"/>
    <w:rsid w:val="001237B7"/>
    <w:rsid w:val="00131E14"/>
    <w:rsid w:val="00150384"/>
    <w:rsid w:val="00152E26"/>
    <w:rsid w:val="001805B7"/>
    <w:rsid w:val="00192041"/>
    <w:rsid w:val="001B59E1"/>
    <w:rsid w:val="00204379"/>
    <w:rsid w:val="00226AF5"/>
    <w:rsid w:val="002273D3"/>
    <w:rsid w:val="00261588"/>
    <w:rsid w:val="002D3917"/>
    <w:rsid w:val="002F5F73"/>
    <w:rsid w:val="00333B26"/>
    <w:rsid w:val="003617D1"/>
    <w:rsid w:val="00365D48"/>
    <w:rsid w:val="0037262A"/>
    <w:rsid w:val="003B4836"/>
    <w:rsid w:val="003E0D68"/>
    <w:rsid w:val="003E14C9"/>
    <w:rsid w:val="003E62CB"/>
    <w:rsid w:val="003F1794"/>
    <w:rsid w:val="00417153"/>
    <w:rsid w:val="00460C97"/>
    <w:rsid w:val="00475CD9"/>
    <w:rsid w:val="004835E7"/>
    <w:rsid w:val="004A328D"/>
    <w:rsid w:val="004A6F50"/>
    <w:rsid w:val="004C5E7E"/>
    <w:rsid w:val="004E27DF"/>
    <w:rsid w:val="004F6E4B"/>
    <w:rsid w:val="00503FBE"/>
    <w:rsid w:val="00507A43"/>
    <w:rsid w:val="005244BA"/>
    <w:rsid w:val="00594FF6"/>
    <w:rsid w:val="005961AE"/>
    <w:rsid w:val="005A0E7A"/>
    <w:rsid w:val="005B0C1D"/>
    <w:rsid w:val="005D5A1C"/>
    <w:rsid w:val="0060397A"/>
    <w:rsid w:val="006252BB"/>
    <w:rsid w:val="00625B7D"/>
    <w:rsid w:val="00647012"/>
    <w:rsid w:val="006545A9"/>
    <w:rsid w:val="00665330"/>
    <w:rsid w:val="006736A9"/>
    <w:rsid w:val="006930BB"/>
    <w:rsid w:val="006A5D66"/>
    <w:rsid w:val="006C72C7"/>
    <w:rsid w:val="006E4E11"/>
    <w:rsid w:val="007242A3"/>
    <w:rsid w:val="00755ADB"/>
    <w:rsid w:val="00766377"/>
    <w:rsid w:val="007779C5"/>
    <w:rsid w:val="007807DC"/>
    <w:rsid w:val="007A5550"/>
    <w:rsid w:val="007B28E7"/>
    <w:rsid w:val="007D6F7F"/>
    <w:rsid w:val="007E609C"/>
    <w:rsid w:val="0084647B"/>
    <w:rsid w:val="0089304D"/>
    <w:rsid w:val="008C3807"/>
    <w:rsid w:val="008F2501"/>
    <w:rsid w:val="008F2F4D"/>
    <w:rsid w:val="008F3DA2"/>
    <w:rsid w:val="009032A3"/>
    <w:rsid w:val="00922C48"/>
    <w:rsid w:val="00983C98"/>
    <w:rsid w:val="00990869"/>
    <w:rsid w:val="009E72BC"/>
    <w:rsid w:val="009F1718"/>
    <w:rsid w:val="00A211FA"/>
    <w:rsid w:val="00A83286"/>
    <w:rsid w:val="00AA46FB"/>
    <w:rsid w:val="00AB1FE5"/>
    <w:rsid w:val="00AC3E9A"/>
    <w:rsid w:val="00AC5B6E"/>
    <w:rsid w:val="00AF54FA"/>
    <w:rsid w:val="00B76586"/>
    <w:rsid w:val="00BC0A42"/>
    <w:rsid w:val="00BC553F"/>
    <w:rsid w:val="00C0472A"/>
    <w:rsid w:val="00C2690D"/>
    <w:rsid w:val="00C54E66"/>
    <w:rsid w:val="00C72DDC"/>
    <w:rsid w:val="00C94015"/>
    <w:rsid w:val="00CC3814"/>
    <w:rsid w:val="00CF76A5"/>
    <w:rsid w:val="00D27160"/>
    <w:rsid w:val="00D41BC2"/>
    <w:rsid w:val="00D441FF"/>
    <w:rsid w:val="00D71157"/>
    <w:rsid w:val="00D807F6"/>
    <w:rsid w:val="00D84FB1"/>
    <w:rsid w:val="00D9585B"/>
    <w:rsid w:val="00DB40B8"/>
    <w:rsid w:val="00DE530A"/>
    <w:rsid w:val="00E03F9D"/>
    <w:rsid w:val="00E75FE1"/>
    <w:rsid w:val="00E86F61"/>
    <w:rsid w:val="00E9788A"/>
    <w:rsid w:val="00EC25F9"/>
    <w:rsid w:val="00EE6ECF"/>
    <w:rsid w:val="00F35AF4"/>
    <w:rsid w:val="00F635A7"/>
    <w:rsid w:val="00F91343"/>
    <w:rsid w:val="00F9756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67FF6F2-E2DC-4987-931D-E0C2A770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7A5550"/>
    <w:rPr>
      <w:sz w:val="16"/>
      <w:szCs w:val="16"/>
    </w:rPr>
  </w:style>
  <w:style w:type="paragraph" w:styleId="Kommentarer">
    <w:name w:val="annotation text"/>
    <w:basedOn w:val="Normal"/>
    <w:semiHidden/>
    <w:rsid w:val="007A5550"/>
    <w:rPr>
      <w:sz w:val="20"/>
    </w:rPr>
  </w:style>
  <w:style w:type="paragraph" w:styleId="Ballongtext">
    <w:name w:val="Balloon Text"/>
    <w:basedOn w:val="Normal"/>
    <w:semiHidden/>
    <w:rsid w:val="006930BB"/>
    <w:rPr>
      <w:rFonts w:ascii="Tahoma" w:hAnsi="Tahoma" w:cs="Tahoma"/>
      <w:sz w:val="16"/>
      <w:szCs w:val="16"/>
    </w:rPr>
  </w:style>
  <w:style w:type="paragraph" w:styleId="Kommentarsmne">
    <w:name w:val="annotation subject"/>
    <w:basedOn w:val="Kommentarer"/>
    <w:next w:val="Kommentarer"/>
    <w:semiHidden/>
    <w:rsid w:val="007779C5"/>
    <w:rPr>
      <w:b/>
      <w:bCs/>
    </w:rPr>
  </w:style>
  <w:style w:type="paragraph" w:styleId="Revision">
    <w:name w:val="Revision"/>
    <w:hidden/>
    <w:uiPriority w:val="99"/>
    <w:semiHidden/>
    <w:rsid w:val="00204379"/>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5227</Characters>
  <Application>Microsoft Office Word</Application>
  <DocSecurity>4</DocSecurity>
  <Lines>137</Lines>
  <Paragraphs>43</Paragraphs>
  <ScaleCrop>false</ScaleCrop>
  <HeadingPairs>
    <vt:vector size="2" baseType="variant">
      <vt:variant>
        <vt:lpstr>Rubrik</vt:lpstr>
      </vt:variant>
      <vt:variant>
        <vt:i4>1</vt:i4>
      </vt:variant>
    </vt:vector>
  </HeadingPairs>
  <TitlesOfParts>
    <vt:vector size="1" baseType="lpstr">
      <vt:lpstr>Utkast Instruktion</vt:lpstr>
    </vt:vector>
  </TitlesOfParts>
  <Company>Regeringskansliet</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Instruktion</dc:title>
  <dc:subject>Utkast Instruktion</dc:subject>
  <dc:creator>Riksdagen</dc:creator>
  <cp:keywords>Riksdagen</cp:keywords>
  <dc:description/>
  <cp:lastModifiedBy>Lars Brink</cp:lastModifiedBy>
  <cp:revision>2</cp:revision>
  <cp:lastPrinted>2010-07-09T07:56:00Z</cp:lastPrinted>
  <dcterms:created xsi:type="dcterms:W3CDTF">2025-12-18T00:05:00Z</dcterms:created>
  <dcterms:modified xsi:type="dcterms:W3CDTF">2025-12-18T00:05:00Z</dcterms:modified>
  <cp:category>Instruktion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63</vt:i4>
  </property>
  <property fmtid="{D5CDD505-2E9C-101B-9397-08002B2CF9AE}" pid="5" name="ContentType">
    <vt:lpwstr>Word</vt:lpwstr>
  </property>
  <property fmtid="{D5CDD505-2E9C-101B-9397-08002B2CF9AE}" pid="6" name="RKOrdnaDepartement">
    <vt:lpwstr>Finansdepartementet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