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66106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6610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  <w:r w:rsidRPr="0066106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66106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</w:pPr>
          </w:p>
        </w:tc>
        <w:tc>
          <w:tcPr>
            <w:tcW w:w="1213" w:type="dxa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</w:pPr>
          </w:p>
        </w:tc>
      </w:tr>
      <w:tr w:rsidR="00DE7339" w:rsidRPr="0066106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6106F" w:rsidRDefault="00B04648" w:rsidP="00200036">
            <w:pPr>
              <w:framePr w:w="4400" w:h="1644" w:wrap="notBeside" w:vAnchor="page" w:hAnchor="page" w:x="6573" w:y="721"/>
              <w:jc w:val="both"/>
            </w:pPr>
            <w:r w:rsidRPr="0066106F">
              <w:t>2009-10-</w:t>
            </w:r>
            <w:r w:rsidR="00401C27" w:rsidRPr="0066106F">
              <w:t>12</w:t>
            </w:r>
          </w:p>
        </w:tc>
        <w:tc>
          <w:tcPr>
            <w:tcW w:w="2347" w:type="dxa"/>
            <w:gridSpan w:val="2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</w:pPr>
          </w:p>
        </w:tc>
      </w:tr>
      <w:tr w:rsidR="00DE7339" w:rsidRPr="0066106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</w:pPr>
          </w:p>
        </w:tc>
        <w:tc>
          <w:tcPr>
            <w:tcW w:w="2347" w:type="dxa"/>
            <w:gridSpan w:val="2"/>
          </w:tcPr>
          <w:p w:rsidR="00DE7339" w:rsidRPr="0066106F" w:rsidRDefault="00DE7339" w:rsidP="00200036">
            <w:pPr>
              <w:framePr w:w="4400" w:h="1644" w:wrap="notBeside" w:vAnchor="page" w:hAnchor="page" w:x="6573" w:y="721"/>
              <w:jc w:val="both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5"/>
      </w:tblGrid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 w:rsidRPr="0066106F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3D3C38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 w:rsidRPr="0066106F">
              <w:rPr>
                <w:bCs/>
                <w:iCs/>
              </w:rPr>
              <w:t xml:space="preserve">Kriminalpolitiska </w:t>
            </w:r>
            <w:r w:rsidR="00DE7339" w:rsidRPr="0066106F">
              <w:rPr>
                <w:bCs/>
                <w:iCs/>
              </w:rPr>
              <w:t>enheten</w:t>
            </w: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DE7339" w:rsidRPr="0066106F" w:rsidTr="003D3C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525" w:type="dxa"/>
          </w:tcPr>
          <w:p w:rsidR="00DE7339" w:rsidRPr="0066106F" w:rsidRDefault="00DE7339" w:rsidP="00200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:rsidR="00DE7339" w:rsidRPr="0066106F" w:rsidRDefault="00DE7339" w:rsidP="00200036">
      <w:pPr>
        <w:framePr w:w="4400" w:h="2523" w:wrap="notBeside" w:vAnchor="page" w:hAnchor="page" w:x="6453" w:y="2445"/>
        <w:ind w:left="142"/>
        <w:jc w:val="both"/>
        <w:rPr>
          <w:b/>
        </w:rPr>
      </w:pPr>
    </w:p>
    <w:p w:rsidR="00DE7339" w:rsidRPr="0066106F" w:rsidRDefault="00DE7339" w:rsidP="00401C2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6106F">
        <w:t xml:space="preserve">Rådets möte </w:t>
      </w:r>
      <w:r w:rsidR="0031084E" w:rsidRPr="0066106F">
        <w:t>för rättsliga och inrikes frågor</w:t>
      </w:r>
      <w:r w:rsidR="00401C27" w:rsidRPr="0066106F">
        <w:t xml:space="preserve"> (RIF) </w:t>
      </w:r>
      <w:r w:rsidRPr="0066106F">
        <w:t xml:space="preserve">den </w:t>
      </w:r>
      <w:r w:rsidR="0031084E" w:rsidRPr="0066106F">
        <w:t>23 oktober</w:t>
      </w:r>
      <w:r w:rsidR="009F7AA6" w:rsidRPr="0066106F">
        <w:t xml:space="preserve"> 2009 i Luxemburg</w:t>
      </w:r>
    </w:p>
    <w:p w:rsidR="00DE7339" w:rsidRPr="0066106F" w:rsidRDefault="00DE7339" w:rsidP="00200036">
      <w:pPr>
        <w:pStyle w:val="RKnormal"/>
        <w:jc w:val="both"/>
      </w:pPr>
    </w:p>
    <w:p w:rsidR="00DE7339" w:rsidRPr="0066106F" w:rsidRDefault="003A13DE" w:rsidP="00401C27">
      <w:pPr>
        <w:pStyle w:val="RKnormal"/>
      </w:pPr>
      <w:r w:rsidRPr="0066106F">
        <w:t>Dagordningspunkt 7</w:t>
      </w:r>
    </w:p>
    <w:p w:rsidR="009F7AA6" w:rsidRPr="0066106F" w:rsidRDefault="009F7AA6" w:rsidP="00401C27">
      <w:pPr>
        <w:pStyle w:val="RKnormal"/>
      </w:pPr>
    </w:p>
    <w:p w:rsidR="000D4E44" w:rsidRPr="0066106F" w:rsidRDefault="00DE7339" w:rsidP="000D4E44">
      <w:pPr>
        <w:pStyle w:val="RKnormal"/>
        <w:rPr>
          <w:bCs/>
        </w:rPr>
      </w:pPr>
      <w:r w:rsidRPr="0066106F">
        <w:t>Rubrik:</w:t>
      </w:r>
      <w:r w:rsidR="003A13DE" w:rsidRPr="0066106F">
        <w:t xml:space="preserve"> </w:t>
      </w:r>
      <w:r w:rsidR="000D4E44" w:rsidRPr="0066106F">
        <w:rPr>
          <w:bCs/>
        </w:rPr>
        <w:t>Förslag till rådets beslut om inrättande av ett europeiskt nätverk för förebyggande av brottslighet (EUCPN) och om upphävande av beslut 2001/427/RIF (R)</w:t>
      </w:r>
    </w:p>
    <w:p w:rsidR="003A13DE" w:rsidRPr="0066106F" w:rsidRDefault="003A13DE" w:rsidP="00401C27">
      <w:pPr>
        <w:ind w:left="708" w:hanging="708"/>
      </w:pPr>
    </w:p>
    <w:p w:rsidR="00DE7339" w:rsidRPr="0066106F" w:rsidRDefault="00DE7339" w:rsidP="00401C27">
      <w:pPr>
        <w:pStyle w:val="RKnormal"/>
      </w:pPr>
      <w:r w:rsidRPr="0066106F">
        <w:t>Dokument:</w:t>
      </w:r>
      <w:r w:rsidR="003A13DE" w:rsidRPr="0066106F">
        <w:t xml:space="preserve"> </w:t>
      </w:r>
      <w:r w:rsidR="003A13DE" w:rsidRPr="0066106F">
        <w:fldChar w:fldCharType="begin" w:fldLock="1"/>
      </w:r>
      <w:r w:rsidR="003A13DE" w:rsidRPr="0066106F">
        <w:instrText xml:space="preserve"> DOCVARIABLE"GDB2", PreserveFormatting:=False \* MERGEFORMAT </w:instrText>
      </w:r>
      <w:r w:rsidR="003A13DE" w:rsidRPr="0066106F">
        <w:fldChar w:fldCharType="separate"/>
      </w:r>
      <w:r w:rsidR="003A13DE" w:rsidRPr="0066106F">
        <w:t>11421/09 CRIMORG 101</w:t>
      </w:r>
      <w:r w:rsidR="003A13DE" w:rsidRPr="0066106F">
        <w:fldChar w:fldCharType="end"/>
      </w:r>
      <w:r w:rsidR="003A13DE" w:rsidRPr="0066106F">
        <w:t xml:space="preserve"> ENFOPOL  183, </w:t>
      </w:r>
      <w:r w:rsidR="003D3C38" w:rsidRPr="0066106F">
        <w:t>REV4</w:t>
      </w:r>
      <w:r w:rsidR="00E15001" w:rsidRPr="0066106F">
        <w:t xml:space="preserve"> (</w:t>
      </w:r>
      <w:r w:rsidR="00533B6E" w:rsidRPr="0066106F">
        <w:t>att utfärdas</w:t>
      </w:r>
      <w:r w:rsidR="00E15001" w:rsidRPr="0066106F">
        <w:t>)</w:t>
      </w:r>
      <w:r w:rsidR="00533B6E" w:rsidRPr="0066106F">
        <w:t>.</w:t>
      </w:r>
    </w:p>
    <w:p w:rsidR="00DE7339" w:rsidRPr="0066106F" w:rsidRDefault="00DE7339" w:rsidP="00401C27">
      <w:pPr>
        <w:pStyle w:val="RKnormal"/>
      </w:pPr>
    </w:p>
    <w:p w:rsidR="003A13DE" w:rsidRPr="0066106F" w:rsidRDefault="00DE7339" w:rsidP="00401C27">
      <w:pPr>
        <w:pStyle w:val="RKnormal"/>
      </w:pPr>
      <w:r w:rsidRPr="0066106F">
        <w:t xml:space="preserve">Tidigare </w:t>
      </w:r>
      <w:r w:rsidR="003D3C38" w:rsidRPr="0066106F">
        <w:t xml:space="preserve">dokument:  </w:t>
      </w:r>
      <w:r w:rsidR="00E15001" w:rsidRPr="0066106F">
        <w:t xml:space="preserve">Faktapromemoria Justitiedepartementet </w:t>
      </w:r>
      <w:r w:rsidRPr="0066106F">
        <w:t>200</w:t>
      </w:r>
      <w:r w:rsidR="003A13DE" w:rsidRPr="0066106F">
        <w:t>8/09:FPM</w:t>
      </w:r>
      <w:r w:rsidR="00E15001" w:rsidRPr="0066106F">
        <w:t>148</w:t>
      </w:r>
    </w:p>
    <w:p w:rsidR="003A13DE" w:rsidRPr="0066106F" w:rsidRDefault="003A13DE" w:rsidP="00401C27">
      <w:pPr>
        <w:pStyle w:val="RKnormal"/>
      </w:pPr>
    </w:p>
    <w:p w:rsidR="00DE7339" w:rsidRPr="0066106F" w:rsidRDefault="00401C27" w:rsidP="00401C27">
      <w:pPr>
        <w:pStyle w:val="RKnormal"/>
      </w:pPr>
      <w:r w:rsidRPr="0066106F">
        <w:t xml:space="preserve">Tidigare behandling i EU-nämnden: - </w:t>
      </w:r>
    </w:p>
    <w:p w:rsidR="00DE7339" w:rsidRPr="0066106F" w:rsidRDefault="00DE7339" w:rsidP="00401C27">
      <w:pPr>
        <w:pStyle w:val="RKrubrik"/>
      </w:pPr>
      <w:r w:rsidRPr="0066106F">
        <w:t>Bakgrund</w:t>
      </w:r>
    </w:p>
    <w:p w:rsidR="0031084E" w:rsidRPr="0066106F" w:rsidRDefault="0031084E" w:rsidP="00401C27">
      <w:pPr>
        <w:pStyle w:val="RKnormal"/>
        <w:rPr>
          <w:szCs w:val="24"/>
        </w:rPr>
      </w:pPr>
      <w:r w:rsidRPr="0066106F">
        <w:rPr>
          <w:szCs w:val="24"/>
        </w:rPr>
        <w:t>EUCPN inrättades</w:t>
      </w:r>
      <w:r w:rsidR="009F7AA6" w:rsidRPr="0066106F">
        <w:rPr>
          <w:szCs w:val="24"/>
        </w:rPr>
        <w:t xml:space="preserve"> </w:t>
      </w:r>
      <w:r w:rsidR="00F84248" w:rsidRPr="0066106F">
        <w:rPr>
          <w:szCs w:val="24"/>
        </w:rPr>
        <w:t xml:space="preserve">år 2001 </w:t>
      </w:r>
      <w:r w:rsidR="009F7AA6" w:rsidRPr="0066106F">
        <w:rPr>
          <w:szCs w:val="24"/>
        </w:rPr>
        <w:t>på svenskt och franskt</w:t>
      </w:r>
      <w:r w:rsidR="00200036" w:rsidRPr="0066106F">
        <w:rPr>
          <w:szCs w:val="24"/>
        </w:rPr>
        <w:t xml:space="preserve"> initiativ, </w:t>
      </w:r>
      <w:r w:rsidR="009F7AA6" w:rsidRPr="0066106F">
        <w:rPr>
          <w:szCs w:val="24"/>
        </w:rPr>
        <w:t xml:space="preserve">för </w:t>
      </w:r>
      <w:r w:rsidRPr="0066106F">
        <w:rPr>
          <w:szCs w:val="24"/>
        </w:rPr>
        <w:t xml:space="preserve">att främja brottsförebyggande metoder på EU-nivån </w:t>
      </w:r>
      <w:r w:rsidR="00200036" w:rsidRPr="0066106F">
        <w:rPr>
          <w:szCs w:val="24"/>
        </w:rPr>
        <w:t>och</w:t>
      </w:r>
      <w:r w:rsidRPr="0066106F">
        <w:rPr>
          <w:szCs w:val="24"/>
        </w:rPr>
        <w:t xml:space="preserve"> utbyte av kunskap, erfarenheter och goda rutiner kring brottsförebyggande metoder och verksamhet. En extern utvärdering </w:t>
      </w:r>
      <w:r w:rsidR="00200036" w:rsidRPr="0066106F">
        <w:rPr>
          <w:szCs w:val="24"/>
        </w:rPr>
        <w:t>av</w:t>
      </w:r>
      <w:r w:rsidRPr="0066106F">
        <w:rPr>
          <w:szCs w:val="24"/>
        </w:rPr>
        <w:t xml:space="preserve"> EUCPN presenterades under våren 2009. </w:t>
      </w:r>
    </w:p>
    <w:p w:rsidR="0031084E" w:rsidRPr="0066106F" w:rsidRDefault="0031084E" w:rsidP="00401C27">
      <w:pPr>
        <w:pStyle w:val="RKnormal"/>
        <w:rPr>
          <w:szCs w:val="24"/>
        </w:rPr>
      </w:pPr>
    </w:p>
    <w:p w:rsidR="0031084E" w:rsidRPr="0066106F" w:rsidRDefault="009F7AA6" w:rsidP="00401C27">
      <w:pPr>
        <w:pStyle w:val="RKnormal"/>
        <w:rPr>
          <w:szCs w:val="24"/>
        </w:rPr>
      </w:pPr>
      <w:r w:rsidRPr="0066106F">
        <w:rPr>
          <w:szCs w:val="24"/>
        </w:rPr>
        <w:t>Av u</w:t>
      </w:r>
      <w:r w:rsidR="0031084E" w:rsidRPr="0066106F">
        <w:rPr>
          <w:szCs w:val="24"/>
        </w:rPr>
        <w:t xml:space="preserve">tvärderingen </w:t>
      </w:r>
      <w:r w:rsidRPr="0066106F">
        <w:rPr>
          <w:szCs w:val="24"/>
        </w:rPr>
        <w:t xml:space="preserve">framgår </w:t>
      </w:r>
      <w:r w:rsidR="0031084E" w:rsidRPr="0066106F">
        <w:rPr>
          <w:szCs w:val="24"/>
        </w:rPr>
        <w:t>att EUCPN sedan 2001 ”har spelat en positiv roll för att höja medvetenheten om brott</w:t>
      </w:r>
      <w:r w:rsidR="00200036" w:rsidRPr="0066106F">
        <w:rPr>
          <w:szCs w:val="24"/>
        </w:rPr>
        <w:t xml:space="preserve">sförebyggande arbete på EU–nivån </w:t>
      </w:r>
      <w:r w:rsidR="0031084E" w:rsidRPr="0066106F">
        <w:rPr>
          <w:szCs w:val="24"/>
        </w:rPr>
        <w:t>och för att underlätta samarbete och nätverkande mellan medlemsstaterna. Dess fulla potential har dock inte förverkligats”, något som förklaras bero på bland annat ett organisatoriskt misslyckande.</w:t>
      </w:r>
    </w:p>
    <w:p w:rsidR="0031084E" w:rsidRPr="0066106F" w:rsidRDefault="0031084E" w:rsidP="00401C27">
      <w:pPr>
        <w:pStyle w:val="RKnormal"/>
        <w:rPr>
          <w:szCs w:val="24"/>
        </w:rPr>
      </w:pPr>
    </w:p>
    <w:p w:rsidR="0031084E" w:rsidRPr="0066106F" w:rsidRDefault="009F7AA6" w:rsidP="00401C27">
      <w:pPr>
        <w:pStyle w:val="RKnormal"/>
        <w:rPr>
          <w:szCs w:val="24"/>
        </w:rPr>
      </w:pPr>
      <w:r w:rsidRPr="0066106F">
        <w:rPr>
          <w:szCs w:val="24"/>
        </w:rPr>
        <w:t xml:space="preserve">Enligt utvärderingen bör EUCPN bidra till att utveckla det brottsförebyggande arbetet på nationell och europeisk nivå. </w:t>
      </w:r>
      <w:r w:rsidR="0031084E" w:rsidRPr="0066106F">
        <w:rPr>
          <w:szCs w:val="24"/>
        </w:rPr>
        <w:t xml:space="preserve">Utvärderingen rekommenderar </w:t>
      </w:r>
      <w:r w:rsidRPr="0066106F">
        <w:rPr>
          <w:szCs w:val="24"/>
        </w:rPr>
        <w:t>därför</w:t>
      </w:r>
      <w:r w:rsidR="0031084E" w:rsidRPr="0066106F">
        <w:rPr>
          <w:szCs w:val="24"/>
        </w:rPr>
        <w:t xml:space="preserve"> att EUCPN </w:t>
      </w:r>
      <w:r w:rsidRPr="0066106F">
        <w:rPr>
          <w:szCs w:val="24"/>
        </w:rPr>
        <w:t>utvecklas</w:t>
      </w:r>
      <w:r w:rsidR="0031084E" w:rsidRPr="0066106F">
        <w:rPr>
          <w:szCs w:val="24"/>
        </w:rPr>
        <w:t xml:space="preserve"> som ett EU-nätverk</w:t>
      </w:r>
      <w:r w:rsidRPr="0066106F">
        <w:rPr>
          <w:szCs w:val="24"/>
        </w:rPr>
        <w:t xml:space="preserve">, </w:t>
      </w:r>
      <w:r w:rsidR="0031084E" w:rsidRPr="0066106F">
        <w:rPr>
          <w:szCs w:val="24"/>
        </w:rPr>
        <w:t>finansierat av EU</w:t>
      </w:r>
      <w:r w:rsidRPr="0066106F">
        <w:rPr>
          <w:szCs w:val="24"/>
        </w:rPr>
        <w:t xml:space="preserve">, och fokuserat </w:t>
      </w:r>
      <w:r w:rsidR="0031084E" w:rsidRPr="0066106F">
        <w:rPr>
          <w:szCs w:val="24"/>
        </w:rPr>
        <w:t xml:space="preserve">på några huvudsakliga aktiviteter där </w:t>
      </w:r>
      <w:r w:rsidRPr="0066106F">
        <w:rPr>
          <w:szCs w:val="24"/>
        </w:rPr>
        <w:t>nät</w:t>
      </w:r>
      <w:r w:rsidRPr="0066106F">
        <w:rPr>
          <w:szCs w:val="24"/>
        </w:rPr>
        <w:lastRenderedPageBreak/>
        <w:t xml:space="preserve">verket </w:t>
      </w:r>
      <w:r w:rsidR="0031084E" w:rsidRPr="0066106F">
        <w:rPr>
          <w:szCs w:val="24"/>
        </w:rPr>
        <w:t xml:space="preserve">har reellt </w:t>
      </w:r>
      <w:r w:rsidRPr="0066106F">
        <w:rPr>
          <w:szCs w:val="24"/>
        </w:rPr>
        <w:t>mervärde</w:t>
      </w:r>
      <w:r w:rsidR="0031084E" w:rsidRPr="0066106F">
        <w:rPr>
          <w:szCs w:val="24"/>
        </w:rPr>
        <w:t xml:space="preserve">, som att identifiera och utbyta goda rutiner genom konferenser och genom en hemsida. Styrelsen </w:t>
      </w:r>
      <w:r w:rsidR="00EC0A1E" w:rsidRPr="0066106F">
        <w:rPr>
          <w:szCs w:val="24"/>
        </w:rPr>
        <w:t xml:space="preserve">bör </w:t>
      </w:r>
      <w:r w:rsidR="0031084E" w:rsidRPr="0066106F">
        <w:rPr>
          <w:szCs w:val="24"/>
        </w:rPr>
        <w:t>i större utsträckning  arbeta med strategiska frågor</w:t>
      </w:r>
      <w:r w:rsidRPr="0066106F">
        <w:rPr>
          <w:szCs w:val="24"/>
        </w:rPr>
        <w:t>, d</w:t>
      </w:r>
      <w:r w:rsidR="0031084E" w:rsidRPr="0066106F">
        <w:rPr>
          <w:szCs w:val="24"/>
        </w:rPr>
        <w:t xml:space="preserve">e nationella representanternas roll </w:t>
      </w:r>
      <w:r w:rsidR="00EC0A1E" w:rsidRPr="0066106F">
        <w:rPr>
          <w:szCs w:val="24"/>
        </w:rPr>
        <w:t xml:space="preserve">bör </w:t>
      </w:r>
      <w:r w:rsidR="0031084E" w:rsidRPr="0066106F">
        <w:rPr>
          <w:szCs w:val="24"/>
        </w:rPr>
        <w:t xml:space="preserve">tydliggöras och sekretariatet stärkas genom utökade resurser. </w:t>
      </w:r>
    </w:p>
    <w:p w:rsidR="0031084E" w:rsidRPr="0066106F" w:rsidRDefault="0031084E" w:rsidP="00401C27">
      <w:pPr>
        <w:pStyle w:val="RKnormal"/>
        <w:rPr>
          <w:szCs w:val="24"/>
        </w:rPr>
      </w:pPr>
    </w:p>
    <w:p w:rsidR="0031084E" w:rsidRPr="0066106F" w:rsidRDefault="0031084E" w:rsidP="00401C27">
      <w:pPr>
        <w:pStyle w:val="RKnormal"/>
        <w:rPr>
          <w:szCs w:val="24"/>
        </w:rPr>
      </w:pPr>
      <w:r w:rsidRPr="0066106F">
        <w:rPr>
          <w:szCs w:val="24"/>
        </w:rPr>
        <w:t xml:space="preserve">EUCPN:s styrelse inrättade under våren 2009 en informell arbetsgrupp som i juni 2009 presenterade sina rekommendationer </w:t>
      </w:r>
      <w:r w:rsidR="00EC0A1E" w:rsidRPr="0066106F">
        <w:rPr>
          <w:szCs w:val="24"/>
        </w:rPr>
        <w:t xml:space="preserve">om </w:t>
      </w:r>
      <w:r w:rsidRPr="0066106F">
        <w:rPr>
          <w:szCs w:val="24"/>
        </w:rPr>
        <w:t xml:space="preserve">förändringar, vilka fick enhälligt stöd av EUCPN:s styrelse.  Det förslag till rådsbeslut som </w:t>
      </w:r>
      <w:r w:rsidR="00200036" w:rsidRPr="0066106F">
        <w:rPr>
          <w:szCs w:val="24"/>
        </w:rPr>
        <w:t>lades fram av 11 medlemsstater, däribland Sverige,</w:t>
      </w:r>
      <w:r w:rsidRPr="0066106F">
        <w:rPr>
          <w:szCs w:val="24"/>
        </w:rPr>
        <w:t xml:space="preserve"> i början av juli bygger på dessa rekommendationer. </w:t>
      </w:r>
    </w:p>
    <w:p w:rsidR="00401C27" w:rsidRPr="0066106F" w:rsidRDefault="00401C27" w:rsidP="00401C27">
      <w:pPr>
        <w:pStyle w:val="RKnormal"/>
        <w:rPr>
          <w:szCs w:val="24"/>
        </w:rPr>
      </w:pPr>
    </w:p>
    <w:p w:rsidR="00401C27" w:rsidRPr="0066106F" w:rsidRDefault="00401C27" w:rsidP="00401C27">
      <w:pPr>
        <w:pStyle w:val="RKnormal"/>
        <w:rPr>
          <w:szCs w:val="24"/>
        </w:rPr>
      </w:pPr>
    </w:p>
    <w:p w:rsidR="00DE7339" w:rsidRPr="0066106F" w:rsidRDefault="00DE7339" w:rsidP="00401C27">
      <w:pPr>
        <w:pStyle w:val="RKrubrik"/>
      </w:pPr>
      <w:r w:rsidRPr="0066106F">
        <w:t>Rättslig grund och beslutsförfarande</w:t>
      </w:r>
    </w:p>
    <w:p w:rsidR="00730EBC" w:rsidRPr="0066106F" w:rsidRDefault="00730EBC" w:rsidP="00401C27">
      <w:r w:rsidRPr="0066106F">
        <w:t>Fördraget om den Europeiska Unionen, Artikel 30(1), 31 och 34(2)(c).</w:t>
      </w:r>
    </w:p>
    <w:p w:rsidR="00730EBC" w:rsidRPr="0066106F" w:rsidRDefault="00730EBC" w:rsidP="00401C27">
      <w:r w:rsidRPr="0066106F">
        <w:t>Beslutet fattas med enhällighet. Europaparlamentet har yttranderätt.</w:t>
      </w:r>
    </w:p>
    <w:p w:rsidR="00DE7339" w:rsidRPr="0066106F" w:rsidRDefault="00DE7339" w:rsidP="00401C27">
      <w:pPr>
        <w:pStyle w:val="RKrubrik"/>
        <w:rPr>
          <w:i/>
          <w:iCs/>
        </w:rPr>
      </w:pPr>
      <w:r w:rsidRPr="0066106F">
        <w:rPr>
          <w:i/>
          <w:iCs/>
        </w:rPr>
        <w:t>Svensk ståndpunkt</w:t>
      </w:r>
    </w:p>
    <w:p w:rsidR="008B118F" w:rsidRPr="0066106F" w:rsidRDefault="0031084E" w:rsidP="008B118F">
      <w:pPr>
        <w:pStyle w:val="RKnormal"/>
        <w:rPr>
          <w:szCs w:val="24"/>
        </w:rPr>
      </w:pPr>
      <w:r w:rsidRPr="0066106F">
        <w:rPr>
          <w:szCs w:val="24"/>
        </w:rPr>
        <w:t>Sverige är en av initiativtagarna till förslaget</w:t>
      </w:r>
      <w:r w:rsidR="009F7AA6" w:rsidRPr="0066106F">
        <w:rPr>
          <w:szCs w:val="24"/>
        </w:rPr>
        <w:t xml:space="preserve"> och har som ambition att nå en överenskommelse om en allmän inriktning på rådet den 23 oktober.</w:t>
      </w:r>
    </w:p>
    <w:p w:rsidR="0031084E" w:rsidRPr="0066106F" w:rsidRDefault="0031084E" w:rsidP="00401C27">
      <w:pPr>
        <w:pStyle w:val="RKnormal"/>
        <w:rPr>
          <w:szCs w:val="24"/>
        </w:rPr>
      </w:pPr>
    </w:p>
    <w:p w:rsidR="003D3C38" w:rsidRPr="0066106F" w:rsidRDefault="00DE7339" w:rsidP="00401C27">
      <w:pPr>
        <w:pStyle w:val="RKrubrik"/>
      </w:pPr>
      <w:r w:rsidRPr="0066106F">
        <w:t>Europaparlamentets inställning</w:t>
      </w:r>
    </w:p>
    <w:p w:rsidR="00DE7339" w:rsidRPr="0066106F" w:rsidRDefault="00730EBC" w:rsidP="00401C27">
      <w:pPr>
        <w:pStyle w:val="RKnormal"/>
      </w:pPr>
      <w:r w:rsidRPr="0066106F">
        <w:t xml:space="preserve">På grund av att Europaparlamentet nyligen konstitueras har </w:t>
      </w:r>
      <w:r w:rsidR="00E15001" w:rsidRPr="0066106F">
        <w:t>utnämningen av rapportör dröjt</w:t>
      </w:r>
      <w:r w:rsidRPr="0066106F">
        <w:t xml:space="preserve">. Det finns därför </w:t>
      </w:r>
      <w:r w:rsidR="003D3C38" w:rsidRPr="0066106F">
        <w:t xml:space="preserve">ännu </w:t>
      </w:r>
      <w:r w:rsidRPr="0066106F">
        <w:t>i</w:t>
      </w:r>
      <w:r w:rsidR="003D3C38" w:rsidRPr="0066106F">
        <w:t>n</w:t>
      </w:r>
      <w:r w:rsidRPr="0066106F">
        <w:t xml:space="preserve">gen tydlig inställning i frågan. </w:t>
      </w:r>
      <w:r w:rsidR="00200036" w:rsidRPr="0066106F">
        <w:t xml:space="preserve">Tidigare har </w:t>
      </w:r>
      <w:r w:rsidRPr="0066106F">
        <w:t>Europaparlamentet</w:t>
      </w:r>
      <w:r w:rsidR="00200036" w:rsidRPr="0066106F">
        <w:t xml:space="preserve"> ställt sig mycket</w:t>
      </w:r>
      <w:r w:rsidRPr="0066106F">
        <w:t xml:space="preserve"> positiva till b</w:t>
      </w:r>
      <w:r w:rsidR="00E15001" w:rsidRPr="0066106F">
        <w:t>rottsförebyggande samarbete på e</w:t>
      </w:r>
      <w:r w:rsidRPr="0066106F">
        <w:t>uropeisk nivå</w:t>
      </w:r>
      <w:r w:rsidR="007578A2" w:rsidRPr="0066106F">
        <w:t>.</w:t>
      </w:r>
      <w:r w:rsidRPr="0066106F">
        <w:t xml:space="preserve"> </w:t>
      </w:r>
    </w:p>
    <w:p w:rsidR="00DE7339" w:rsidRPr="0066106F" w:rsidRDefault="00DE7339" w:rsidP="00200036">
      <w:pPr>
        <w:pStyle w:val="RKrubrik"/>
        <w:jc w:val="both"/>
        <w:rPr>
          <w:i/>
          <w:iCs/>
        </w:rPr>
      </w:pPr>
      <w:r w:rsidRPr="0066106F">
        <w:rPr>
          <w:i/>
          <w:iCs/>
        </w:rPr>
        <w:t>Förslaget</w:t>
      </w:r>
    </w:p>
    <w:p w:rsidR="0031084E" w:rsidRPr="0066106F" w:rsidRDefault="0031084E" w:rsidP="00401C27">
      <w:pPr>
        <w:pStyle w:val="RKnormal"/>
        <w:rPr>
          <w:szCs w:val="24"/>
        </w:rPr>
      </w:pPr>
      <w:r w:rsidRPr="0066106F">
        <w:rPr>
          <w:szCs w:val="24"/>
        </w:rPr>
        <w:t>Förslaget syftar huvudsakligen till att</w:t>
      </w:r>
      <w:r w:rsidR="00200036" w:rsidRPr="0066106F">
        <w:rPr>
          <w:szCs w:val="24"/>
        </w:rPr>
        <w:t>:</w:t>
      </w:r>
    </w:p>
    <w:p w:rsidR="0031084E" w:rsidRPr="0066106F" w:rsidRDefault="0031084E" w:rsidP="00401C27">
      <w:pPr>
        <w:pStyle w:val="RKnormal"/>
        <w:rPr>
          <w:szCs w:val="24"/>
        </w:rPr>
      </w:pPr>
      <w:r w:rsidRPr="0066106F">
        <w:rPr>
          <w:szCs w:val="24"/>
        </w:rPr>
        <w:t>1. Fokusera EUCPN:s arbetsuppgifter till områden där gemensamt samarbete på europeisk nivå kan ge mervärde och där EUCPN har en</w:t>
      </w:r>
      <w:r w:rsidR="00FC5BC5" w:rsidRPr="0066106F">
        <w:rPr>
          <w:szCs w:val="24"/>
        </w:rPr>
        <w:t xml:space="preserve"> möjlighet att få genomslag.</w:t>
      </w:r>
    </w:p>
    <w:p w:rsidR="0031084E" w:rsidRPr="0066106F" w:rsidRDefault="00FC5BC5" w:rsidP="00401C27">
      <w:pPr>
        <w:pStyle w:val="RKnormal"/>
        <w:rPr>
          <w:szCs w:val="24"/>
        </w:rPr>
      </w:pPr>
      <w:r w:rsidRPr="0066106F">
        <w:rPr>
          <w:szCs w:val="24"/>
        </w:rPr>
        <w:t>2. S</w:t>
      </w:r>
      <w:r w:rsidR="0031084E" w:rsidRPr="0066106F">
        <w:rPr>
          <w:szCs w:val="24"/>
        </w:rPr>
        <w:t>tärka organisationen genom att tydliggöra medlemsstaternas  ansvar för att, genom det strategiska arbetet i styrelsen, samla in och sprida kunskap om brott och om hur</w:t>
      </w:r>
      <w:r w:rsidRPr="0066106F">
        <w:rPr>
          <w:szCs w:val="24"/>
        </w:rPr>
        <w:t xml:space="preserve"> brott kan förebyggas.</w:t>
      </w:r>
    </w:p>
    <w:p w:rsidR="004E24AA" w:rsidRPr="0066106F" w:rsidRDefault="004E24AA" w:rsidP="00401C27">
      <w:pPr>
        <w:pStyle w:val="RKnormal"/>
        <w:rPr>
          <w:szCs w:val="24"/>
        </w:rPr>
      </w:pPr>
      <w:r w:rsidRPr="0066106F">
        <w:rPr>
          <w:szCs w:val="24"/>
        </w:rPr>
        <w:t>3. Stärka kontinuiteten i nätverkets arbete genom att inrätta ett verkställande utskott</w:t>
      </w:r>
      <w:r w:rsidR="00B86ACF" w:rsidRPr="0066106F">
        <w:rPr>
          <w:szCs w:val="24"/>
        </w:rPr>
        <w:t>,</w:t>
      </w:r>
      <w:r w:rsidRPr="0066106F">
        <w:rPr>
          <w:szCs w:val="24"/>
        </w:rPr>
        <w:t xml:space="preserve"> </w:t>
      </w:r>
      <w:r w:rsidR="00B86ACF" w:rsidRPr="0066106F">
        <w:rPr>
          <w:szCs w:val="24"/>
        </w:rPr>
        <w:t xml:space="preserve">med upp till sju ledamöter inklusive en representant för kommissionen, </w:t>
      </w:r>
      <w:r w:rsidRPr="0066106F">
        <w:rPr>
          <w:szCs w:val="24"/>
        </w:rPr>
        <w:t>som har till uppgift att ge stöd till ordföranden och att förbereda dagordningen och ärenden som skall föreläggas styrelsen.</w:t>
      </w:r>
    </w:p>
    <w:p w:rsidR="0031084E" w:rsidRPr="0066106F" w:rsidRDefault="00B86ACF" w:rsidP="00401C27">
      <w:pPr>
        <w:pStyle w:val="RKnormal"/>
        <w:rPr>
          <w:szCs w:val="24"/>
        </w:rPr>
      </w:pPr>
      <w:r w:rsidRPr="0066106F">
        <w:rPr>
          <w:szCs w:val="24"/>
        </w:rPr>
        <w:t>4</w:t>
      </w:r>
      <w:r w:rsidR="00200036" w:rsidRPr="0066106F">
        <w:rPr>
          <w:szCs w:val="24"/>
        </w:rPr>
        <w:t xml:space="preserve">. </w:t>
      </w:r>
      <w:r w:rsidR="00FC5BC5" w:rsidRPr="0066106F">
        <w:rPr>
          <w:szCs w:val="24"/>
        </w:rPr>
        <w:t>S</w:t>
      </w:r>
      <w:r w:rsidR="00200036" w:rsidRPr="0066106F">
        <w:rPr>
          <w:szCs w:val="24"/>
        </w:rPr>
        <w:t>tärka sekretariatsfunktionen</w:t>
      </w:r>
      <w:r w:rsidR="00FC5BC5" w:rsidRPr="0066106F">
        <w:rPr>
          <w:szCs w:val="24"/>
        </w:rPr>
        <w:t xml:space="preserve"> och dess koppling till nä</w:t>
      </w:r>
      <w:r w:rsidR="00EC0A1E" w:rsidRPr="0066106F">
        <w:rPr>
          <w:szCs w:val="24"/>
        </w:rPr>
        <w:t>t</w:t>
      </w:r>
      <w:r w:rsidR="00FC5BC5" w:rsidRPr="0066106F">
        <w:rPr>
          <w:szCs w:val="24"/>
        </w:rPr>
        <w:t xml:space="preserve">verkets styrelse </w:t>
      </w:r>
      <w:r w:rsidR="0031084E" w:rsidRPr="0066106F">
        <w:rPr>
          <w:szCs w:val="24"/>
        </w:rPr>
        <w:t xml:space="preserve">genom att öka personalresurserna till att bestå av </w:t>
      </w:r>
      <w:r w:rsidR="00200036" w:rsidRPr="0066106F">
        <w:rPr>
          <w:szCs w:val="24"/>
        </w:rPr>
        <w:t xml:space="preserve">motsvarande </w:t>
      </w:r>
      <w:r w:rsidR="0031084E" w:rsidRPr="0066106F">
        <w:rPr>
          <w:szCs w:val="24"/>
        </w:rPr>
        <w:t>minst två heltidsanställda</w:t>
      </w:r>
      <w:r w:rsidR="00FC5BC5" w:rsidRPr="0066106F">
        <w:rPr>
          <w:szCs w:val="24"/>
        </w:rPr>
        <w:t xml:space="preserve"> och frikoppla funktionerna från kommissionen</w:t>
      </w:r>
      <w:r w:rsidR="0031084E" w:rsidRPr="0066106F">
        <w:rPr>
          <w:szCs w:val="24"/>
        </w:rPr>
        <w:t xml:space="preserve">. </w:t>
      </w:r>
      <w:r w:rsidR="009F7AA6" w:rsidRPr="0066106F">
        <w:rPr>
          <w:szCs w:val="24"/>
        </w:rPr>
        <w:t xml:space="preserve">För att kunna fullgöra sina arbetsuppgifter har </w:t>
      </w:r>
      <w:r w:rsidR="00FC5BC5" w:rsidRPr="0066106F">
        <w:rPr>
          <w:szCs w:val="24"/>
        </w:rPr>
        <w:t xml:space="preserve">EUCPN behov av </w:t>
      </w:r>
      <w:r w:rsidR="0031084E" w:rsidRPr="0066106F">
        <w:rPr>
          <w:szCs w:val="24"/>
        </w:rPr>
        <w:t>administrativt stöd</w:t>
      </w:r>
      <w:r w:rsidR="009F7AA6" w:rsidRPr="0066106F">
        <w:rPr>
          <w:szCs w:val="24"/>
        </w:rPr>
        <w:t xml:space="preserve"> i form av</w:t>
      </w:r>
      <w:r w:rsidR="0031084E" w:rsidRPr="0066106F">
        <w:rPr>
          <w:szCs w:val="24"/>
        </w:rPr>
        <w:t xml:space="preserve"> en kriminologisk /analytis</w:t>
      </w:r>
      <w:r w:rsidR="00FC5BC5" w:rsidRPr="0066106F">
        <w:rPr>
          <w:szCs w:val="24"/>
        </w:rPr>
        <w:t>k funktion och</w:t>
      </w:r>
      <w:r w:rsidR="0031084E" w:rsidRPr="0066106F">
        <w:rPr>
          <w:szCs w:val="24"/>
        </w:rPr>
        <w:t xml:space="preserve"> en funktion som </w:t>
      </w:r>
      <w:r w:rsidR="000C6316" w:rsidRPr="0066106F">
        <w:rPr>
          <w:szCs w:val="24"/>
        </w:rPr>
        <w:t xml:space="preserve">utvecklar och </w:t>
      </w:r>
      <w:r w:rsidR="009F7AA6" w:rsidRPr="0066106F">
        <w:rPr>
          <w:szCs w:val="24"/>
        </w:rPr>
        <w:t xml:space="preserve">administrerar </w:t>
      </w:r>
      <w:r w:rsidR="0031084E" w:rsidRPr="0066106F">
        <w:rPr>
          <w:szCs w:val="24"/>
        </w:rPr>
        <w:t xml:space="preserve">en webbsida. </w:t>
      </w:r>
    </w:p>
    <w:p w:rsidR="00FC5BC5" w:rsidRPr="0066106F" w:rsidRDefault="00B86ACF" w:rsidP="00401C27">
      <w:pPr>
        <w:pStyle w:val="RKnormal"/>
        <w:rPr>
          <w:szCs w:val="24"/>
        </w:rPr>
      </w:pPr>
      <w:r w:rsidRPr="0066106F">
        <w:rPr>
          <w:szCs w:val="24"/>
        </w:rPr>
        <w:t>5</w:t>
      </w:r>
      <w:r w:rsidR="00FC5BC5" w:rsidRPr="0066106F">
        <w:rPr>
          <w:szCs w:val="24"/>
        </w:rPr>
        <w:t>. Stärka det strategiska samarbetet med kommissionen genom en plats i det verkställande utskottet.</w:t>
      </w:r>
      <w:r w:rsidR="009F7AA6" w:rsidRPr="0066106F">
        <w:rPr>
          <w:szCs w:val="24"/>
        </w:rPr>
        <w:t xml:space="preserve"> </w:t>
      </w:r>
    </w:p>
    <w:p w:rsidR="00DE7339" w:rsidRPr="0066106F" w:rsidRDefault="00DE7339" w:rsidP="00200036">
      <w:pPr>
        <w:pStyle w:val="RKrubrik"/>
        <w:jc w:val="both"/>
        <w:rPr>
          <w:i/>
          <w:iCs/>
        </w:rPr>
      </w:pPr>
      <w:r w:rsidRPr="0066106F">
        <w:rPr>
          <w:i/>
          <w:iCs/>
        </w:rPr>
        <w:t>Gällande svenska regler och förslagets effekter på dessa</w:t>
      </w:r>
    </w:p>
    <w:p w:rsidR="0031084E" w:rsidRPr="0066106F" w:rsidRDefault="0031084E" w:rsidP="00200036">
      <w:pPr>
        <w:pStyle w:val="RKnormal"/>
        <w:jc w:val="both"/>
        <w:rPr>
          <w:szCs w:val="24"/>
        </w:rPr>
      </w:pPr>
      <w:r w:rsidRPr="0066106F">
        <w:rPr>
          <w:szCs w:val="24"/>
        </w:rPr>
        <w:t xml:space="preserve">Förslaget har ingen påverkan på svenska regler. </w:t>
      </w:r>
    </w:p>
    <w:p w:rsidR="00DE7339" w:rsidRPr="0066106F" w:rsidRDefault="007578A2" w:rsidP="00200036">
      <w:pPr>
        <w:pStyle w:val="RKrubrik"/>
        <w:jc w:val="both"/>
      </w:pPr>
      <w:r w:rsidRPr="0066106F">
        <w:t>E</w:t>
      </w:r>
      <w:r w:rsidR="00DE7339" w:rsidRPr="0066106F">
        <w:t>konomiska konsekvenser</w:t>
      </w:r>
    </w:p>
    <w:p w:rsidR="008B118F" w:rsidRPr="0066106F" w:rsidRDefault="00B86ACF" w:rsidP="008B118F">
      <w:pPr>
        <w:pStyle w:val="RKnormal"/>
        <w:rPr>
          <w:szCs w:val="24"/>
        </w:rPr>
      </w:pPr>
      <w:r w:rsidRPr="0066106F">
        <w:rPr>
          <w:szCs w:val="24"/>
        </w:rPr>
        <w:t xml:space="preserve">Enligt gällande rådsbeslut ska </w:t>
      </w:r>
      <w:r w:rsidR="007578A2" w:rsidRPr="0066106F">
        <w:rPr>
          <w:szCs w:val="24"/>
        </w:rPr>
        <w:t>sekretariate</w:t>
      </w:r>
      <w:r w:rsidR="00FC5BC5" w:rsidRPr="0066106F">
        <w:rPr>
          <w:szCs w:val="24"/>
        </w:rPr>
        <w:t>t</w:t>
      </w:r>
      <w:r w:rsidR="007578A2" w:rsidRPr="0066106F">
        <w:rPr>
          <w:szCs w:val="24"/>
        </w:rPr>
        <w:t xml:space="preserve"> </w:t>
      </w:r>
      <w:r w:rsidR="00FC5BC5" w:rsidRPr="0066106F">
        <w:rPr>
          <w:szCs w:val="24"/>
        </w:rPr>
        <w:t xml:space="preserve">och dess </w:t>
      </w:r>
      <w:r w:rsidR="007578A2" w:rsidRPr="0066106F">
        <w:rPr>
          <w:szCs w:val="24"/>
        </w:rPr>
        <w:t xml:space="preserve">aktiviteter  bekostas av </w:t>
      </w:r>
      <w:r w:rsidR="00FC5BC5" w:rsidRPr="0066106F">
        <w:rPr>
          <w:szCs w:val="24"/>
        </w:rPr>
        <w:t>gemenskapsbudgeten</w:t>
      </w:r>
      <w:r w:rsidR="007F54A5" w:rsidRPr="0066106F">
        <w:rPr>
          <w:szCs w:val="24"/>
        </w:rPr>
        <w:t xml:space="preserve"> (eftersom kommissionen ska hysa sekretariatet)</w:t>
      </w:r>
      <w:r w:rsidR="00FC5BC5" w:rsidRPr="0066106F">
        <w:rPr>
          <w:szCs w:val="24"/>
        </w:rPr>
        <w:t xml:space="preserve"> </w:t>
      </w:r>
      <w:r w:rsidRPr="0066106F">
        <w:rPr>
          <w:szCs w:val="24"/>
        </w:rPr>
        <w:t xml:space="preserve">men medlemsstaterna står i realiteten för så gott som samtliga </w:t>
      </w:r>
      <w:r w:rsidR="00FC5BC5" w:rsidRPr="0066106F">
        <w:rPr>
          <w:szCs w:val="24"/>
        </w:rPr>
        <w:t>kostnader</w:t>
      </w:r>
      <w:r w:rsidR="007F54A5" w:rsidRPr="0066106F">
        <w:rPr>
          <w:szCs w:val="24"/>
        </w:rPr>
        <w:t>.</w:t>
      </w:r>
      <w:r w:rsidR="00FC5BC5" w:rsidRPr="0066106F">
        <w:rPr>
          <w:szCs w:val="24"/>
        </w:rPr>
        <w:t xml:space="preserve"> </w:t>
      </w:r>
      <w:r w:rsidRPr="0066106F">
        <w:rPr>
          <w:szCs w:val="24"/>
        </w:rPr>
        <w:t xml:space="preserve">Förändringen </w:t>
      </w:r>
      <w:r w:rsidR="00FC5BC5" w:rsidRPr="0066106F">
        <w:rPr>
          <w:szCs w:val="24"/>
        </w:rPr>
        <w:t xml:space="preserve">av EUCPN innebär att medlemsstaterna </w:t>
      </w:r>
      <w:r w:rsidRPr="0066106F">
        <w:rPr>
          <w:szCs w:val="24"/>
        </w:rPr>
        <w:t>nu även enligt rådsbeslutet</w:t>
      </w:r>
      <w:r w:rsidR="008B118F" w:rsidRPr="0066106F">
        <w:rPr>
          <w:szCs w:val="24"/>
        </w:rPr>
        <w:t xml:space="preserve"> ansvarar för att tillhandahålla sekretariatsfunktioner</w:t>
      </w:r>
      <w:r w:rsidRPr="0066106F">
        <w:rPr>
          <w:szCs w:val="24"/>
        </w:rPr>
        <w:t xml:space="preserve">na. </w:t>
      </w:r>
      <w:r w:rsidR="008B118F" w:rsidRPr="0066106F">
        <w:rPr>
          <w:szCs w:val="24"/>
        </w:rPr>
        <w:t xml:space="preserve"> </w:t>
      </w:r>
      <w:r w:rsidR="007F54A5" w:rsidRPr="0066106F">
        <w:rPr>
          <w:szCs w:val="24"/>
        </w:rPr>
        <w:t>Medlemsstaterna</w:t>
      </w:r>
      <w:r w:rsidRPr="0066106F">
        <w:rPr>
          <w:szCs w:val="24"/>
        </w:rPr>
        <w:t xml:space="preserve"> kommer att i ökad utsträckning</w:t>
      </w:r>
      <w:r w:rsidR="00FC5BC5" w:rsidRPr="0066106F">
        <w:rPr>
          <w:szCs w:val="24"/>
        </w:rPr>
        <w:t xml:space="preserve"> söka medel från kommissionens finansieringsprogram (ISEC) där tillräckliga medel finna avsatta för kommande år</w:t>
      </w:r>
      <w:r w:rsidRPr="0066106F">
        <w:rPr>
          <w:szCs w:val="24"/>
        </w:rPr>
        <w:t>, för att finansiera sekretariatsfunktioner och särskilda projekt</w:t>
      </w:r>
      <w:r w:rsidR="00FC5BC5" w:rsidRPr="0066106F">
        <w:rPr>
          <w:szCs w:val="24"/>
        </w:rPr>
        <w:t xml:space="preserve">.  </w:t>
      </w:r>
      <w:r w:rsidR="008B118F" w:rsidRPr="0066106F">
        <w:rPr>
          <w:szCs w:val="24"/>
        </w:rPr>
        <w:t xml:space="preserve">Sverige samarbetar med andra medlemsstater för en budgetrestriktiv inriktning </w:t>
      </w:r>
      <w:r w:rsidR="00A4480A" w:rsidRPr="0066106F">
        <w:rPr>
          <w:szCs w:val="24"/>
        </w:rPr>
        <w:t>av</w:t>
      </w:r>
      <w:r w:rsidR="005F1DF2" w:rsidRPr="0066106F">
        <w:rPr>
          <w:szCs w:val="24"/>
        </w:rPr>
        <w:t xml:space="preserve"> </w:t>
      </w:r>
      <w:r w:rsidR="008B118F" w:rsidRPr="0066106F">
        <w:rPr>
          <w:szCs w:val="24"/>
        </w:rPr>
        <w:t>f</w:t>
      </w:r>
      <w:r w:rsidR="00A659A5" w:rsidRPr="0066106F">
        <w:rPr>
          <w:szCs w:val="24"/>
        </w:rPr>
        <w:t>örslaget</w:t>
      </w:r>
      <w:r w:rsidR="00FC5BC5" w:rsidRPr="0066106F">
        <w:rPr>
          <w:szCs w:val="24"/>
        </w:rPr>
        <w:t xml:space="preserve"> </w:t>
      </w:r>
      <w:r w:rsidR="00A4480A" w:rsidRPr="0066106F">
        <w:rPr>
          <w:szCs w:val="24"/>
        </w:rPr>
        <w:t>som inte medför några</w:t>
      </w:r>
      <w:r w:rsidR="00FC5BC5" w:rsidRPr="0066106F">
        <w:rPr>
          <w:szCs w:val="24"/>
        </w:rPr>
        <w:t xml:space="preserve"> ekonomiska konsekvenser i Sverige och kan ske inom EU-budgetens ram. </w:t>
      </w:r>
    </w:p>
    <w:p w:rsidR="00FC5BC5" w:rsidRPr="0066106F" w:rsidRDefault="00FC5BC5" w:rsidP="00200036">
      <w:pPr>
        <w:pStyle w:val="RKnormal"/>
        <w:jc w:val="both"/>
        <w:rPr>
          <w:szCs w:val="24"/>
        </w:rPr>
      </w:pPr>
    </w:p>
    <w:p w:rsidR="00DE7339" w:rsidRPr="0066106F" w:rsidRDefault="00DE7339" w:rsidP="00200036">
      <w:pPr>
        <w:pStyle w:val="RKrubrik"/>
        <w:jc w:val="both"/>
      </w:pPr>
      <w:r w:rsidRPr="0066106F">
        <w:t>Övrigt</w:t>
      </w:r>
    </w:p>
    <w:p w:rsidR="00DE7339" w:rsidRPr="0066106F" w:rsidRDefault="007578A2" w:rsidP="00200036">
      <w:pPr>
        <w:pStyle w:val="RKnormal"/>
        <w:jc w:val="both"/>
      </w:pPr>
      <w:r w:rsidRPr="0066106F">
        <w:t xml:space="preserve"> –</w:t>
      </w:r>
      <w:r w:rsidR="00A659A5" w:rsidRPr="0066106F">
        <w:t xml:space="preserve"> </w:t>
      </w:r>
    </w:p>
    <w:p w:rsidR="00DE7339" w:rsidRPr="0066106F" w:rsidRDefault="00DE7339" w:rsidP="00200036">
      <w:pPr>
        <w:pStyle w:val="RKnormal"/>
        <w:jc w:val="both"/>
        <w:rPr>
          <w:i/>
          <w:iCs/>
        </w:rPr>
      </w:pPr>
    </w:p>
    <w:p w:rsidR="00DE7339" w:rsidRPr="0066106F" w:rsidRDefault="00DE7339" w:rsidP="00200036">
      <w:pPr>
        <w:pStyle w:val="RKnormal"/>
        <w:ind w:left="-1134"/>
        <w:jc w:val="both"/>
      </w:pPr>
    </w:p>
    <w:p w:rsidR="00DE7339" w:rsidRPr="0066106F" w:rsidRDefault="00DE7339" w:rsidP="00200036">
      <w:pPr>
        <w:pStyle w:val="RKrubrik"/>
        <w:spacing w:before="0" w:after="0"/>
        <w:jc w:val="both"/>
      </w:pPr>
    </w:p>
    <w:p w:rsidR="00DE7339" w:rsidRPr="0066106F" w:rsidRDefault="00DE7339" w:rsidP="00200036">
      <w:pPr>
        <w:pStyle w:val="RKnormal"/>
        <w:jc w:val="both"/>
      </w:pPr>
    </w:p>
    <w:p w:rsidR="00DE7339" w:rsidRPr="0066106F" w:rsidRDefault="00DE7339" w:rsidP="00200036">
      <w:pPr>
        <w:pStyle w:val="RKnormal"/>
        <w:jc w:val="both"/>
      </w:pPr>
    </w:p>
    <w:sectPr w:rsidR="00DE7339" w:rsidRPr="0066106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8F1" w:rsidRPr="0066106F" w:rsidRDefault="00C528F1">
      <w:r w:rsidRPr="0066106F">
        <w:separator/>
      </w:r>
    </w:p>
  </w:endnote>
  <w:endnote w:type="continuationSeparator" w:id="0">
    <w:p w:rsidR="00C528F1" w:rsidRPr="0066106F" w:rsidRDefault="00C528F1">
      <w:r w:rsidRPr="006610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8F1" w:rsidRPr="0066106F" w:rsidRDefault="00C528F1">
      <w:r w:rsidRPr="0066106F">
        <w:separator/>
      </w:r>
    </w:p>
  </w:footnote>
  <w:footnote w:type="continuationSeparator" w:id="0">
    <w:p w:rsidR="00C528F1" w:rsidRPr="0066106F" w:rsidRDefault="00C528F1">
      <w:r w:rsidRPr="006610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DF2" w:rsidRPr="0066106F" w:rsidRDefault="005F1DF2">
    <w:pPr>
      <w:pStyle w:val="Sidhuvud"/>
      <w:framePr w:wrap="around" w:vAnchor="text" w:hAnchor="margin" w:xAlign="right" w:y="1"/>
      <w:rPr>
        <w:rStyle w:val="Sidnummer"/>
      </w:rPr>
    </w:pPr>
    <w:r w:rsidRPr="0066106F">
      <w:rPr>
        <w:rStyle w:val="Sidnummer"/>
      </w:rPr>
      <w:fldChar w:fldCharType="begin" w:fldLock="1"/>
    </w:r>
    <w:r w:rsidRPr="0066106F">
      <w:rPr>
        <w:rStyle w:val="Sidnummer"/>
      </w:rPr>
      <w:instrText xml:space="preserve">PAGE  </w:instrText>
    </w:r>
    <w:r w:rsidRPr="0066106F">
      <w:rPr>
        <w:rStyle w:val="Sidnummer"/>
      </w:rPr>
      <w:fldChar w:fldCharType="separate"/>
    </w:r>
    <w:r w:rsidR="00A7650A" w:rsidRPr="0066106F">
      <w:rPr>
        <w:rStyle w:val="Sidnummer"/>
      </w:rPr>
      <w:t>2</w:t>
    </w:r>
    <w:r w:rsidRPr="0066106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F1DF2" w:rsidRPr="0066106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F1DF2" w:rsidRPr="0066106F" w:rsidRDefault="005F1DF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F1DF2" w:rsidRPr="0066106F" w:rsidRDefault="005F1DF2">
          <w:pPr>
            <w:pStyle w:val="Sidhuvud"/>
            <w:ind w:right="360"/>
          </w:pPr>
        </w:p>
      </w:tc>
      <w:tc>
        <w:tcPr>
          <w:tcW w:w="1525" w:type="dxa"/>
        </w:tcPr>
        <w:p w:rsidR="005F1DF2" w:rsidRPr="0066106F" w:rsidRDefault="005F1DF2">
          <w:pPr>
            <w:pStyle w:val="Sidhuvud"/>
            <w:ind w:right="360"/>
          </w:pPr>
        </w:p>
      </w:tc>
    </w:tr>
  </w:tbl>
  <w:p w:rsidR="005F1DF2" w:rsidRPr="0066106F" w:rsidRDefault="005F1DF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DF2" w:rsidRPr="0066106F" w:rsidRDefault="005F1DF2">
    <w:pPr>
      <w:pStyle w:val="Sidhuvud"/>
      <w:framePr w:wrap="around" w:vAnchor="text" w:hAnchor="margin" w:xAlign="right" w:y="1"/>
      <w:rPr>
        <w:rStyle w:val="Sidnummer"/>
      </w:rPr>
    </w:pPr>
    <w:r w:rsidRPr="0066106F">
      <w:rPr>
        <w:rStyle w:val="Sidnummer"/>
      </w:rPr>
      <w:fldChar w:fldCharType="begin" w:fldLock="1"/>
    </w:r>
    <w:r w:rsidRPr="0066106F">
      <w:rPr>
        <w:rStyle w:val="Sidnummer"/>
      </w:rPr>
      <w:instrText xml:space="preserve">PAGE  </w:instrText>
    </w:r>
    <w:r w:rsidRPr="0066106F">
      <w:rPr>
        <w:rStyle w:val="Sidnummer"/>
      </w:rPr>
      <w:fldChar w:fldCharType="separate"/>
    </w:r>
    <w:r w:rsidR="00A7650A" w:rsidRPr="0066106F">
      <w:rPr>
        <w:rStyle w:val="Sidnummer"/>
      </w:rPr>
      <w:t>3</w:t>
    </w:r>
    <w:r w:rsidRPr="0066106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F1DF2" w:rsidRPr="0066106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F1DF2" w:rsidRPr="0066106F" w:rsidRDefault="005F1DF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F1DF2" w:rsidRPr="0066106F" w:rsidRDefault="005F1DF2">
          <w:pPr>
            <w:pStyle w:val="Sidhuvud"/>
            <w:ind w:right="360"/>
          </w:pPr>
        </w:p>
      </w:tc>
      <w:tc>
        <w:tcPr>
          <w:tcW w:w="1525" w:type="dxa"/>
        </w:tcPr>
        <w:p w:rsidR="005F1DF2" w:rsidRPr="0066106F" w:rsidRDefault="005F1DF2">
          <w:pPr>
            <w:pStyle w:val="Sidhuvud"/>
            <w:ind w:right="360"/>
          </w:pPr>
        </w:p>
      </w:tc>
    </w:tr>
  </w:tbl>
  <w:p w:rsidR="005F1DF2" w:rsidRPr="0066106F" w:rsidRDefault="005F1DF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DF2" w:rsidRPr="0066106F" w:rsidRDefault="0066106F">
    <w:pPr>
      <w:framePr w:w="2948" w:h="1321" w:hRule="exact" w:wrap="notBeside" w:vAnchor="page" w:hAnchor="page" w:x="1362" w:y="653"/>
    </w:pPr>
    <w:r w:rsidRPr="0066106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DF2" w:rsidRPr="0066106F" w:rsidRDefault="005F1D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F1DF2" w:rsidRPr="0066106F" w:rsidRDefault="005F1DF2">
    <w:pPr>
      <w:rPr>
        <w:rFonts w:ascii="TradeGothic" w:hAnsi="TradeGothic"/>
        <w:b/>
        <w:bCs/>
        <w:spacing w:val="12"/>
        <w:sz w:val="22"/>
      </w:rPr>
    </w:pPr>
  </w:p>
  <w:p w:rsidR="005F1DF2" w:rsidRPr="0066106F" w:rsidRDefault="005F1D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F1DF2" w:rsidRPr="0066106F" w:rsidRDefault="005F1DF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1410A"/>
    <w:rsid w:val="00066432"/>
    <w:rsid w:val="000C6316"/>
    <w:rsid w:val="000D4E44"/>
    <w:rsid w:val="00200036"/>
    <w:rsid w:val="0031084E"/>
    <w:rsid w:val="003A13DE"/>
    <w:rsid w:val="003D3C38"/>
    <w:rsid w:val="00401C27"/>
    <w:rsid w:val="004E24AA"/>
    <w:rsid w:val="00533B6E"/>
    <w:rsid w:val="005F1DF2"/>
    <w:rsid w:val="0066106F"/>
    <w:rsid w:val="00681090"/>
    <w:rsid w:val="00730EBC"/>
    <w:rsid w:val="007578A2"/>
    <w:rsid w:val="007F54A5"/>
    <w:rsid w:val="00892605"/>
    <w:rsid w:val="008A6FA5"/>
    <w:rsid w:val="008B118F"/>
    <w:rsid w:val="00912567"/>
    <w:rsid w:val="009F7AA6"/>
    <w:rsid w:val="00A4480A"/>
    <w:rsid w:val="00A659A5"/>
    <w:rsid w:val="00A7650A"/>
    <w:rsid w:val="00B04648"/>
    <w:rsid w:val="00B3422B"/>
    <w:rsid w:val="00B86ACF"/>
    <w:rsid w:val="00C528F1"/>
    <w:rsid w:val="00DE7339"/>
    <w:rsid w:val="00E15001"/>
    <w:rsid w:val="00EC0A1E"/>
    <w:rsid w:val="00F52C9B"/>
    <w:rsid w:val="00F84248"/>
    <w:rsid w:val="00F9184B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972D90-0AB7-43A5-AE1A-9576E669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locked/>
    <w:rsid w:val="003A13DE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EC0A1E"/>
    <w:rPr>
      <w:rFonts w:ascii="Tahoma" w:hAnsi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EC0A1E"/>
    <w:rPr>
      <w:sz w:val="16"/>
      <w:szCs w:val="16"/>
    </w:rPr>
  </w:style>
  <w:style w:type="paragraph" w:styleId="Kommentarer">
    <w:name w:val="annotation text"/>
    <w:basedOn w:val="Normal"/>
    <w:semiHidden/>
    <w:rsid w:val="00EC0A1E"/>
    <w:rPr>
      <w:sz w:val="20"/>
    </w:rPr>
  </w:style>
  <w:style w:type="paragraph" w:styleId="Kommentarsmne">
    <w:name w:val="annotation subject"/>
    <w:basedOn w:val="Kommentarer"/>
    <w:next w:val="Kommentarer"/>
    <w:semiHidden/>
    <w:rsid w:val="00EC0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648</Words>
  <Characters>4199</Characters>
  <Application>Microsoft Office Word</Application>
  <DocSecurity>4</DocSecurity>
  <Lines>127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2009-10-09T10:33:00Z</cp:lastPrinted>
  <dcterms:created xsi:type="dcterms:W3CDTF">2025-12-17T23:54:00Z</dcterms:created>
  <dcterms:modified xsi:type="dcterms:W3CDTF">2025-12-17T23:54:00Z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