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809" w:rsidRPr="00EF6B01" w:rsidRDefault="00AF3809">
      <w:pPr>
        <w:pStyle w:val="Hemstlrubrik"/>
      </w:pPr>
      <w:r w:rsidRPr="00EF6B01">
        <w:t>Förslag till riksdagsbeslut</w:t>
      </w:r>
    </w:p>
    <w:p w:rsidR="00AF3809" w:rsidRPr="00EF6B01" w:rsidRDefault="00AF3809">
      <w:pPr>
        <w:pStyle w:val="Hemstlatt"/>
        <w:numPr>
          <w:ilvl w:val="0"/>
          <w:numId w:val="1"/>
        </w:numPr>
      </w:pPr>
      <w:r w:rsidRPr="00EF6B01">
        <w:t>Riksdagen tillkännager för regeringen som sin mening vad som anförs i motionen om det nordiska samarb</w:t>
      </w:r>
      <w:r w:rsidRPr="00EF6B01">
        <w:t>e</w:t>
      </w:r>
      <w:r w:rsidRPr="00EF6B01">
        <w:t>tet.</w:t>
      </w:r>
    </w:p>
    <w:p w:rsidR="00AF3809" w:rsidRPr="00EF6B01" w:rsidRDefault="00AF3809">
      <w:pPr>
        <w:pStyle w:val="Hemstlatt"/>
        <w:numPr>
          <w:ilvl w:val="0"/>
          <w:numId w:val="1"/>
        </w:numPr>
      </w:pPr>
      <w:r w:rsidRPr="00EF6B01">
        <w:t>Riksdagen tillkännager för regeringen som sin mening vad som anförs i motionen om Nordiska rådet.</w:t>
      </w:r>
    </w:p>
    <w:p w:rsidR="00AF3809" w:rsidRPr="00EF6B01" w:rsidRDefault="00AF3809">
      <w:pPr>
        <w:pStyle w:val="Hemstlatt"/>
        <w:numPr>
          <w:ilvl w:val="0"/>
          <w:numId w:val="1"/>
        </w:numPr>
      </w:pPr>
      <w:r w:rsidRPr="00EF6B01">
        <w:t>Riksdagen tillkännager för regeringen som sin mening vad som anförs i motionen om närområdet.</w:t>
      </w:r>
    </w:p>
    <w:p w:rsidR="00AF3809" w:rsidRPr="00EF6B01" w:rsidRDefault="00AF3809">
      <w:pPr>
        <w:rPr>
          <w:b/>
        </w:rPr>
      </w:pPr>
    </w:p>
    <w:p w:rsidR="00AF3809" w:rsidRPr="00EF6B01" w:rsidRDefault="00AF3809">
      <w:pPr>
        <w:pStyle w:val="Rubrik1"/>
      </w:pPr>
      <w:r w:rsidRPr="00EF6B01">
        <w:t>Det nordiska samarbetet</w:t>
      </w:r>
    </w:p>
    <w:p w:rsidR="00AF3809" w:rsidRPr="00EF6B01" w:rsidRDefault="00AF3809">
      <w:r w:rsidRPr="00EF6B01">
        <w:t>Närområdet och de nordiska grannländerna har en stark folklig förankring och en självklar ställning för Sverige. I Norden finns också ett flertal av Sveriges viktigaste handels- och samarbetspartners.</w:t>
      </w:r>
    </w:p>
    <w:p w:rsidR="00AF3809" w:rsidRPr="00EF6B01" w:rsidRDefault="00AF3809">
      <w:pPr>
        <w:pStyle w:val="Normaltindrag"/>
      </w:pPr>
      <w:r w:rsidRPr="00EF6B01">
        <w:t>Det nordiska samarbetet utgår från ett gemensamt kulturarv och en språ</w:t>
      </w:r>
      <w:r w:rsidRPr="00EF6B01">
        <w:t>k</w:t>
      </w:r>
      <w:r w:rsidRPr="00EF6B01">
        <w:t>lig gemenskap och vilar på gemensamma värderingar ifråga om demokrati, rättvisa och rättsstat. Samarbetet mellan de nordiska länderna spänner över alla samhällsområden, och på många sätt är det nordiska samarbetet unikt vid en internationell jämförelse. Samarbete och öppenhet har gjort Norden till en välfärdsregion av världsklass.</w:t>
      </w:r>
    </w:p>
    <w:p w:rsidR="00AF3809" w:rsidRPr="00EF6B01" w:rsidRDefault="00AF3809">
      <w:pPr>
        <w:pStyle w:val="Normaltindrag"/>
      </w:pPr>
      <w:r w:rsidRPr="00EF6B01">
        <w:t>Framgångarna är dock inte tillräckliga för att möta dagens och framförallt morgondagens globala utmaningar, varför ett än mera utvecklat och förstärkt samarbete behövs.</w:t>
      </w:r>
    </w:p>
    <w:p w:rsidR="00AF3809" w:rsidRPr="00EF6B01" w:rsidRDefault="00AF3809">
      <w:pPr>
        <w:pStyle w:val="Normaltindrag"/>
      </w:pPr>
      <w:r w:rsidRPr="00EF6B01">
        <w:t>Genom att samtliga nordiska länder deltar i den europeiska marknaden har det nordiska samarbetet stärkts. Sveriges, Finlands och Danmarks medle</w:t>
      </w:r>
      <w:r w:rsidRPr="00EF6B01">
        <w:t>m</w:t>
      </w:r>
      <w:r w:rsidRPr="00EF6B01">
        <w:t xml:space="preserve">skap i EU och Norges och Islands tillhörighet till det europeiska ekonomiska samarbetsområdet påverkar det nordiska samarbetet positivt. De baltiska </w:t>
      </w:r>
      <w:r w:rsidRPr="00EF6B01">
        <w:lastRenderedPageBreak/>
        <w:t>staternas inträde i EU har dessutom skapat ytterligare dynamik i de nordiska ländernas samarbete med närområdet. I det nordiska samarbetet deltar även de självstyrande områdena Åland, Grönland och Färöarna.</w:t>
      </w:r>
    </w:p>
    <w:p w:rsidR="00AF3809" w:rsidRPr="00EF6B01" w:rsidRDefault="00AF3809">
      <w:pPr>
        <w:pStyle w:val="Normaltindrag"/>
      </w:pPr>
      <w:r w:rsidRPr="00EF6B01">
        <w:t>En viktig fråga för det nordiska samarbetet har alltid varit främjandet av integration mellan de nordiska länderna och att underlätta för medborgarna att r</w:t>
      </w:r>
      <w:r w:rsidRPr="00EF6B01">
        <w:t>öra sig över landgränserna. Under Sveriges ordförandeskap i det nordiska regeringssamarbetet 2003 lyftes särskilt frågorna om avveckling av hinder för personers rörlighet över de nordiska gränserna fram. Gränshindersarbetet spänner över ett flertal politikområden. Avvecklingen av gränshinder bidrar även till att Sverige och Norden som region kan verka mer framgångsrikt internationellt.</w:t>
      </w:r>
    </w:p>
    <w:p w:rsidR="00AF3809" w:rsidRPr="00EF6B01" w:rsidRDefault="00AF3809">
      <w:pPr>
        <w:pStyle w:val="Normaltindrag"/>
      </w:pPr>
      <w:r w:rsidRPr="00EF6B01">
        <w:t>Även om integrationen mellan länderna och de olika regionerna i Norden har kommit långt återstår ändock problem. De nordisk</w:t>
      </w:r>
      <w:r w:rsidRPr="00EF6B01">
        <w:t>a ländernas rege</w:t>
      </w:r>
      <w:r w:rsidRPr="00EF6B01">
        <w:t>l</w:t>
      </w:r>
      <w:r w:rsidRPr="00EF6B01">
        <w:t>verk skiljer sig fortfarande åt, vilket medför problem för människor, organis</w:t>
      </w:r>
      <w:r w:rsidRPr="00EF6B01">
        <w:t>a</w:t>
      </w:r>
      <w:r w:rsidRPr="00EF6B01">
        <w:t>tioner och företag.</w:t>
      </w:r>
    </w:p>
    <w:p w:rsidR="00AF3809" w:rsidRPr="00EF6B01" w:rsidRDefault="00AF3809">
      <w:pPr>
        <w:pStyle w:val="Normaltindrag"/>
      </w:pPr>
      <w:r w:rsidRPr="00EF6B01">
        <w:t>När det gäller Öresundsförbindelsen har den väsentligt förbättrat möjligh</w:t>
      </w:r>
      <w:r w:rsidRPr="00EF6B01">
        <w:t>e</w:t>
      </w:r>
      <w:r w:rsidRPr="00EF6B01">
        <w:t>terna till integration i Öresundsregionen. Integrationen bidrar till att stärka tillväxten, och arbetet med att undanröja hinder är ett måste för att regionens fulla potential skall kunna utnyttjas. Det är därför viktigt att skillnaderna i bland annat ländernas regelverk och skattesystem minskas för att därigenom så långt möjligt eliminera problemen för dem som rör sig över gränserna.</w:t>
      </w:r>
    </w:p>
    <w:p w:rsidR="00AF3809" w:rsidRPr="00EF6B01" w:rsidRDefault="00AF3809">
      <w:pPr>
        <w:pStyle w:val="Normaltindrag"/>
      </w:pPr>
      <w:r w:rsidRPr="00EF6B01">
        <w:t>Vi socialdemokrater anser det naturligt och viktigt att öka integrationsi</w:t>
      </w:r>
      <w:r w:rsidRPr="00EF6B01">
        <w:t>n</w:t>
      </w:r>
      <w:r w:rsidRPr="00EF6B01">
        <w:t>satserna ytterligare.</w:t>
      </w:r>
    </w:p>
    <w:p w:rsidR="00AF3809" w:rsidRPr="00EF6B01" w:rsidRDefault="00AF3809">
      <w:pPr>
        <w:pStyle w:val="Normaltindrag"/>
      </w:pPr>
    </w:p>
    <w:p w:rsidR="00AF3809" w:rsidRPr="00EF6B01" w:rsidRDefault="00AF3809">
      <w:pPr>
        <w:pStyle w:val="Rubrik1"/>
      </w:pPr>
      <w:r w:rsidRPr="00EF6B01">
        <w:t>Nordiska rådet</w:t>
      </w:r>
    </w:p>
    <w:p w:rsidR="00AF3809" w:rsidRPr="00EF6B01" w:rsidRDefault="00AF3809">
      <w:r w:rsidRPr="00EF6B01">
        <w:t>Möjligheten för nationella parlamentariker att delta i internationella processer och sammanhang är en demokratifråga. De folkvalda nationella parlamentar</w:t>
      </w:r>
      <w:r w:rsidRPr="00EF6B01">
        <w:t>i</w:t>
      </w:r>
      <w:r w:rsidRPr="00EF6B01">
        <w:t>kerna utgör en viktig länk mellan olika beslutsfattande nivåer i en globalis</w:t>
      </w:r>
      <w:r w:rsidRPr="00EF6B01">
        <w:t>e</w:t>
      </w:r>
      <w:r w:rsidRPr="00EF6B01">
        <w:t>rad värld. Det politiska uppdraget innebär bland mycket annat opinionsbil</w:t>
      </w:r>
      <w:r w:rsidRPr="00EF6B01">
        <w:t>d</w:t>
      </w:r>
      <w:r w:rsidRPr="00EF6B01">
        <w:t>ning samt informations- och kunskapsspridning. Parlamentariker är också den länk som för medborgarnas synpunkter och idéer vidare på såväl lokal och regional nivå som i nationella och internationella sammanhang. Även när det gäller genomförande och uppföljning av redan beslutade åtgärder och åtaga</w:t>
      </w:r>
      <w:r w:rsidRPr="00EF6B01">
        <w:t>n</w:t>
      </w:r>
      <w:r w:rsidRPr="00EF6B01">
        <w:t>den har nationella parlament och parlamentariker av hävd en v</w:t>
      </w:r>
      <w:r w:rsidRPr="00EF6B01">
        <w:t>iktig uppgift. Genom ett deltagande av direktvalda parlamentariker stärks legitimiteten i hela implementeringsprocessen.</w:t>
      </w:r>
    </w:p>
    <w:p w:rsidR="00AF3809" w:rsidRPr="00EF6B01" w:rsidRDefault="00AF3809">
      <w:pPr>
        <w:pStyle w:val="Normaltindrag"/>
      </w:pPr>
      <w:r w:rsidRPr="00EF6B01">
        <w:t>För det nordiska samarbetet fyller Nordiska rådet en viktig funktion inte minst när det gäller att driva på och kontrollera de nordiska regeringarnas samarbete. En styrka för de nordiska länderna är också att många ledamöter i de nationella parlamenten engagerar sig i det nordiska samarbetet.</w:t>
      </w:r>
    </w:p>
    <w:p w:rsidR="00AF3809" w:rsidRPr="00EF6B01" w:rsidRDefault="00AF3809">
      <w:pPr>
        <w:pStyle w:val="Normaltindrag"/>
      </w:pPr>
      <w:r w:rsidRPr="00EF6B01">
        <w:t>Vi socialdemokrater anser det nödvändigt att ytterligare stärka det ino</w:t>
      </w:r>
      <w:r w:rsidRPr="00EF6B01">
        <w:t>m</w:t>
      </w:r>
      <w:r w:rsidRPr="00EF6B01">
        <w:t>nordiska samarbetet samt byggandet av närverk, som i sin tur kan öka det nordiska inflytandet i EU och i andra samarbetsorgan.</w:t>
      </w:r>
    </w:p>
    <w:p w:rsidR="00AF3809" w:rsidRPr="00EF6B01" w:rsidRDefault="00AF3809">
      <w:pPr>
        <w:pStyle w:val="Normaltindrag"/>
      </w:pPr>
    </w:p>
    <w:p w:rsidR="00AF3809" w:rsidRPr="00EF6B01" w:rsidRDefault="00AF3809">
      <w:pPr>
        <w:pStyle w:val="Rubrik1"/>
      </w:pPr>
      <w:r w:rsidRPr="00EF6B01">
        <w:t>Närområdet</w:t>
      </w:r>
    </w:p>
    <w:p w:rsidR="00AF3809" w:rsidRPr="00EF6B01" w:rsidRDefault="00AF3809">
      <w:r w:rsidRPr="00EF6B01">
        <w:t>Nordiska rådet och Nordiska ministerrådet har ett nära samarbete med flera internationella, nationella och regionala organisationer utanför Norden och då främst Arktiska rådet, Barentsrådet och Östersjöstaternas råd. Det öve</w:t>
      </w:r>
      <w:r w:rsidRPr="00EF6B01">
        <w:t>r</w:t>
      </w:r>
      <w:r w:rsidRPr="00EF6B01">
        <w:t>gripande målet för det nordiska samarbetet med närområdet är att bidra till en säker och stabil utveckling i området. Att stärka demokratin och öka värd</w:t>
      </w:r>
      <w:r w:rsidRPr="00EF6B01">
        <w:t>e</w:t>
      </w:r>
      <w:r w:rsidRPr="00EF6B01">
        <w:t>gemenskapen i den nordliga delen av Europa samt att medverka till en u</w:t>
      </w:r>
      <w:r w:rsidRPr="00EF6B01">
        <w:t>t</w:t>
      </w:r>
      <w:r w:rsidRPr="00EF6B01">
        <w:t>veckling av marknadsekonomin i området är andra prioriterade frågor.</w:t>
      </w:r>
    </w:p>
    <w:p w:rsidR="00AF3809" w:rsidRPr="00EF6B01" w:rsidRDefault="00AF3809">
      <w:pPr>
        <w:pStyle w:val="Normaltindrag"/>
      </w:pPr>
      <w:r w:rsidRPr="00EF6B01">
        <w:t xml:space="preserve">De nätverk som innefattar nordvästra Ryssland har under senare år byggts ut i en betydande omfattning. De nuvarande riktlinjerna för samarbetet med närområdet innebär bland annat att Nordiska ministerrådets tyngdpunkt </w:t>
      </w:r>
      <w:r w:rsidRPr="00EF6B01">
        <w:t>i satsningar förskjutits från de baltiska staterna till nordvästra Ryssland.</w:t>
      </w:r>
    </w:p>
    <w:p w:rsidR="00AF3809" w:rsidRPr="00EF6B01" w:rsidRDefault="00AF3809">
      <w:pPr>
        <w:pStyle w:val="Normaltindrag"/>
      </w:pPr>
      <w:r w:rsidRPr="00EF6B01">
        <w:t>Ministerrådets program för arktiskt samarbete syftar till att ge de samno</w:t>
      </w:r>
      <w:r w:rsidRPr="00EF6B01">
        <w:t>r</w:t>
      </w:r>
      <w:r w:rsidRPr="00EF6B01">
        <w:t>diska insatserna ett speciellt mervärde i förhållande till andra aktiviteter och insatser med inriktning på Arktis. Viktiga frågor är ursprungsbefolkningens levnadsvillkor, klimatförändringar och utbredningen av föroreningar i den arktiska miljön.</w:t>
      </w:r>
    </w:p>
    <w:p w:rsidR="00AF3809" w:rsidRPr="00EF6B01" w:rsidRDefault="00AF3809">
      <w:pPr>
        <w:pStyle w:val="Normaltindrag"/>
      </w:pPr>
      <w:r w:rsidRPr="00EF6B01">
        <w:t>Vi socialdemokrater anser det vara av stor vikt att arbetet med frågor som rör Barentsregionen förstärks och att arbetet sker i samarbete med regionala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B01">
        <w:trPr>
          <w:cantSplit/>
        </w:trPr>
        <w:tc>
          <w:tcPr>
            <w:tcW w:w="3046" w:type="dxa"/>
          </w:tcPr>
          <w:p w:rsidR="00AF3809" w:rsidRPr="00EF6B01" w:rsidRDefault="00AF3809">
            <w:pPr>
              <w:pStyle w:val="UnderskriftDatum"/>
              <w:spacing w:before="240"/>
            </w:pPr>
            <w:r w:rsidRPr="00EF6B01">
              <w:t>Stockholm den 3 oktober 2007</w:t>
            </w:r>
          </w:p>
        </w:tc>
        <w:tc>
          <w:tcPr>
            <w:tcW w:w="3047" w:type="dxa"/>
          </w:tcPr>
          <w:p w:rsidR="00AF3809" w:rsidRPr="00EF6B01" w:rsidRDefault="00AF3809">
            <w:pPr>
              <w:pStyle w:val="Underskrifter"/>
              <w:spacing w:before="240"/>
            </w:pPr>
          </w:p>
        </w:tc>
      </w:tr>
      <w:tr w:rsidR="00000000" w:rsidRPr="00EF6B01">
        <w:trPr>
          <w:cantSplit/>
        </w:trPr>
        <w:tc>
          <w:tcPr>
            <w:tcW w:w="3046" w:type="dxa"/>
          </w:tcPr>
          <w:p w:rsidR="00AF3809" w:rsidRPr="00EF6B01" w:rsidRDefault="00AF3809">
            <w:pPr>
              <w:pStyle w:val="Underskrifter"/>
            </w:pPr>
            <w:r w:rsidRPr="00EF6B01">
              <w:t>Carin Runeson (s)</w:t>
            </w:r>
          </w:p>
        </w:tc>
        <w:tc>
          <w:tcPr>
            <w:tcW w:w="3046" w:type="dxa"/>
          </w:tcPr>
          <w:p w:rsidR="00AF3809" w:rsidRPr="00EF6B01" w:rsidRDefault="00AF3809">
            <w:pPr>
              <w:pStyle w:val="Underskrifter"/>
            </w:pPr>
          </w:p>
        </w:tc>
      </w:tr>
      <w:tr w:rsidR="00000000" w:rsidRPr="00EF6B01">
        <w:trPr>
          <w:cantSplit/>
        </w:trPr>
        <w:tc>
          <w:tcPr>
            <w:tcW w:w="3046" w:type="dxa"/>
          </w:tcPr>
          <w:p w:rsidR="00AF3809" w:rsidRPr="00EF6B01" w:rsidRDefault="00AF3809">
            <w:pPr>
              <w:pStyle w:val="Underskrifter"/>
            </w:pPr>
            <w:r w:rsidRPr="00EF6B01">
              <w:t>Urban Ahlin (s)</w:t>
            </w:r>
          </w:p>
        </w:tc>
        <w:tc>
          <w:tcPr>
            <w:tcW w:w="3046" w:type="dxa"/>
          </w:tcPr>
          <w:p w:rsidR="00AF3809" w:rsidRPr="00EF6B01" w:rsidRDefault="00AF3809">
            <w:pPr>
              <w:pStyle w:val="Underskrifter"/>
            </w:pPr>
            <w:r w:rsidRPr="00EF6B01">
              <w:t>Veronica Palm (s)</w:t>
            </w:r>
          </w:p>
        </w:tc>
      </w:tr>
      <w:tr w:rsidR="00000000" w:rsidRPr="00EF6B01">
        <w:trPr>
          <w:cantSplit/>
        </w:trPr>
        <w:tc>
          <w:tcPr>
            <w:tcW w:w="3046" w:type="dxa"/>
          </w:tcPr>
          <w:p w:rsidR="00AF3809" w:rsidRPr="00EF6B01" w:rsidRDefault="00AF3809">
            <w:pPr>
              <w:pStyle w:val="Underskrifter"/>
            </w:pPr>
            <w:r w:rsidRPr="00EF6B01">
              <w:t>Carina Hägg (s)</w:t>
            </w:r>
          </w:p>
        </w:tc>
        <w:tc>
          <w:tcPr>
            <w:tcW w:w="3046" w:type="dxa"/>
          </w:tcPr>
          <w:p w:rsidR="00AF3809" w:rsidRPr="00EF6B01" w:rsidRDefault="00AF3809">
            <w:pPr>
              <w:pStyle w:val="Underskrifter"/>
            </w:pPr>
            <w:r w:rsidRPr="00EF6B01">
              <w:t>Kent Härstedt (s)</w:t>
            </w:r>
          </w:p>
        </w:tc>
      </w:tr>
      <w:tr w:rsidR="00000000" w:rsidRPr="00EF6B01">
        <w:trPr>
          <w:cantSplit/>
        </w:trPr>
        <w:tc>
          <w:tcPr>
            <w:tcW w:w="3046" w:type="dxa"/>
          </w:tcPr>
          <w:p w:rsidR="00AF3809" w:rsidRPr="00EF6B01" w:rsidRDefault="00AF3809">
            <w:pPr>
              <w:pStyle w:val="Underskrifter"/>
            </w:pPr>
            <w:r w:rsidRPr="00EF6B01">
              <w:t>Kenneth G Forslund (s)</w:t>
            </w:r>
          </w:p>
        </w:tc>
        <w:tc>
          <w:tcPr>
            <w:tcW w:w="3046" w:type="dxa"/>
          </w:tcPr>
          <w:p w:rsidR="00AF3809" w:rsidRPr="00EF6B01" w:rsidRDefault="00AF3809">
            <w:pPr>
              <w:pStyle w:val="Underskrifter"/>
            </w:pPr>
            <w:r w:rsidRPr="00EF6B01">
              <w:t>Kerstin Engle (s)</w:t>
            </w:r>
          </w:p>
        </w:tc>
      </w:tr>
      <w:tr w:rsidR="00000000" w:rsidRPr="00EF6B01">
        <w:trPr>
          <w:cantSplit/>
        </w:trPr>
        <w:tc>
          <w:tcPr>
            <w:tcW w:w="3046" w:type="dxa"/>
          </w:tcPr>
          <w:p w:rsidR="00AF3809" w:rsidRPr="00EF6B01" w:rsidRDefault="00AF3809">
            <w:pPr>
              <w:pStyle w:val="Underskrifter"/>
            </w:pPr>
            <w:r w:rsidRPr="00EF6B01">
              <w:t>Olle Thorell (s)</w:t>
            </w:r>
          </w:p>
        </w:tc>
        <w:tc>
          <w:tcPr>
            <w:tcW w:w="3046" w:type="dxa"/>
          </w:tcPr>
          <w:p w:rsidR="00AF3809" w:rsidRPr="00EF6B01" w:rsidRDefault="00AF3809">
            <w:pPr>
              <w:pStyle w:val="Underskrifter"/>
            </w:pPr>
          </w:p>
        </w:tc>
      </w:tr>
    </w:tbl>
    <w:p w:rsidR="00AF3809" w:rsidRPr="00EF6B01" w:rsidRDefault="00AF3809">
      <w:pPr>
        <w:pStyle w:val="Normaltindrag"/>
      </w:pPr>
    </w:p>
    <w:sectPr w:rsidR="00AF3809" w:rsidRPr="00EF6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809" w:rsidRPr="00EF6B01" w:rsidRDefault="00AF3809">
      <w:r w:rsidRPr="00EF6B01">
        <w:separator/>
      </w:r>
    </w:p>
  </w:endnote>
  <w:endnote w:type="continuationSeparator" w:id="0">
    <w:p w:rsidR="00AF3809" w:rsidRPr="00EF6B01" w:rsidRDefault="00AF3809">
      <w:r w:rsidRPr="00EF6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EF6B01">
    <w:pPr>
      <w:pStyle w:val="Sidfot"/>
    </w:pPr>
    <w:r w:rsidRPr="00EF6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482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9" w:rsidRDefault="00AF38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809" w:rsidRDefault="00AF38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EF6B01">
    <w:pPr>
      <w:pStyle w:val="Sidfot"/>
    </w:pPr>
    <w:r w:rsidRPr="00EF6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324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9" w:rsidRDefault="00AF38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809" w:rsidRDefault="00AF38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EF6B01">
    <w:pPr>
      <w:pStyle w:val="Sidfot"/>
    </w:pPr>
    <w:r w:rsidRPr="00EF6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355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9" w:rsidRDefault="00AF38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809" w:rsidRDefault="00AF38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809" w:rsidRPr="00EF6B01" w:rsidRDefault="00AF3809">
      <w:r w:rsidRPr="00EF6B01">
        <w:separator/>
      </w:r>
    </w:p>
  </w:footnote>
  <w:footnote w:type="continuationSeparator" w:id="0">
    <w:p w:rsidR="00AF3809" w:rsidRPr="00EF6B01" w:rsidRDefault="00AF3809">
      <w:r w:rsidRPr="00EF6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EF6B01">
    <w:pPr>
      <w:pStyle w:val="Sidhuvud"/>
    </w:pPr>
    <w:r w:rsidRPr="00EF6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374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9" w:rsidRDefault="00AF38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809" w:rsidRDefault="00AF38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EF6B01">
    <w:pPr>
      <w:pStyle w:val="Sidhuvud"/>
    </w:pPr>
    <w:r w:rsidRPr="00EF6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357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09" w:rsidRDefault="00AF38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809" w:rsidRDefault="00AF38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09" w:rsidRPr="00EF6B01" w:rsidRDefault="00AF3809">
    <w:pPr>
      <w:pStyle w:val="FSHNormal"/>
      <w:tabs>
        <w:tab w:val="right" w:pos="5840"/>
      </w:tabs>
    </w:pPr>
    <w:r w:rsidRPr="00EF6B01">
      <w:br/>
    </w:r>
    <w:r w:rsidRPr="00EF6B01">
      <w:fldChar w:fldCharType="begin" w:fldLock="1"/>
    </w:r>
    <w:r w:rsidRPr="00EF6B01">
      <w:instrText xml:space="preserve"> DOCPROPERTY</w:instrText>
    </w:r>
    <w:r w:rsidRPr="00EF6B01">
      <w:rPr>
        <w:sz w:val="18"/>
      </w:rPr>
      <w:instrText xml:space="preserve"> "YearUser" *\charformat </w:instrText>
    </w:r>
    <w:r w:rsidRPr="00EF6B01">
      <w:fldChar w:fldCharType="separate"/>
    </w:r>
    <w:r w:rsidRPr="00EF6B01">
      <w:t>2007/08</w:t>
    </w:r>
    <w:r w:rsidRPr="00EF6B01">
      <w:fldChar w:fldCharType="end"/>
    </w:r>
    <w:r w:rsidRPr="00EF6B01">
      <w:t xml:space="preserve"> </w:t>
    </w:r>
    <w:r w:rsidRPr="00EF6B01">
      <w:tab/>
      <w:t xml:space="preserve">mnr: </w:t>
    </w:r>
    <w:r w:rsidRPr="00EF6B01">
      <w:fldChar w:fldCharType="begin" w:fldLock="1"/>
    </w:r>
    <w:r w:rsidRPr="00EF6B01">
      <w:instrText xml:space="preserve"> DOCPROPERTY</w:instrText>
    </w:r>
    <w:r w:rsidRPr="00EF6B01">
      <w:rPr>
        <w:sz w:val="18"/>
      </w:rPr>
      <w:instrText xml:space="preserve"> "Motionsnummer" *\charformat </w:instrText>
    </w:r>
    <w:r w:rsidRPr="00EF6B01">
      <w:fldChar w:fldCharType="separate"/>
    </w:r>
    <w:r w:rsidRPr="00EF6B01">
      <w:t>U362</w:t>
    </w:r>
    <w:r w:rsidRPr="00EF6B01">
      <w:fldChar w:fldCharType="end"/>
    </w:r>
    <w:r w:rsidRPr="00EF6B01">
      <w:br/>
    </w:r>
    <w:r w:rsidRPr="00EF6B01">
      <w:fldChar w:fldCharType="begin" w:fldLock="1"/>
    </w:r>
    <w:r w:rsidRPr="00EF6B01">
      <w:instrText xml:space="preserve"> DOCPROPERTY</w:instrText>
    </w:r>
    <w:r w:rsidRPr="00EF6B01">
      <w:rPr>
        <w:sz w:val="18"/>
      </w:rPr>
      <w:instrText xml:space="preserve"> "Samling" *\charformat </w:instrText>
    </w:r>
    <w:r w:rsidRPr="00EF6B01">
      <w:fldChar w:fldCharType="end"/>
    </w:r>
    <w:r w:rsidRPr="00EF6B01">
      <w:tab/>
      <w:t xml:space="preserve">pnr: </w:t>
    </w:r>
    <w:r w:rsidRPr="00EF6B01">
      <w:fldChar w:fldCharType="begin" w:fldLock="1"/>
    </w:r>
    <w:r w:rsidRPr="00EF6B01">
      <w:instrText xml:space="preserve"> DOCPROPERTY</w:instrText>
    </w:r>
    <w:r w:rsidRPr="00EF6B01">
      <w:rPr>
        <w:sz w:val="18"/>
      </w:rPr>
      <w:instrText xml:space="preserve"> "Partinummer" *\charformat </w:instrText>
    </w:r>
    <w:r w:rsidRPr="00EF6B01">
      <w:fldChar w:fldCharType="separate"/>
    </w:r>
    <w:r w:rsidRPr="00EF6B01">
      <w:t>s64019</w:t>
    </w:r>
    <w:r w:rsidRPr="00EF6B01">
      <w:fldChar w:fldCharType="end"/>
    </w:r>
  </w:p>
  <w:p w:rsidR="00AF3809" w:rsidRPr="00EF6B01" w:rsidRDefault="00AF3809">
    <w:pPr>
      <w:pStyle w:val="FSHRub1"/>
    </w:pPr>
    <w:r w:rsidRPr="00EF6B01">
      <w:t>Motion till riksdagen</w:t>
    </w:r>
    <w:r w:rsidRPr="00EF6B01">
      <w:br/>
    </w:r>
    <w:r w:rsidRPr="00EF6B01">
      <w:fldChar w:fldCharType="begin" w:fldLock="1"/>
    </w:r>
    <w:r w:rsidRPr="00EF6B01">
      <w:instrText xml:space="preserve"> DOCPROPERTY "YearUser" *\charformat </w:instrText>
    </w:r>
    <w:r w:rsidRPr="00EF6B01">
      <w:fldChar w:fldCharType="separate"/>
    </w:r>
    <w:r w:rsidRPr="00EF6B01">
      <w:t>2007/08</w:t>
    </w:r>
    <w:r w:rsidRPr="00EF6B01">
      <w:fldChar w:fldCharType="end"/>
    </w:r>
    <w:r w:rsidRPr="00EF6B01">
      <w:t>:</w:t>
    </w:r>
    <w:r w:rsidRPr="00EF6B01">
      <w:fldChar w:fldCharType="begin" w:fldLock="1"/>
    </w:r>
    <w:r w:rsidRPr="00EF6B01">
      <w:instrText xml:space="preserve"> DOCPROPERTY "Motionsnummer" *\charformat </w:instrText>
    </w:r>
    <w:r w:rsidRPr="00EF6B01">
      <w:fldChar w:fldCharType="separate"/>
    </w:r>
    <w:r w:rsidRPr="00EF6B01">
      <w:t>U362</w:t>
    </w:r>
    <w:r w:rsidRPr="00EF6B01">
      <w:fldChar w:fldCharType="end"/>
    </w:r>
  </w:p>
  <w:p w:rsidR="00AF3809" w:rsidRPr="00EF6B01" w:rsidRDefault="00AF3809">
    <w:pPr>
      <w:pStyle w:val="FSHNormalS5"/>
    </w:pPr>
    <w:r w:rsidRPr="00EF6B01">
      <w:fldChar w:fldCharType="begin" w:fldLock="1"/>
    </w:r>
    <w:r w:rsidRPr="00EF6B01">
      <w:instrText xml:space="preserve"> DOCPROPERTY "MotionarText" *\charformat </w:instrText>
    </w:r>
    <w:r w:rsidRPr="00EF6B01">
      <w:fldChar w:fldCharType="separate"/>
    </w:r>
    <w:r w:rsidRPr="00EF6B01">
      <w:t>av Carin Runeson m.fl. (s)</w:t>
    </w:r>
    <w:r w:rsidRPr="00EF6B01">
      <w:fldChar w:fldCharType="end"/>
    </w:r>
    <w:r w:rsidRPr="00EF6B01">
      <w:br/>
    </w:r>
    <w:r w:rsidRPr="00EF6B01">
      <w:fldChar w:fldCharType="begin" w:fldLock="1"/>
    </w:r>
    <w:r w:rsidRPr="00EF6B01">
      <w:instrText xml:space="preserve"> DOCPROPERTY "SvarFrasKort" *\charformat </w:instrText>
    </w:r>
    <w:r w:rsidRPr="00EF6B01">
      <w:fldChar w:fldCharType="end"/>
    </w:r>
  </w:p>
  <w:p w:rsidR="00AF3809" w:rsidRPr="00EF6B01" w:rsidRDefault="00AF3809">
    <w:pPr>
      <w:pStyle w:val="FSHTitel"/>
    </w:pPr>
    <w:r w:rsidRPr="00EF6B01">
      <w:fldChar w:fldCharType="begin" w:fldLock="1"/>
    </w:r>
    <w:r w:rsidRPr="00EF6B01">
      <w:instrText xml:space="preserve"> DOCPROPERTY</w:instrText>
    </w:r>
    <w:r w:rsidRPr="00EF6B01">
      <w:rPr>
        <w:sz w:val="18"/>
      </w:rPr>
      <w:instrText xml:space="preserve"> "RubrikSvar" *\charformat </w:instrText>
    </w:r>
    <w:r w:rsidRPr="00EF6B01">
      <w:fldChar w:fldCharType="separate"/>
    </w:r>
    <w:r w:rsidRPr="00EF6B01">
      <w:t>Närområdet och de nordiska grannländerna</w:t>
    </w:r>
    <w:r w:rsidRPr="00EF6B01">
      <w:fldChar w:fldCharType="end"/>
    </w:r>
  </w:p>
  <w:p w:rsidR="00AF3809" w:rsidRPr="00EF6B01" w:rsidRDefault="00AF3809">
    <w:pPr>
      <w:pStyle w:val="Normal00"/>
    </w:pPr>
  </w:p>
  <w:p w:rsidR="00AF3809" w:rsidRPr="00EF6B01" w:rsidRDefault="00AF38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7E46F1"/>
    <w:multiLevelType w:val="hybridMultilevel"/>
    <w:tmpl w:val="9FDC6A14"/>
    <w:lvl w:ilvl="0" w:tplc="D73A7C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604A2D"/>
    <w:multiLevelType w:val="hybridMultilevel"/>
    <w:tmpl w:val="AEDEF0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6105880">
    <w:abstractNumId w:val="8"/>
  </w:num>
  <w:num w:numId="2" w16cid:durableId="98841812">
    <w:abstractNumId w:val="9"/>
  </w:num>
  <w:num w:numId="3" w16cid:durableId="1709451061">
    <w:abstractNumId w:val="8"/>
  </w:num>
  <w:num w:numId="4" w16cid:durableId="1278635189">
    <w:abstractNumId w:val="9"/>
  </w:num>
  <w:num w:numId="5" w16cid:durableId="479231311">
    <w:abstractNumId w:val="14"/>
  </w:num>
  <w:num w:numId="6" w16cid:durableId="414473417">
    <w:abstractNumId w:val="10"/>
  </w:num>
  <w:num w:numId="7" w16cid:durableId="1743867190">
    <w:abstractNumId w:val="11"/>
  </w:num>
  <w:num w:numId="8" w16cid:durableId="1316110297">
    <w:abstractNumId w:val="13"/>
  </w:num>
  <w:num w:numId="9" w16cid:durableId="608123992">
    <w:abstractNumId w:val="8"/>
  </w:num>
  <w:num w:numId="10" w16cid:durableId="858397120">
    <w:abstractNumId w:val="3"/>
  </w:num>
  <w:num w:numId="11" w16cid:durableId="274292456">
    <w:abstractNumId w:val="2"/>
  </w:num>
  <w:num w:numId="12" w16cid:durableId="762184361">
    <w:abstractNumId w:val="1"/>
  </w:num>
  <w:num w:numId="13" w16cid:durableId="1197811749">
    <w:abstractNumId w:val="0"/>
  </w:num>
  <w:num w:numId="14" w16cid:durableId="1593471286">
    <w:abstractNumId w:val="9"/>
  </w:num>
  <w:num w:numId="15" w16cid:durableId="2020037717">
    <w:abstractNumId w:val="7"/>
  </w:num>
  <w:num w:numId="16" w16cid:durableId="208078631">
    <w:abstractNumId w:val="6"/>
  </w:num>
  <w:num w:numId="17" w16cid:durableId="302538594">
    <w:abstractNumId w:val="5"/>
  </w:num>
  <w:num w:numId="18" w16cid:durableId="1965886949">
    <w:abstractNumId w:val="4"/>
  </w:num>
  <w:num w:numId="19" w16cid:durableId="898587532">
    <w:abstractNumId w:val="15"/>
  </w:num>
  <w:num w:numId="20" w16cid:durableId="116038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1C21E0E5-C721-4CC6-977F-70A15645D587},{A8194111-5C9A-450F-94FF-C41A79E3A58A},{A9FDCBAD-C520-44DD-BD41-38A8429276DE},{BE505140-C6B7-4A61-8BC7-AD683366E765},{47C3C683-2580-4D4B-830C-D55532238F57},{47D16990-C43A-4731-A6AF-F25531560B38},{57CD29E7-110F-4BBE-9894-3DBADDDF9B12},{38E0B56B-47C6-4732-B3EF-11F949BA6512}"/>
  </w:docVars>
  <w:rsids>
    <w:rsidRoot w:val="00F97D50"/>
    <w:rsid w:val="00AF3809"/>
    <w:rsid w:val="00EF6B01"/>
    <w:rsid w:val="00F97D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37068-C45C-4048-B457-E9AEF6FB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4956</Characters>
  <Application>Microsoft Office Word</Application>
  <DocSecurity>4</DocSecurity>
  <Lines>101</Lines>
  <Paragraphs>35</Paragraphs>
  <ScaleCrop>false</ScaleCrop>
  <HeadingPairs>
    <vt:vector size="2" baseType="variant">
      <vt:variant>
        <vt:lpstr>Rubrik</vt:lpstr>
      </vt:variant>
      <vt:variant>
        <vt:i4>1</vt:i4>
      </vt:variant>
    </vt:vector>
  </HeadingPairs>
  <TitlesOfParts>
    <vt:vector size="1" baseType="lpstr">
      <vt:lpstr>s64019</vt:lpstr>
    </vt:vector>
  </TitlesOfParts>
  <Company>Riksdagen</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s64019</dc:title>
  <dc:subject>s64019</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2007-11-24T14:07:00Z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Närområdet och de nordiska grannländerna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Närområdet och de nordiska grannländerna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 Runeson m.fl. (s)</vt:lpwstr>
  </property>
  <property fmtid="{D5CDD505-2E9C-101B-9397-08002B2CF9AE}" pid="26" name="MotionarLista">
    <vt:lpwstr>Runeson, Carin (s)\Ahlin, Urban (s)\Palm, Veronica (s)\Hägg, Carina (s)\Härstedt, Kent (s)\Forslund, Kenneth G (s)\Engle, Kerstin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Urban Ahlin (s), Veronica Palm (s), Carina Hägg (s), Kent Härstedt (s), Kenneth G Forslund (s), Kerstin Engle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20072008000000000115000640190075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20072008000000000115000640190075</vt:lpwstr>
  </property>
  <property fmtid="{D5CDD505-2E9C-101B-9397-08002B2CF9AE}" pid="50" name="nummer">
    <vt:lpwstr>362</vt:lpwstr>
  </property>
  <property fmtid="{D5CDD505-2E9C-101B-9397-08002B2CF9AE}" pid="51" name="utskottsbeteckning">
    <vt:lpwstr>U</vt:lpwstr>
  </property>
  <property fmtid="{D5CDD505-2E9C-101B-9397-08002B2CF9AE}" pid="52" name="GlobalUID">
    <vt:lpwstr>{73BCDDF7-EA32-45B2-B118-3648E71AFF91}</vt:lpwstr>
  </property>
  <property fmtid="{D5CDD505-2E9C-101B-9397-08002B2CF9AE}" pid="53" name="Överföringar">
    <vt:i4>0</vt:i4>
  </property>
  <property fmtid="{D5CDD505-2E9C-101B-9397-08002B2CF9AE}" pid="54" name="Checksum">
    <vt:lpwstr>*0003931230096*</vt:lpwstr>
  </property>
  <property fmtid="{D5CDD505-2E9C-101B-9397-08002B2CF9AE}" pid="55" name="skuggnummer">
    <vt:lpwstr>3026</vt:lpwstr>
  </property>
  <property fmtid="{D5CDD505-2E9C-101B-9397-08002B2CF9AE}" pid="56" name="urixVersion">
    <vt:lpwstr>3.2.0.8</vt:lpwstr>
  </property>
  <property fmtid="{D5CDD505-2E9C-101B-9397-08002B2CF9AE}" pid="57" name="urixOrigin">
    <vt:lpwstr>080827 13:32:26.643</vt:lpwstr>
  </property>
  <property fmtid="{D5CDD505-2E9C-101B-9397-08002B2CF9AE}" pid="58" name="urixGuid">
    <vt:lpwstr>{040FE42E-4899-4353-BC08-8CE264A68F52}</vt:lpwstr>
  </property>
</Properties>
</file>