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E7339" w:rsidRPr="00F3649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F3649A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DE7339" w:rsidRPr="00F3649A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E7339" w:rsidRPr="00F36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DE7339" w:rsidRPr="00F3649A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F3649A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DE7339" w:rsidRPr="00F3649A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E7339" w:rsidRPr="00F3649A" w:rsidRDefault="00DE7339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DE7339" w:rsidRPr="00F3649A" w:rsidRDefault="00DE7339">
            <w:pPr>
              <w:framePr w:w="4400" w:h="1644" w:wrap="notBeside" w:vAnchor="page" w:hAnchor="page" w:x="6573" w:y="721"/>
            </w:pPr>
          </w:p>
        </w:tc>
      </w:tr>
      <w:tr w:rsidR="00DE7339" w:rsidRPr="00F3649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F3649A" w:rsidRDefault="00DE7339">
            <w:pPr>
              <w:framePr w:w="4400" w:h="1644" w:wrap="notBeside" w:vAnchor="page" w:hAnchor="page" w:x="6573" w:y="721"/>
            </w:pPr>
            <w:r w:rsidRPr="00F3649A">
              <w:t>200</w:t>
            </w:r>
            <w:r w:rsidR="00064E36" w:rsidRPr="00F3649A">
              <w:t>9-11-</w:t>
            </w:r>
            <w:r w:rsidR="00CE669D" w:rsidRPr="00F3649A">
              <w:t>2</w:t>
            </w:r>
            <w:r w:rsidR="00DF73FE" w:rsidRPr="00F3649A">
              <w:t>3</w:t>
            </w:r>
          </w:p>
        </w:tc>
        <w:tc>
          <w:tcPr>
            <w:tcW w:w="2347" w:type="dxa"/>
            <w:gridSpan w:val="2"/>
          </w:tcPr>
          <w:p w:rsidR="00DE7339" w:rsidRPr="00F3649A" w:rsidRDefault="00DE7339">
            <w:pPr>
              <w:framePr w:w="4400" w:h="1644" w:wrap="notBeside" w:vAnchor="page" w:hAnchor="page" w:x="6573" w:y="721"/>
            </w:pPr>
          </w:p>
        </w:tc>
      </w:tr>
      <w:tr w:rsidR="00DE7339" w:rsidRPr="00F3649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F3649A" w:rsidRDefault="00DE7339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DE7339" w:rsidRPr="00F3649A" w:rsidRDefault="00DE7339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E7339" w:rsidRPr="00F3649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F3649A" w:rsidRDefault="00DE733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F3649A">
              <w:rPr>
                <w:b/>
                <w:i w:val="0"/>
                <w:sz w:val="22"/>
              </w:rPr>
              <w:t>Justitiedepartementet</w:t>
            </w:r>
          </w:p>
        </w:tc>
      </w:tr>
      <w:tr w:rsidR="00DE7339" w:rsidRPr="00F3649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F3649A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F3649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F3649A" w:rsidRDefault="008537E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3649A">
              <w:rPr>
                <w:bCs/>
                <w:iCs/>
              </w:rPr>
              <w:t>Polisenheten</w:t>
            </w:r>
          </w:p>
        </w:tc>
      </w:tr>
      <w:tr w:rsidR="00DE7339" w:rsidRPr="00F3649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F3649A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F3649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F3649A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F3649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F3649A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F3649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F3649A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F3649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F3649A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F3649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F3649A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E7339" w:rsidRPr="00F3649A" w:rsidRDefault="00DE7339">
      <w:pPr>
        <w:framePr w:w="4400" w:h="2523" w:wrap="notBeside" w:vAnchor="page" w:hAnchor="page" w:x="6453" w:y="2445"/>
        <w:ind w:left="142"/>
        <w:rPr>
          <w:b/>
        </w:rPr>
      </w:pPr>
    </w:p>
    <w:p w:rsidR="00E601CB" w:rsidRPr="00F3649A" w:rsidRDefault="00E601CB" w:rsidP="00E601CB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F3649A">
        <w:t>Rådets möte för rättsliga och inrikes frågor (RIF) den 30 november – 1 december 2009</w:t>
      </w:r>
    </w:p>
    <w:p w:rsidR="00064E36" w:rsidRPr="00F3649A" w:rsidRDefault="00064E36" w:rsidP="00E155E9">
      <w:pPr>
        <w:pStyle w:val="RKnormal"/>
        <w:spacing w:line="240" w:lineRule="auto"/>
        <w:jc w:val="both"/>
        <w:rPr>
          <w:rFonts w:ascii="Garamond" w:hAnsi="Garamond"/>
          <w:szCs w:val="24"/>
        </w:rPr>
      </w:pPr>
    </w:p>
    <w:p w:rsidR="00913998" w:rsidRPr="00F3649A" w:rsidRDefault="00913998" w:rsidP="00913998">
      <w:pPr>
        <w:ind w:left="567" w:hanging="567"/>
      </w:pPr>
      <w:r w:rsidRPr="00F3649A">
        <w:t>Dagordningspunkt: 13</w:t>
      </w:r>
    </w:p>
    <w:p w:rsidR="00913998" w:rsidRPr="00F3649A" w:rsidRDefault="00913998" w:rsidP="00913998">
      <w:pPr>
        <w:ind w:left="567" w:hanging="567"/>
      </w:pPr>
    </w:p>
    <w:p w:rsidR="00913998" w:rsidRPr="00F3649A" w:rsidRDefault="00913998" w:rsidP="00913998">
      <w:pPr>
        <w:ind w:left="567" w:hanging="567"/>
      </w:pPr>
      <w:r w:rsidRPr="00F3649A">
        <w:t xml:space="preserve">Rubrik: </w:t>
      </w:r>
    </w:p>
    <w:p w:rsidR="00913998" w:rsidRPr="00F3649A" w:rsidRDefault="00913998" w:rsidP="00913998">
      <w:pPr>
        <w:ind w:left="567" w:hanging="567"/>
      </w:pPr>
      <w:r w:rsidRPr="00F3649A">
        <w:t>Människohandel</w:t>
      </w:r>
    </w:p>
    <w:p w:rsidR="00913998" w:rsidRPr="00F3649A" w:rsidRDefault="00913998" w:rsidP="00913998">
      <w:pPr>
        <w:ind w:left="567" w:hanging="567"/>
        <w:rPr>
          <w:szCs w:val="24"/>
        </w:rPr>
      </w:pPr>
      <w:r w:rsidRPr="00F3649A">
        <w:rPr>
          <w:szCs w:val="24"/>
        </w:rPr>
        <w:t>b) Åtgärdsinriktat dokument om förstärkning av EU:s yttre</w:t>
      </w:r>
    </w:p>
    <w:p w:rsidR="00913998" w:rsidRPr="00F3649A" w:rsidRDefault="00913998" w:rsidP="00913998">
      <w:pPr>
        <w:ind w:left="567" w:hanging="567"/>
        <w:rPr>
          <w:szCs w:val="24"/>
        </w:rPr>
      </w:pPr>
      <w:r w:rsidRPr="00F3649A">
        <w:rPr>
          <w:szCs w:val="24"/>
        </w:rPr>
        <w:t>dimension när det gäller åtgärder mot människohandel</w:t>
      </w:r>
    </w:p>
    <w:p w:rsidR="00913998" w:rsidRPr="00F3649A" w:rsidRDefault="00913998" w:rsidP="00913998">
      <w:pPr>
        <w:ind w:left="567" w:hanging="567"/>
        <w:rPr>
          <w:szCs w:val="24"/>
        </w:rPr>
      </w:pPr>
      <w:r w:rsidRPr="00F3649A">
        <w:rPr>
          <w:szCs w:val="24"/>
        </w:rPr>
        <w:t>–</w:t>
      </w:r>
      <w:r w:rsidRPr="00F3649A">
        <w:rPr>
          <w:szCs w:val="24"/>
        </w:rPr>
        <w:tab/>
        <w:t>Antagande</w:t>
      </w:r>
    </w:p>
    <w:p w:rsidR="00DE7339" w:rsidRPr="00F3649A" w:rsidRDefault="00DE7339" w:rsidP="00913998">
      <w:pPr>
        <w:rPr>
          <w:i/>
        </w:rPr>
      </w:pPr>
    </w:p>
    <w:p w:rsidR="000950E9" w:rsidRPr="00F3649A" w:rsidRDefault="000950E9" w:rsidP="00913998">
      <w:r w:rsidRPr="00F3649A">
        <w:t>Dokument</w:t>
      </w:r>
      <w:r w:rsidR="00913998" w:rsidRPr="00F3649A">
        <w:t xml:space="preserve">: </w:t>
      </w:r>
      <w:r w:rsidR="00064E36" w:rsidRPr="00F3649A">
        <w:t>11450/4/09 CRIMORG 103</w:t>
      </w:r>
      <w:r w:rsidRPr="00F3649A">
        <w:t xml:space="preserve"> (AOP)</w:t>
      </w:r>
      <w:r w:rsidR="00C87EAD" w:rsidRPr="00F3649A">
        <w:t xml:space="preserve"> (bifogas)</w:t>
      </w:r>
    </w:p>
    <w:p w:rsidR="00DE7339" w:rsidRPr="00F3649A" w:rsidRDefault="00064E36" w:rsidP="00913998">
      <w:r w:rsidRPr="00F3649A">
        <w:t>15384/09 CRIMORG 167</w:t>
      </w:r>
      <w:r w:rsidR="000950E9" w:rsidRPr="00F3649A">
        <w:t xml:space="preserve"> (</w:t>
      </w:r>
      <w:r w:rsidR="00F87BE8" w:rsidRPr="00F3649A">
        <w:t>d</w:t>
      </w:r>
      <w:r w:rsidR="000950E9" w:rsidRPr="00F3649A">
        <w:t>eklarationen)</w:t>
      </w:r>
      <w:r w:rsidR="00C87EAD" w:rsidRPr="00F3649A">
        <w:t xml:space="preserve"> (bifogas)</w:t>
      </w:r>
    </w:p>
    <w:p w:rsidR="00064E36" w:rsidRPr="00F3649A" w:rsidRDefault="00064E36" w:rsidP="00913998"/>
    <w:p w:rsidR="00DE7339" w:rsidRPr="00F3649A" w:rsidRDefault="00913998" w:rsidP="00913998">
      <w:r w:rsidRPr="00F3649A">
        <w:t xml:space="preserve">Tidigare dokument:  </w:t>
      </w:r>
      <w:r w:rsidR="00064E36" w:rsidRPr="00F3649A">
        <w:t>-</w:t>
      </w:r>
      <w:r w:rsidR="00DE7339" w:rsidRPr="00F3649A">
        <w:t xml:space="preserve">        </w:t>
      </w:r>
    </w:p>
    <w:p w:rsidR="00064E36" w:rsidRPr="00F3649A" w:rsidRDefault="00064E36" w:rsidP="00913998"/>
    <w:p w:rsidR="00E155E9" w:rsidRPr="00F3649A" w:rsidRDefault="00DE7339" w:rsidP="00913998">
      <w:r w:rsidRPr="00F3649A">
        <w:t>Tidigare behan</w:t>
      </w:r>
      <w:r w:rsidR="00E155E9" w:rsidRPr="00F3649A">
        <w:t>dlad vid samråd med EU-nämnden</w:t>
      </w:r>
      <w:r w:rsidR="00913998" w:rsidRPr="00F3649A">
        <w:t xml:space="preserve">: </w:t>
      </w:r>
      <w:r w:rsidR="00E155E9" w:rsidRPr="00F3649A">
        <w:t>-</w:t>
      </w:r>
    </w:p>
    <w:p w:rsidR="00741438" w:rsidRPr="00F3649A" w:rsidRDefault="00741438" w:rsidP="002D7CF3">
      <w:pPr>
        <w:pStyle w:val="RKnormal"/>
      </w:pPr>
    </w:p>
    <w:p w:rsidR="00064E36" w:rsidRPr="00F3649A" w:rsidRDefault="00DE7339" w:rsidP="00913998">
      <w:pPr>
        <w:pStyle w:val="RKrubrik"/>
      </w:pPr>
      <w:r w:rsidRPr="00F3649A">
        <w:t>Bakgrund</w:t>
      </w:r>
    </w:p>
    <w:p w:rsidR="00B10302" w:rsidRPr="00F3649A" w:rsidRDefault="00064E36" w:rsidP="00913998">
      <w:r w:rsidRPr="00F3649A">
        <w:t>Människohandel är en viktig fråga i EU:s yttre förbindelser. Det handlar om att stärka relationerna och samarbetet med ursprungsländer för människohandel och länder varigenom människohandeln passerar</w:t>
      </w:r>
      <w:r w:rsidR="00CE669D" w:rsidRPr="00F3649A">
        <w:t xml:space="preserve"> samt att </w:t>
      </w:r>
      <w:r w:rsidRPr="00F3649A">
        <w:t xml:space="preserve">utveckla samordningen inom EU för att få en bättre effektivitet i de åtgärder som vidtas. </w:t>
      </w:r>
    </w:p>
    <w:p w:rsidR="00E34A34" w:rsidRPr="00F3649A" w:rsidRDefault="00E34A34" w:rsidP="00913998"/>
    <w:p w:rsidR="00064E36" w:rsidRPr="00F3649A" w:rsidRDefault="00CE669D" w:rsidP="00913998">
      <w:r w:rsidRPr="00F3649A">
        <w:t>D</w:t>
      </w:r>
      <w:r w:rsidR="00E34A34" w:rsidRPr="00F3649A">
        <w:t xml:space="preserve">et svenska ordförandeskapet </w:t>
      </w:r>
      <w:r w:rsidRPr="00F3649A">
        <w:t xml:space="preserve">har </w:t>
      </w:r>
      <w:r w:rsidR="00E34A34" w:rsidRPr="00F3649A">
        <w:t xml:space="preserve">tagit fram </w:t>
      </w:r>
      <w:r w:rsidR="00064E36" w:rsidRPr="00F3649A">
        <w:t xml:space="preserve">ett tematiskt s.k. </w:t>
      </w:r>
      <w:r w:rsidR="00064E36" w:rsidRPr="00F3649A">
        <w:rPr>
          <w:i/>
        </w:rPr>
        <w:t>Action Oriented Paper</w:t>
      </w:r>
      <w:r w:rsidR="00064E36" w:rsidRPr="00F3649A">
        <w:t xml:space="preserve"> (AOP) med ett antal åtgärder och rekommendationer </w:t>
      </w:r>
      <w:r w:rsidRPr="00F3649A">
        <w:t xml:space="preserve">mot människohandel </w:t>
      </w:r>
      <w:r w:rsidR="00E34A34" w:rsidRPr="00F3649A">
        <w:t>som ska</w:t>
      </w:r>
      <w:r w:rsidR="002D7CF3" w:rsidRPr="00F3649A">
        <w:t xml:space="preserve"> antas </w:t>
      </w:r>
      <w:r w:rsidRPr="00F3649A">
        <w:t>vid rådsmötet</w:t>
      </w:r>
      <w:r w:rsidR="00064E36" w:rsidRPr="00F3649A">
        <w:t xml:space="preserve">. </w:t>
      </w:r>
    </w:p>
    <w:p w:rsidR="00053A4B" w:rsidRPr="00F3649A" w:rsidRDefault="00053A4B" w:rsidP="00913998">
      <w:pPr>
        <w:rPr>
          <w:color w:val="000000"/>
        </w:rPr>
      </w:pPr>
    </w:p>
    <w:p w:rsidR="00064E36" w:rsidRPr="00F3649A" w:rsidRDefault="00E34A34" w:rsidP="00913998">
      <w:r w:rsidRPr="00F3649A">
        <w:lastRenderedPageBreak/>
        <w:t>Ordförandeskapet</w:t>
      </w:r>
      <w:r w:rsidR="00064E36" w:rsidRPr="00F3649A">
        <w:t xml:space="preserve"> anordnade vidare en ministerkonferens den 19-20 oktober </w:t>
      </w:r>
      <w:r w:rsidRPr="00F3649A">
        <w:t xml:space="preserve">2009 </w:t>
      </w:r>
      <w:r w:rsidR="00064E36" w:rsidRPr="00F3649A">
        <w:t xml:space="preserve">på temat människohandel i EU:s yttre förbindelser med relevanta aktörer. För ändamålet </w:t>
      </w:r>
      <w:r w:rsidR="00CE669D" w:rsidRPr="00F3649A">
        <w:t>beviljades Sverige</w:t>
      </w:r>
      <w:r w:rsidR="00064E36" w:rsidRPr="00F3649A">
        <w:t xml:space="preserve"> i partnerskap med </w:t>
      </w:r>
      <w:r w:rsidR="00CE669D" w:rsidRPr="00F3649A">
        <w:t>Portugal, Finland, Italien och Österrike (såväl inrikes-, justitie-</w:t>
      </w:r>
      <w:r w:rsidR="00064E36" w:rsidRPr="00F3649A">
        <w:t xml:space="preserve"> och </w:t>
      </w:r>
      <w:r w:rsidR="00CE669D" w:rsidRPr="00F3649A">
        <w:t>utrikesministerium</w:t>
      </w:r>
      <w:r w:rsidR="00064E36" w:rsidRPr="00F3649A">
        <w:t xml:space="preserve"> EU-finansiering</w:t>
      </w:r>
      <w:r w:rsidR="00E155E9" w:rsidRPr="00F3649A">
        <w:t xml:space="preserve"> för att genomföra konferensen oc</w:t>
      </w:r>
      <w:r w:rsidR="00CE669D" w:rsidRPr="00F3649A">
        <w:t>h en uppföljning under våren 2010</w:t>
      </w:r>
      <w:r w:rsidR="00064E36" w:rsidRPr="00F3649A">
        <w:t xml:space="preserve">. Konferensen samlade </w:t>
      </w:r>
      <w:r w:rsidR="00CE669D" w:rsidRPr="00F3649A">
        <w:t>nära</w:t>
      </w:r>
      <w:r w:rsidR="00064E36" w:rsidRPr="00F3649A">
        <w:t xml:space="preserve"> 600 deltagare från medlemsstaterna, kandidatländer</w:t>
      </w:r>
      <w:r w:rsidR="00CE669D" w:rsidRPr="00F3649A">
        <w:t>na</w:t>
      </w:r>
      <w:r w:rsidR="00064E36" w:rsidRPr="00F3649A">
        <w:t xml:space="preserve"> och tredje länder, liksom internationella organisationer och frivilligorganisationer. Både </w:t>
      </w:r>
      <w:r w:rsidR="00CE669D" w:rsidRPr="00F3649A">
        <w:t>d</w:t>
      </w:r>
      <w:r w:rsidR="00064E36" w:rsidRPr="00F3649A">
        <w:t xml:space="preserve">rottning </w:t>
      </w:r>
      <w:r w:rsidR="00CE669D" w:rsidRPr="00F3649A">
        <w:t xml:space="preserve">Silvia och drottning </w:t>
      </w:r>
      <w:r w:rsidRPr="00F3649A">
        <w:t xml:space="preserve">Paola av Belgien </w:t>
      </w:r>
      <w:r w:rsidR="00064E36" w:rsidRPr="00F3649A">
        <w:t>närvarade. Konferensen organiserades kring e</w:t>
      </w:r>
      <w:r w:rsidR="00E155E9" w:rsidRPr="00F3649A">
        <w:t xml:space="preserve">tt </w:t>
      </w:r>
      <w:r w:rsidR="00064E36" w:rsidRPr="00F3649A">
        <w:t>inlednings</w:t>
      </w:r>
      <w:r w:rsidR="00E155E9" w:rsidRPr="00F3649A">
        <w:t>avsnitt</w:t>
      </w:r>
      <w:r w:rsidR="00064E36" w:rsidRPr="00F3649A">
        <w:t xml:space="preserve"> och fyra paneler. För varje panel agerade EU-myndigheter</w:t>
      </w:r>
      <w:r w:rsidRPr="00F3649A">
        <w:t>na</w:t>
      </w:r>
      <w:r w:rsidR="00064E36" w:rsidRPr="00F3649A">
        <w:t xml:space="preserve"> Eurojust, Europol, Frontex och </w:t>
      </w:r>
      <w:r w:rsidRPr="00F3649A">
        <w:t xml:space="preserve">Byrån för grundläggande rättigheter </w:t>
      </w:r>
      <w:r w:rsidR="00064E36" w:rsidRPr="00F3649A">
        <w:t>som rapportörer.</w:t>
      </w:r>
    </w:p>
    <w:p w:rsidR="00064E36" w:rsidRPr="00F3649A" w:rsidRDefault="00064E36" w:rsidP="00913998"/>
    <w:p w:rsidR="00DE7339" w:rsidRPr="00F3649A" w:rsidRDefault="00064E36" w:rsidP="00913998">
      <w:r w:rsidRPr="00F3649A">
        <w:t xml:space="preserve">Syftet med konferensen var att skapa förutsättningar </w:t>
      </w:r>
      <w:r w:rsidR="00E34A34" w:rsidRPr="00F3649A">
        <w:t xml:space="preserve">för </w:t>
      </w:r>
      <w:r w:rsidRPr="00F3649A">
        <w:t>en fördjupning av EU:s samarbete med tredje länder, regioner och internationella organisationer för att förebygga och bekämpa människohandel. I övergripande termer gällde det att skapa möjligheter till utvecklade partnerskap. Konferensen tog fram en deklaration som reflekterar flera viktiga punkter, inte minst vikten av förbättrad samordning på EU-nivå och hur vi kan gå vidare för att stärka partnerskapen med viktiga partners. Konferensen och förberedelserna inför den  bidrog också till att utveckla AOP:n</w:t>
      </w:r>
      <w:r w:rsidR="0020068F" w:rsidRPr="00F3649A">
        <w:t xml:space="preserve">. </w:t>
      </w:r>
      <w:r w:rsidRPr="00F3649A">
        <w:t xml:space="preserve"> </w:t>
      </w:r>
    </w:p>
    <w:p w:rsidR="0020068F" w:rsidRPr="00F3649A" w:rsidRDefault="0020068F" w:rsidP="00913998"/>
    <w:p w:rsidR="0020068F" w:rsidRPr="00F3649A" w:rsidRDefault="0020068F" w:rsidP="00913998">
      <w:r w:rsidRPr="00F3649A">
        <w:t xml:space="preserve">Inom EU är frågor om människohandel mer aktuella 2009 än någonsin förr. I tillägg till rambeslutet och arbetet rörande EU:s yttre förbindelser kommer också Schengensamarbetet att utvärderas tematiskt vad gäller människohandel. </w:t>
      </w:r>
      <w:r w:rsidR="00741438" w:rsidRPr="00F3649A">
        <w:t>En rapport kommer att presenteras</w:t>
      </w:r>
      <w:r w:rsidR="00B10302" w:rsidRPr="00F3649A">
        <w:t xml:space="preserve"> inom kort</w:t>
      </w:r>
      <w:r w:rsidR="00741438" w:rsidRPr="00F3649A">
        <w:t>.</w:t>
      </w:r>
    </w:p>
    <w:p w:rsidR="00B10302" w:rsidRPr="00F3649A" w:rsidRDefault="00B10302" w:rsidP="00913998"/>
    <w:p w:rsidR="00B10302" w:rsidRPr="00F3649A" w:rsidRDefault="0020068F" w:rsidP="00913998">
      <w:r w:rsidRPr="00F3649A">
        <w:t xml:space="preserve">Bland de prioriteringar som </w:t>
      </w:r>
      <w:r w:rsidR="00000D9E" w:rsidRPr="00F3649A">
        <w:t>rådet genom OCTA (Organised Crime Threat Asses</w:t>
      </w:r>
      <w:r w:rsidR="00F87BE8" w:rsidRPr="00F3649A">
        <w:t>s</w:t>
      </w:r>
      <w:r w:rsidR="00000D9E" w:rsidRPr="00F3649A">
        <w:t xml:space="preserve">ment) </w:t>
      </w:r>
      <w:r w:rsidRPr="00F3649A">
        <w:t>satt</w:t>
      </w:r>
      <w:r w:rsidR="00000D9E" w:rsidRPr="00F3649A">
        <w:t xml:space="preserve"> </w:t>
      </w:r>
      <w:r w:rsidRPr="00F3649A">
        <w:t xml:space="preserve">för bekämpning av den </w:t>
      </w:r>
      <w:r w:rsidR="00741438" w:rsidRPr="00F3649A">
        <w:t>organiserade brottsligheten utgö</w:t>
      </w:r>
      <w:r w:rsidRPr="00F3649A">
        <w:t xml:space="preserve">r människohandel en av tre prioriteringar. Kommissionen arbetar också mot en ny, heltäckande EU-strategi mot människohandel. </w:t>
      </w:r>
      <w:r w:rsidR="00257E3A" w:rsidRPr="00F3649A">
        <w:t>Genom</w:t>
      </w:r>
      <w:r w:rsidRPr="00F3649A">
        <w:t xml:space="preserve"> Stockholmsprogrammets kommer därför </w:t>
      </w:r>
      <w:r w:rsidR="00257E3A" w:rsidRPr="00F3649A">
        <w:t>det svenska ordförandeskapet</w:t>
      </w:r>
      <w:r w:rsidRPr="00F3649A">
        <w:t xml:space="preserve"> att kunna lämna ett bidrag till en viktig utveckling i EU:s samarbete mot människohandel. </w:t>
      </w:r>
    </w:p>
    <w:p w:rsidR="00257E3A" w:rsidRPr="00F3649A" w:rsidRDefault="00257E3A" w:rsidP="00913998"/>
    <w:p w:rsidR="0020068F" w:rsidRPr="00F3649A" w:rsidRDefault="0020068F" w:rsidP="00913998">
      <w:r w:rsidRPr="00F3649A">
        <w:t xml:space="preserve">Varje ordförandeskap anordnar också en rad olika möten med länder utanför EU (t.ex. med Ryssland och USA). Människohandel är en viktig fråga vid sådana möten och </w:t>
      </w:r>
      <w:r w:rsidR="00257E3A" w:rsidRPr="00F3649A">
        <w:t>Sverige</w:t>
      </w:r>
      <w:r w:rsidRPr="00F3649A">
        <w:t xml:space="preserve"> har vid dessa tillfällen lyft fram människohandeln som en viktig fråga.</w:t>
      </w:r>
    </w:p>
    <w:p w:rsidR="0020068F" w:rsidRPr="00F3649A" w:rsidRDefault="0020068F" w:rsidP="00913998"/>
    <w:p w:rsidR="0020068F" w:rsidRPr="00F3649A" w:rsidRDefault="0020068F" w:rsidP="00913998">
      <w:r w:rsidRPr="00F3649A">
        <w:t xml:space="preserve">Mot denna bakgrund vill därför det svenska ordförandeskapet ta tillfället </w:t>
      </w:r>
      <w:r w:rsidR="00741438" w:rsidRPr="00F3649A">
        <w:t xml:space="preserve">att i samband med antagandet av AOP:n hålla en tematisk, </w:t>
      </w:r>
      <w:r w:rsidRPr="00F3649A">
        <w:t>allmän politisk debatt om människohandel vid rådsmötet.</w:t>
      </w:r>
      <w:r w:rsidR="00B10302" w:rsidRPr="00F3649A">
        <w:t xml:space="preserve"> Grunden för debatten kommer att utgöras av AOP:n, deklarationen från ministerkonferensen samt ett bakgrundsdokument med ett antal viktiga frågeställningar.</w:t>
      </w:r>
    </w:p>
    <w:p w:rsidR="0020068F" w:rsidRPr="00F3649A" w:rsidRDefault="0020068F" w:rsidP="00913998"/>
    <w:p w:rsidR="00741438" w:rsidRPr="00F3649A" w:rsidRDefault="00741438" w:rsidP="00913998">
      <w:r w:rsidRPr="00F3649A">
        <w:t xml:space="preserve">I sammanhanget finns det </w:t>
      </w:r>
      <w:r w:rsidR="00257E3A" w:rsidRPr="00F3649A">
        <w:t>även</w:t>
      </w:r>
      <w:r w:rsidRPr="00F3649A">
        <w:t xml:space="preserve"> anledning att notera perspektivet på de möjligheter som Lissabonfördraget ger. Den framtida rättsliga grunden finns i Lissabonfördragets artikel 79 EUF där det anges att:</w:t>
      </w:r>
    </w:p>
    <w:p w:rsidR="00741438" w:rsidRPr="00F3649A" w:rsidRDefault="00741438" w:rsidP="00913998">
      <w:pPr>
        <w:rPr>
          <w:iCs/>
          <w:color w:val="000000"/>
          <w:lang w:eastAsia="sv-SE"/>
        </w:rPr>
      </w:pPr>
      <w:r w:rsidRPr="00F3649A">
        <w:t xml:space="preserve">1. </w:t>
      </w:r>
      <w:r w:rsidRPr="00F3649A">
        <w:rPr>
          <w:bCs/>
          <w:iCs/>
          <w:color w:val="000000"/>
          <w:lang w:eastAsia="sv-SE"/>
        </w:rPr>
        <w:t xml:space="preserve">Unionen ska utforma en gemensam </w:t>
      </w:r>
      <w:r w:rsidRPr="00F3649A">
        <w:rPr>
          <w:iCs/>
          <w:color w:val="000000"/>
          <w:lang w:eastAsia="sv-SE"/>
        </w:rPr>
        <w:t>invandringspolitik</w:t>
      </w:r>
      <w:r w:rsidRPr="00F3649A">
        <w:rPr>
          <w:bCs/>
          <w:iCs/>
          <w:color w:val="000000"/>
          <w:lang w:eastAsia="sv-SE"/>
        </w:rPr>
        <w:t xml:space="preserve"> i syfte att i alla lägen säkerställa en effektiv förvaltning av migrationsströmmarna, en rättvis behandling av tredjelandsmedborgare som vistas lagligen i medlemsstaterna samt förebyggande av och förstärkt bekämpning av olaglig invandring och människohandel.</w:t>
      </w:r>
      <w:r w:rsidRPr="00F3649A">
        <w:rPr>
          <w:iCs/>
          <w:color w:val="000000"/>
          <w:lang w:eastAsia="sv-SE"/>
        </w:rPr>
        <w:t xml:space="preserve"> </w:t>
      </w:r>
    </w:p>
    <w:p w:rsidR="00741438" w:rsidRPr="00F3649A" w:rsidRDefault="00741438" w:rsidP="00913998">
      <w:pPr>
        <w:rPr>
          <w:iCs/>
          <w:color w:val="000000"/>
          <w:lang w:eastAsia="sv-SE"/>
        </w:rPr>
      </w:pPr>
      <w:r w:rsidRPr="00F3649A">
        <w:rPr>
          <w:bCs/>
          <w:iCs/>
          <w:color w:val="000000"/>
          <w:lang w:eastAsia="sv-SE"/>
        </w:rPr>
        <w:t>2. Vid tillämpning av punkt 1</w:t>
      </w:r>
      <w:r w:rsidRPr="00F3649A">
        <w:rPr>
          <w:iCs/>
          <w:color w:val="000000"/>
          <w:lang w:eastAsia="sv-SE"/>
        </w:rPr>
        <w:t xml:space="preserve"> ska Europaparlamentet och rådet i enlighet med det ordinarie lagstiftningsförfarandet besluta om åtgärder på följande områden: </w:t>
      </w:r>
    </w:p>
    <w:p w:rsidR="00741438" w:rsidRPr="00F3649A" w:rsidRDefault="00741438" w:rsidP="00913998">
      <w:pPr>
        <w:rPr>
          <w:iCs/>
          <w:color w:val="000000"/>
          <w:lang w:eastAsia="sv-SE"/>
        </w:rPr>
      </w:pPr>
      <w:r w:rsidRPr="00F3649A">
        <w:rPr>
          <w:iCs/>
          <w:color w:val="000000"/>
          <w:lang w:eastAsia="sv-SE"/>
        </w:rPr>
        <w:t>[...]</w:t>
      </w:r>
    </w:p>
    <w:p w:rsidR="00741438" w:rsidRPr="00F3649A" w:rsidRDefault="00741438" w:rsidP="00913998">
      <w:r w:rsidRPr="00F3649A">
        <w:rPr>
          <w:bCs/>
          <w:iCs/>
          <w:color w:val="000000"/>
          <w:lang w:eastAsia="sv-SE"/>
        </w:rPr>
        <w:t>d) Bekämpning av människohandel, särskilt handel med kvinnor och barn.</w:t>
      </w:r>
      <w:r w:rsidRPr="00F3649A">
        <w:rPr>
          <w:b/>
          <w:bCs/>
          <w:iCs/>
          <w:color w:val="000000"/>
          <w:lang w:eastAsia="sv-SE"/>
        </w:rPr>
        <w:t xml:space="preserve"> </w:t>
      </w:r>
    </w:p>
    <w:p w:rsidR="00741438" w:rsidRPr="00F3649A" w:rsidRDefault="00741438" w:rsidP="0020068F">
      <w:pPr>
        <w:jc w:val="both"/>
        <w:rPr>
          <w:szCs w:val="24"/>
        </w:rPr>
      </w:pPr>
    </w:p>
    <w:p w:rsidR="00913998" w:rsidRPr="00F3649A" w:rsidRDefault="00DE7339" w:rsidP="00913998">
      <w:pPr>
        <w:pStyle w:val="RKrubrik"/>
      </w:pPr>
      <w:r w:rsidRPr="00F3649A">
        <w:t>Rättslig grund och beslutsförfarande</w:t>
      </w:r>
    </w:p>
    <w:p w:rsidR="00E155E9" w:rsidRPr="00F3649A" w:rsidRDefault="00E155E9" w:rsidP="00913998">
      <w:pPr>
        <w:pStyle w:val="RKrubrik"/>
      </w:pPr>
      <w:r w:rsidRPr="00F3649A">
        <w:t xml:space="preserve">- </w:t>
      </w:r>
    </w:p>
    <w:p w:rsidR="00DE7339" w:rsidRPr="00F3649A" w:rsidRDefault="00DE7339" w:rsidP="00913998">
      <w:pPr>
        <w:pStyle w:val="RKrubrik"/>
        <w:rPr>
          <w:iCs/>
        </w:rPr>
      </w:pPr>
      <w:r w:rsidRPr="00F3649A">
        <w:rPr>
          <w:iCs/>
        </w:rPr>
        <w:t>Svensk ståndpunkt</w:t>
      </w:r>
    </w:p>
    <w:p w:rsidR="002D7CF3" w:rsidRPr="00F3649A" w:rsidRDefault="002D7CF3" w:rsidP="00913998"/>
    <w:p w:rsidR="004B77A8" w:rsidRPr="00F3649A" w:rsidRDefault="00257E3A" w:rsidP="00913998">
      <w:r w:rsidRPr="00F3649A">
        <w:t>Sverige</w:t>
      </w:r>
      <w:r w:rsidR="0004150A" w:rsidRPr="00F3649A">
        <w:t xml:space="preserve"> kan ställa</w:t>
      </w:r>
      <w:r w:rsidR="00E155E9" w:rsidRPr="00F3649A">
        <w:t xml:space="preserve"> sig bakom den föreslagna handlingsinriktningen mot människohandel i EU:s yttre förbindelser</w:t>
      </w:r>
      <w:r w:rsidR="00BE4419" w:rsidRPr="00F3649A">
        <w:t>.</w:t>
      </w:r>
      <w:r w:rsidR="00B54284" w:rsidRPr="00F3649A">
        <w:t xml:space="preserve"> </w:t>
      </w:r>
      <w:r w:rsidR="004B77A8" w:rsidRPr="00F3649A">
        <w:t xml:space="preserve">Enligt </w:t>
      </w:r>
      <w:r w:rsidRPr="00F3649A">
        <w:t>svensk</w:t>
      </w:r>
      <w:r w:rsidR="004B77A8" w:rsidRPr="00F3649A">
        <w:t xml:space="preserve"> mening bör EU:s många yttre förbindelser</w:t>
      </w:r>
      <w:r w:rsidR="00BE4419" w:rsidRPr="00F3649A">
        <w:t>,</w:t>
      </w:r>
      <w:r w:rsidR="004B77A8" w:rsidRPr="00F3649A">
        <w:t xml:space="preserve"> även utanför det rättsliga och inrikes området</w:t>
      </w:r>
      <w:r w:rsidR="00BE4419" w:rsidRPr="00F3649A">
        <w:t>,</w:t>
      </w:r>
      <w:r w:rsidR="004B77A8" w:rsidRPr="00F3649A">
        <w:t xml:space="preserve"> användas mer systematiskt i syfte att göra EU till en slagkraftig global aktör i arbetet mot människohandel.</w:t>
      </w:r>
      <w:r w:rsidR="002D7CF3" w:rsidRPr="00F3649A">
        <w:t xml:space="preserve"> </w:t>
      </w:r>
      <w:r w:rsidR="00BE4419" w:rsidRPr="00F3649A">
        <w:t>Även samordningen inom EU på området bör förstärkas.</w:t>
      </w:r>
    </w:p>
    <w:p w:rsidR="00E155E9" w:rsidRPr="00F3649A" w:rsidRDefault="00E155E9" w:rsidP="00913998"/>
    <w:p w:rsidR="004B77A8" w:rsidRPr="00F3649A" w:rsidRDefault="00E17116" w:rsidP="00913998">
      <w:r w:rsidRPr="00F3649A">
        <w:t>Sverige</w:t>
      </w:r>
      <w:r w:rsidR="004B77A8" w:rsidRPr="00F3649A">
        <w:t xml:space="preserve"> menar att EU </w:t>
      </w:r>
      <w:r w:rsidR="00BE4419" w:rsidRPr="00F3649A">
        <w:t>bör</w:t>
      </w:r>
      <w:r w:rsidR="004B77A8" w:rsidRPr="00F3649A">
        <w:t xml:space="preserve"> lyfta fram människohandelsfrågan i </w:t>
      </w:r>
      <w:r w:rsidR="00BE4419" w:rsidRPr="00F3649A">
        <w:t>internationella</w:t>
      </w:r>
      <w:r w:rsidR="004B77A8" w:rsidRPr="00F3649A">
        <w:t xml:space="preserve"> sammanhang och </w:t>
      </w:r>
      <w:r w:rsidR="00BE4419" w:rsidRPr="00F3649A">
        <w:t>åtgärder</w:t>
      </w:r>
      <w:r w:rsidR="004B77A8" w:rsidRPr="00F3649A">
        <w:t xml:space="preserve"> för att </w:t>
      </w:r>
      <w:r w:rsidR="00BE4419" w:rsidRPr="00F3649A">
        <w:t xml:space="preserve">ytterligare </w:t>
      </w:r>
      <w:r w:rsidR="004B77A8" w:rsidRPr="00F3649A">
        <w:t xml:space="preserve">utveckla partnerskapen </w:t>
      </w:r>
      <w:r w:rsidR="0004150A" w:rsidRPr="00F3649A">
        <w:t>med tredje länder, regionala samarbetsfora och internationella organisationer</w:t>
      </w:r>
      <w:r w:rsidR="004B77A8" w:rsidRPr="00F3649A">
        <w:t xml:space="preserve">. </w:t>
      </w:r>
    </w:p>
    <w:p w:rsidR="00E155E9" w:rsidRPr="00F3649A" w:rsidRDefault="00E155E9" w:rsidP="00913998"/>
    <w:p w:rsidR="00E17116" w:rsidRPr="00F3649A" w:rsidRDefault="00DE7339" w:rsidP="00913998">
      <w:pPr>
        <w:pStyle w:val="RKrubrik"/>
      </w:pPr>
      <w:r w:rsidRPr="00F3649A">
        <w:t>Europaparlamentets inställning</w:t>
      </w:r>
    </w:p>
    <w:p w:rsidR="00E155E9" w:rsidRPr="00F3649A" w:rsidRDefault="00E155E9" w:rsidP="00913998">
      <w:pPr>
        <w:pStyle w:val="RKrubrik"/>
      </w:pPr>
      <w:r w:rsidRPr="00F3649A">
        <w:t xml:space="preserve">- </w:t>
      </w:r>
    </w:p>
    <w:p w:rsidR="00DE7339" w:rsidRPr="00F3649A" w:rsidRDefault="00DE7339" w:rsidP="00913998">
      <w:pPr>
        <w:pStyle w:val="RKrubrik"/>
        <w:rPr>
          <w:iCs/>
        </w:rPr>
      </w:pPr>
      <w:r w:rsidRPr="00F3649A">
        <w:rPr>
          <w:iCs/>
        </w:rPr>
        <w:t>Förslaget</w:t>
      </w:r>
    </w:p>
    <w:p w:rsidR="00E155E9" w:rsidRPr="00F3649A" w:rsidRDefault="00E155E9" w:rsidP="00913998">
      <w:r w:rsidRPr="00F3649A">
        <w:t>S</w:t>
      </w:r>
      <w:r w:rsidR="00E17116" w:rsidRPr="00F3649A">
        <w:t>verige</w:t>
      </w:r>
      <w:r w:rsidRPr="00F3649A">
        <w:t xml:space="preserve"> har tagit initiativ till såväl handlingsinriktningen mot människohandel i EU:s  yttre förbindelser </w:t>
      </w:r>
      <w:r w:rsidR="0004150A" w:rsidRPr="00F3649A">
        <w:t xml:space="preserve">(AOP) </w:t>
      </w:r>
      <w:r w:rsidRPr="00F3649A">
        <w:t>som till deklarationen</w:t>
      </w:r>
      <w:r w:rsidR="00A44CDE" w:rsidRPr="00F3649A">
        <w:t xml:space="preserve"> från ministerkonferensen</w:t>
      </w:r>
      <w:r w:rsidRPr="00F3649A">
        <w:t>.</w:t>
      </w:r>
    </w:p>
    <w:p w:rsidR="00E155E9" w:rsidRPr="00F3649A" w:rsidRDefault="00E155E9" w:rsidP="00913998"/>
    <w:p w:rsidR="002D7CF3" w:rsidRPr="00F3649A" w:rsidRDefault="002D7CF3" w:rsidP="00913998">
      <w:pPr>
        <w:rPr>
          <w:color w:val="000000"/>
        </w:rPr>
      </w:pPr>
      <w:r w:rsidRPr="00F3649A">
        <w:rPr>
          <w:color w:val="000000"/>
        </w:rPr>
        <w:t xml:space="preserve">En AOP är ett politiskt dokument som följer av EU:s strategi för de yttre för bindelserna från 2005 och är tänkt att ange inriktningen för arbetet. </w:t>
      </w:r>
      <w:r w:rsidR="00441C80" w:rsidRPr="00F3649A">
        <w:rPr>
          <w:color w:val="000000"/>
        </w:rPr>
        <w:t>En AOP ses regelbundet över och innebär därför att frågorna den tar upp återkommer med jämna mellanrum. Den nu aktuella AOP:n bygger på tre huvudspår:</w:t>
      </w:r>
    </w:p>
    <w:p w:rsidR="00741438" w:rsidRPr="00F3649A" w:rsidRDefault="00741438" w:rsidP="00913998">
      <w:pPr>
        <w:rPr>
          <w:color w:val="000000"/>
        </w:rPr>
      </w:pPr>
    </w:p>
    <w:p w:rsidR="002D7CF3" w:rsidRPr="00F3649A" w:rsidRDefault="002D7CF3" w:rsidP="00913998">
      <w:pPr>
        <w:rPr>
          <w:color w:val="000000"/>
        </w:rPr>
      </w:pPr>
      <w:r w:rsidRPr="00F3649A">
        <w:rPr>
          <w:color w:val="000000"/>
        </w:rPr>
        <w:t>1. Att stärka partnerskapen med tredje länder, regional</w:t>
      </w:r>
      <w:r w:rsidR="00E17116" w:rsidRPr="00F3649A">
        <w:rPr>
          <w:color w:val="000000"/>
        </w:rPr>
        <w:t>a</w:t>
      </w:r>
      <w:r w:rsidRPr="00F3649A">
        <w:rPr>
          <w:color w:val="000000"/>
        </w:rPr>
        <w:t xml:space="preserve"> </w:t>
      </w:r>
      <w:r w:rsidR="00E17116" w:rsidRPr="00F3649A">
        <w:rPr>
          <w:color w:val="000000"/>
        </w:rPr>
        <w:t>fora och internationella organis</w:t>
      </w:r>
      <w:r w:rsidRPr="00F3649A">
        <w:rPr>
          <w:color w:val="000000"/>
        </w:rPr>
        <w:t xml:space="preserve">ationer som en övergripande prioritering i alla relevanta sammanhang inom EU:s yttre förbindelser. AOP:n ger också utrymme för länderspecifika partnerskap som bör vara skräddarsydda.   </w:t>
      </w:r>
    </w:p>
    <w:p w:rsidR="00741438" w:rsidRPr="00F3649A" w:rsidRDefault="00741438" w:rsidP="00913998">
      <w:pPr>
        <w:rPr>
          <w:color w:val="000000"/>
        </w:rPr>
      </w:pPr>
    </w:p>
    <w:p w:rsidR="002D7CF3" w:rsidRPr="00F3649A" w:rsidRDefault="002D7CF3" w:rsidP="00913998">
      <w:pPr>
        <w:rPr>
          <w:color w:val="000000"/>
        </w:rPr>
      </w:pPr>
      <w:r w:rsidRPr="00F3649A">
        <w:rPr>
          <w:color w:val="000000"/>
        </w:rPr>
        <w:t xml:space="preserve">2. Att förstärka och förbättra samordningen på EU-nivå. AOP:n kommer at ses över regelbundet och en särskild matris över de sammanhang där människohandel tas upp kommer att tas fram. Europol kommer också att ta fram en särskild hotbildsrapport. </w:t>
      </w:r>
    </w:p>
    <w:p w:rsidR="00741438" w:rsidRPr="00F3649A" w:rsidRDefault="00741438" w:rsidP="00913998">
      <w:pPr>
        <w:rPr>
          <w:color w:val="000000"/>
        </w:rPr>
      </w:pPr>
    </w:p>
    <w:p w:rsidR="002D7CF3" w:rsidRPr="00F3649A" w:rsidRDefault="002D7CF3" w:rsidP="00913998">
      <w:pPr>
        <w:rPr>
          <w:color w:val="000000"/>
        </w:rPr>
      </w:pPr>
      <w:r w:rsidRPr="00F3649A">
        <w:rPr>
          <w:color w:val="000000"/>
        </w:rPr>
        <w:t xml:space="preserve">3. Att vidta och utveckla åtgärder på de tre områdena förebyggande, brottsofferskydd och brottsbekämpning. Bl.a. beskriver AOP:n åtgärder för ett ökat fokus på grundorsaker, stärkande av frivilligorganisationer som visat sig göra en viktig insats för att bistå brottsoffer samt att öka antalet gränsöverskridande brottsutredningar. </w:t>
      </w:r>
    </w:p>
    <w:p w:rsidR="002D7CF3" w:rsidRPr="00F3649A" w:rsidRDefault="002D7CF3" w:rsidP="00913998"/>
    <w:p w:rsidR="00DE7339" w:rsidRPr="00F3649A" w:rsidRDefault="00DE7339" w:rsidP="00913998">
      <w:pPr>
        <w:pStyle w:val="RKrubrik"/>
      </w:pPr>
      <w:r w:rsidRPr="00F3649A">
        <w:t>Gällande svenska regler och förslagets effekter på dessa</w:t>
      </w:r>
    </w:p>
    <w:p w:rsidR="00B10ED6" w:rsidRPr="00F3649A" w:rsidRDefault="00B10ED6" w:rsidP="0020068F">
      <w:pPr>
        <w:jc w:val="both"/>
        <w:rPr>
          <w:szCs w:val="24"/>
        </w:rPr>
      </w:pPr>
      <w:r w:rsidRPr="00F3649A">
        <w:rPr>
          <w:szCs w:val="24"/>
        </w:rPr>
        <w:t>AOP och konferensen har inga effekter på gällande svenska regler.</w:t>
      </w:r>
    </w:p>
    <w:p w:rsidR="00B10ED6" w:rsidRPr="00F3649A" w:rsidRDefault="00B10ED6" w:rsidP="0020068F">
      <w:pPr>
        <w:jc w:val="both"/>
        <w:rPr>
          <w:szCs w:val="24"/>
        </w:rPr>
      </w:pPr>
    </w:p>
    <w:p w:rsidR="00B10302" w:rsidRPr="00F3649A" w:rsidRDefault="00B10302" w:rsidP="0020068F">
      <w:pPr>
        <w:jc w:val="both"/>
        <w:rPr>
          <w:szCs w:val="24"/>
        </w:rPr>
      </w:pPr>
    </w:p>
    <w:p w:rsidR="00DE7339" w:rsidRPr="00F3649A" w:rsidRDefault="00DE7339" w:rsidP="00913998">
      <w:pPr>
        <w:pStyle w:val="RKrubrik"/>
      </w:pPr>
      <w:r w:rsidRPr="00F3649A">
        <w:t>Ekonomiska konsekvenser</w:t>
      </w:r>
    </w:p>
    <w:p w:rsidR="006A1F78" w:rsidRPr="00F3649A" w:rsidRDefault="00B10ED6" w:rsidP="00E17116">
      <w:r w:rsidRPr="00F3649A">
        <w:t>Budgetära konsekvenser är idag svåra att förutse</w:t>
      </w:r>
      <w:r w:rsidR="006A1F78" w:rsidRPr="00F3649A">
        <w:t>.</w:t>
      </w:r>
      <w:r w:rsidRPr="00F3649A">
        <w:t xml:space="preserve"> AOP</w:t>
      </w:r>
      <w:r w:rsidR="00E17116" w:rsidRPr="00F3649A">
        <w:t>:n</w:t>
      </w:r>
      <w:r w:rsidRPr="00F3649A">
        <w:t xml:space="preserve"> som sådan har inga direkta budgetära konsekvenser, men initiativen som den innebär därur kan komma att få det, bl.a. genom medfinansiering av internationella samarb</w:t>
      </w:r>
      <w:r w:rsidR="00EE39A5" w:rsidRPr="00F3649A">
        <w:t>etsprojekt</w:t>
      </w:r>
      <w:r w:rsidR="00B54284" w:rsidRPr="00F3649A">
        <w:t xml:space="preserve"> som SE väljer</w:t>
      </w:r>
      <w:r w:rsidR="00EE39A5" w:rsidRPr="00F3649A">
        <w:t xml:space="preserve">. </w:t>
      </w:r>
      <w:r w:rsidRPr="00F3649A">
        <w:t>EU:s ministerkonferens har inneburit en medfinansiering inom ramen för EU-projektet</w:t>
      </w:r>
      <w:r w:rsidR="00B54284" w:rsidRPr="00F3649A">
        <w:t>.</w:t>
      </w:r>
      <w:r w:rsidR="006A1F78" w:rsidRPr="00F3649A">
        <w:t xml:space="preserve"> De kostnader för genomförande som uppstår på såväl EU-budgeten som statsbudgeten ska finansieras inom befintliga anslagsramar. </w:t>
      </w:r>
    </w:p>
    <w:p w:rsidR="00B10ED6" w:rsidRPr="00F3649A" w:rsidRDefault="00B10ED6" w:rsidP="00E17116"/>
    <w:p w:rsidR="00DE7339" w:rsidRPr="00F3649A" w:rsidRDefault="00DE7339" w:rsidP="00913998">
      <w:pPr>
        <w:pStyle w:val="RKrubrik"/>
      </w:pPr>
      <w:r w:rsidRPr="00F3649A">
        <w:t>Övrigt</w:t>
      </w:r>
    </w:p>
    <w:p w:rsidR="00DE7339" w:rsidRPr="00F3649A" w:rsidRDefault="00B10ED6" w:rsidP="00913998">
      <w:r w:rsidRPr="00F3649A">
        <w:t>-</w:t>
      </w:r>
    </w:p>
    <w:sectPr w:rsidR="00DE7339" w:rsidRPr="00F3649A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6722" w:rsidRPr="00F3649A" w:rsidRDefault="00BA6722">
      <w:r w:rsidRPr="00F3649A">
        <w:separator/>
      </w:r>
    </w:p>
  </w:endnote>
  <w:endnote w:type="continuationSeparator" w:id="0">
    <w:p w:rsidR="00BA6722" w:rsidRPr="00F3649A" w:rsidRDefault="00BA6722">
      <w:r w:rsidRPr="00F364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6722" w:rsidRPr="00F3649A" w:rsidRDefault="00BA6722">
      <w:r w:rsidRPr="00F3649A">
        <w:separator/>
      </w:r>
    </w:p>
  </w:footnote>
  <w:footnote w:type="continuationSeparator" w:id="0">
    <w:p w:rsidR="00BA6722" w:rsidRPr="00F3649A" w:rsidRDefault="00BA6722">
      <w:r w:rsidRPr="00F364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7EAD" w:rsidRPr="00F3649A" w:rsidRDefault="00C87EAD">
    <w:pPr>
      <w:pStyle w:val="Sidhuvud"/>
      <w:framePr w:wrap="around" w:vAnchor="text" w:hAnchor="margin" w:xAlign="right" w:y="1"/>
      <w:rPr>
        <w:rStyle w:val="Sidnummer"/>
      </w:rPr>
    </w:pPr>
    <w:r w:rsidRPr="00F3649A">
      <w:rPr>
        <w:rStyle w:val="Sidnummer"/>
      </w:rPr>
      <w:fldChar w:fldCharType="begin" w:fldLock="1"/>
    </w:r>
    <w:r w:rsidRPr="00F3649A">
      <w:rPr>
        <w:rStyle w:val="Sidnummer"/>
      </w:rPr>
      <w:instrText xml:space="preserve">PAGE  </w:instrText>
    </w:r>
    <w:r w:rsidRPr="00F3649A">
      <w:rPr>
        <w:rStyle w:val="Sidnummer"/>
      </w:rPr>
      <w:fldChar w:fldCharType="separate"/>
    </w:r>
    <w:r w:rsidR="005A7D8D" w:rsidRPr="00F3649A">
      <w:rPr>
        <w:rStyle w:val="Sidnummer"/>
      </w:rPr>
      <w:t>5</w:t>
    </w:r>
    <w:r w:rsidRPr="00F3649A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C87EAD" w:rsidRPr="00F3649A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C87EAD" w:rsidRPr="00F3649A" w:rsidRDefault="00C87EA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C87EAD" w:rsidRPr="00F3649A" w:rsidRDefault="00C87EAD">
          <w:pPr>
            <w:pStyle w:val="Sidhuvud"/>
            <w:ind w:right="360"/>
          </w:pPr>
        </w:p>
      </w:tc>
      <w:tc>
        <w:tcPr>
          <w:tcW w:w="1525" w:type="dxa"/>
        </w:tcPr>
        <w:p w:rsidR="00C87EAD" w:rsidRPr="00F3649A" w:rsidRDefault="00C87EAD">
          <w:pPr>
            <w:pStyle w:val="Sidhuvud"/>
            <w:ind w:right="360"/>
          </w:pPr>
        </w:p>
      </w:tc>
    </w:tr>
  </w:tbl>
  <w:p w:rsidR="00C87EAD" w:rsidRPr="00F3649A" w:rsidRDefault="00C87EA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7EAD" w:rsidRPr="00F3649A" w:rsidRDefault="00C87EAD">
    <w:pPr>
      <w:pStyle w:val="Sidhuvud"/>
      <w:framePr w:wrap="around" w:vAnchor="text" w:hAnchor="margin" w:xAlign="right" w:y="1"/>
      <w:rPr>
        <w:rStyle w:val="Sidnummer"/>
      </w:rPr>
    </w:pPr>
    <w:r w:rsidRPr="00F3649A">
      <w:rPr>
        <w:rStyle w:val="Sidnummer"/>
      </w:rPr>
      <w:fldChar w:fldCharType="begin" w:fldLock="1"/>
    </w:r>
    <w:r w:rsidRPr="00F3649A">
      <w:rPr>
        <w:rStyle w:val="Sidnummer"/>
      </w:rPr>
      <w:instrText xml:space="preserve">PAGE  </w:instrText>
    </w:r>
    <w:r w:rsidRPr="00F3649A">
      <w:rPr>
        <w:rStyle w:val="Sidnummer"/>
      </w:rPr>
      <w:fldChar w:fldCharType="separate"/>
    </w:r>
    <w:r w:rsidR="005A7D8D" w:rsidRPr="00F3649A">
      <w:rPr>
        <w:rStyle w:val="Sidnummer"/>
      </w:rPr>
      <w:t>5</w:t>
    </w:r>
    <w:r w:rsidRPr="00F3649A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C87EAD" w:rsidRPr="00F3649A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C87EAD" w:rsidRPr="00F3649A" w:rsidRDefault="00C87EA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C87EAD" w:rsidRPr="00F3649A" w:rsidRDefault="00C87EAD">
          <w:pPr>
            <w:pStyle w:val="Sidhuvud"/>
            <w:ind w:right="360"/>
          </w:pPr>
        </w:p>
      </w:tc>
      <w:tc>
        <w:tcPr>
          <w:tcW w:w="1525" w:type="dxa"/>
        </w:tcPr>
        <w:p w:rsidR="00C87EAD" w:rsidRPr="00F3649A" w:rsidRDefault="00C87EAD">
          <w:pPr>
            <w:pStyle w:val="Sidhuvud"/>
            <w:ind w:right="360"/>
          </w:pPr>
        </w:p>
      </w:tc>
    </w:tr>
  </w:tbl>
  <w:p w:rsidR="00C87EAD" w:rsidRPr="00F3649A" w:rsidRDefault="00C87EA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7EAD" w:rsidRPr="00F3649A" w:rsidRDefault="00F3649A">
    <w:pPr>
      <w:framePr w:w="2948" w:h="1321" w:hRule="exact" w:wrap="notBeside" w:vAnchor="page" w:hAnchor="page" w:x="1362" w:y="653"/>
    </w:pPr>
    <w:r w:rsidRPr="00F3649A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7EAD" w:rsidRPr="00F3649A" w:rsidRDefault="00C87EA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C87EAD" w:rsidRPr="00F3649A" w:rsidRDefault="00C87EAD">
    <w:pPr>
      <w:rPr>
        <w:rFonts w:ascii="TradeGothic" w:hAnsi="TradeGothic"/>
        <w:b/>
        <w:bCs/>
        <w:spacing w:val="12"/>
        <w:sz w:val="22"/>
      </w:rPr>
    </w:pPr>
  </w:p>
  <w:p w:rsidR="00C87EAD" w:rsidRPr="00F3649A" w:rsidRDefault="00C87EA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C87EAD" w:rsidRPr="00F3649A" w:rsidRDefault="00C87EAD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4426B"/>
    <w:multiLevelType w:val="hybridMultilevel"/>
    <w:tmpl w:val="E7A2B14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14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B3422B"/>
    <w:rsid w:val="00000D9E"/>
    <w:rsid w:val="00012FD0"/>
    <w:rsid w:val="0004150A"/>
    <w:rsid w:val="00053A4B"/>
    <w:rsid w:val="00064E36"/>
    <w:rsid w:val="000950E9"/>
    <w:rsid w:val="00096756"/>
    <w:rsid w:val="0020068F"/>
    <w:rsid w:val="00256126"/>
    <w:rsid w:val="00257E3A"/>
    <w:rsid w:val="002D7CF3"/>
    <w:rsid w:val="003A2DCD"/>
    <w:rsid w:val="003E402A"/>
    <w:rsid w:val="00441C80"/>
    <w:rsid w:val="00467B5B"/>
    <w:rsid w:val="004A4B12"/>
    <w:rsid w:val="004B5A7B"/>
    <w:rsid w:val="004B77A8"/>
    <w:rsid w:val="00573422"/>
    <w:rsid w:val="005A7D8D"/>
    <w:rsid w:val="006A1F78"/>
    <w:rsid w:val="006A4120"/>
    <w:rsid w:val="00741438"/>
    <w:rsid w:val="008537E9"/>
    <w:rsid w:val="00903264"/>
    <w:rsid w:val="0091299F"/>
    <w:rsid w:val="00912D7B"/>
    <w:rsid w:val="00913998"/>
    <w:rsid w:val="00947EEE"/>
    <w:rsid w:val="00966755"/>
    <w:rsid w:val="0099441B"/>
    <w:rsid w:val="00A23111"/>
    <w:rsid w:val="00A44CDE"/>
    <w:rsid w:val="00B10302"/>
    <w:rsid w:val="00B10ED6"/>
    <w:rsid w:val="00B3422B"/>
    <w:rsid w:val="00B54284"/>
    <w:rsid w:val="00BA6722"/>
    <w:rsid w:val="00BE4419"/>
    <w:rsid w:val="00C26327"/>
    <w:rsid w:val="00C6068E"/>
    <w:rsid w:val="00C77F18"/>
    <w:rsid w:val="00C87EAD"/>
    <w:rsid w:val="00CE669D"/>
    <w:rsid w:val="00D42183"/>
    <w:rsid w:val="00DE7339"/>
    <w:rsid w:val="00DF73FE"/>
    <w:rsid w:val="00E155E9"/>
    <w:rsid w:val="00E17116"/>
    <w:rsid w:val="00E34A34"/>
    <w:rsid w:val="00E601CB"/>
    <w:rsid w:val="00EC3A56"/>
    <w:rsid w:val="00ED406C"/>
    <w:rsid w:val="00EE39A5"/>
    <w:rsid w:val="00F3649A"/>
    <w:rsid w:val="00F87BE8"/>
    <w:rsid w:val="00FC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207DEC-DE5E-497D-AB59-D5258734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Punktlista">
    <w:name w:val="List Bullet"/>
    <w:basedOn w:val="Normal"/>
    <w:rsid w:val="00064E36"/>
    <w:pPr>
      <w:tabs>
        <w:tab w:val="left" w:pos="357"/>
      </w:tabs>
      <w:spacing w:line="240" w:lineRule="auto"/>
      <w:ind w:left="357" w:hanging="357"/>
    </w:pPr>
    <w:rPr>
      <w:rFonts w:ascii="Times New Roman" w:hAnsi="Times New Roman"/>
      <w:sz w:val="32"/>
    </w:rPr>
  </w:style>
  <w:style w:type="paragraph" w:customStyle="1" w:styleId="ListParagraph">
    <w:name w:val="List Paragraph"/>
    <w:basedOn w:val="Normal"/>
    <w:rsid w:val="004B77A8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Times New Roman" w:eastAsia="Calibri" w:hAnsi="Times New Roman"/>
      <w:szCs w:val="24"/>
      <w:lang w:val="en-GB"/>
    </w:rPr>
  </w:style>
  <w:style w:type="paragraph" w:customStyle="1" w:styleId="CharCharCharCharCharCharCharChar1Char">
    <w:name w:val=" Char Char Char Char Char Char Char Char1 Char"/>
    <w:basedOn w:val="Normal"/>
    <w:rsid w:val="00053A4B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val="pl-PL" w:eastAsia="pl-PL"/>
    </w:rPr>
  </w:style>
  <w:style w:type="paragraph" w:styleId="Ballongtext">
    <w:name w:val="Balloon Text"/>
    <w:basedOn w:val="Normal"/>
    <w:semiHidden/>
    <w:rsid w:val="005A7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954</Words>
  <Characters>6122</Characters>
  <Application>Microsoft Office Word</Application>
  <DocSecurity>4</DocSecurity>
  <Lines>174</Lines>
  <Paragraphs>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2009-11-23T13:32:00Z</cp:lastPrinted>
  <dcterms:created xsi:type="dcterms:W3CDTF">2025-12-17T23:58:00Z</dcterms:created>
  <dcterms:modified xsi:type="dcterms:W3CDTF">2025-12-17T23:58:00Z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