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Tr="004C2CB6">
        <w:trPr>
          <w:cantSplit/>
          <w:trHeight w:val="1720"/>
        </w:trPr>
        <w:tc>
          <w:tcPr>
            <w:tcW w:w="6024" w:type="dxa"/>
            <w:gridSpan w:val="2"/>
          </w:tcPr>
          <w:p w:rsidR="00274BE7" w:rsidRDefault="00274BE7" w:rsidP="00274BE7">
            <w:pPr>
              <w:pStyle w:val="HuvudRubrik"/>
            </w:pPr>
            <w:bookmarkStart w:id="0" w:name="_GoBack"/>
            <w:bookmarkEnd w:id="0"/>
            <w:r>
              <w:t>Framställning till riksdagen</w:t>
            </w:r>
          </w:p>
          <w:p w:rsidR="00F53A97" w:rsidRDefault="00274BE7" w:rsidP="00274BE7">
            <w:pPr>
              <w:pStyle w:val="HuvudRubrikRad2"/>
            </w:pPr>
            <w:bookmarkStart w:id="1" w:name="BetänkandeNr"/>
            <w:bookmarkEnd w:id="1"/>
            <w:r>
              <w:t>2014/15:</w:t>
            </w:r>
            <w:r>
              <w:fldChar w:fldCharType="begin"/>
            </w:r>
            <w:r>
              <w:instrText xml:space="preserve"> DOCPROPERTY Utskott</w:instrText>
            </w:r>
            <w:r>
              <w:fldChar w:fldCharType="separate"/>
            </w:r>
            <w:r>
              <w:t>RB</w:t>
            </w:r>
            <w:r>
              <w:fldChar w:fldCharType="end"/>
            </w:r>
            <w:r>
              <w:fldChar w:fldCharType="begin"/>
            </w:r>
            <w:r>
              <w:instrText xml:space="preserve"> DOCPROPERTY BetänkandeNr</w:instrText>
            </w:r>
            <w:r>
              <w:fldChar w:fldCharType="separate"/>
            </w:r>
            <w:r>
              <w:t>1</w:t>
            </w:r>
            <w:r>
              <w:fldChar w:fldCharType="end"/>
            </w:r>
          </w:p>
        </w:tc>
        <w:bookmarkStart w:id="2" w:name="_1016526516"/>
        <w:bookmarkStart w:id="3" w:name="_1440920885"/>
        <w:bookmarkStart w:id="4" w:name="_1016527915"/>
        <w:bookmarkStart w:id="5" w:name="_1016526495"/>
        <w:bookmarkStart w:id="6" w:name="_1016527141"/>
        <w:bookmarkStart w:id="7" w:name="_1016527716"/>
        <w:bookmarkEnd w:id="2"/>
        <w:bookmarkEnd w:id="3"/>
        <w:bookmarkEnd w:id="4"/>
        <w:bookmarkEnd w:id="5"/>
        <w:bookmarkEnd w:id="6"/>
        <w:bookmarkEnd w:id="7"/>
        <w:bookmarkStart w:id="8" w:name="_MON_1440487457"/>
        <w:bookmarkEnd w:id="8"/>
        <w:tc>
          <w:tcPr>
            <w:tcW w:w="1418" w:type="dxa"/>
            <w:tcBorders>
              <w:bottom w:val="nil"/>
            </w:tcBorders>
          </w:tcPr>
          <w:p w:rsidR="00F53A97" w:rsidRDefault="00F53A97">
            <w:pPr>
              <w:spacing w:line="230" w:lineRule="auto"/>
              <w:jc w:val="center"/>
              <w:rPr>
                <w:noProof/>
              </w:rPr>
            </w:pPr>
            <w:r>
              <w:rPr>
                <w:noProof/>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2.25pt" o:ole="" fillcolor="window">
                  <v:imagedata r:id="rId7" o:title="" cropleft="42582f"/>
                </v:shape>
                <o:OLEObject Type="Embed" ProgID="Word.Picture.8" ShapeID="_x0000_i1025" DrawAspect="Content" ObjectID="_1485000973" r:id="rId8"/>
              </w:object>
            </w:r>
          </w:p>
          <w:p w:rsidR="00F53A97" w:rsidRDefault="00F53A97">
            <w:pPr>
              <w:pStyle w:val="Normaltindrag"/>
              <w:jc w:val="center"/>
            </w:pPr>
          </w:p>
          <w:p w:rsidR="00F53A97" w:rsidRDefault="00F53A97">
            <w:pPr>
              <w:pStyle w:val="StatusSida1"/>
            </w:pPr>
            <w:r>
              <w:fldChar w:fldCharType="begin"/>
            </w:r>
            <w:r>
              <w:instrText xml:space="preserve"> DOCPROPERTY "Status"</w:instrText>
            </w:r>
            <w:r>
              <w:fldChar w:fldCharType="end"/>
            </w:r>
          </w:p>
          <w:p w:rsidR="00F53A97" w:rsidRDefault="00F53A97">
            <w:pPr>
              <w:pStyle w:val="UtskriftsdatumSida1"/>
              <w:framePr w:wrap="around"/>
            </w:pPr>
          </w:p>
        </w:tc>
      </w:tr>
      <w:tr w:rsidR="004C2CB6" w:rsidTr="004C2CB6">
        <w:trPr>
          <w:cantSplit/>
        </w:trPr>
        <w:tc>
          <w:tcPr>
            <w:tcW w:w="6024" w:type="dxa"/>
            <w:gridSpan w:val="2"/>
            <w:tcBorders>
              <w:bottom w:val="single" w:sz="4" w:space="0" w:color="auto"/>
            </w:tcBorders>
          </w:tcPr>
          <w:p w:rsidR="004C2CB6" w:rsidRDefault="004C2CB6">
            <w:pPr>
              <w:pStyle w:val="DokumentRubrik"/>
            </w:pPr>
            <w:bookmarkStart w:id="9" w:name="Huvudrubrik"/>
            <w:bookmarkEnd w:id="9"/>
            <w:r>
              <w:t>Årsredovisning för Sveriges riksbank</w:t>
            </w:r>
          </w:p>
          <w:p w:rsidR="004C2CB6" w:rsidRDefault="00B02B60">
            <w:pPr>
              <w:pStyle w:val="DokumentRubrik"/>
            </w:pPr>
            <w:r>
              <w:t>för räkenskapsåret 2014</w:t>
            </w:r>
          </w:p>
        </w:tc>
        <w:tc>
          <w:tcPr>
            <w:tcW w:w="1418" w:type="dxa"/>
            <w:tcBorders>
              <w:bottom w:val="nil"/>
            </w:tcBorders>
          </w:tcPr>
          <w:p w:rsidR="004C2CB6" w:rsidRPr="00AA44D9" w:rsidRDefault="004C2CB6" w:rsidP="000576E6">
            <w:pPr>
              <w:jc w:val="left"/>
              <w:rPr>
                <w:noProof/>
                <w:sz w:val="22"/>
                <w:szCs w:val="22"/>
              </w:rPr>
            </w:pPr>
          </w:p>
        </w:tc>
      </w:tr>
      <w:tr w:rsidR="004C2CB6" w:rsidTr="004C2CB6">
        <w:trPr>
          <w:cantSplit/>
          <w:trHeight w:hRule="exact" w:val="360"/>
        </w:trPr>
        <w:tc>
          <w:tcPr>
            <w:tcW w:w="3012" w:type="dxa"/>
          </w:tcPr>
          <w:p w:rsidR="004C2CB6" w:rsidRDefault="004C2CB6"/>
        </w:tc>
        <w:tc>
          <w:tcPr>
            <w:tcW w:w="3012" w:type="dxa"/>
          </w:tcPr>
          <w:p w:rsidR="004C2CB6" w:rsidRDefault="004C2CB6"/>
        </w:tc>
        <w:tc>
          <w:tcPr>
            <w:tcW w:w="1418" w:type="dxa"/>
          </w:tcPr>
          <w:p w:rsidR="004C2CB6" w:rsidRDefault="004C2CB6"/>
        </w:tc>
      </w:tr>
    </w:tbl>
    <w:p w:rsidR="00F53A97" w:rsidRDefault="00F53A97"/>
    <w:p w:rsidR="00F82501" w:rsidRDefault="00F82501" w:rsidP="00F82501">
      <w:pPr>
        <w:pStyle w:val="Rubrik1"/>
        <w:spacing w:after="180"/>
        <w:jc w:val="both"/>
      </w:pPr>
      <w:bookmarkStart w:id="10" w:name="_Toc370402751"/>
      <w:bookmarkStart w:id="11" w:name="_Toc372277678"/>
      <w:bookmarkStart w:id="12" w:name="_Toc378286239"/>
      <w:bookmarkStart w:id="13" w:name="_Toc405789650"/>
      <w:bookmarkStart w:id="14" w:name="_Toc408946413"/>
      <w:r>
        <w:t>Sammanfattning</w:t>
      </w:r>
      <w:bookmarkEnd w:id="10"/>
      <w:bookmarkEnd w:id="11"/>
      <w:bookmarkEnd w:id="12"/>
      <w:bookmarkEnd w:id="13"/>
      <w:bookmarkEnd w:id="14"/>
    </w:p>
    <w:p w:rsidR="00013583" w:rsidRDefault="00B02B60" w:rsidP="00013583">
      <w:pPr>
        <w:pStyle w:val="PunktlistaBomb"/>
        <w:rPr>
          <w:szCs w:val="24"/>
        </w:rPr>
      </w:pPr>
      <w:r w:rsidRPr="00F370A7">
        <w:rPr>
          <w:szCs w:val="24"/>
        </w:rPr>
        <w:t>Under 2014</w:t>
      </w:r>
      <w:r w:rsidR="00237777" w:rsidRPr="00F370A7">
        <w:rPr>
          <w:szCs w:val="24"/>
        </w:rPr>
        <w:t xml:space="preserve"> hade följande </w:t>
      </w:r>
      <w:r w:rsidR="007A320D">
        <w:rPr>
          <w:szCs w:val="24"/>
        </w:rPr>
        <w:t>områden</w:t>
      </w:r>
      <w:r w:rsidR="00237777" w:rsidRPr="00F370A7">
        <w:rPr>
          <w:szCs w:val="24"/>
        </w:rPr>
        <w:t xml:space="preserve"> stor betydelse för Riksbankens verksa</w:t>
      </w:r>
      <w:r w:rsidR="00237777" w:rsidRPr="00F370A7">
        <w:rPr>
          <w:szCs w:val="24"/>
        </w:rPr>
        <w:t>m</w:t>
      </w:r>
      <w:r w:rsidR="00237777" w:rsidRPr="00F370A7">
        <w:rPr>
          <w:szCs w:val="24"/>
        </w:rPr>
        <w:t>het:</w:t>
      </w:r>
    </w:p>
    <w:p w:rsidR="001F1E69" w:rsidRDefault="00DF017F" w:rsidP="006310DA">
      <w:pPr>
        <w:pStyle w:val="PunktlistaBomb"/>
        <w:numPr>
          <w:ilvl w:val="0"/>
          <w:numId w:val="1"/>
        </w:numPr>
        <w:tabs>
          <w:tab w:val="num" w:pos="322"/>
        </w:tabs>
        <w:ind w:left="322"/>
      </w:pPr>
      <w:r>
        <w:t>Tillväxten i den</w:t>
      </w:r>
      <w:r w:rsidRPr="00355EE2">
        <w:t xml:space="preserve"> </w:t>
      </w:r>
      <w:r w:rsidR="00355EE2" w:rsidRPr="00355EE2">
        <w:t xml:space="preserve">svenska ekonomin </w:t>
      </w:r>
      <w:r w:rsidR="00E4529C">
        <w:t>dämpades</w:t>
      </w:r>
      <w:r w:rsidR="00E4529C" w:rsidRPr="00355EE2">
        <w:t xml:space="preserve"> </w:t>
      </w:r>
      <w:r w:rsidR="00355EE2" w:rsidRPr="00355EE2">
        <w:t>av att återhämtning</w:t>
      </w:r>
      <w:r w:rsidR="00355EE2">
        <w:t xml:space="preserve">en i </w:t>
      </w:r>
      <w:r w:rsidR="00355EE2" w:rsidRPr="00355EE2">
        <w:t>euroområ</w:t>
      </w:r>
      <w:r w:rsidR="00355EE2">
        <w:t>det</w:t>
      </w:r>
      <w:r w:rsidR="00355EE2" w:rsidRPr="00355EE2">
        <w:t xml:space="preserve"> </w:t>
      </w:r>
      <w:r w:rsidR="00355EE2">
        <w:t xml:space="preserve">gick </w:t>
      </w:r>
      <w:r w:rsidR="002E1F9F">
        <w:t xml:space="preserve">trögt. Efterfrågan </w:t>
      </w:r>
      <w:r w:rsidR="00355EE2" w:rsidRPr="00355EE2">
        <w:t xml:space="preserve">hölls tillbaka av </w:t>
      </w:r>
      <w:r w:rsidR="003204A1">
        <w:t>de</w:t>
      </w:r>
      <w:r w:rsidR="00355EE2" w:rsidRPr="00355EE2">
        <w:t xml:space="preserve"> euroländer </w:t>
      </w:r>
      <w:r w:rsidR="003204A1">
        <w:t>som försökte</w:t>
      </w:r>
      <w:r w:rsidR="00355EE2" w:rsidRPr="00355EE2">
        <w:t xml:space="preserve"> minska sin höga skuldsättning</w:t>
      </w:r>
      <w:r w:rsidR="00355EE2">
        <w:t xml:space="preserve"> och</w:t>
      </w:r>
      <w:r w:rsidR="00355EE2" w:rsidRPr="00355EE2">
        <w:t xml:space="preserve"> </w:t>
      </w:r>
      <w:r w:rsidR="003204A1">
        <w:t xml:space="preserve">av den </w:t>
      </w:r>
      <w:r w:rsidR="00355EE2" w:rsidRPr="00355EE2">
        <w:t>geopolitisk</w:t>
      </w:r>
      <w:r w:rsidR="003204A1">
        <w:t>a</w:t>
      </w:r>
      <w:r w:rsidR="00355EE2" w:rsidRPr="00355EE2">
        <w:t xml:space="preserve"> </w:t>
      </w:r>
      <w:r w:rsidR="00B362E4">
        <w:t>osäkerh</w:t>
      </w:r>
      <w:r w:rsidR="00B362E4">
        <w:t>e</w:t>
      </w:r>
      <w:r w:rsidR="00B362E4">
        <w:t xml:space="preserve">ten </w:t>
      </w:r>
      <w:r w:rsidR="00960D36">
        <w:t>i närområdet</w:t>
      </w:r>
      <w:r w:rsidR="00355EE2" w:rsidRPr="00355EE2">
        <w:t xml:space="preserve">. </w:t>
      </w:r>
      <w:r w:rsidR="002E0251">
        <w:t xml:space="preserve">Enligt Riksbankens bedömning i december växte BNP med 1,8 procent 2014. </w:t>
      </w:r>
      <w:r w:rsidR="002E0251" w:rsidRPr="002E0251">
        <w:t xml:space="preserve">Den svaga utvecklingen i </w:t>
      </w:r>
      <w:r w:rsidR="00AC79BF">
        <w:t>euroområdet</w:t>
      </w:r>
      <w:r w:rsidR="002E0251" w:rsidRPr="002E0251">
        <w:t xml:space="preserve"> </w:t>
      </w:r>
      <w:r w:rsidR="002E0251">
        <w:t>inn</w:t>
      </w:r>
      <w:r w:rsidR="002E0251">
        <w:t>e</w:t>
      </w:r>
      <w:r w:rsidR="002E0251">
        <w:t xml:space="preserve">bar att </w:t>
      </w:r>
      <w:r w:rsidR="003204A1">
        <w:t xml:space="preserve">den svenska exporten </w:t>
      </w:r>
      <w:r w:rsidR="001E731F">
        <w:t>växte långsammare än normalt</w:t>
      </w:r>
      <w:r w:rsidR="00CA4C94">
        <w:t xml:space="preserve">. </w:t>
      </w:r>
      <w:r w:rsidR="005E6D5C">
        <w:t>D</w:t>
      </w:r>
      <w:r w:rsidR="00CA4C94">
        <w:t>e</w:t>
      </w:r>
      <w:r w:rsidR="00355EE2" w:rsidRPr="00355EE2">
        <w:t xml:space="preserve"> svenska hushå</w:t>
      </w:r>
      <w:r w:rsidR="00355EE2" w:rsidRPr="00355EE2">
        <w:t>l</w:t>
      </w:r>
      <w:r w:rsidR="00355EE2">
        <w:t>lens</w:t>
      </w:r>
      <w:r w:rsidR="00355EE2" w:rsidRPr="00355EE2">
        <w:t xml:space="preserve"> ekonomi och konsumtion </w:t>
      </w:r>
      <w:r w:rsidR="005E6D5C">
        <w:t>utveckl</w:t>
      </w:r>
      <w:r w:rsidR="005E6D5C">
        <w:t>a</w:t>
      </w:r>
      <w:r w:rsidR="005E6D5C">
        <w:t xml:space="preserve">des dock relativt </w:t>
      </w:r>
      <w:r w:rsidR="00355EE2" w:rsidRPr="00355EE2">
        <w:t xml:space="preserve">väl. </w:t>
      </w:r>
    </w:p>
    <w:p w:rsidR="000B2966" w:rsidRPr="004A044B" w:rsidRDefault="00252116" w:rsidP="000B2966">
      <w:pPr>
        <w:pStyle w:val="PunktlistaBomb"/>
        <w:numPr>
          <w:ilvl w:val="0"/>
          <w:numId w:val="1"/>
        </w:numPr>
        <w:tabs>
          <w:tab w:val="num" w:pos="322"/>
        </w:tabs>
        <w:ind w:left="322"/>
      </w:pPr>
      <w:r>
        <w:t>De senaste årens trend i arbetsmarknadsutvecklingen fortsatte; antalet personer i arbetskraften ökade samtidig</w:t>
      </w:r>
      <w:r w:rsidR="009B57A3">
        <w:t>t som antalet sysselsatta ökade</w:t>
      </w:r>
      <w:r>
        <w:t xml:space="preserve">. </w:t>
      </w:r>
      <w:r w:rsidR="0061154C">
        <w:t>Ar</w:t>
      </w:r>
      <w:r w:rsidR="0061154C" w:rsidRPr="00355EE2">
        <w:t xml:space="preserve">betslösheten </w:t>
      </w:r>
      <w:r w:rsidR="0061154C">
        <w:t xml:space="preserve">var i </w:t>
      </w:r>
      <w:r w:rsidR="0061154C" w:rsidRPr="004A044B">
        <w:t>g</w:t>
      </w:r>
      <w:r w:rsidR="0061154C" w:rsidRPr="004A044B">
        <w:t>e</w:t>
      </w:r>
      <w:r w:rsidR="0061154C" w:rsidRPr="004A044B">
        <w:t xml:space="preserve">nomsnitt 7,9 </w:t>
      </w:r>
      <w:r w:rsidR="00D17B51" w:rsidRPr="004A044B">
        <w:t xml:space="preserve">procent </w:t>
      </w:r>
      <w:r w:rsidR="0061154C" w:rsidRPr="004A044B">
        <w:t xml:space="preserve">under 2014, </w:t>
      </w:r>
      <w:r w:rsidR="002F095C" w:rsidRPr="004A044B">
        <w:t>alltså</w:t>
      </w:r>
      <w:r w:rsidR="0061154C" w:rsidRPr="004A044B">
        <w:t xml:space="preserve"> i stort sett </w:t>
      </w:r>
      <w:r w:rsidR="002F095C" w:rsidRPr="004A044B">
        <w:t>den</w:t>
      </w:r>
      <w:r w:rsidR="0061154C" w:rsidRPr="004A044B">
        <w:t>samma som 2013.</w:t>
      </w:r>
    </w:p>
    <w:p w:rsidR="00291C55" w:rsidRPr="00AD48A6" w:rsidRDefault="00355EE2" w:rsidP="00356358">
      <w:pPr>
        <w:pStyle w:val="PunktlistaBomb"/>
        <w:numPr>
          <w:ilvl w:val="0"/>
          <w:numId w:val="1"/>
        </w:numPr>
        <w:tabs>
          <w:tab w:val="num" w:pos="322"/>
        </w:tabs>
        <w:ind w:left="322"/>
        <w:rPr>
          <w:szCs w:val="19"/>
        </w:rPr>
      </w:pPr>
      <w:r w:rsidRPr="00C20C17">
        <w:t>Inflationen, mätt som förändringen av konsumentprisindex (KPI),</w:t>
      </w:r>
      <w:r w:rsidR="00C20C17" w:rsidRPr="00C20C17">
        <w:t xml:space="preserve"> up</w:t>
      </w:r>
      <w:r w:rsidR="00C20C17" w:rsidRPr="00C20C17">
        <w:t>p</w:t>
      </w:r>
      <w:r w:rsidR="00C20C17" w:rsidRPr="00C20C17">
        <w:t xml:space="preserve">gick till </w:t>
      </w:r>
      <w:r w:rsidR="000A199A" w:rsidRPr="00155643">
        <w:t xml:space="preserve">−0,2 </w:t>
      </w:r>
      <w:r w:rsidR="00C20C17" w:rsidRPr="00C20C17">
        <w:t>procent i årsgenomsnitt.</w:t>
      </w:r>
      <w:r w:rsidR="00C20C17">
        <w:rPr>
          <w:i/>
        </w:rPr>
        <w:t xml:space="preserve"> </w:t>
      </w:r>
      <w:r w:rsidR="001C29A6">
        <w:t>Den låga inflationen</w:t>
      </w:r>
      <w:r w:rsidR="00B57E6E">
        <w:t xml:space="preserve"> berodde</w:t>
      </w:r>
      <w:r w:rsidR="00C20C17" w:rsidRPr="00160B4C">
        <w:t xml:space="preserve"> till stor del på </w:t>
      </w:r>
      <w:r w:rsidR="001F1E69">
        <w:t xml:space="preserve">att hushållens räntekostnader gått ned till följd av </w:t>
      </w:r>
      <w:r w:rsidR="00C20C17" w:rsidRPr="00160B4C">
        <w:t>Riksba</w:t>
      </w:r>
      <w:r w:rsidR="00C20C17" w:rsidRPr="00160B4C">
        <w:t>n</w:t>
      </w:r>
      <w:r w:rsidR="00C20C17" w:rsidRPr="00160B4C">
        <w:t>ken</w:t>
      </w:r>
      <w:r w:rsidR="0061154C">
        <w:t>s egna räntesänkningar</w:t>
      </w:r>
      <w:r w:rsidR="00C20C17" w:rsidRPr="00160B4C">
        <w:t xml:space="preserve">. </w:t>
      </w:r>
      <w:r w:rsidR="00C20C17">
        <w:t xml:space="preserve">Inflationen mätt med KPI med fast bostadsränta (KPIF) var </w:t>
      </w:r>
      <w:r w:rsidR="00D35637" w:rsidRPr="00155643">
        <w:t xml:space="preserve">0,5 </w:t>
      </w:r>
      <w:r w:rsidR="00C20C17">
        <w:t xml:space="preserve">procent i genomsnitt under året. </w:t>
      </w:r>
    </w:p>
    <w:p w:rsidR="00610449" w:rsidRDefault="00BF460B" w:rsidP="00291C55">
      <w:pPr>
        <w:pStyle w:val="PunktlistaBomb"/>
        <w:numPr>
          <w:ilvl w:val="0"/>
          <w:numId w:val="1"/>
        </w:numPr>
        <w:tabs>
          <w:tab w:val="num" w:pos="322"/>
        </w:tabs>
        <w:ind w:left="322"/>
      </w:pPr>
      <w:r>
        <w:rPr>
          <w:szCs w:val="19"/>
          <w:lang w:eastAsia="x-none"/>
        </w:rPr>
        <w:t xml:space="preserve">Under 2014 kom </w:t>
      </w:r>
      <w:r w:rsidR="00645736" w:rsidRPr="00645736">
        <w:rPr>
          <w:lang w:eastAsia="x-none"/>
        </w:rPr>
        <w:t>den oväntat låga inflationen att väga allt tyngre i de penningpolitiska besluten.</w:t>
      </w:r>
      <w:r w:rsidR="00645736">
        <w:t xml:space="preserve"> </w:t>
      </w:r>
      <w:r w:rsidR="009E4F14">
        <w:t>Det</w:t>
      </w:r>
      <w:r w:rsidR="00823A01">
        <w:t>ta</w:t>
      </w:r>
      <w:r w:rsidR="009E4F14">
        <w:t xml:space="preserve"> ökade</w:t>
      </w:r>
      <w:r w:rsidR="00566A27" w:rsidRPr="009977D1">
        <w:t xml:space="preserve"> behovet av </w:t>
      </w:r>
      <w:r w:rsidR="007A320D">
        <w:t xml:space="preserve">ytterligare </w:t>
      </w:r>
      <w:r w:rsidR="00D20F64">
        <w:t>räntesän</w:t>
      </w:r>
      <w:r w:rsidR="00D20F64">
        <w:t>k</w:t>
      </w:r>
      <w:r w:rsidR="00D20F64">
        <w:t>ning</w:t>
      </w:r>
      <w:r w:rsidR="007A320D">
        <w:t>ar</w:t>
      </w:r>
      <w:r w:rsidR="00566A27" w:rsidRPr="009977D1">
        <w:t xml:space="preserve"> för att få </w:t>
      </w:r>
      <w:r w:rsidR="00566A27" w:rsidRPr="00291C55">
        <w:rPr>
          <w:szCs w:val="19"/>
        </w:rPr>
        <w:t xml:space="preserve">inflationen att stiga mot målet på 2 procent </w:t>
      </w:r>
      <w:r w:rsidR="00306C6D" w:rsidRPr="00291C55">
        <w:rPr>
          <w:szCs w:val="19"/>
        </w:rPr>
        <w:t>och hålla de långsiktiga inflation</w:t>
      </w:r>
      <w:r w:rsidR="00306C6D" w:rsidRPr="00291C55">
        <w:rPr>
          <w:szCs w:val="19"/>
        </w:rPr>
        <w:t>s</w:t>
      </w:r>
      <w:r w:rsidR="00306C6D" w:rsidRPr="00291C55">
        <w:rPr>
          <w:szCs w:val="19"/>
        </w:rPr>
        <w:t xml:space="preserve">förväntningarna väl förankrade vid målet. </w:t>
      </w:r>
    </w:p>
    <w:p w:rsidR="00823A01" w:rsidRPr="00823A01" w:rsidRDefault="00823A01" w:rsidP="00291C55">
      <w:pPr>
        <w:pStyle w:val="PunktlistaBomb"/>
        <w:numPr>
          <w:ilvl w:val="0"/>
          <w:numId w:val="1"/>
        </w:numPr>
        <w:tabs>
          <w:tab w:val="num" w:pos="322"/>
        </w:tabs>
        <w:ind w:left="322"/>
      </w:pPr>
      <w:r w:rsidRPr="001127D1">
        <w:rPr>
          <w:noProof/>
        </w:rPr>
        <w:t xml:space="preserve">Riksbanken </w:t>
      </w:r>
      <w:r>
        <w:rPr>
          <w:noProof/>
        </w:rPr>
        <w:t>höll</w:t>
      </w:r>
      <w:r w:rsidRPr="001127D1">
        <w:rPr>
          <w:noProof/>
        </w:rPr>
        <w:t xml:space="preserve"> </w:t>
      </w:r>
      <w:r w:rsidRPr="00AD48A6">
        <w:rPr>
          <w:noProof/>
          <w:szCs w:val="19"/>
        </w:rPr>
        <w:t>reporäntan oförändrad på 0,75 procent fram till i juli då den sänktes till</w:t>
      </w:r>
      <w:r w:rsidRPr="00AD48A6">
        <w:rPr>
          <w:szCs w:val="19"/>
        </w:rPr>
        <w:t xml:space="preserve"> 0,25 procent. I oktober sänktes</w:t>
      </w:r>
      <w:r>
        <w:rPr>
          <w:szCs w:val="19"/>
        </w:rPr>
        <w:t xml:space="preserve"> sedan</w:t>
      </w:r>
      <w:r w:rsidRPr="00AD48A6">
        <w:rPr>
          <w:szCs w:val="19"/>
        </w:rPr>
        <w:t xml:space="preserve"> reporäntan till noll procent</w:t>
      </w:r>
      <w:r>
        <w:rPr>
          <w:szCs w:val="19"/>
        </w:rPr>
        <w:t xml:space="preserve">. Under året </w:t>
      </w:r>
      <w:r w:rsidR="00811AD1">
        <w:rPr>
          <w:szCs w:val="19"/>
        </w:rPr>
        <w:t xml:space="preserve">flyttades </w:t>
      </w:r>
      <w:r>
        <w:rPr>
          <w:szCs w:val="19"/>
        </w:rPr>
        <w:t xml:space="preserve">även prognosen </w:t>
      </w:r>
      <w:r w:rsidR="00811AD1">
        <w:rPr>
          <w:szCs w:val="19"/>
        </w:rPr>
        <w:t xml:space="preserve">fram </w:t>
      </w:r>
      <w:r>
        <w:rPr>
          <w:szCs w:val="19"/>
        </w:rPr>
        <w:t>för när</w:t>
      </w:r>
      <w:r w:rsidRPr="00AD48A6">
        <w:rPr>
          <w:szCs w:val="19"/>
        </w:rPr>
        <w:t xml:space="preserve"> reporäntan</w:t>
      </w:r>
      <w:r>
        <w:rPr>
          <w:szCs w:val="19"/>
        </w:rPr>
        <w:t xml:space="preserve"> ska</w:t>
      </w:r>
      <w:r w:rsidRPr="00AD48A6">
        <w:rPr>
          <w:szCs w:val="19"/>
        </w:rPr>
        <w:t xml:space="preserve"> börja höjas</w:t>
      </w:r>
      <w:r>
        <w:rPr>
          <w:szCs w:val="19"/>
        </w:rPr>
        <w:t>.</w:t>
      </w:r>
    </w:p>
    <w:p w:rsidR="00823A01" w:rsidRPr="00645736" w:rsidRDefault="00823A01" w:rsidP="00291C55">
      <w:pPr>
        <w:pStyle w:val="PunktlistaBomb"/>
        <w:numPr>
          <w:ilvl w:val="0"/>
          <w:numId w:val="1"/>
        </w:numPr>
        <w:tabs>
          <w:tab w:val="num" w:pos="322"/>
        </w:tabs>
        <w:ind w:left="322"/>
      </w:pPr>
      <w:r>
        <w:rPr>
          <w:szCs w:val="19"/>
        </w:rPr>
        <w:t xml:space="preserve">Vid de penningpolitiska besluten </w:t>
      </w:r>
      <w:r w:rsidRPr="00291C55">
        <w:rPr>
          <w:szCs w:val="19"/>
        </w:rPr>
        <w:t>betonade</w:t>
      </w:r>
      <w:r>
        <w:rPr>
          <w:szCs w:val="19"/>
        </w:rPr>
        <w:t xml:space="preserve"> direktionen </w:t>
      </w:r>
      <w:r w:rsidRPr="00291C55">
        <w:rPr>
          <w:szCs w:val="19"/>
        </w:rPr>
        <w:t xml:space="preserve">att </w:t>
      </w:r>
      <w:r w:rsidR="00811AD1" w:rsidRPr="00291C55">
        <w:rPr>
          <w:szCs w:val="19"/>
        </w:rPr>
        <w:t>riskerna fö</w:t>
      </w:r>
      <w:r w:rsidR="00811AD1" w:rsidRPr="00291C55">
        <w:rPr>
          <w:szCs w:val="19"/>
        </w:rPr>
        <w:t>r</w:t>
      </w:r>
      <w:r w:rsidR="00811AD1" w:rsidRPr="00291C55">
        <w:rPr>
          <w:szCs w:val="19"/>
        </w:rPr>
        <w:t>knippade med</w:t>
      </w:r>
      <w:r w:rsidR="00811AD1">
        <w:rPr>
          <w:szCs w:val="19"/>
        </w:rPr>
        <w:t xml:space="preserve"> hushållens höga skuldsättning</w:t>
      </w:r>
      <w:r w:rsidR="00811AD1" w:rsidRPr="00291C55">
        <w:rPr>
          <w:szCs w:val="19"/>
        </w:rPr>
        <w:t xml:space="preserve"> </w:t>
      </w:r>
      <w:r w:rsidR="00811AD1">
        <w:rPr>
          <w:szCs w:val="19"/>
        </w:rPr>
        <w:t xml:space="preserve">ökar </w:t>
      </w:r>
      <w:r w:rsidR="003A35A3">
        <w:rPr>
          <w:szCs w:val="19"/>
        </w:rPr>
        <w:t xml:space="preserve">när räntan är låg under </w:t>
      </w:r>
      <w:r w:rsidR="003A35A3">
        <w:rPr>
          <w:szCs w:val="19"/>
        </w:rPr>
        <w:lastRenderedPageBreak/>
        <w:t>en längre period</w:t>
      </w:r>
      <w:r>
        <w:rPr>
          <w:szCs w:val="19"/>
        </w:rPr>
        <w:t xml:space="preserve">. </w:t>
      </w:r>
      <w:r w:rsidRPr="00291C55">
        <w:rPr>
          <w:szCs w:val="19"/>
        </w:rPr>
        <w:t xml:space="preserve">För att minska riskerna krävs </w:t>
      </w:r>
      <w:r>
        <w:rPr>
          <w:szCs w:val="19"/>
        </w:rPr>
        <w:t xml:space="preserve">att regeringen och andra myndigheter inför </w:t>
      </w:r>
      <w:r w:rsidRPr="00291C55">
        <w:rPr>
          <w:szCs w:val="19"/>
        </w:rPr>
        <w:t xml:space="preserve">åtgärder </w:t>
      </w:r>
      <w:r>
        <w:rPr>
          <w:szCs w:val="19"/>
        </w:rPr>
        <w:t xml:space="preserve">som bland annat </w:t>
      </w:r>
      <w:r w:rsidRPr="00291C55">
        <w:rPr>
          <w:szCs w:val="19"/>
        </w:rPr>
        <w:t>rikta</w:t>
      </w:r>
      <w:r>
        <w:rPr>
          <w:szCs w:val="19"/>
        </w:rPr>
        <w:t>r sig</w:t>
      </w:r>
      <w:r w:rsidRPr="00291C55">
        <w:rPr>
          <w:szCs w:val="19"/>
        </w:rPr>
        <w:t xml:space="preserve"> direkt mot hushå</w:t>
      </w:r>
      <w:r w:rsidRPr="00291C55">
        <w:rPr>
          <w:szCs w:val="19"/>
        </w:rPr>
        <w:t>l</w:t>
      </w:r>
      <w:r w:rsidRPr="00291C55">
        <w:rPr>
          <w:szCs w:val="19"/>
        </w:rPr>
        <w:t>lens efte</w:t>
      </w:r>
      <w:r w:rsidRPr="00291C55">
        <w:rPr>
          <w:szCs w:val="19"/>
        </w:rPr>
        <w:t>r</w:t>
      </w:r>
      <w:r w:rsidRPr="00291C55">
        <w:rPr>
          <w:szCs w:val="19"/>
        </w:rPr>
        <w:t>frågan på kredi</w:t>
      </w:r>
      <w:r>
        <w:rPr>
          <w:szCs w:val="19"/>
        </w:rPr>
        <w:t>ter</w:t>
      </w:r>
      <w:r>
        <w:t>.</w:t>
      </w:r>
    </w:p>
    <w:p w:rsidR="005876BE" w:rsidRDefault="00610449" w:rsidP="00610449">
      <w:pPr>
        <w:pStyle w:val="PunktlistaBomb"/>
        <w:numPr>
          <w:ilvl w:val="0"/>
          <w:numId w:val="1"/>
        </w:numPr>
        <w:tabs>
          <w:tab w:val="num" w:pos="322"/>
        </w:tabs>
        <w:ind w:left="322"/>
      </w:pPr>
      <w:r>
        <w:t>R</w:t>
      </w:r>
      <w:r w:rsidRPr="00226DD9">
        <w:t xml:space="preserve">iksbanken </w:t>
      </w:r>
      <w:r>
        <w:t xml:space="preserve">bedömde </w:t>
      </w:r>
      <w:r w:rsidRPr="00226DD9">
        <w:t xml:space="preserve">att </w:t>
      </w:r>
      <w:r>
        <w:t>det svenska fin</w:t>
      </w:r>
      <w:r w:rsidR="00466D57">
        <w:t>ansiella systemet fungerade väl samtidigt som den</w:t>
      </w:r>
      <w:r w:rsidR="00466D57" w:rsidRPr="00226DD9">
        <w:t xml:space="preserve"> finansiella infrastrukturen i Sverige i hög utsträck</w:t>
      </w:r>
      <w:r w:rsidR="00466D57">
        <w:t>ning var säker och effektiv</w:t>
      </w:r>
      <w:r>
        <w:t xml:space="preserve">. Den finansiella </w:t>
      </w:r>
      <w:r w:rsidRPr="00226DD9">
        <w:t xml:space="preserve">stabiliteten i Sverige </w:t>
      </w:r>
      <w:r>
        <w:t xml:space="preserve">gynnades bland annat av de svenska bankernas höga lönsamhet, </w:t>
      </w:r>
      <w:r w:rsidR="00D20F64">
        <w:t xml:space="preserve">deras goda </w:t>
      </w:r>
      <w:r>
        <w:t xml:space="preserve">tillgång till billig finansiering och </w:t>
      </w:r>
      <w:r w:rsidR="00D20F64">
        <w:t xml:space="preserve">deras </w:t>
      </w:r>
      <w:r>
        <w:t>låga kreditförluster.</w:t>
      </w:r>
      <w:r w:rsidRPr="00226DD9">
        <w:t xml:space="preserve"> </w:t>
      </w:r>
      <w:r w:rsidR="005876BE" w:rsidRPr="00422992">
        <w:t>De svenska bankerna hade inte några problem att förse hushåll och företag med krediter. Utl</w:t>
      </w:r>
      <w:r w:rsidR="005876BE" w:rsidRPr="00422992">
        <w:t>å</w:t>
      </w:r>
      <w:r w:rsidR="005876BE" w:rsidRPr="00422992">
        <w:t>ningen till hushåll fortsatte att öka under året, i synnerhet utlåning</w:t>
      </w:r>
      <w:r w:rsidR="00D20F64">
        <w:t>en</w:t>
      </w:r>
      <w:r w:rsidR="005876BE" w:rsidRPr="00422992">
        <w:t xml:space="preserve"> till bo</w:t>
      </w:r>
      <w:r w:rsidR="005876BE">
        <w:t xml:space="preserve">stadsköp. </w:t>
      </w:r>
      <w:r w:rsidR="005876BE" w:rsidRPr="00422992">
        <w:t>Utlåningen till företag ökade också men i lägre tak</w:t>
      </w:r>
      <w:r w:rsidR="005876BE">
        <w:t>t</w:t>
      </w:r>
      <w:r w:rsidR="00726FC9">
        <w:t xml:space="preserve"> än</w:t>
      </w:r>
      <w:r w:rsidR="007A320D">
        <w:t xml:space="preserve"> hu</w:t>
      </w:r>
      <w:r w:rsidR="007A320D">
        <w:t>s</w:t>
      </w:r>
      <w:r w:rsidR="007A320D">
        <w:t>hållsutlåningen</w:t>
      </w:r>
      <w:r w:rsidR="005876BE">
        <w:t xml:space="preserve">. </w:t>
      </w:r>
    </w:p>
    <w:p w:rsidR="00EF60CD" w:rsidRDefault="00B01A01" w:rsidP="00003100">
      <w:pPr>
        <w:pStyle w:val="PunktlistaBomb"/>
        <w:numPr>
          <w:ilvl w:val="0"/>
          <w:numId w:val="1"/>
        </w:numPr>
        <w:tabs>
          <w:tab w:val="num" w:pos="322"/>
        </w:tabs>
        <w:suppressAutoHyphens/>
        <w:ind w:left="323"/>
      </w:pPr>
      <w:r>
        <w:t>Riksbanken ansåg att d</w:t>
      </w:r>
      <w:r w:rsidR="00204080">
        <w:t xml:space="preserve">en </w:t>
      </w:r>
      <w:r w:rsidR="002B278F">
        <w:t xml:space="preserve">höga och växande skuldsättningen hos de svenska hushållen </w:t>
      </w:r>
      <w:r w:rsidR="00AC63DF">
        <w:t>var</w:t>
      </w:r>
      <w:r w:rsidR="002B278F">
        <w:t xml:space="preserve"> en</w:t>
      </w:r>
      <w:r w:rsidR="00204080">
        <w:t xml:space="preserve"> risk som på sikt kan hota </w:t>
      </w:r>
      <w:r w:rsidR="00AC63DF">
        <w:t>både</w:t>
      </w:r>
      <w:r w:rsidR="002B278F">
        <w:t xml:space="preserve"> </w:t>
      </w:r>
      <w:r w:rsidR="00013583">
        <w:t xml:space="preserve">den </w:t>
      </w:r>
      <w:r w:rsidR="002B278F">
        <w:t>realekono</w:t>
      </w:r>
      <w:r w:rsidR="00003100">
        <w:softHyphen/>
      </w:r>
      <w:r w:rsidR="002B278F">
        <w:t>misk</w:t>
      </w:r>
      <w:r w:rsidR="00013583">
        <w:t>a</w:t>
      </w:r>
      <w:r w:rsidR="002B278F">
        <w:t xml:space="preserve"> och </w:t>
      </w:r>
      <w:r w:rsidR="00204080">
        <w:t>finansiell</w:t>
      </w:r>
      <w:r w:rsidR="00013583">
        <w:t>a</w:t>
      </w:r>
      <w:r w:rsidR="00204080">
        <w:t xml:space="preserve"> stabilitet</w:t>
      </w:r>
      <w:r w:rsidR="00013583">
        <w:t>en</w:t>
      </w:r>
      <w:r w:rsidR="00204080">
        <w:t xml:space="preserve"> i Sverige</w:t>
      </w:r>
      <w:r w:rsidR="00F548A7">
        <w:rPr>
          <w:szCs w:val="19"/>
        </w:rPr>
        <w:t>.</w:t>
      </w:r>
      <w:r w:rsidR="00EF60CD">
        <w:t xml:space="preserve"> </w:t>
      </w:r>
      <w:r w:rsidR="00865334">
        <w:t>Riksbanken rekommenderade därför Finansinspektionen att införa ett amorteringskrav</w:t>
      </w:r>
      <w:r w:rsidR="004838B6">
        <w:t xml:space="preserve">. Det </w:t>
      </w:r>
      <w:r w:rsidR="00EF60CD">
        <w:t xml:space="preserve">behöver </w:t>
      </w:r>
      <w:r w:rsidR="00905879">
        <w:t xml:space="preserve">dock </w:t>
      </w:r>
      <w:r w:rsidR="00680389">
        <w:t xml:space="preserve">kompletteras med </w:t>
      </w:r>
      <w:r w:rsidR="004838B6">
        <w:t xml:space="preserve">ytterligare </w:t>
      </w:r>
      <w:r w:rsidR="00865334">
        <w:t xml:space="preserve">åtgärder </w:t>
      </w:r>
      <w:r w:rsidR="004838B6">
        <w:t xml:space="preserve">som införs gradvis </w:t>
      </w:r>
      <w:r w:rsidR="00580CBF">
        <w:t xml:space="preserve">för att dämpa hushållens efterfrågan på krediter. </w:t>
      </w:r>
      <w:r w:rsidR="004838B6">
        <w:t>Sådana åtgärder kommer att beröra flera politikområden.</w:t>
      </w:r>
    </w:p>
    <w:p w:rsidR="00B71C7F" w:rsidRDefault="00C91982" w:rsidP="002E1F9F">
      <w:pPr>
        <w:pStyle w:val="PunktlistaBomb"/>
        <w:numPr>
          <w:ilvl w:val="0"/>
          <w:numId w:val="1"/>
        </w:numPr>
        <w:tabs>
          <w:tab w:val="num" w:pos="322"/>
        </w:tabs>
        <w:ind w:left="322"/>
      </w:pPr>
      <w:r>
        <w:t>Riksbanken arbetade på olika sätt med makrotillsynsfrågor, exempelvis genom analys</w:t>
      </w:r>
      <w:r w:rsidR="00E7283D">
        <w:t>er</w:t>
      </w:r>
      <w:r>
        <w:t xml:space="preserve"> av skärpta kapitalkrav för svenska storbanker</w:t>
      </w:r>
      <w:r w:rsidR="00E7022A">
        <w:t xml:space="preserve"> och åtgä</w:t>
      </w:r>
      <w:r w:rsidR="00E7022A">
        <w:t>r</w:t>
      </w:r>
      <w:r w:rsidR="00E7022A">
        <w:t>der för att minska hushållens skulder</w:t>
      </w:r>
      <w:r w:rsidR="00E7283D">
        <w:t xml:space="preserve">. Riksbanken tog även fram underlag </w:t>
      </w:r>
      <w:r w:rsidR="00C806FF">
        <w:t xml:space="preserve">till </w:t>
      </w:r>
      <w:r w:rsidR="00E7283D">
        <w:t>och deltog i det nyinrättade finansiella stabilitetsrådets möten under året.</w:t>
      </w:r>
      <w:r w:rsidR="002E1F9F">
        <w:t xml:space="preserve"> I november </w:t>
      </w:r>
      <w:r w:rsidR="003F1F92">
        <w:t>anordnade</w:t>
      </w:r>
      <w:r w:rsidR="00B641C5">
        <w:t xml:space="preserve"> </w:t>
      </w:r>
      <w:r w:rsidR="002E1F9F">
        <w:t xml:space="preserve">Riksbanken </w:t>
      </w:r>
      <w:r w:rsidR="003F1F92">
        <w:t>tillsa</w:t>
      </w:r>
      <w:r w:rsidR="003F1F92">
        <w:t>m</w:t>
      </w:r>
      <w:r w:rsidR="003F1F92">
        <w:t xml:space="preserve">mans med </w:t>
      </w:r>
      <w:r w:rsidR="00726FC9">
        <w:t>Internationella valutafonden (</w:t>
      </w:r>
      <w:r w:rsidR="003F1F92">
        <w:t>IMF</w:t>
      </w:r>
      <w:r w:rsidR="00726FC9">
        <w:t>)</w:t>
      </w:r>
      <w:r w:rsidR="003F1F92">
        <w:t xml:space="preserve"> en konferens om makrotillsyn för att utbyta erfare</w:t>
      </w:r>
      <w:r w:rsidR="003F1F92">
        <w:t>n</w:t>
      </w:r>
      <w:r w:rsidR="003F1F92">
        <w:t xml:space="preserve">heter mellan olika länder </w:t>
      </w:r>
      <w:r w:rsidR="00706325">
        <w:t>inom</w:t>
      </w:r>
      <w:r w:rsidR="003F1F92">
        <w:t xml:space="preserve"> detta relativt nya politikområde. </w:t>
      </w:r>
    </w:p>
    <w:p w:rsidR="001836B0" w:rsidRPr="00B71C7F" w:rsidRDefault="00F23F0D" w:rsidP="00B71C7F">
      <w:pPr>
        <w:pStyle w:val="PunktlistaBomb"/>
        <w:numPr>
          <w:ilvl w:val="0"/>
          <w:numId w:val="1"/>
        </w:numPr>
        <w:tabs>
          <w:tab w:val="num" w:pos="322"/>
        </w:tabs>
        <w:ind w:left="322"/>
      </w:pPr>
      <w:r w:rsidRPr="00B71C7F">
        <w:rPr>
          <w:szCs w:val="19"/>
        </w:rPr>
        <w:t>Riksbankens nya kontor för sedelhantering i Sigtuna kommun blev klart. Det är</w:t>
      </w:r>
      <w:r w:rsidR="007E1A7F">
        <w:rPr>
          <w:szCs w:val="19"/>
        </w:rPr>
        <w:t xml:space="preserve"> </w:t>
      </w:r>
      <w:r w:rsidR="0052082E">
        <w:rPr>
          <w:szCs w:val="19"/>
        </w:rPr>
        <w:t xml:space="preserve">numera </w:t>
      </w:r>
      <w:r w:rsidRPr="00B71C7F">
        <w:rPr>
          <w:szCs w:val="19"/>
        </w:rPr>
        <w:t xml:space="preserve">det enda kontoret </w:t>
      </w:r>
      <w:r w:rsidR="00706325">
        <w:rPr>
          <w:szCs w:val="19"/>
        </w:rPr>
        <w:t>där</w:t>
      </w:r>
      <w:r w:rsidRPr="00B71C7F">
        <w:rPr>
          <w:szCs w:val="19"/>
        </w:rPr>
        <w:t xml:space="preserve"> Riksbanken ta</w:t>
      </w:r>
      <w:r w:rsidR="00706325">
        <w:rPr>
          <w:szCs w:val="19"/>
        </w:rPr>
        <w:t>r</w:t>
      </w:r>
      <w:r w:rsidRPr="00B71C7F">
        <w:rPr>
          <w:szCs w:val="19"/>
        </w:rPr>
        <w:t xml:space="preserve"> emot, lämna</w:t>
      </w:r>
      <w:r w:rsidR="00706325">
        <w:rPr>
          <w:szCs w:val="19"/>
        </w:rPr>
        <w:t>r</w:t>
      </w:r>
      <w:r w:rsidRPr="00B71C7F">
        <w:rPr>
          <w:szCs w:val="19"/>
        </w:rPr>
        <w:t xml:space="preserve"> ut och makulera</w:t>
      </w:r>
      <w:r w:rsidR="00706325">
        <w:rPr>
          <w:szCs w:val="19"/>
        </w:rPr>
        <w:t>r</w:t>
      </w:r>
      <w:r w:rsidRPr="00B71C7F">
        <w:rPr>
          <w:szCs w:val="19"/>
        </w:rPr>
        <w:t xml:space="preserve"> sedlar.</w:t>
      </w:r>
    </w:p>
    <w:p w:rsidR="00140267" w:rsidRDefault="00D566B0" w:rsidP="00003100">
      <w:pPr>
        <w:pStyle w:val="PunktlistaBomb"/>
        <w:numPr>
          <w:ilvl w:val="0"/>
          <w:numId w:val="1"/>
        </w:numPr>
        <w:tabs>
          <w:tab w:val="num" w:pos="322"/>
        </w:tabs>
        <w:suppressAutoHyphens/>
        <w:ind w:left="323"/>
      </w:pPr>
      <w:r>
        <w:t>Riksbanksfullmäktige beslutade i december 2014 att utse Henry Ohlsson till vice riksbankschef. Den nya direktionsledamoten tillträdde sin tjänst den 12 januari 2015</w:t>
      </w:r>
      <w:r w:rsidR="006C5135">
        <w:t xml:space="preserve"> och efterträdde</w:t>
      </w:r>
      <w:r>
        <w:t xml:space="preserve"> vice riksbankschef</w:t>
      </w:r>
      <w:r w:rsidR="004F56CB">
        <w:t>en</w:t>
      </w:r>
      <w:r>
        <w:t xml:space="preserve"> Karolina</w:t>
      </w:r>
      <w:r w:rsidR="00003100">
        <w:t> </w:t>
      </w:r>
      <w:r>
        <w:t xml:space="preserve">Ekholm </w:t>
      </w:r>
      <w:r w:rsidR="006C5135">
        <w:t>som</w:t>
      </w:r>
      <w:r>
        <w:t xml:space="preserve"> lämna</w:t>
      </w:r>
      <w:r w:rsidR="006C5135">
        <w:t>de</w:t>
      </w:r>
      <w:r>
        <w:t xml:space="preserve"> sin befattning i oktober 2014.</w:t>
      </w:r>
    </w:p>
    <w:p w:rsidR="00E15712" w:rsidRPr="00E15712" w:rsidRDefault="004045AD" w:rsidP="00140267">
      <w:pPr>
        <w:pStyle w:val="PunktlistaBomb"/>
        <w:numPr>
          <w:ilvl w:val="0"/>
          <w:numId w:val="1"/>
        </w:numPr>
        <w:tabs>
          <w:tab w:val="num" w:pos="322"/>
        </w:tabs>
        <w:ind w:left="322"/>
      </w:pPr>
      <w:r w:rsidRPr="00140267">
        <w:rPr>
          <w:szCs w:val="19"/>
        </w:rPr>
        <w:t>R</w:t>
      </w:r>
      <w:r w:rsidR="000870CD" w:rsidRPr="00140267">
        <w:rPr>
          <w:szCs w:val="19"/>
        </w:rPr>
        <w:t xml:space="preserve">iksbankens resultat </w:t>
      </w:r>
      <w:r w:rsidR="00BB076A" w:rsidRPr="00140267">
        <w:rPr>
          <w:szCs w:val="19"/>
        </w:rPr>
        <w:t>blev</w:t>
      </w:r>
      <w:r w:rsidR="00D35637" w:rsidRPr="00140267">
        <w:rPr>
          <w:szCs w:val="19"/>
        </w:rPr>
        <w:t xml:space="preserve"> </w:t>
      </w:r>
      <w:r w:rsidR="00F04D73" w:rsidRPr="00140267">
        <w:rPr>
          <w:szCs w:val="19"/>
        </w:rPr>
        <w:t>3,3</w:t>
      </w:r>
      <w:r w:rsidR="00BB076A" w:rsidRPr="00140267">
        <w:rPr>
          <w:szCs w:val="19"/>
        </w:rPr>
        <w:t xml:space="preserve"> miljarder kronor</w:t>
      </w:r>
      <w:r w:rsidR="00337AC1" w:rsidRPr="00140267">
        <w:rPr>
          <w:szCs w:val="19"/>
        </w:rPr>
        <w:t xml:space="preserve">. Jämfört med 2013 </w:t>
      </w:r>
      <w:r w:rsidR="00D35637" w:rsidRPr="00140267">
        <w:rPr>
          <w:szCs w:val="19"/>
        </w:rPr>
        <w:t xml:space="preserve">ökade </w:t>
      </w:r>
      <w:r w:rsidR="00337AC1" w:rsidRPr="00140267">
        <w:rPr>
          <w:szCs w:val="19"/>
        </w:rPr>
        <w:t>resultatet med</w:t>
      </w:r>
      <w:r w:rsidR="00D35637" w:rsidRPr="00140267">
        <w:rPr>
          <w:szCs w:val="19"/>
        </w:rPr>
        <w:t xml:space="preserve"> </w:t>
      </w:r>
      <w:r w:rsidR="00F04D73" w:rsidRPr="00140267">
        <w:rPr>
          <w:szCs w:val="19"/>
        </w:rPr>
        <w:t>5,3</w:t>
      </w:r>
      <w:r w:rsidR="00337AC1" w:rsidRPr="00140267">
        <w:rPr>
          <w:szCs w:val="19"/>
        </w:rPr>
        <w:t xml:space="preserve"> miljarder kronor främst till följd av</w:t>
      </w:r>
      <w:r w:rsidR="00275A1D" w:rsidRPr="00140267">
        <w:rPr>
          <w:szCs w:val="19"/>
        </w:rPr>
        <w:t xml:space="preserve"> lägre nedskriv</w:t>
      </w:r>
      <w:r w:rsidR="00003100">
        <w:rPr>
          <w:szCs w:val="19"/>
        </w:rPr>
        <w:softHyphen/>
      </w:r>
      <w:r w:rsidR="00275A1D" w:rsidRPr="00140267">
        <w:rPr>
          <w:szCs w:val="19"/>
        </w:rPr>
        <w:t>ningar relaterade till Riksbankens tillgångar och skulder.</w:t>
      </w:r>
      <w:r w:rsidR="00337AC1" w:rsidRPr="00140267">
        <w:rPr>
          <w:szCs w:val="19"/>
        </w:rPr>
        <w:t xml:space="preserve"> Balansomslu</w:t>
      </w:r>
      <w:r w:rsidR="00337AC1" w:rsidRPr="00140267">
        <w:rPr>
          <w:szCs w:val="19"/>
        </w:rPr>
        <w:t>t</w:t>
      </w:r>
      <w:r w:rsidR="00337AC1" w:rsidRPr="00140267">
        <w:rPr>
          <w:szCs w:val="19"/>
        </w:rPr>
        <w:t xml:space="preserve">ningen </w:t>
      </w:r>
      <w:r w:rsidR="00D35637" w:rsidRPr="00140267">
        <w:rPr>
          <w:szCs w:val="19"/>
        </w:rPr>
        <w:t>ökade</w:t>
      </w:r>
      <w:r w:rsidR="00337AC1" w:rsidRPr="00140267">
        <w:rPr>
          <w:szCs w:val="19"/>
        </w:rPr>
        <w:t xml:space="preserve"> under året med</w:t>
      </w:r>
      <w:r w:rsidR="00D35637" w:rsidRPr="00140267">
        <w:rPr>
          <w:szCs w:val="19"/>
        </w:rPr>
        <w:t xml:space="preserve"> 70,8</w:t>
      </w:r>
      <w:r w:rsidR="00F04D73" w:rsidRPr="00140267">
        <w:rPr>
          <w:szCs w:val="19"/>
        </w:rPr>
        <w:t xml:space="preserve"> </w:t>
      </w:r>
      <w:r w:rsidR="00337AC1" w:rsidRPr="00140267">
        <w:rPr>
          <w:szCs w:val="19"/>
        </w:rPr>
        <w:t>miljarder kronor till</w:t>
      </w:r>
      <w:r w:rsidR="00D35637" w:rsidRPr="00140267">
        <w:rPr>
          <w:szCs w:val="19"/>
        </w:rPr>
        <w:t xml:space="preserve"> 502,4</w:t>
      </w:r>
      <w:r w:rsidR="00337AC1" w:rsidRPr="00140267">
        <w:rPr>
          <w:szCs w:val="19"/>
        </w:rPr>
        <w:t xml:space="preserve"> miljarder kronor. </w:t>
      </w:r>
    </w:p>
    <w:p w:rsidR="00B71C7F" w:rsidRDefault="00DC39C5" w:rsidP="00140267">
      <w:pPr>
        <w:pStyle w:val="PunktlistaBomb"/>
        <w:numPr>
          <w:ilvl w:val="0"/>
          <w:numId w:val="1"/>
        </w:numPr>
        <w:tabs>
          <w:tab w:val="num" w:pos="322"/>
        </w:tabs>
        <w:ind w:left="322"/>
      </w:pPr>
      <w:r w:rsidRPr="00140267">
        <w:rPr>
          <w:szCs w:val="19"/>
        </w:rPr>
        <w:t>Marknadsvä</w:t>
      </w:r>
      <w:r w:rsidRPr="00140267">
        <w:rPr>
          <w:szCs w:val="19"/>
        </w:rPr>
        <w:t>r</w:t>
      </w:r>
      <w:r w:rsidRPr="00140267">
        <w:rPr>
          <w:szCs w:val="19"/>
        </w:rPr>
        <w:t xml:space="preserve">det på guld- och valutareserven </w:t>
      </w:r>
      <w:r w:rsidR="00BB3204" w:rsidRPr="00140267">
        <w:rPr>
          <w:szCs w:val="19"/>
        </w:rPr>
        <w:t xml:space="preserve">(inklusive nettofodringar på IMF) </w:t>
      </w:r>
      <w:r w:rsidRPr="00140267">
        <w:rPr>
          <w:szCs w:val="19"/>
        </w:rPr>
        <w:t xml:space="preserve">steg under 2014 från </w:t>
      </w:r>
      <w:r w:rsidR="00755592" w:rsidRPr="00140267">
        <w:rPr>
          <w:szCs w:val="19"/>
        </w:rPr>
        <w:t xml:space="preserve">398,0 </w:t>
      </w:r>
      <w:r w:rsidRPr="00140267">
        <w:rPr>
          <w:szCs w:val="19"/>
        </w:rPr>
        <w:t xml:space="preserve">miljarder kronor till </w:t>
      </w:r>
      <w:r w:rsidR="00755592" w:rsidRPr="00140267">
        <w:rPr>
          <w:szCs w:val="19"/>
        </w:rPr>
        <w:t>464,0</w:t>
      </w:r>
      <w:r w:rsidRPr="00140267">
        <w:rPr>
          <w:szCs w:val="19"/>
        </w:rPr>
        <w:t xml:space="preserve"> miljarder kronor. Denna förändring </w:t>
      </w:r>
      <w:r w:rsidR="00706325" w:rsidRPr="00140267">
        <w:rPr>
          <w:szCs w:val="19"/>
        </w:rPr>
        <w:t>berodde</w:t>
      </w:r>
      <w:r w:rsidRPr="00140267">
        <w:rPr>
          <w:szCs w:val="19"/>
        </w:rPr>
        <w:t xml:space="preserve"> huvudsakligen </w:t>
      </w:r>
      <w:r w:rsidR="00706325" w:rsidRPr="00140267">
        <w:rPr>
          <w:szCs w:val="19"/>
        </w:rPr>
        <w:t>på</w:t>
      </w:r>
      <w:r w:rsidR="00755592" w:rsidRPr="00140267">
        <w:rPr>
          <w:szCs w:val="19"/>
        </w:rPr>
        <w:t xml:space="preserve"> valutakursförän</w:t>
      </w:r>
      <w:r w:rsidR="00755592" w:rsidRPr="00140267">
        <w:rPr>
          <w:szCs w:val="19"/>
        </w:rPr>
        <w:t>d</w:t>
      </w:r>
      <w:r w:rsidR="00755592" w:rsidRPr="00140267">
        <w:rPr>
          <w:szCs w:val="19"/>
        </w:rPr>
        <w:t>ringar.</w:t>
      </w:r>
    </w:p>
    <w:p w:rsidR="00B02B60" w:rsidRPr="00CE430C" w:rsidRDefault="00F82501" w:rsidP="00DC39C5">
      <w:pPr>
        <w:pStyle w:val="R2"/>
      </w:pPr>
      <w:r>
        <w:lastRenderedPageBreak/>
        <w:t>Året i siffror</w:t>
      </w:r>
    </w:p>
    <w:tbl>
      <w:tblPr>
        <w:tblW w:w="5985" w:type="dxa"/>
        <w:tblInd w:w="108" w:type="dxa"/>
        <w:tblBorders>
          <w:top w:val="single" w:sz="4" w:space="0" w:color="auto"/>
          <w:bottom w:val="single" w:sz="4" w:space="0" w:color="auto"/>
        </w:tblBorders>
        <w:tblLayout w:type="fixed"/>
        <w:tblLook w:val="01E0" w:firstRow="1" w:lastRow="1" w:firstColumn="1" w:lastColumn="1" w:noHBand="0" w:noVBand="0"/>
      </w:tblPr>
      <w:tblGrid>
        <w:gridCol w:w="3705"/>
        <w:gridCol w:w="760"/>
        <w:gridCol w:w="760"/>
        <w:gridCol w:w="760"/>
      </w:tblGrid>
      <w:tr w:rsidR="00B02B60" w:rsidRPr="00CE430C" w:rsidTr="00641888">
        <w:tc>
          <w:tcPr>
            <w:tcW w:w="3705" w:type="dxa"/>
            <w:tcBorders>
              <w:top w:val="nil"/>
              <w:bottom w:val="single" w:sz="4" w:space="0" w:color="auto"/>
            </w:tcBorders>
            <w:shd w:val="clear" w:color="auto" w:fill="auto"/>
            <w:vAlign w:val="bottom"/>
          </w:tcPr>
          <w:p w:rsidR="00B02B60" w:rsidRPr="00CE430C" w:rsidRDefault="00B02B60" w:rsidP="00FA0590">
            <w:pPr>
              <w:spacing w:before="185" w:line="200" w:lineRule="exact"/>
              <w:jc w:val="left"/>
              <w:rPr>
                <w:b/>
              </w:rPr>
            </w:pPr>
            <w:r w:rsidRPr="00CE430C">
              <w:rPr>
                <w:b/>
              </w:rPr>
              <w:t>Nyckeltal</w:t>
            </w:r>
          </w:p>
        </w:tc>
        <w:tc>
          <w:tcPr>
            <w:tcW w:w="760" w:type="dxa"/>
            <w:tcBorders>
              <w:top w:val="nil"/>
              <w:bottom w:val="single" w:sz="4" w:space="0" w:color="auto"/>
            </w:tcBorders>
            <w:shd w:val="clear" w:color="auto" w:fill="auto"/>
            <w:vAlign w:val="bottom"/>
          </w:tcPr>
          <w:p w:rsidR="00B02B60" w:rsidRPr="00CE430C" w:rsidRDefault="00B02B60" w:rsidP="00FA0590">
            <w:pPr>
              <w:spacing w:before="60" w:line="200" w:lineRule="exact"/>
              <w:ind w:right="-108"/>
              <w:jc w:val="right"/>
              <w:rPr>
                <w:b/>
              </w:rPr>
            </w:pPr>
            <w:r>
              <w:rPr>
                <w:b/>
              </w:rPr>
              <w:t>2012</w:t>
            </w:r>
          </w:p>
        </w:tc>
        <w:tc>
          <w:tcPr>
            <w:tcW w:w="760" w:type="dxa"/>
            <w:tcBorders>
              <w:top w:val="nil"/>
              <w:bottom w:val="single" w:sz="4" w:space="0" w:color="auto"/>
            </w:tcBorders>
            <w:shd w:val="clear" w:color="auto" w:fill="FFFFFF"/>
            <w:vAlign w:val="bottom"/>
          </w:tcPr>
          <w:p w:rsidR="00B02B60" w:rsidRPr="00CE430C" w:rsidRDefault="00B02B60" w:rsidP="00FA0590">
            <w:pPr>
              <w:spacing w:before="60" w:line="200" w:lineRule="exact"/>
              <w:ind w:right="-108"/>
              <w:jc w:val="right"/>
              <w:rPr>
                <w:b/>
              </w:rPr>
            </w:pPr>
            <w:r>
              <w:rPr>
                <w:b/>
              </w:rPr>
              <w:t>2013</w:t>
            </w:r>
          </w:p>
        </w:tc>
        <w:tc>
          <w:tcPr>
            <w:tcW w:w="760" w:type="dxa"/>
            <w:tcBorders>
              <w:top w:val="nil"/>
              <w:bottom w:val="single" w:sz="4" w:space="0" w:color="auto"/>
            </w:tcBorders>
            <w:shd w:val="clear" w:color="auto" w:fill="FFFFFF"/>
            <w:vAlign w:val="bottom"/>
          </w:tcPr>
          <w:p w:rsidR="00B02B60" w:rsidRPr="00CE430C" w:rsidRDefault="00B02B60" w:rsidP="00B02B60">
            <w:pPr>
              <w:spacing w:before="60" w:line="200" w:lineRule="exact"/>
              <w:ind w:right="-108"/>
              <w:jc w:val="right"/>
              <w:rPr>
                <w:b/>
              </w:rPr>
            </w:pPr>
            <w:r>
              <w:rPr>
                <w:b/>
              </w:rPr>
              <w:t>2014</w:t>
            </w:r>
          </w:p>
        </w:tc>
      </w:tr>
      <w:tr w:rsidR="00B02B60" w:rsidRPr="00CE430C" w:rsidTr="00641888">
        <w:tc>
          <w:tcPr>
            <w:tcW w:w="3705" w:type="dxa"/>
            <w:tcBorders>
              <w:top w:val="single" w:sz="4" w:space="0" w:color="auto"/>
            </w:tcBorders>
            <w:vAlign w:val="bottom"/>
          </w:tcPr>
          <w:p w:rsidR="00B02B60" w:rsidRPr="00CE430C" w:rsidRDefault="00B02B60" w:rsidP="00FA0590">
            <w:pPr>
              <w:spacing w:before="60" w:line="200" w:lineRule="exact"/>
              <w:jc w:val="left"/>
            </w:pPr>
          </w:p>
        </w:tc>
        <w:tc>
          <w:tcPr>
            <w:tcW w:w="760" w:type="dxa"/>
            <w:tcBorders>
              <w:top w:val="single" w:sz="4" w:space="0" w:color="auto"/>
            </w:tcBorders>
            <w:vAlign w:val="bottom"/>
          </w:tcPr>
          <w:p w:rsidR="00B02B60" w:rsidRPr="00CE430C" w:rsidRDefault="00B02B60" w:rsidP="00FA0590">
            <w:pPr>
              <w:spacing w:before="60" w:line="200" w:lineRule="exact"/>
              <w:jc w:val="center"/>
            </w:pPr>
          </w:p>
        </w:tc>
        <w:tc>
          <w:tcPr>
            <w:tcW w:w="760" w:type="dxa"/>
            <w:tcBorders>
              <w:top w:val="single" w:sz="4" w:space="0" w:color="auto"/>
            </w:tcBorders>
            <w:shd w:val="clear" w:color="auto" w:fill="FFFFFF"/>
            <w:vAlign w:val="bottom"/>
          </w:tcPr>
          <w:p w:rsidR="00B02B60" w:rsidRPr="00CE430C" w:rsidRDefault="00B02B60" w:rsidP="00FA0590">
            <w:pPr>
              <w:spacing w:before="60" w:line="200" w:lineRule="exact"/>
              <w:jc w:val="center"/>
            </w:pPr>
          </w:p>
        </w:tc>
        <w:tc>
          <w:tcPr>
            <w:tcW w:w="760" w:type="dxa"/>
            <w:tcBorders>
              <w:top w:val="single" w:sz="4" w:space="0" w:color="auto"/>
            </w:tcBorders>
            <w:shd w:val="clear" w:color="auto" w:fill="FFFFFF"/>
            <w:vAlign w:val="bottom"/>
          </w:tcPr>
          <w:p w:rsidR="00B02B60" w:rsidRPr="00CE430C" w:rsidRDefault="00B02B60" w:rsidP="00FA0590">
            <w:pPr>
              <w:spacing w:before="60" w:line="200" w:lineRule="exact"/>
              <w:jc w:val="center"/>
            </w:pPr>
          </w:p>
        </w:tc>
      </w:tr>
      <w:tr w:rsidR="00B02B60" w:rsidRPr="00CE430C" w:rsidTr="00641888">
        <w:tc>
          <w:tcPr>
            <w:tcW w:w="3705" w:type="dxa"/>
            <w:vAlign w:val="bottom"/>
          </w:tcPr>
          <w:p w:rsidR="00B02B60" w:rsidRPr="00CE430C" w:rsidRDefault="00B02B60" w:rsidP="00FA0590">
            <w:pPr>
              <w:spacing w:before="60" w:line="200" w:lineRule="exact"/>
              <w:jc w:val="left"/>
              <w:rPr>
                <w:i/>
              </w:rPr>
            </w:pPr>
            <w:r w:rsidRPr="00CE430C">
              <w:rPr>
                <w:i/>
              </w:rPr>
              <w:t>Vid årets utgång</w:t>
            </w:r>
          </w:p>
        </w:tc>
        <w:tc>
          <w:tcPr>
            <w:tcW w:w="760" w:type="dxa"/>
            <w:vAlign w:val="bottom"/>
          </w:tcPr>
          <w:p w:rsidR="00B02B60" w:rsidRPr="00CE430C" w:rsidRDefault="00B02B60" w:rsidP="00FA0590">
            <w:pPr>
              <w:spacing w:before="60" w:line="200" w:lineRule="exact"/>
              <w:jc w:val="center"/>
            </w:pPr>
          </w:p>
        </w:tc>
        <w:tc>
          <w:tcPr>
            <w:tcW w:w="760" w:type="dxa"/>
            <w:shd w:val="clear" w:color="auto" w:fill="FFFFFF"/>
            <w:vAlign w:val="bottom"/>
          </w:tcPr>
          <w:p w:rsidR="00B02B60" w:rsidRPr="00CE430C" w:rsidRDefault="00B02B60" w:rsidP="00FA0590">
            <w:pPr>
              <w:spacing w:before="60" w:line="200" w:lineRule="exact"/>
              <w:jc w:val="center"/>
            </w:pPr>
          </w:p>
        </w:tc>
        <w:tc>
          <w:tcPr>
            <w:tcW w:w="760" w:type="dxa"/>
            <w:shd w:val="clear" w:color="auto" w:fill="FFFFFF"/>
            <w:vAlign w:val="bottom"/>
          </w:tcPr>
          <w:p w:rsidR="00B02B60" w:rsidRPr="00CE430C" w:rsidRDefault="00B02B60" w:rsidP="00FA0590">
            <w:pPr>
              <w:spacing w:before="60" w:line="200" w:lineRule="exact"/>
              <w:jc w:val="center"/>
            </w:pPr>
          </w:p>
        </w:tc>
      </w:tr>
      <w:tr w:rsidR="00B02B60" w:rsidRPr="00CE430C" w:rsidTr="00641888">
        <w:tc>
          <w:tcPr>
            <w:tcW w:w="3705" w:type="dxa"/>
            <w:vAlign w:val="bottom"/>
          </w:tcPr>
          <w:p w:rsidR="00B02B60" w:rsidRPr="00CE430C" w:rsidRDefault="00B02B60" w:rsidP="00FA0590">
            <w:pPr>
              <w:spacing w:before="60" w:line="200" w:lineRule="exact"/>
              <w:jc w:val="left"/>
            </w:pPr>
            <w:r w:rsidRPr="00CE430C">
              <w:t>Årets resultat (miljarder kronor)</w:t>
            </w:r>
          </w:p>
        </w:tc>
        <w:tc>
          <w:tcPr>
            <w:tcW w:w="760" w:type="dxa"/>
            <w:vAlign w:val="bottom"/>
          </w:tcPr>
          <w:p w:rsidR="00B02B60" w:rsidRPr="00CE430C" w:rsidRDefault="00B02B60" w:rsidP="00FA0590">
            <w:pPr>
              <w:tabs>
                <w:tab w:val="decimal" w:pos="3825"/>
              </w:tabs>
              <w:spacing w:before="60" w:line="200" w:lineRule="exact"/>
            </w:pPr>
            <w:r w:rsidRPr="00CE430C">
              <w:t>1,9</w:t>
            </w:r>
          </w:p>
        </w:tc>
        <w:tc>
          <w:tcPr>
            <w:tcW w:w="760" w:type="dxa"/>
            <w:shd w:val="clear" w:color="auto" w:fill="FFFFFF"/>
            <w:vAlign w:val="bottom"/>
          </w:tcPr>
          <w:p w:rsidR="00B02B60" w:rsidRPr="00CE430C" w:rsidRDefault="00B02B60" w:rsidP="00FA0590">
            <w:pPr>
              <w:tabs>
                <w:tab w:val="decimal" w:pos="3825"/>
              </w:tabs>
              <w:spacing w:before="60" w:line="200" w:lineRule="exact"/>
            </w:pPr>
            <w:r w:rsidRPr="00CE430C">
              <w:t>–2,0</w:t>
            </w:r>
          </w:p>
        </w:tc>
        <w:tc>
          <w:tcPr>
            <w:tcW w:w="760" w:type="dxa"/>
            <w:shd w:val="clear" w:color="auto" w:fill="FFFFFF"/>
            <w:vAlign w:val="bottom"/>
          </w:tcPr>
          <w:p w:rsidR="00B02B60" w:rsidRPr="00CE430C" w:rsidRDefault="00F04D73" w:rsidP="00FA0590">
            <w:pPr>
              <w:tabs>
                <w:tab w:val="decimal" w:pos="3825"/>
              </w:tabs>
              <w:spacing w:before="60" w:line="200" w:lineRule="exact"/>
            </w:pPr>
            <w:r>
              <w:t>3,3</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Guld- och valutareserv (miljarder kronor)</w:t>
            </w:r>
          </w:p>
        </w:tc>
        <w:tc>
          <w:tcPr>
            <w:tcW w:w="760" w:type="dxa"/>
            <w:vAlign w:val="bottom"/>
          </w:tcPr>
          <w:p w:rsidR="00B02B60" w:rsidRPr="00CE430C" w:rsidRDefault="00B02B60" w:rsidP="00FA0590">
            <w:pPr>
              <w:tabs>
                <w:tab w:val="decimal" w:pos="3825"/>
              </w:tabs>
              <w:spacing w:before="60" w:line="200" w:lineRule="exact"/>
            </w:pPr>
            <w:r w:rsidRPr="00CE430C">
              <w:t>318</w:t>
            </w:r>
          </w:p>
        </w:tc>
        <w:tc>
          <w:tcPr>
            <w:tcW w:w="760" w:type="dxa"/>
            <w:vAlign w:val="bottom"/>
          </w:tcPr>
          <w:p w:rsidR="00B02B60" w:rsidRPr="00CE430C" w:rsidRDefault="00B02B60" w:rsidP="00FA0590">
            <w:pPr>
              <w:tabs>
                <w:tab w:val="decimal" w:pos="3825"/>
              </w:tabs>
              <w:spacing w:before="60" w:line="200" w:lineRule="exact"/>
            </w:pPr>
            <w:r w:rsidRPr="00CE430C">
              <w:t>398</w:t>
            </w:r>
          </w:p>
        </w:tc>
        <w:tc>
          <w:tcPr>
            <w:tcW w:w="760" w:type="dxa"/>
            <w:vAlign w:val="bottom"/>
          </w:tcPr>
          <w:p w:rsidR="00B02B60" w:rsidRPr="00CE430C" w:rsidRDefault="00755592" w:rsidP="00FA0590">
            <w:pPr>
              <w:tabs>
                <w:tab w:val="decimal" w:pos="3825"/>
              </w:tabs>
              <w:spacing w:before="60" w:line="200" w:lineRule="exact"/>
            </w:pPr>
            <w:r>
              <w:t>464</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Totala tillgångar (miljarder kronor)</w:t>
            </w:r>
          </w:p>
        </w:tc>
        <w:tc>
          <w:tcPr>
            <w:tcW w:w="760" w:type="dxa"/>
            <w:vAlign w:val="bottom"/>
          </w:tcPr>
          <w:p w:rsidR="00B02B60" w:rsidRPr="00CE430C" w:rsidRDefault="00B02B60" w:rsidP="00FA0590">
            <w:pPr>
              <w:tabs>
                <w:tab w:val="decimal" w:pos="3825"/>
              </w:tabs>
              <w:spacing w:before="60" w:line="200" w:lineRule="exact"/>
            </w:pPr>
            <w:r w:rsidRPr="00CE430C">
              <w:t>346</w:t>
            </w:r>
          </w:p>
        </w:tc>
        <w:tc>
          <w:tcPr>
            <w:tcW w:w="760" w:type="dxa"/>
            <w:vAlign w:val="bottom"/>
          </w:tcPr>
          <w:p w:rsidR="00B02B60" w:rsidRPr="00CE430C" w:rsidRDefault="00B02B60" w:rsidP="00FA0590">
            <w:pPr>
              <w:tabs>
                <w:tab w:val="decimal" w:pos="3825"/>
              </w:tabs>
              <w:spacing w:before="60" w:line="200" w:lineRule="exact"/>
            </w:pPr>
            <w:r w:rsidRPr="00CE430C">
              <w:t>432</w:t>
            </w:r>
          </w:p>
        </w:tc>
        <w:tc>
          <w:tcPr>
            <w:tcW w:w="760" w:type="dxa"/>
            <w:vAlign w:val="bottom"/>
          </w:tcPr>
          <w:p w:rsidR="00B02B60" w:rsidRPr="00CE430C" w:rsidRDefault="00393D80" w:rsidP="00FA0590">
            <w:pPr>
              <w:tabs>
                <w:tab w:val="decimal" w:pos="3825"/>
              </w:tabs>
              <w:spacing w:before="60" w:line="200" w:lineRule="exact"/>
            </w:pPr>
            <w:r>
              <w:t>502</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Antal årsarbetskrafter</w:t>
            </w:r>
          </w:p>
        </w:tc>
        <w:tc>
          <w:tcPr>
            <w:tcW w:w="760" w:type="dxa"/>
            <w:vAlign w:val="bottom"/>
          </w:tcPr>
          <w:p w:rsidR="00B02B60" w:rsidRPr="00CE430C" w:rsidRDefault="00B02B60" w:rsidP="00FA0590">
            <w:pPr>
              <w:tabs>
                <w:tab w:val="decimal" w:pos="3825"/>
              </w:tabs>
              <w:spacing w:before="60" w:line="200" w:lineRule="exact"/>
            </w:pPr>
            <w:r w:rsidRPr="00CE430C">
              <w:t>354</w:t>
            </w:r>
          </w:p>
        </w:tc>
        <w:tc>
          <w:tcPr>
            <w:tcW w:w="760" w:type="dxa"/>
            <w:vAlign w:val="bottom"/>
          </w:tcPr>
          <w:p w:rsidR="00B02B60" w:rsidRPr="00CE430C" w:rsidRDefault="00B02B60" w:rsidP="00FA0590">
            <w:pPr>
              <w:tabs>
                <w:tab w:val="decimal" w:pos="3825"/>
              </w:tabs>
              <w:spacing w:before="60" w:line="200" w:lineRule="exact"/>
            </w:pPr>
            <w:r w:rsidRPr="00CE430C">
              <w:t>336</w:t>
            </w:r>
          </w:p>
        </w:tc>
        <w:tc>
          <w:tcPr>
            <w:tcW w:w="760" w:type="dxa"/>
            <w:vAlign w:val="bottom"/>
          </w:tcPr>
          <w:p w:rsidR="00B02B60" w:rsidRPr="00CE430C" w:rsidRDefault="00393D80" w:rsidP="00FA0590">
            <w:pPr>
              <w:tabs>
                <w:tab w:val="decimal" w:pos="3825"/>
              </w:tabs>
              <w:spacing w:before="60" w:line="200" w:lineRule="exact"/>
            </w:pPr>
            <w:r>
              <w:t>329</w:t>
            </w:r>
          </w:p>
        </w:tc>
      </w:tr>
      <w:tr w:rsidR="00B02B60" w:rsidRPr="00CE430C" w:rsidTr="00FA0590">
        <w:trPr>
          <w:trHeight w:val="57"/>
        </w:trPr>
        <w:tc>
          <w:tcPr>
            <w:tcW w:w="3705" w:type="dxa"/>
            <w:vAlign w:val="bottom"/>
          </w:tcPr>
          <w:p w:rsidR="00B02B60" w:rsidRPr="00CE430C" w:rsidRDefault="00B02B60" w:rsidP="00FA0590">
            <w:pPr>
              <w:spacing w:before="60" w:line="200" w:lineRule="exact"/>
              <w:jc w:val="left"/>
            </w:pP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Reporänta (procent)</w:t>
            </w:r>
          </w:p>
        </w:tc>
        <w:tc>
          <w:tcPr>
            <w:tcW w:w="760" w:type="dxa"/>
            <w:vAlign w:val="bottom"/>
          </w:tcPr>
          <w:p w:rsidR="00B02B60" w:rsidRPr="00CE430C" w:rsidRDefault="00B02B60" w:rsidP="00FA0590">
            <w:pPr>
              <w:tabs>
                <w:tab w:val="decimal" w:pos="3825"/>
              </w:tabs>
              <w:spacing w:before="60" w:line="200" w:lineRule="exact"/>
            </w:pPr>
            <w:r w:rsidRPr="00CE430C">
              <w:t>1,00</w:t>
            </w:r>
          </w:p>
        </w:tc>
        <w:tc>
          <w:tcPr>
            <w:tcW w:w="760" w:type="dxa"/>
            <w:vAlign w:val="bottom"/>
          </w:tcPr>
          <w:p w:rsidR="00B02B60" w:rsidRPr="00CE430C" w:rsidRDefault="00B02B60" w:rsidP="00FA0590">
            <w:pPr>
              <w:tabs>
                <w:tab w:val="decimal" w:pos="3825"/>
              </w:tabs>
              <w:spacing w:before="60" w:line="200" w:lineRule="exact"/>
            </w:pPr>
            <w:r w:rsidRPr="00CE430C">
              <w:t>0,75</w:t>
            </w:r>
          </w:p>
        </w:tc>
        <w:tc>
          <w:tcPr>
            <w:tcW w:w="760" w:type="dxa"/>
            <w:vAlign w:val="bottom"/>
          </w:tcPr>
          <w:p w:rsidR="00B02B60" w:rsidRPr="00CE430C" w:rsidRDefault="00155643" w:rsidP="00FA0590">
            <w:pPr>
              <w:tabs>
                <w:tab w:val="decimal" w:pos="3825"/>
              </w:tabs>
              <w:spacing w:before="60" w:line="200" w:lineRule="exact"/>
            </w:pPr>
            <w:r>
              <w:t>0,00</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Kort ränta (tre månader SSVX, procent)</w:t>
            </w:r>
          </w:p>
        </w:tc>
        <w:tc>
          <w:tcPr>
            <w:tcW w:w="760" w:type="dxa"/>
            <w:vAlign w:val="bottom"/>
          </w:tcPr>
          <w:p w:rsidR="00B02B60" w:rsidRPr="00CE430C" w:rsidRDefault="00B02B60" w:rsidP="00FA0590">
            <w:pPr>
              <w:tabs>
                <w:tab w:val="decimal" w:pos="3825"/>
              </w:tabs>
              <w:spacing w:before="60" w:line="200" w:lineRule="exact"/>
            </w:pPr>
            <w:r w:rsidRPr="00CE430C">
              <w:t>0,98</w:t>
            </w:r>
          </w:p>
        </w:tc>
        <w:tc>
          <w:tcPr>
            <w:tcW w:w="760" w:type="dxa"/>
            <w:vAlign w:val="bottom"/>
          </w:tcPr>
          <w:p w:rsidR="00B02B60" w:rsidRPr="00CE430C" w:rsidRDefault="00B02B60" w:rsidP="00FA0590">
            <w:pPr>
              <w:tabs>
                <w:tab w:val="decimal" w:pos="3825"/>
              </w:tabs>
              <w:spacing w:before="60" w:line="200" w:lineRule="exact"/>
            </w:pPr>
            <w:r w:rsidRPr="00CE430C">
              <w:t>0,73</w:t>
            </w:r>
          </w:p>
        </w:tc>
        <w:tc>
          <w:tcPr>
            <w:tcW w:w="760" w:type="dxa"/>
            <w:vAlign w:val="bottom"/>
          </w:tcPr>
          <w:p w:rsidR="00B02B60" w:rsidRPr="00CE430C" w:rsidRDefault="00155643" w:rsidP="00FA0590">
            <w:pPr>
              <w:tabs>
                <w:tab w:val="decimal" w:pos="3825"/>
              </w:tabs>
              <w:spacing w:before="60" w:line="200" w:lineRule="exact"/>
            </w:pPr>
            <w:r>
              <w:t>0,09</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Lång ränta (tio år statsobligationer, procent)</w:t>
            </w:r>
          </w:p>
        </w:tc>
        <w:tc>
          <w:tcPr>
            <w:tcW w:w="760" w:type="dxa"/>
            <w:vAlign w:val="bottom"/>
          </w:tcPr>
          <w:p w:rsidR="00B02B60" w:rsidRPr="00CE430C" w:rsidRDefault="00B02B60" w:rsidP="00FA0590">
            <w:pPr>
              <w:tabs>
                <w:tab w:val="decimal" w:pos="3825"/>
              </w:tabs>
              <w:spacing w:before="60" w:line="200" w:lineRule="exact"/>
            </w:pPr>
            <w:r w:rsidRPr="00CE430C">
              <w:t>1,53</w:t>
            </w:r>
          </w:p>
        </w:tc>
        <w:tc>
          <w:tcPr>
            <w:tcW w:w="760" w:type="dxa"/>
            <w:vAlign w:val="bottom"/>
          </w:tcPr>
          <w:p w:rsidR="00B02B60" w:rsidRPr="00CE430C" w:rsidRDefault="00B02B60" w:rsidP="00FA0590">
            <w:pPr>
              <w:tabs>
                <w:tab w:val="decimal" w:pos="3825"/>
              </w:tabs>
              <w:spacing w:before="60" w:line="200" w:lineRule="exact"/>
            </w:pPr>
            <w:r w:rsidRPr="00CE430C">
              <w:t>2,53</w:t>
            </w:r>
          </w:p>
        </w:tc>
        <w:tc>
          <w:tcPr>
            <w:tcW w:w="760" w:type="dxa"/>
            <w:vAlign w:val="bottom"/>
          </w:tcPr>
          <w:p w:rsidR="00B02B60" w:rsidRPr="00CE430C" w:rsidRDefault="00B40CBE" w:rsidP="00FA0590">
            <w:pPr>
              <w:tabs>
                <w:tab w:val="decimal" w:pos="3825"/>
              </w:tabs>
              <w:spacing w:before="60" w:line="200" w:lineRule="exact"/>
            </w:pPr>
            <w:r>
              <w:t>0,94</w:t>
            </w:r>
          </w:p>
        </w:tc>
      </w:tr>
      <w:tr w:rsidR="00B02B60" w:rsidRPr="00CE430C" w:rsidTr="00FA0590">
        <w:trPr>
          <w:trHeight w:val="51"/>
        </w:trPr>
        <w:tc>
          <w:tcPr>
            <w:tcW w:w="3705" w:type="dxa"/>
            <w:vAlign w:val="bottom"/>
          </w:tcPr>
          <w:p w:rsidR="00B02B60" w:rsidRPr="00CE430C" w:rsidRDefault="00B02B60" w:rsidP="00FA0590">
            <w:pPr>
              <w:spacing w:before="60" w:line="200" w:lineRule="exact"/>
              <w:jc w:val="left"/>
            </w:pP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r>
      <w:tr w:rsidR="00B02B60" w:rsidRPr="00CE430C" w:rsidTr="00FA0590">
        <w:tc>
          <w:tcPr>
            <w:tcW w:w="3705" w:type="dxa"/>
            <w:vAlign w:val="bottom"/>
          </w:tcPr>
          <w:p w:rsidR="00B02B60" w:rsidRPr="00CE430C" w:rsidRDefault="00B02B60" w:rsidP="00FA0590">
            <w:pPr>
              <w:spacing w:before="60" w:line="200" w:lineRule="exact"/>
              <w:jc w:val="left"/>
              <w:rPr>
                <w:i/>
              </w:rPr>
            </w:pPr>
            <w:r w:rsidRPr="00CE430C">
              <w:rPr>
                <w:i/>
              </w:rPr>
              <w:t>I genomsnitt</w:t>
            </w: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c>
          <w:tcPr>
            <w:tcW w:w="760" w:type="dxa"/>
            <w:vAlign w:val="bottom"/>
          </w:tcPr>
          <w:p w:rsidR="00B02B60" w:rsidRPr="00CE430C" w:rsidRDefault="00B02B60" w:rsidP="00FA0590">
            <w:pPr>
              <w:tabs>
                <w:tab w:val="decimal" w:pos="3825"/>
              </w:tabs>
              <w:spacing w:before="60" w:line="200" w:lineRule="exact"/>
            </w:pP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BNP (procentuell förändring)</w:t>
            </w:r>
          </w:p>
        </w:tc>
        <w:tc>
          <w:tcPr>
            <w:tcW w:w="760" w:type="dxa"/>
            <w:vAlign w:val="bottom"/>
          </w:tcPr>
          <w:p w:rsidR="00B02B60" w:rsidRPr="00CE430C" w:rsidRDefault="00B40CBE" w:rsidP="00B40CBE">
            <w:pPr>
              <w:tabs>
                <w:tab w:val="decimal" w:pos="3825"/>
              </w:tabs>
              <w:spacing w:before="60" w:line="200" w:lineRule="exact"/>
            </w:pPr>
            <w:r w:rsidRPr="00CE430C">
              <w:t>–</w:t>
            </w:r>
            <w:r w:rsidR="00B02B60" w:rsidRPr="00CE430C">
              <w:t>0,</w:t>
            </w:r>
            <w:r>
              <w:t>3</w:t>
            </w:r>
          </w:p>
        </w:tc>
        <w:tc>
          <w:tcPr>
            <w:tcW w:w="760" w:type="dxa"/>
            <w:vAlign w:val="bottom"/>
          </w:tcPr>
          <w:p w:rsidR="00B02B60" w:rsidRPr="00CE430C" w:rsidRDefault="00B40CBE" w:rsidP="00FA0590">
            <w:pPr>
              <w:tabs>
                <w:tab w:val="decimal" w:pos="3825"/>
              </w:tabs>
              <w:spacing w:before="60" w:line="200" w:lineRule="exact"/>
            </w:pPr>
            <w:r>
              <w:t>1,3</w:t>
            </w:r>
          </w:p>
        </w:tc>
        <w:tc>
          <w:tcPr>
            <w:tcW w:w="760" w:type="dxa"/>
            <w:vAlign w:val="bottom"/>
          </w:tcPr>
          <w:p w:rsidR="00B02B60" w:rsidRPr="00CE430C" w:rsidRDefault="00B40CBE" w:rsidP="00FA0590">
            <w:pPr>
              <w:tabs>
                <w:tab w:val="decimal" w:pos="3825"/>
              </w:tabs>
              <w:spacing w:before="60" w:line="200" w:lineRule="exact"/>
            </w:pPr>
            <w:r>
              <w:t>1,8</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Arbetslöshet (procent)</w:t>
            </w:r>
          </w:p>
        </w:tc>
        <w:tc>
          <w:tcPr>
            <w:tcW w:w="760" w:type="dxa"/>
            <w:vAlign w:val="bottom"/>
          </w:tcPr>
          <w:p w:rsidR="00B02B60" w:rsidRPr="00CE430C" w:rsidRDefault="00B02B60" w:rsidP="00FA0590">
            <w:pPr>
              <w:tabs>
                <w:tab w:val="decimal" w:pos="3825"/>
              </w:tabs>
              <w:spacing w:before="60" w:line="200" w:lineRule="exact"/>
            </w:pPr>
            <w:r w:rsidRPr="00CE430C">
              <w:t>8,0</w:t>
            </w:r>
          </w:p>
        </w:tc>
        <w:tc>
          <w:tcPr>
            <w:tcW w:w="760" w:type="dxa"/>
            <w:vAlign w:val="bottom"/>
          </w:tcPr>
          <w:p w:rsidR="00B02B60" w:rsidRPr="00CE430C" w:rsidRDefault="00B02B60" w:rsidP="00FA0590">
            <w:pPr>
              <w:tabs>
                <w:tab w:val="decimal" w:pos="3825"/>
              </w:tabs>
              <w:spacing w:before="60" w:line="200" w:lineRule="exact"/>
            </w:pPr>
            <w:r w:rsidRPr="00CE430C">
              <w:t>8,0</w:t>
            </w:r>
          </w:p>
        </w:tc>
        <w:tc>
          <w:tcPr>
            <w:tcW w:w="760" w:type="dxa"/>
            <w:vAlign w:val="bottom"/>
          </w:tcPr>
          <w:p w:rsidR="00B02B60" w:rsidRPr="00CE430C" w:rsidRDefault="00B40CBE" w:rsidP="00FA0590">
            <w:pPr>
              <w:tabs>
                <w:tab w:val="decimal" w:pos="3825"/>
              </w:tabs>
              <w:spacing w:before="60" w:line="200" w:lineRule="exact"/>
            </w:pPr>
            <w:r>
              <w:t>7,9</w:t>
            </w:r>
          </w:p>
        </w:tc>
      </w:tr>
      <w:tr w:rsidR="00B02B60" w:rsidRPr="00CE430C" w:rsidTr="00FA0590">
        <w:tc>
          <w:tcPr>
            <w:tcW w:w="3705" w:type="dxa"/>
            <w:vAlign w:val="bottom"/>
          </w:tcPr>
          <w:p w:rsidR="00B02B60" w:rsidRPr="00CE430C" w:rsidRDefault="00B02B60" w:rsidP="00FA0590">
            <w:pPr>
              <w:spacing w:before="60" w:line="200" w:lineRule="exact"/>
              <w:jc w:val="left"/>
            </w:pPr>
            <w:r w:rsidRPr="00CE430C">
              <w:t xml:space="preserve">Inflation, mätt med KPI (procentuell </w:t>
            </w:r>
            <w:r w:rsidRPr="00CE430C">
              <w:br/>
              <w:t>förändring)</w:t>
            </w:r>
          </w:p>
        </w:tc>
        <w:tc>
          <w:tcPr>
            <w:tcW w:w="760" w:type="dxa"/>
            <w:vAlign w:val="bottom"/>
          </w:tcPr>
          <w:p w:rsidR="00B02B60" w:rsidRPr="00CE430C" w:rsidRDefault="00B02B60" w:rsidP="00FA0590">
            <w:pPr>
              <w:tabs>
                <w:tab w:val="decimal" w:pos="3825"/>
              </w:tabs>
              <w:spacing w:before="60" w:line="200" w:lineRule="exact"/>
            </w:pPr>
            <w:r w:rsidRPr="00CE430C">
              <w:t>0,9</w:t>
            </w:r>
          </w:p>
        </w:tc>
        <w:tc>
          <w:tcPr>
            <w:tcW w:w="760" w:type="dxa"/>
            <w:vAlign w:val="bottom"/>
          </w:tcPr>
          <w:p w:rsidR="00B02B60" w:rsidRPr="00CE430C" w:rsidRDefault="00B02B60" w:rsidP="00FA0590">
            <w:pPr>
              <w:tabs>
                <w:tab w:val="decimal" w:pos="3825"/>
              </w:tabs>
              <w:spacing w:before="60" w:line="200" w:lineRule="exact"/>
            </w:pPr>
            <w:r w:rsidRPr="00CE430C">
              <w:t>0,0</w:t>
            </w:r>
          </w:p>
        </w:tc>
        <w:tc>
          <w:tcPr>
            <w:tcW w:w="760" w:type="dxa"/>
            <w:vAlign w:val="bottom"/>
          </w:tcPr>
          <w:p w:rsidR="00B02B60" w:rsidRPr="00CE430C" w:rsidRDefault="00B40CBE" w:rsidP="00FA0590">
            <w:pPr>
              <w:tabs>
                <w:tab w:val="decimal" w:pos="3825"/>
              </w:tabs>
              <w:spacing w:before="60" w:line="200" w:lineRule="exact"/>
            </w:pPr>
            <w:r w:rsidRPr="00CE430C">
              <w:t>–</w:t>
            </w:r>
            <w:r>
              <w:t>0,2</w:t>
            </w:r>
          </w:p>
        </w:tc>
      </w:tr>
      <w:tr w:rsidR="00B02B60" w:rsidRPr="00D475D4" w:rsidTr="00FA0590">
        <w:tc>
          <w:tcPr>
            <w:tcW w:w="3705" w:type="dxa"/>
            <w:vAlign w:val="bottom"/>
          </w:tcPr>
          <w:p w:rsidR="00B02B60" w:rsidRPr="00CE430C" w:rsidRDefault="00B02B60" w:rsidP="00FA0590">
            <w:pPr>
              <w:spacing w:before="60" w:line="200" w:lineRule="exact"/>
              <w:jc w:val="left"/>
            </w:pPr>
            <w:r w:rsidRPr="00CE430C">
              <w:t xml:space="preserve">Inflation, mätt med KPIF (procentuell </w:t>
            </w:r>
            <w:r w:rsidRPr="00CE430C">
              <w:br/>
              <w:t>förändring)</w:t>
            </w:r>
          </w:p>
        </w:tc>
        <w:tc>
          <w:tcPr>
            <w:tcW w:w="760" w:type="dxa"/>
            <w:vAlign w:val="bottom"/>
          </w:tcPr>
          <w:p w:rsidR="00B02B60" w:rsidRPr="00CE430C" w:rsidRDefault="00B02B60" w:rsidP="00FA0590">
            <w:pPr>
              <w:tabs>
                <w:tab w:val="decimal" w:pos="3825"/>
              </w:tabs>
              <w:spacing w:before="60" w:line="200" w:lineRule="exact"/>
            </w:pPr>
            <w:r w:rsidRPr="00CE430C">
              <w:t>1,0</w:t>
            </w:r>
          </w:p>
        </w:tc>
        <w:tc>
          <w:tcPr>
            <w:tcW w:w="760" w:type="dxa"/>
            <w:vAlign w:val="bottom"/>
          </w:tcPr>
          <w:p w:rsidR="00B02B60" w:rsidRPr="00CE430C" w:rsidRDefault="00B02B60" w:rsidP="00FA0590">
            <w:pPr>
              <w:tabs>
                <w:tab w:val="decimal" w:pos="3825"/>
              </w:tabs>
              <w:spacing w:before="60" w:line="200" w:lineRule="exact"/>
            </w:pPr>
            <w:r w:rsidRPr="00CE430C">
              <w:t>0,9</w:t>
            </w:r>
          </w:p>
        </w:tc>
        <w:tc>
          <w:tcPr>
            <w:tcW w:w="760" w:type="dxa"/>
            <w:vAlign w:val="bottom"/>
          </w:tcPr>
          <w:p w:rsidR="00B02B60" w:rsidRPr="00CE430C" w:rsidRDefault="00B40CBE" w:rsidP="00FA0590">
            <w:pPr>
              <w:tabs>
                <w:tab w:val="decimal" w:pos="3825"/>
              </w:tabs>
              <w:spacing w:before="60" w:line="200" w:lineRule="exact"/>
            </w:pPr>
            <w:r>
              <w:t>0,5</w:t>
            </w:r>
          </w:p>
        </w:tc>
      </w:tr>
    </w:tbl>
    <w:p w:rsidR="00B02B60" w:rsidRDefault="00B02B60" w:rsidP="00B02B60">
      <w:pPr>
        <w:pStyle w:val="Fotnotstext"/>
        <w:spacing w:before="125"/>
      </w:pPr>
      <w:r w:rsidRPr="00D475D4">
        <w:t>Anm</w:t>
      </w:r>
      <w:r>
        <w:t>.</w:t>
      </w:r>
      <w:r w:rsidRPr="00D475D4">
        <w:t xml:space="preserve"> I tabellen presenteras utfallet för samtliga poster med undantag för uppgifterna om</w:t>
      </w:r>
      <w:r>
        <w:t xml:space="preserve"> BNP och arbetslöshet under 2014</w:t>
      </w:r>
      <w:r w:rsidRPr="00D475D4">
        <w:t xml:space="preserve">, vilka anges enligt Riksbankens prognos från december </w:t>
      </w:r>
      <w:r w:rsidR="004A7876">
        <w:t>2014</w:t>
      </w:r>
      <w:r w:rsidRPr="00D475D4">
        <w:t xml:space="preserve">. </w:t>
      </w:r>
      <w:r w:rsidRPr="00FA160B">
        <w:t xml:space="preserve">SCB reviderade </w:t>
      </w:r>
      <w:r w:rsidR="00752610" w:rsidRPr="00FA160B">
        <w:rPr>
          <w:lang w:eastAsia="x-none"/>
        </w:rPr>
        <w:t>nationalräkenskaperna</w:t>
      </w:r>
      <w:r w:rsidRPr="00FA160B">
        <w:rPr>
          <w:lang w:eastAsia="x-none"/>
        </w:rPr>
        <w:t xml:space="preserve"> under 20</w:t>
      </w:r>
      <w:r w:rsidR="00221D32" w:rsidRPr="00FA160B">
        <w:rPr>
          <w:lang w:eastAsia="x-none"/>
        </w:rPr>
        <w:t>14</w:t>
      </w:r>
      <w:r w:rsidRPr="00FA160B">
        <w:rPr>
          <w:lang w:eastAsia="x-none"/>
        </w:rPr>
        <w:t xml:space="preserve">, vilket medfört justeringar i tabellen </w:t>
      </w:r>
      <w:r w:rsidR="00752610" w:rsidRPr="00FA160B">
        <w:rPr>
          <w:lang w:eastAsia="x-none"/>
        </w:rPr>
        <w:t>avseende BNP-siffrorna</w:t>
      </w:r>
      <w:r w:rsidRPr="00FA160B">
        <w:rPr>
          <w:lang w:eastAsia="x-none"/>
        </w:rPr>
        <w:t xml:space="preserve"> jämfört med årsredovisning</w:t>
      </w:r>
      <w:r w:rsidR="004A7876" w:rsidRPr="00FA160B">
        <w:rPr>
          <w:lang w:eastAsia="x-none"/>
        </w:rPr>
        <w:t>en</w:t>
      </w:r>
      <w:r w:rsidR="00221D32" w:rsidRPr="00FA160B">
        <w:rPr>
          <w:lang w:eastAsia="x-none"/>
        </w:rPr>
        <w:t xml:space="preserve"> 2013</w:t>
      </w:r>
      <w:r>
        <w:rPr>
          <w:lang w:eastAsia="x-none"/>
        </w:rPr>
        <w:t xml:space="preserve">. </w:t>
      </w:r>
      <w:r w:rsidRPr="00D475D4">
        <w:t>KPIF beräknas som KPI med fast bostadsränta.</w:t>
      </w:r>
    </w:p>
    <w:p w:rsidR="00B02B60" w:rsidRPr="00B02B60" w:rsidRDefault="00B02B60" w:rsidP="00B02B60">
      <w:pPr>
        <w:pStyle w:val="Fotnotstextindrag"/>
      </w:pPr>
    </w:p>
    <w:p w:rsidR="00237777" w:rsidRDefault="00237777" w:rsidP="00B02B60">
      <w:pPr>
        <w:pStyle w:val="Normaltindrag"/>
        <w:ind w:firstLine="0"/>
      </w:pPr>
    </w:p>
    <w:p w:rsidR="00BB076A" w:rsidRPr="00CC5CD3" w:rsidRDefault="00BB076A" w:rsidP="00003100">
      <w:pPr>
        <w:suppressAutoHyphens/>
        <w:spacing w:before="100"/>
      </w:pPr>
      <w:bookmarkStart w:id="15" w:name="TextStart"/>
      <w:bookmarkEnd w:id="15"/>
      <w:r w:rsidRPr="00530665">
        <w:t xml:space="preserve">I enlighet med 10 kap. 3 § lagen (1988:1385) om Sveriges riksbank </w:t>
      </w:r>
      <w:r w:rsidR="004F56CB">
        <w:t xml:space="preserve">(riksbankslagen) </w:t>
      </w:r>
      <w:r>
        <w:t>innehåller årsredovisningen för Sveriges riksbank</w:t>
      </w:r>
      <w:r w:rsidRPr="00745808">
        <w:t xml:space="preserve"> </w:t>
      </w:r>
      <w:r>
        <w:t xml:space="preserve">en </w:t>
      </w:r>
      <w:r w:rsidRPr="00745808">
        <w:t>för</w:t>
      </w:r>
      <w:r w:rsidR="00716872">
        <w:softHyphen/>
      </w:r>
      <w:r w:rsidRPr="00745808">
        <w:t>valtningsberättelse</w:t>
      </w:r>
      <w:r>
        <w:t>,</w:t>
      </w:r>
      <w:r w:rsidRPr="00745808">
        <w:t xml:space="preserve"> </w:t>
      </w:r>
      <w:r>
        <w:t xml:space="preserve">en </w:t>
      </w:r>
      <w:r w:rsidRPr="00745808">
        <w:t>balansräkning</w:t>
      </w:r>
      <w:r>
        <w:t>,</w:t>
      </w:r>
      <w:r w:rsidRPr="00745808">
        <w:t xml:space="preserve"> </w:t>
      </w:r>
      <w:r>
        <w:t xml:space="preserve">en </w:t>
      </w:r>
      <w:r w:rsidRPr="00745808">
        <w:t>resultaträkning</w:t>
      </w:r>
      <w:r>
        <w:t xml:space="preserve"> samt ett uttalande om den interna styrningen och kontrollen</w:t>
      </w:r>
      <w:r w:rsidRPr="00745808">
        <w:t xml:space="preserve">. I förvaltningsberättelsen redogör Riksbanken för hur banken </w:t>
      </w:r>
      <w:r>
        <w:t xml:space="preserve">har </w:t>
      </w:r>
      <w:r w:rsidRPr="00745808">
        <w:t xml:space="preserve">bedrivit penningpolitiken, </w:t>
      </w:r>
      <w:r>
        <w:t>främjat</w:t>
      </w:r>
      <w:r w:rsidRPr="006D05B3">
        <w:t xml:space="preserve"> ett säkert och effektivt betalningsväsende</w:t>
      </w:r>
      <w:r w:rsidRPr="00745808">
        <w:t xml:space="preserve"> samt utfört övriga uppdrag under </w:t>
      </w:r>
      <w:r>
        <w:t>räkenskaps</w:t>
      </w:r>
      <w:r w:rsidR="00716872">
        <w:softHyphen/>
      </w:r>
      <w:r>
        <w:t>året</w:t>
      </w:r>
      <w:r w:rsidRPr="00745808">
        <w:t>.</w:t>
      </w:r>
      <w:r w:rsidRPr="00CC5CD3">
        <w:t xml:space="preserve"> </w:t>
      </w:r>
      <w:r>
        <w:t xml:space="preserve">Årsredovisningen redovisar </w:t>
      </w:r>
      <w:r w:rsidR="002E1F9F">
        <w:t xml:space="preserve">även </w:t>
      </w:r>
      <w:r w:rsidR="006A2986">
        <w:t xml:space="preserve">i bilagor </w:t>
      </w:r>
      <w:r w:rsidR="002E1F9F">
        <w:t xml:space="preserve">några </w:t>
      </w:r>
      <w:r>
        <w:t xml:space="preserve">övriga områden </w:t>
      </w:r>
      <w:r w:rsidR="004A14AB">
        <w:t>såsom</w:t>
      </w:r>
      <w:r>
        <w:t xml:space="preserve"> </w:t>
      </w:r>
      <w:r w:rsidR="008B2F79">
        <w:t>ver</w:t>
      </w:r>
      <w:r w:rsidR="008B2F79">
        <w:t>k</w:t>
      </w:r>
      <w:r w:rsidR="008B2F79">
        <w:t xml:space="preserve">samheten vid </w:t>
      </w:r>
      <w:r>
        <w:t xml:space="preserve">Riksbankens </w:t>
      </w:r>
      <w:r w:rsidR="002E1F9F">
        <w:t>avdelningar</w:t>
      </w:r>
      <w:r w:rsidR="004A7876">
        <w:t>,</w:t>
      </w:r>
      <w:r w:rsidR="001311B6">
        <w:t xml:space="preserve"> </w:t>
      </w:r>
      <w:r>
        <w:t>remi</w:t>
      </w:r>
      <w:r w:rsidR="00917FAF">
        <w:t>ss</w:t>
      </w:r>
      <w:r w:rsidR="00917FAF">
        <w:softHyphen/>
      </w:r>
      <w:r>
        <w:t>arbete</w:t>
      </w:r>
      <w:r w:rsidR="004A7876">
        <w:t xml:space="preserve"> och publikationer.</w:t>
      </w:r>
      <w:r>
        <w:t xml:space="preserve"> </w:t>
      </w:r>
    </w:p>
    <w:p w:rsidR="00BB076A" w:rsidRPr="00530665" w:rsidRDefault="00BB076A" w:rsidP="00BB076A">
      <w:pPr>
        <w:pStyle w:val="Normaltindrag"/>
      </w:pPr>
      <w:r w:rsidRPr="00530665">
        <w:t xml:space="preserve">I enlighet med 10 kap. 3 § </w:t>
      </w:r>
      <w:r w:rsidR="004F56CB">
        <w:t>riksbankslagen</w:t>
      </w:r>
      <w:r w:rsidRPr="00530665">
        <w:t xml:space="preserve"> lämnar Riksbankens d</w:t>
      </w:r>
      <w:r w:rsidRPr="00530665">
        <w:t>i</w:t>
      </w:r>
      <w:r w:rsidRPr="00530665">
        <w:t>rektion denna redovisning för Riksbankens verksamhet under 201</w:t>
      </w:r>
      <w:r w:rsidR="005D2420">
        <w:t>4</w:t>
      </w:r>
      <w:r w:rsidRPr="00530665">
        <w:t xml:space="preserve"> till rik</w:t>
      </w:r>
      <w:r w:rsidRPr="00530665">
        <w:t>s</w:t>
      </w:r>
      <w:r w:rsidRPr="00530665">
        <w:t>dagen, Riksrevisionen och riksbanksfullmä</w:t>
      </w:r>
      <w:r w:rsidRPr="00530665">
        <w:t>k</w:t>
      </w:r>
      <w:r w:rsidRPr="00530665">
        <w:t>tige.</w:t>
      </w:r>
    </w:p>
    <w:p w:rsidR="00973B00" w:rsidRDefault="00973B00" w:rsidP="00973B00">
      <w:pPr>
        <w:rPr>
          <w:i/>
          <w:szCs w:val="24"/>
        </w:rPr>
      </w:pPr>
    </w:p>
    <w:p w:rsidR="00973B00" w:rsidRDefault="00973B00" w:rsidP="00973B00">
      <w:pPr>
        <w:rPr>
          <w:i/>
          <w:szCs w:val="24"/>
        </w:rPr>
      </w:pPr>
    </w:p>
    <w:p w:rsidR="0011623D" w:rsidRDefault="0011623D" w:rsidP="0011623D">
      <w:pPr>
        <w:pStyle w:val="Normaltindrag"/>
      </w:pPr>
    </w:p>
    <w:p w:rsidR="00716872" w:rsidRDefault="00716872" w:rsidP="0011623D">
      <w:pPr>
        <w:pStyle w:val="Normaltindrag"/>
      </w:pPr>
    </w:p>
    <w:p w:rsidR="0011623D" w:rsidRDefault="0011623D" w:rsidP="0011623D">
      <w:pPr>
        <w:pStyle w:val="Normaltindrag"/>
      </w:pPr>
    </w:p>
    <w:p w:rsidR="0011623D" w:rsidRDefault="0011623D" w:rsidP="0011623D">
      <w:pPr>
        <w:pStyle w:val="Normaltindrag"/>
      </w:pPr>
    </w:p>
    <w:p w:rsidR="00BB076A" w:rsidRPr="00745808" w:rsidRDefault="00BB076A" w:rsidP="00BB076A">
      <w:pPr>
        <w:rPr>
          <w:i/>
          <w:szCs w:val="24"/>
        </w:rPr>
      </w:pPr>
      <w:r w:rsidRPr="00745808">
        <w:rPr>
          <w:i/>
          <w:szCs w:val="24"/>
        </w:rPr>
        <w:t>Direktionen föreslår</w:t>
      </w:r>
    </w:p>
    <w:p w:rsidR="00BB076A" w:rsidRPr="00745808" w:rsidRDefault="00BB076A" w:rsidP="00BB076A">
      <w:pPr>
        <w:rPr>
          <w:szCs w:val="24"/>
        </w:rPr>
      </w:pPr>
    </w:p>
    <w:p w:rsidR="00BB076A" w:rsidRPr="00745808" w:rsidRDefault="00BB076A" w:rsidP="00BB076A">
      <w:pPr>
        <w:rPr>
          <w:szCs w:val="24"/>
        </w:rPr>
      </w:pPr>
      <w:r w:rsidRPr="00745808">
        <w:rPr>
          <w:szCs w:val="24"/>
        </w:rPr>
        <w:t>att riksdagen fastställer Riksbankens resultaträkning och balansräkning enligt förslaget</w:t>
      </w:r>
      <w:r w:rsidRPr="001A6D75">
        <w:rPr>
          <w:szCs w:val="24"/>
        </w:rPr>
        <w:t xml:space="preserve"> </w:t>
      </w:r>
      <w:r>
        <w:rPr>
          <w:szCs w:val="24"/>
        </w:rPr>
        <w:t>i årsredovisningen för räken</w:t>
      </w:r>
      <w:r w:rsidR="006A2986">
        <w:rPr>
          <w:szCs w:val="24"/>
        </w:rPr>
        <w:t>skapsåret 2014</w:t>
      </w:r>
      <w:r w:rsidRPr="00745808">
        <w:rPr>
          <w:szCs w:val="24"/>
        </w:rPr>
        <w:t>.</w:t>
      </w:r>
    </w:p>
    <w:p w:rsidR="00BB076A" w:rsidRPr="006A0F8C" w:rsidRDefault="00BB076A" w:rsidP="00EA2E7E">
      <w:pPr>
        <w:spacing w:before="480"/>
        <w:rPr>
          <w:szCs w:val="24"/>
        </w:rPr>
      </w:pPr>
      <w:r w:rsidRPr="006A0F8C">
        <w:rPr>
          <w:szCs w:val="24"/>
        </w:rPr>
        <w:t xml:space="preserve">Stockholm den </w:t>
      </w:r>
      <w:r w:rsidR="006A2986">
        <w:rPr>
          <w:szCs w:val="24"/>
        </w:rPr>
        <w:t>5</w:t>
      </w:r>
      <w:r w:rsidRPr="006A0F8C">
        <w:rPr>
          <w:szCs w:val="24"/>
        </w:rPr>
        <w:t xml:space="preserve"> februari 20</w:t>
      </w:r>
      <w:r w:rsidR="006A2986">
        <w:rPr>
          <w:szCs w:val="24"/>
        </w:rPr>
        <w:t>15</w:t>
      </w:r>
    </w:p>
    <w:p w:rsidR="00BB076A" w:rsidRPr="00745808" w:rsidRDefault="00BB076A" w:rsidP="00EA2E7E">
      <w:pPr>
        <w:spacing w:before="240"/>
        <w:rPr>
          <w:szCs w:val="24"/>
        </w:rPr>
      </w:pPr>
      <w:r w:rsidRPr="00745808">
        <w:rPr>
          <w:szCs w:val="24"/>
        </w:rPr>
        <w:t>På direktionens vägnar</w:t>
      </w:r>
    </w:p>
    <w:p w:rsidR="00BB076A" w:rsidRPr="00745808" w:rsidRDefault="00BB076A" w:rsidP="00EA2E7E">
      <w:pPr>
        <w:spacing w:before="720"/>
        <w:rPr>
          <w:szCs w:val="24"/>
        </w:rPr>
      </w:pPr>
      <w:r w:rsidRPr="00745808">
        <w:rPr>
          <w:szCs w:val="24"/>
        </w:rPr>
        <w:t>STEFAN INGVES</w:t>
      </w:r>
    </w:p>
    <w:p w:rsidR="00BB076A" w:rsidRPr="006A0F8C" w:rsidRDefault="00BB076A" w:rsidP="00BB076A">
      <w:pPr>
        <w:rPr>
          <w:szCs w:val="24"/>
        </w:rPr>
      </w:pPr>
      <w:r w:rsidRPr="008C31D4">
        <w:rPr>
          <w:color w:val="FF0000"/>
          <w:szCs w:val="24"/>
        </w:rPr>
        <w:tab/>
      </w:r>
      <w:r w:rsidRPr="008C31D4">
        <w:rPr>
          <w:color w:val="FF0000"/>
          <w:szCs w:val="24"/>
        </w:rPr>
        <w:tab/>
      </w:r>
      <w:r w:rsidRPr="008C31D4">
        <w:rPr>
          <w:color w:val="FF0000"/>
          <w:szCs w:val="24"/>
        </w:rPr>
        <w:tab/>
      </w:r>
      <w:r w:rsidRPr="00D532E2">
        <w:rPr>
          <w:szCs w:val="24"/>
        </w:rPr>
        <w:t>/</w:t>
      </w:r>
      <w:r>
        <w:rPr>
          <w:szCs w:val="24"/>
        </w:rPr>
        <w:t>Kerstin Haglund</w:t>
      </w:r>
    </w:p>
    <w:p w:rsidR="00BB076A" w:rsidRPr="008C31D4" w:rsidRDefault="00BB076A" w:rsidP="00BB076A"/>
    <w:p w:rsidR="00BB076A" w:rsidRPr="008C31D4" w:rsidRDefault="00BB076A" w:rsidP="00BB076A"/>
    <w:p w:rsidR="00BB076A" w:rsidRPr="006A0F8C" w:rsidRDefault="00BB076A" w:rsidP="00EA2E7E">
      <w:pPr>
        <w:pStyle w:val="Deltagare"/>
      </w:pPr>
      <w:r w:rsidRPr="006A0F8C">
        <w:t xml:space="preserve">Stefan Ingves (ordförande), </w:t>
      </w:r>
      <w:r>
        <w:t>Kerstin af Jochnick (förste vice ordförande),</w:t>
      </w:r>
      <w:r w:rsidRPr="006A0F8C">
        <w:t xml:space="preserve"> </w:t>
      </w:r>
      <w:r>
        <w:t>Martin Flodén, Per Jansson</w:t>
      </w:r>
      <w:r w:rsidR="00C712B3">
        <w:t>, Henry Ohlsson</w:t>
      </w:r>
      <w:r>
        <w:t xml:space="preserve"> </w:t>
      </w:r>
      <w:r w:rsidRPr="006A0F8C">
        <w:t xml:space="preserve">och </w:t>
      </w:r>
      <w:r>
        <w:t>Cecilia Skingsley</w:t>
      </w:r>
      <w:r w:rsidRPr="006A0F8C">
        <w:t xml:space="preserve"> har deltagit i beslutet.</w:t>
      </w:r>
    </w:p>
    <w:p w:rsidR="00BB076A" w:rsidRDefault="00BB076A" w:rsidP="00EA2E7E">
      <w:pPr>
        <w:spacing w:before="240"/>
      </w:pPr>
      <w:r>
        <w:t>Pia Kronestedt Metz</w:t>
      </w:r>
      <w:r w:rsidRPr="005702B0">
        <w:t xml:space="preserve"> </w:t>
      </w:r>
      <w:r w:rsidRPr="00745808">
        <w:t>har varit</w:t>
      </w:r>
      <w:r w:rsidRPr="005702B0">
        <w:t xml:space="preserve"> </w:t>
      </w:r>
      <w:r>
        <w:t>f</w:t>
      </w:r>
      <w:r w:rsidRPr="00745808">
        <w:t>öredragande</w:t>
      </w:r>
      <w:r w:rsidRPr="006A0F8C">
        <w:t>.</w:t>
      </w:r>
      <w:r>
        <w:t xml:space="preserve"> </w:t>
      </w:r>
    </w:p>
    <w:p w:rsidR="00FB4722" w:rsidRDefault="00FB4722" w:rsidP="00D9577F">
      <w:pPr>
        <w:pStyle w:val="Normaltindrag"/>
        <w:ind w:firstLine="0"/>
        <w:sectPr w:rsidR="00FB4722">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FB4722" w:rsidRDefault="00FB4722" w:rsidP="00FB4722">
      <w:pPr>
        <w:pStyle w:val="Rubrik1"/>
      </w:pPr>
      <w:bookmarkStart w:id="16" w:name="_Toc405789651"/>
      <w:bookmarkStart w:id="17" w:name="_Toc408946414"/>
      <w:r>
        <w:t>Innehållsförteckning</w:t>
      </w:r>
      <w:bookmarkEnd w:id="16"/>
      <w:bookmarkEnd w:id="17"/>
    </w:p>
    <w:p w:rsidR="00C00323" w:rsidRPr="00641888" w:rsidRDefault="00FB4722">
      <w:pPr>
        <w:pStyle w:val="Innehll1"/>
        <w:rPr>
          <w:rFonts w:ascii="Calibri" w:hAnsi="Calibri"/>
          <w:noProof/>
          <w:sz w:val="22"/>
          <w:szCs w:val="22"/>
        </w:rPr>
      </w:pPr>
      <w:r>
        <w:fldChar w:fldCharType="begin"/>
      </w:r>
      <w:r>
        <w:instrText xml:space="preserve"> TOC \o "1-4" </w:instrText>
      </w:r>
      <w:r>
        <w:fldChar w:fldCharType="separate"/>
      </w:r>
      <w:r w:rsidR="00C00323">
        <w:rPr>
          <w:noProof/>
        </w:rPr>
        <w:t>Riksbankschefens kommentar</w:t>
      </w:r>
      <w:r w:rsidR="00C00323">
        <w:rPr>
          <w:noProof/>
        </w:rPr>
        <w:tab/>
      </w:r>
      <w:r w:rsidR="00C00323">
        <w:rPr>
          <w:noProof/>
        </w:rPr>
        <w:fldChar w:fldCharType="begin"/>
      </w:r>
      <w:r w:rsidR="00C00323">
        <w:rPr>
          <w:noProof/>
        </w:rPr>
        <w:instrText xml:space="preserve"> PAGEREF _Toc408946415 \h </w:instrText>
      </w:r>
      <w:r w:rsidR="00C00323">
        <w:rPr>
          <w:noProof/>
        </w:rPr>
      </w:r>
      <w:r w:rsidR="00C00323">
        <w:rPr>
          <w:noProof/>
        </w:rPr>
        <w:fldChar w:fldCharType="separate"/>
      </w:r>
      <w:r w:rsidR="00E2207E">
        <w:rPr>
          <w:noProof/>
        </w:rPr>
        <w:t>6</w:t>
      </w:r>
      <w:r w:rsidR="00C00323">
        <w:rPr>
          <w:noProof/>
        </w:rPr>
        <w:fldChar w:fldCharType="end"/>
      </w:r>
    </w:p>
    <w:p w:rsidR="00F84E67" w:rsidRDefault="00F84E67">
      <w:pPr>
        <w:pStyle w:val="Innehll1"/>
        <w:rPr>
          <w:noProof/>
        </w:rPr>
      </w:pPr>
    </w:p>
    <w:p w:rsidR="00C00323" w:rsidRPr="00641888" w:rsidRDefault="00C00323">
      <w:pPr>
        <w:pStyle w:val="Innehll1"/>
        <w:rPr>
          <w:rFonts w:ascii="Calibri" w:hAnsi="Calibri"/>
          <w:noProof/>
          <w:sz w:val="22"/>
          <w:szCs w:val="22"/>
        </w:rPr>
      </w:pPr>
      <w:r>
        <w:rPr>
          <w:noProof/>
        </w:rPr>
        <w:t>FÖRVALTNINGSBERÄTTELSE</w:t>
      </w:r>
      <w:r>
        <w:rPr>
          <w:noProof/>
        </w:rPr>
        <w:tab/>
      </w:r>
      <w:r>
        <w:rPr>
          <w:noProof/>
        </w:rPr>
        <w:fldChar w:fldCharType="begin"/>
      </w:r>
      <w:r>
        <w:rPr>
          <w:noProof/>
        </w:rPr>
        <w:instrText xml:space="preserve"> PAGEREF _Toc408946416 \h </w:instrText>
      </w:r>
      <w:r>
        <w:rPr>
          <w:noProof/>
        </w:rPr>
      </w:r>
      <w:r>
        <w:rPr>
          <w:noProof/>
        </w:rPr>
        <w:fldChar w:fldCharType="separate"/>
      </w:r>
      <w:r w:rsidR="00E2207E">
        <w:rPr>
          <w:noProof/>
        </w:rPr>
        <w:t>9</w:t>
      </w:r>
      <w:r>
        <w:rPr>
          <w:noProof/>
        </w:rPr>
        <w:fldChar w:fldCharType="end"/>
      </w:r>
    </w:p>
    <w:p w:rsidR="00C00323" w:rsidRPr="00641888" w:rsidRDefault="00C00323">
      <w:pPr>
        <w:pStyle w:val="Innehll1"/>
        <w:rPr>
          <w:rFonts w:ascii="Calibri" w:hAnsi="Calibri"/>
          <w:noProof/>
          <w:sz w:val="22"/>
          <w:szCs w:val="22"/>
        </w:rPr>
      </w:pPr>
      <w:r>
        <w:rPr>
          <w:noProof/>
        </w:rPr>
        <w:t>Riksbankens uppgifter och roll</w:t>
      </w:r>
      <w:r>
        <w:rPr>
          <w:noProof/>
        </w:rPr>
        <w:tab/>
      </w:r>
      <w:r>
        <w:rPr>
          <w:noProof/>
        </w:rPr>
        <w:fldChar w:fldCharType="begin"/>
      </w:r>
      <w:r>
        <w:rPr>
          <w:noProof/>
        </w:rPr>
        <w:instrText xml:space="preserve"> PAGEREF _Toc408946417 \h </w:instrText>
      </w:r>
      <w:r>
        <w:rPr>
          <w:noProof/>
        </w:rPr>
      </w:r>
      <w:r>
        <w:rPr>
          <w:noProof/>
        </w:rPr>
        <w:fldChar w:fldCharType="separate"/>
      </w:r>
      <w:r w:rsidR="00E2207E">
        <w:rPr>
          <w:noProof/>
        </w:rPr>
        <w:t>9</w:t>
      </w:r>
      <w:r>
        <w:rPr>
          <w:noProof/>
        </w:rPr>
        <w:fldChar w:fldCharType="end"/>
      </w:r>
    </w:p>
    <w:p w:rsidR="00C00323" w:rsidRPr="00641888" w:rsidRDefault="00C00323">
      <w:pPr>
        <w:pStyle w:val="Innehll1"/>
        <w:rPr>
          <w:rFonts w:ascii="Calibri" w:hAnsi="Calibri"/>
          <w:noProof/>
          <w:sz w:val="22"/>
          <w:szCs w:val="22"/>
        </w:rPr>
      </w:pPr>
      <w:r>
        <w:rPr>
          <w:noProof/>
        </w:rPr>
        <w:t>Organisation och styrning</w:t>
      </w:r>
      <w:r>
        <w:rPr>
          <w:noProof/>
        </w:rPr>
        <w:tab/>
      </w:r>
      <w:r>
        <w:rPr>
          <w:noProof/>
        </w:rPr>
        <w:fldChar w:fldCharType="begin"/>
      </w:r>
      <w:r>
        <w:rPr>
          <w:noProof/>
        </w:rPr>
        <w:instrText xml:space="preserve"> PAGEREF _Toc408946418 \h </w:instrText>
      </w:r>
      <w:r>
        <w:rPr>
          <w:noProof/>
        </w:rPr>
      </w:r>
      <w:r>
        <w:rPr>
          <w:noProof/>
        </w:rPr>
        <w:fldChar w:fldCharType="separate"/>
      </w:r>
      <w:r w:rsidR="00E2207E">
        <w:rPr>
          <w:noProof/>
        </w:rPr>
        <w:t>14</w:t>
      </w:r>
      <w:r>
        <w:rPr>
          <w:noProof/>
        </w:rPr>
        <w:fldChar w:fldCharType="end"/>
      </w:r>
    </w:p>
    <w:p w:rsidR="00C00323" w:rsidRPr="00641888" w:rsidRDefault="00C00323">
      <w:pPr>
        <w:pStyle w:val="Innehll1"/>
        <w:rPr>
          <w:rFonts w:ascii="Calibri" w:hAnsi="Calibri"/>
          <w:noProof/>
          <w:sz w:val="22"/>
          <w:szCs w:val="22"/>
        </w:rPr>
      </w:pPr>
      <w:r>
        <w:rPr>
          <w:noProof/>
        </w:rPr>
        <w:t>Ett fast penningvärde – prisstabilitet</w:t>
      </w:r>
      <w:r>
        <w:rPr>
          <w:noProof/>
        </w:rPr>
        <w:tab/>
      </w:r>
      <w:r>
        <w:rPr>
          <w:noProof/>
        </w:rPr>
        <w:fldChar w:fldCharType="begin"/>
      </w:r>
      <w:r>
        <w:rPr>
          <w:noProof/>
        </w:rPr>
        <w:instrText xml:space="preserve"> PAGEREF _Toc408946419 \h </w:instrText>
      </w:r>
      <w:r>
        <w:rPr>
          <w:noProof/>
        </w:rPr>
      </w:r>
      <w:r>
        <w:rPr>
          <w:noProof/>
        </w:rPr>
        <w:fldChar w:fldCharType="separate"/>
      </w:r>
      <w:r w:rsidR="00E2207E">
        <w:rPr>
          <w:noProof/>
        </w:rPr>
        <w:t>24</w:t>
      </w:r>
      <w:r>
        <w:rPr>
          <w:noProof/>
        </w:rPr>
        <w:fldChar w:fldCharType="end"/>
      </w:r>
    </w:p>
    <w:p w:rsidR="00C00323" w:rsidRPr="00641888" w:rsidRDefault="00C00323">
      <w:pPr>
        <w:pStyle w:val="Innehll1"/>
        <w:rPr>
          <w:rFonts w:ascii="Calibri" w:hAnsi="Calibri"/>
          <w:noProof/>
          <w:sz w:val="22"/>
          <w:szCs w:val="22"/>
        </w:rPr>
      </w:pPr>
      <w:r>
        <w:rPr>
          <w:noProof/>
        </w:rPr>
        <w:t>Ett säkert och effektivt betalningsväsende</w:t>
      </w:r>
      <w:r>
        <w:rPr>
          <w:noProof/>
        </w:rPr>
        <w:tab/>
      </w:r>
      <w:r>
        <w:rPr>
          <w:noProof/>
        </w:rPr>
        <w:fldChar w:fldCharType="begin"/>
      </w:r>
      <w:r>
        <w:rPr>
          <w:noProof/>
        </w:rPr>
        <w:instrText xml:space="preserve"> PAGEREF _Toc408946420 \h </w:instrText>
      </w:r>
      <w:r>
        <w:rPr>
          <w:noProof/>
        </w:rPr>
      </w:r>
      <w:r>
        <w:rPr>
          <w:noProof/>
        </w:rPr>
        <w:fldChar w:fldCharType="separate"/>
      </w:r>
      <w:r w:rsidR="00E2207E">
        <w:rPr>
          <w:noProof/>
        </w:rPr>
        <w:t>41</w:t>
      </w:r>
      <w:r>
        <w:rPr>
          <w:noProof/>
        </w:rPr>
        <w:fldChar w:fldCharType="end"/>
      </w:r>
    </w:p>
    <w:p w:rsidR="00C00323" w:rsidRPr="00641888" w:rsidRDefault="00C00323">
      <w:pPr>
        <w:pStyle w:val="Innehll1"/>
        <w:rPr>
          <w:rFonts w:ascii="Calibri" w:hAnsi="Calibri"/>
          <w:noProof/>
          <w:sz w:val="22"/>
          <w:szCs w:val="22"/>
        </w:rPr>
      </w:pPr>
      <w:r>
        <w:rPr>
          <w:noProof/>
        </w:rPr>
        <w:t>Tillgångsförvaltning</w:t>
      </w:r>
      <w:r>
        <w:rPr>
          <w:noProof/>
        </w:rPr>
        <w:tab/>
      </w:r>
      <w:r>
        <w:rPr>
          <w:noProof/>
        </w:rPr>
        <w:fldChar w:fldCharType="begin"/>
      </w:r>
      <w:r>
        <w:rPr>
          <w:noProof/>
        </w:rPr>
        <w:instrText xml:space="preserve"> PAGEREF _Toc408946421 \h </w:instrText>
      </w:r>
      <w:r>
        <w:rPr>
          <w:noProof/>
        </w:rPr>
      </w:r>
      <w:r>
        <w:rPr>
          <w:noProof/>
        </w:rPr>
        <w:fldChar w:fldCharType="separate"/>
      </w:r>
      <w:r w:rsidR="00E2207E">
        <w:rPr>
          <w:noProof/>
        </w:rPr>
        <w:t>61</w:t>
      </w:r>
      <w:r>
        <w:rPr>
          <w:noProof/>
        </w:rPr>
        <w:fldChar w:fldCharType="end"/>
      </w:r>
    </w:p>
    <w:p w:rsidR="00F84E67" w:rsidRDefault="00F84E67">
      <w:pPr>
        <w:pStyle w:val="Innehll1"/>
        <w:rPr>
          <w:noProof/>
        </w:rPr>
      </w:pPr>
    </w:p>
    <w:p w:rsidR="00C00323" w:rsidRPr="00641888" w:rsidRDefault="00C00323">
      <w:pPr>
        <w:pStyle w:val="Innehll1"/>
        <w:rPr>
          <w:rFonts w:ascii="Calibri" w:hAnsi="Calibri"/>
          <w:noProof/>
          <w:sz w:val="22"/>
          <w:szCs w:val="22"/>
        </w:rPr>
      </w:pPr>
      <w:r>
        <w:rPr>
          <w:noProof/>
        </w:rPr>
        <w:t>BALANSRÄKNING OCH RESULTATRÄKNING</w:t>
      </w:r>
      <w:r>
        <w:rPr>
          <w:noProof/>
        </w:rPr>
        <w:tab/>
      </w:r>
      <w:r>
        <w:rPr>
          <w:noProof/>
        </w:rPr>
        <w:fldChar w:fldCharType="begin"/>
      </w:r>
      <w:r>
        <w:rPr>
          <w:noProof/>
        </w:rPr>
        <w:instrText xml:space="preserve"> PAGEREF _Toc408946422 \h </w:instrText>
      </w:r>
      <w:r>
        <w:rPr>
          <w:noProof/>
        </w:rPr>
      </w:r>
      <w:r>
        <w:rPr>
          <w:noProof/>
        </w:rPr>
        <w:fldChar w:fldCharType="separate"/>
      </w:r>
      <w:r w:rsidR="00E2207E">
        <w:rPr>
          <w:noProof/>
        </w:rPr>
        <w:t>77</w:t>
      </w:r>
      <w:r>
        <w:rPr>
          <w:noProof/>
        </w:rPr>
        <w:fldChar w:fldCharType="end"/>
      </w:r>
    </w:p>
    <w:p w:rsidR="00C00323" w:rsidRPr="00641888" w:rsidRDefault="00C00323">
      <w:pPr>
        <w:pStyle w:val="Innehll1"/>
        <w:rPr>
          <w:rFonts w:ascii="Calibri" w:hAnsi="Calibri"/>
          <w:noProof/>
          <w:sz w:val="22"/>
          <w:szCs w:val="22"/>
        </w:rPr>
      </w:pPr>
      <w:r>
        <w:rPr>
          <w:noProof/>
        </w:rPr>
        <w:t>Redovisningsprinciper</w:t>
      </w:r>
      <w:r>
        <w:rPr>
          <w:noProof/>
        </w:rPr>
        <w:tab/>
      </w:r>
      <w:r>
        <w:rPr>
          <w:noProof/>
        </w:rPr>
        <w:fldChar w:fldCharType="begin"/>
      </w:r>
      <w:r>
        <w:rPr>
          <w:noProof/>
        </w:rPr>
        <w:instrText xml:space="preserve"> PAGEREF _Toc408946423 \h </w:instrText>
      </w:r>
      <w:r>
        <w:rPr>
          <w:noProof/>
        </w:rPr>
      </w:r>
      <w:r>
        <w:rPr>
          <w:noProof/>
        </w:rPr>
        <w:fldChar w:fldCharType="separate"/>
      </w:r>
      <w:r w:rsidR="00E2207E">
        <w:rPr>
          <w:noProof/>
        </w:rPr>
        <w:t>77</w:t>
      </w:r>
      <w:r>
        <w:rPr>
          <w:noProof/>
        </w:rPr>
        <w:fldChar w:fldCharType="end"/>
      </w:r>
    </w:p>
    <w:p w:rsidR="00C00323" w:rsidRPr="00641888" w:rsidRDefault="00C00323">
      <w:pPr>
        <w:pStyle w:val="Innehll1"/>
        <w:rPr>
          <w:rFonts w:ascii="Calibri" w:hAnsi="Calibri"/>
          <w:noProof/>
          <w:sz w:val="22"/>
          <w:szCs w:val="22"/>
        </w:rPr>
      </w:pPr>
      <w:r>
        <w:rPr>
          <w:noProof/>
        </w:rPr>
        <w:t>Balansräkning</w:t>
      </w:r>
      <w:r>
        <w:rPr>
          <w:noProof/>
        </w:rPr>
        <w:tab/>
      </w:r>
      <w:r>
        <w:rPr>
          <w:noProof/>
        </w:rPr>
        <w:fldChar w:fldCharType="begin"/>
      </w:r>
      <w:r>
        <w:rPr>
          <w:noProof/>
        </w:rPr>
        <w:instrText xml:space="preserve"> PAGEREF _Toc408946424 \h </w:instrText>
      </w:r>
      <w:r>
        <w:rPr>
          <w:noProof/>
        </w:rPr>
      </w:r>
      <w:r>
        <w:rPr>
          <w:noProof/>
        </w:rPr>
        <w:fldChar w:fldCharType="separate"/>
      </w:r>
      <w:r w:rsidR="00E2207E">
        <w:rPr>
          <w:noProof/>
        </w:rPr>
        <w:t>81</w:t>
      </w:r>
      <w:r>
        <w:rPr>
          <w:noProof/>
        </w:rPr>
        <w:fldChar w:fldCharType="end"/>
      </w:r>
    </w:p>
    <w:p w:rsidR="00C00323" w:rsidRPr="00641888" w:rsidRDefault="00C00323">
      <w:pPr>
        <w:pStyle w:val="Innehll1"/>
        <w:rPr>
          <w:rFonts w:ascii="Calibri" w:hAnsi="Calibri"/>
          <w:noProof/>
          <w:sz w:val="22"/>
          <w:szCs w:val="22"/>
        </w:rPr>
      </w:pPr>
      <w:r>
        <w:rPr>
          <w:noProof/>
        </w:rPr>
        <w:t>Resultaträkning</w:t>
      </w:r>
      <w:r>
        <w:rPr>
          <w:noProof/>
        </w:rPr>
        <w:tab/>
      </w:r>
      <w:r>
        <w:rPr>
          <w:noProof/>
        </w:rPr>
        <w:fldChar w:fldCharType="begin"/>
      </w:r>
      <w:r>
        <w:rPr>
          <w:noProof/>
        </w:rPr>
        <w:instrText xml:space="preserve"> PAGEREF _Toc408946425 \h </w:instrText>
      </w:r>
      <w:r>
        <w:rPr>
          <w:noProof/>
        </w:rPr>
      </w:r>
      <w:r>
        <w:rPr>
          <w:noProof/>
        </w:rPr>
        <w:fldChar w:fldCharType="separate"/>
      </w:r>
      <w:r w:rsidR="00E2207E">
        <w:rPr>
          <w:noProof/>
        </w:rPr>
        <w:t>83</w:t>
      </w:r>
      <w:r>
        <w:rPr>
          <w:noProof/>
        </w:rPr>
        <w:fldChar w:fldCharType="end"/>
      </w:r>
    </w:p>
    <w:p w:rsidR="00C00323" w:rsidRPr="00641888" w:rsidRDefault="00C00323">
      <w:pPr>
        <w:pStyle w:val="Innehll1"/>
        <w:rPr>
          <w:rFonts w:ascii="Calibri" w:hAnsi="Calibri"/>
          <w:noProof/>
          <w:sz w:val="22"/>
          <w:szCs w:val="22"/>
        </w:rPr>
      </w:pPr>
      <w:r>
        <w:rPr>
          <w:noProof/>
        </w:rPr>
        <w:t>Kassaflödesanalys</w:t>
      </w:r>
      <w:r>
        <w:rPr>
          <w:noProof/>
        </w:rPr>
        <w:tab/>
      </w:r>
      <w:r>
        <w:rPr>
          <w:noProof/>
        </w:rPr>
        <w:fldChar w:fldCharType="begin"/>
      </w:r>
      <w:r>
        <w:rPr>
          <w:noProof/>
        </w:rPr>
        <w:instrText xml:space="preserve"> PAGEREF _Toc408946426 \h </w:instrText>
      </w:r>
      <w:r>
        <w:rPr>
          <w:noProof/>
        </w:rPr>
      </w:r>
      <w:r>
        <w:rPr>
          <w:noProof/>
        </w:rPr>
        <w:fldChar w:fldCharType="separate"/>
      </w:r>
      <w:r w:rsidR="00E2207E">
        <w:rPr>
          <w:noProof/>
        </w:rPr>
        <w:t>84</w:t>
      </w:r>
      <w:r>
        <w:rPr>
          <w:noProof/>
        </w:rPr>
        <w:fldChar w:fldCharType="end"/>
      </w:r>
    </w:p>
    <w:p w:rsidR="00C00323" w:rsidRPr="00641888" w:rsidRDefault="00C00323">
      <w:pPr>
        <w:pStyle w:val="Innehll1"/>
        <w:rPr>
          <w:rFonts w:ascii="Calibri" w:hAnsi="Calibri"/>
          <w:noProof/>
          <w:sz w:val="22"/>
          <w:szCs w:val="22"/>
        </w:rPr>
      </w:pPr>
      <w:r>
        <w:rPr>
          <w:noProof/>
        </w:rPr>
        <w:t>Noter</w:t>
      </w:r>
      <w:r>
        <w:rPr>
          <w:noProof/>
        </w:rPr>
        <w:tab/>
      </w:r>
      <w:r>
        <w:rPr>
          <w:noProof/>
        </w:rPr>
        <w:fldChar w:fldCharType="begin"/>
      </w:r>
      <w:r>
        <w:rPr>
          <w:noProof/>
        </w:rPr>
        <w:instrText xml:space="preserve"> PAGEREF _Toc408946427 \h </w:instrText>
      </w:r>
      <w:r>
        <w:rPr>
          <w:noProof/>
        </w:rPr>
      </w:r>
      <w:r>
        <w:rPr>
          <w:noProof/>
        </w:rPr>
        <w:fldChar w:fldCharType="separate"/>
      </w:r>
      <w:r w:rsidR="00E2207E">
        <w:rPr>
          <w:noProof/>
        </w:rPr>
        <w:t>87</w:t>
      </w:r>
      <w:r>
        <w:rPr>
          <w:noProof/>
        </w:rPr>
        <w:fldChar w:fldCharType="end"/>
      </w:r>
    </w:p>
    <w:p w:rsidR="00C00323" w:rsidRPr="00641888" w:rsidRDefault="00C00323">
      <w:pPr>
        <w:pStyle w:val="Innehll1"/>
        <w:rPr>
          <w:rFonts w:ascii="Calibri" w:hAnsi="Calibri"/>
          <w:noProof/>
          <w:sz w:val="22"/>
          <w:szCs w:val="22"/>
        </w:rPr>
      </w:pPr>
      <w:r>
        <w:rPr>
          <w:noProof/>
        </w:rPr>
        <w:t>Resultaträkning och balansräkning fördelade på verksamhetsområden</w:t>
      </w:r>
      <w:r>
        <w:rPr>
          <w:noProof/>
        </w:rPr>
        <w:tab/>
      </w:r>
      <w:r>
        <w:rPr>
          <w:noProof/>
        </w:rPr>
        <w:fldChar w:fldCharType="begin"/>
      </w:r>
      <w:r>
        <w:rPr>
          <w:noProof/>
        </w:rPr>
        <w:instrText xml:space="preserve"> PAGEREF _Toc408946428 \h </w:instrText>
      </w:r>
      <w:r>
        <w:rPr>
          <w:noProof/>
        </w:rPr>
      </w:r>
      <w:r>
        <w:rPr>
          <w:noProof/>
        </w:rPr>
        <w:fldChar w:fldCharType="separate"/>
      </w:r>
      <w:r w:rsidR="00E2207E">
        <w:rPr>
          <w:noProof/>
        </w:rPr>
        <w:t>106</w:t>
      </w:r>
      <w:r>
        <w:rPr>
          <w:noProof/>
        </w:rPr>
        <w:fldChar w:fldCharType="end"/>
      </w:r>
    </w:p>
    <w:p w:rsidR="00C00323" w:rsidRPr="00641888" w:rsidRDefault="00C00323">
      <w:pPr>
        <w:pStyle w:val="Innehll1"/>
        <w:rPr>
          <w:rFonts w:ascii="Calibri" w:hAnsi="Calibri"/>
          <w:noProof/>
          <w:sz w:val="22"/>
          <w:szCs w:val="22"/>
        </w:rPr>
      </w:pPr>
      <w:r>
        <w:rPr>
          <w:noProof/>
        </w:rPr>
        <w:t>Femårsöversikt</w:t>
      </w:r>
      <w:r>
        <w:rPr>
          <w:noProof/>
        </w:rPr>
        <w:tab/>
      </w:r>
      <w:r>
        <w:rPr>
          <w:noProof/>
        </w:rPr>
        <w:fldChar w:fldCharType="begin"/>
      </w:r>
      <w:r>
        <w:rPr>
          <w:noProof/>
        </w:rPr>
        <w:instrText xml:space="preserve"> PAGEREF _Toc408946429 \h </w:instrText>
      </w:r>
      <w:r>
        <w:rPr>
          <w:noProof/>
        </w:rPr>
      </w:r>
      <w:r>
        <w:rPr>
          <w:noProof/>
        </w:rPr>
        <w:fldChar w:fldCharType="separate"/>
      </w:r>
      <w:r w:rsidR="00E2207E">
        <w:rPr>
          <w:noProof/>
        </w:rPr>
        <w:t>110</w:t>
      </w:r>
      <w:r>
        <w:rPr>
          <w:noProof/>
        </w:rPr>
        <w:fldChar w:fldCharType="end"/>
      </w:r>
    </w:p>
    <w:p w:rsidR="00F84E67" w:rsidRDefault="00F84E67">
      <w:pPr>
        <w:pStyle w:val="Innehll1"/>
        <w:rPr>
          <w:noProof/>
        </w:rPr>
      </w:pPr>
    </w:p>
    <w:p w:rsidR="00C00323" w:rsidRPr="00641888" w:rsidRDefault="00C00323">
      <w:pPr>
        <w:pStyle w:val="Innehll1"/>
        <w:rPr>
          <w:rFonts w:ascii="Calibri" w:hAnsi="Calibri"/>
          <w:noProof/>
          <w:sz w:val="22"/>
          <w:szCs w:val="22"/>
        </w:rPr>
      </w:pPr>
      <w:r>
        <w:rPr>
          <w:noProof/>
        </w:rPr>
        <w:t>INTERN STYRNING OCH KONTROLL</w:t>
      </w:r>
      <w:r>
        <w:rPr>
          <w:noProof/>
        </w:rPr>
        <w:tab/>
      </w:r>
      <w:r>
        <w:rPr>
          <w:noProof/>
        </w:rPr>
        <w:fldChar w:fldCharType="begin"/>
      </w:r>
      <w:r>
        <w:rPr>
          <w:noProof/>
        </w:rPr>
        <w:instrText xml:space="preserve"> PAGEREF _Toc408946430 \h </w:instrText>
      </w:r>
      <w:r>
        <w:rPr>
          <w:noProof/>
        </w:rPr>
      </w:r>
      <w:r>
        <w:rPr>
          <w:noProof/>
        </w:rPr>
        <w:fldChar w:fldCharType="separate"/>
      </w:r>
      <w:r w:rsidR="00E2207E">
        <w:rPr>
          <w:noProof/>
        </w:rPr>
        <w:t>113</w:t>
      </w:r>
      <w:r>
        <w:rPr>
          <w:noProof/>
        </w:rPr>
        <w:fldChar w:fldCharType="end"/>
      </w:r>
    </w:p>
    <w:p w:rsidR="00F84E67" w:rsidRDefault="00F84E67">
      <w:pPr>
        <w:pStyle w:val="Innehll1"/>
        <w:rPr>
          <w:noProof/>
        </w:rPr>
      </w:pPr>
    </w:p>
    <w:p w:rsidR="00C00323" w:rsidRPr="00641888" w:rsidRDefault="00C00323">
      <w:pPr>
        <w:pStyle w:val="Innehll1"/>
        <w:rPr>
          <w:rFonts w:ascii="Calibri" w:hAnsi="Calibri"/>
          <w:noProof/>
          <w:sz w:val="22"/>
          <w:szCs w:val="22"/>
        </w:rPr>
      </w:pPr>
      <w:r>
        <w:rPr>
          <w:noProof/>
        </w:rPr>
        <w:t>BILAGOR</w:t>
      </w:r>
      <w:r>
        <w:rPr>
          <w:noProof/>
        </w:rPr>
        <w:tab/>
      </w:r>
      <w:r>
        <w:rPr>
          <w:noProof/>
        </w:rPr>
        <w:fldChar w:fldCharType="begin"/>
      </w:r>
      <w:r>
        <w:rPr>
          <w:noProof/>
        </w:rPr>
        <w:instrText xml:space="preserve"> PAGEREF _Toc408946431 \h </w:instrText>
      </w:r>
      <w:r>
        <w:rPr>
          <w:noProof/>
        </w:rPr>
      </w:r>
      <w:r>
        <w:rPr>
          <w:noProof/>
        </w:rPr>
        <w:fldChar w:fldCharType="separate"/>
      </w:r>
      <w:r w:rsidR="00E2207E">
        <w:rPr>
          <w:noProof/>
        </w:rPr>
        <w:t>114</w:t>
      </w:r>
      <w:r>
        <w:rPr>
          <w:noProof/>
        </w:rPr>
        <w:fldChar w:fldCharType="end"/>
      </w:r>
    </w:p>
    <w:p w:rsidR="00C00323" w:rsidRPr="00641888" w:rsidRDefault="00C00323">
      <w:pPr>
        <w:pStyle w:val="Innehll1"/>
        <w:tabs>
          <w:tab w:val="left" w:pos="568"/>
        </w:tabs>
        <w:rPr>
          <w:rFonts w:ascii="Calibri" w:hAnsi="Calibri"/>
          <w:noProof/>
          <w:sz w:val="22"/>
          <w:szCs w:val="22"/>
        </w:rPr>
      </w:pPr>
      <w:r>
        <w:rPr>
          <w:noProof/>
        </w:rPr>
        <w:t>1.</w:t>
      </w:r>
      <w:r w:rsidR="00F84E67">
        <w:rPr>
          <w:noProof/>
        </w:rPr>
        <w:t xml:space="preserve"> </w:t>
      </w:r>
      <w:r>
        <w:rPr>
          <w:noProof/>
        </w:rPr>
        <w:t>Riksbankens avdelningar och deras uppgifter</w:t>
      </w:r>
      <w:r>
        <w:rPr>
          <w:noProof/>
        </w:rPr>
        <w:tab/>
      </w:r>
      <w:r>
        <w:rPr>
          <w:noProof/>
        </w:rPr>
        <w:fldChar w:fldCharType="begin"/>
      </w:r>
      <w:r>
        <w:rPr>
          <w:noProof/>
        </w:rPr>
        <w:instrText xml:space="preserve"> PAGEREF _Toc408946432 \h </w:instrText>
      </w:r>
      <w:r>
        <w:rPr>
          <w:noProof/>
        </w:rPr>
      </w:r>
      <w:r>
        <w:rPr>
          <w:noProof/>
        </w:rPr>
        <w:fldChar w:fldCharType="separate"/>
      </w:r>
      <w:r w:rsidR="00E2207E">
        <w:rPr>
          <w:noProof/>
        </w:rPr>
        <w:t>114</w:t>
      </w:r>
      <w:r>
        <w:rPr>
          <w:noProof/>
        </w:rPr>
        <w:fldChar w:fldCharType="end"/>
      </w:r>
    </w:p>
    <w:p w:rsidR="00C00323" w:rsidRPr="00641888" w:rsidRDefault="00C00323">
      <w:pPr>
        <w:pStyle w:val="Innehll1"/>
        <w:tabs>
          <w:tab w:val="left" w:pos="568"/>
        </w:tabs>
        <w:rPr>
          <w:rFonts w:ascii="Calibri" w:hAnsi="Calibri"/>
          <w:noProof/>
          <w:sz w:val="22"/>
          <w:szCs w:val="22"/>
        </w:rPr>
      </w:pPr>
      <w:r>
        <w:rPr>
          <w:noProof/>
        </w:rPr>
        <w:t>2.</w:t>
      </w:r>
      <w:r w:rsidR="00F84E67">
        <w:rPr>
          <w:noProof/>
        </w:rPr>
        <w:t xml:space="preserve"> </w:t>
      </w:r>
      <w:r>
        <w:rPr>
          <w:noProof/>
        </w:rPr>
        <w:t>Riksbankens remissarbete</w:t>
      </w:r>
      <w:r>
        <w:rPr>
          <w:noProof/>
        </w:rPr>
        <w:tab/>
      </w:r>
      <w:r>
        <w:rPr>
          <w:noProof/>
        </w:rPr>
        <w:fldChar w:fldCharType="begin"/>
      </w:r>
      <w:r>
        <w:rPr>
          <w:noProof/>
        </w:rPr>
        <w:instrText xml:space="preserve"> PAGEREF _Toc408946433 \h </w:instrText>
      </w:r>
      <w:r>
        <w:rPr>
          <w:noProof/>
        </w:rPr>
      </w:r>
      <w:r>
        <w:rPr>
          <w:noProof/>
        </w:rPr>
        <w:fldChar w:fldCharType="separate"/>
      </w:r>
      <w:r w:rsidR="00E2207E">
        <w:rPr>
          <w:noProof/>
        </w:rPr>
        <w:t>116</w:t>
      </w:r>
      <w:r>
        <w:rPr>
          <w:noProof/>
        </w:rPr>
        <w:fldChar w:fldCharType="end"/>
      </w:r>
    </w:p>
    <w:p w:rsidR="00C00323" w:rsidRPr="00641888" w:rsidRDefault="00C00323">
      <w:pPr>
        <w:pStyle w:val="Innehll1"/>
        <w:tabs>
          <w:tab w:val="left" w:pos="568"/>
        </w:tabs>
        <w:rPr>
          <w:rFonts w:ascii="Calibri" w:hAnsi="Calibri"/>
          <w:noProof/>
          <w:sz w:val="22"/>
          <w:szCs w:val="22"/>
        </w:rPr>
      </w:pPr>
      <w:r>
        <w:rPr>
          <w:noProof/>
        </w:rPr>
        <w:t>3.</w:t>
      </w:r>
      <w:r w:rsidR="00F84E67">
        <w:rPr>
          <w:noProof/>
        </w:rPr>
        <w:t xml:space="preserve"> </w:t>
      </w:r>
      <w:r>
        <w:rPr>
          <w:noProof/>
        </w:rPr>
        <w:t>Publikationer</w:t>
      </w:r>
      <w:r>
        <w:rPr>
          <w:noProof/>
        </w:rPr>
        <w:tab/>
      </w:r>
      <w:r>
        <w:rPr>
          <w:noProof/>
        </w:rPr>
        <w:fldChar w:fldCharType="begin"/>
      </w:r>
      <w:r>
        <w:rPr>
          <w:noProof/>
        </w:rPr>
        <w:instrText xml:space="preserve"> PAGEREF _Toc408946434 \h </w:instrText>
      </w:r>
      <w:r>
        <w:rPr>
          <w:noProof/>
        </w:rPr>
      </w:r>
      <w:r>
        <w:rPr>
          <w:noProof/>
        </w:rPr>
        <w:fldChar w:fldCharType="separate"/>
      </w:r>
      <w:r w:rsidR="00E2207E">
        <w:rPr>
          <w:noProof/>
        </w:rPr>
        <w:t>117</w:t>
      </w:r>
      <w:r>
        <w:rPr>
          <w:noProof/>
        </w:rPr>
        <w:fldChar w:fldCharType="end"/>
      </w:r>
    </w:p>
    <w:p w:rsidR="00C00323" w:rsidRPr="00641888" w:rsidRDefault="00C00323">
      <w:pPr>
        <w:pStyle w:val="Innehll1"/>
        <w:tabs>
          <w:tab w:val="left" w:pos="568"/>
        </w:tabs>
        <w:rPr>
          <w:rFonts w:ascii="Calibri" w:hAnsi="Calibri"/>
          <w:noProof/>
          <w:sz w:val="22"/>
          <w:szCs w:val="22"/>
        </w:rPr>
      </w:pPr>
      <w:r>
        <w:rPr>
          <w:noProof/>
        </w:rPr>
        <w:t>4.</w:t>
      </w:r>
      <w:r w:rsidR="00F84E67">
        <w:rPr>
          <w:noProof/>
        </w:rPr>
        <w:t xml:space="preserve"> </w:t>
      </w:r>
      <w:r>
        <w:rPr>
          <w:noProof/>
        </w:rPr>
        <w:t>Sveriges riksbanks pris i ekonomisk vetenskap till Alfred Nobels minne 2014</w:t>
      </w:r>
      <w:r>
        <w:rPr>
          <w:noProof/>
        </w:rPr>
        <w:tab/>
      </w:r>
      <w:r>
        <w:rPr>
          <w:noProof/>
        </w:rPr>
        <w:fldChar w:fldCharType="begin"/>
      </w:r>
      <w:r>
        <w:rPr>
          <w:noProof/>
        </w:rPr>
        <w:instrText xml:space="preserve"> PAGEREF _Toc408946435 \h </w:instrText>
      </w:r>
      <w:r>
        <w:rPr>
          <w:noProof/>
        </w:rPr>
      </w:r>
      <w:r>
        <w:rPr>
          <w:noProof/>
        </w:rPr>
        <w:fldChar w:fldCharType="separate"/>
      </w:r>
      <w:r w:rsidR="00E2207E">
        <w:rPr>
          <w:noProof/>
        </w:rPr>
        <w:t>119</w:t>
      </w:r>
      <w:r>
        <w:rPr>
          <w:noProof/>
        </w:rPr>
        <w:fldChar w:fldCharType="end"/>
      </w:r>
    </w:p>
    <w:p w:rsidR="00C00323" w:rsidRPr="00641888" w:rsidRDefault="00C00323">
      <w:pPr>
        <w:pStyle w:val="Innehll1"/>
        <w:tabs>
          <w:tab w:val="left" w:pos="568"/>
        </w:tabs>
        <w:rPr>
          <w:rFonts w:ascii="Calibri" w:hAnsi="Calibri"/>
          <w:noProof/>
          <w:sz w:val="22"/>
          <w:szCs w:val="22"/>
        </w:rPr>
      </w:pPr>
      <w:r>
        <w:rPr>
          <w:noProof/>
        </w:rPr>
        <w:t>5.</w:t>
      </w:r>
      <w:r w:rsidR="00F84E67">
        <w:rPr>
          <w:noProof/>
        </w:rPr>
        <w:t xml:space="preserve"> </w:t>
      </w:r>
      <w:r>
        <w:rPr>
          <w:noProof/>
        </w:rPr>
        <w:t>Ordlista</w:t>
      </w:r>
      <w:r>
        <w:rPr>
          <w:noProof/>
        </w:rPr>
        <w:tab/>
      </w:r>
      <w:r>
        <w:rPr>
          <w:noProof/>
        </w:rPr>
        <w:fldChar w:fldCharType="begin"/>
      </w:r>
      <w:r>
        <w:rPr>
          <w:noProof/>
        </w:rPr>
        <w:instrText xml:space="preserve"> PAGEREF _Toc408946436 \h </w:instrText>
      </w:r>
      <w:r>
        <w:rPr>
          <w:noProof/>
        </w:rPr>
      </w:r>
      <w:r>
        <w:rPr>
          <w:noProof/>
        </w:rPr>
        <w:fldChar w:fldCharType="separate"/>
      </w:r>
      <w:r w:rsidR="00E2207E">
        <w:rPr>
          <w:noProof/>
        </w:rPr>
        <w:t>120</w:t>
      </w:r>
      <w:r>
        <w:rPr>
          <w:noProof/>
        </w:rPr>
        <w:fldChar w:fldCharType="end"/>
      </w:r>
    </w:p>
    <w:p w:rsidR="000B6BE1" w:rsidRPr="00CA5FED" w:rsidRDefault="000B6BE1">
      <w:pPr>
        <w:pStyle w:val="Innehll1"/>
        <w:rPr>
          <w:rFonts w:ascii="Calibri" w:hAnsi="Calibri"/>
          <w:noProof/>
          <w:sz w:val="22"/>
          <w:szCs w:val="22"/>
        </w:rPr>
      </w:pPr>
    </w:p>
    <w:p w:rsidR="00FB4722" w:rsidRDefault="00FB4722" w:rsidP="00FB4722">
      <w:r>
        <w:fldChar w:fldCharType="end"/>
      </w:r>
    </w:p>
    <w:p w:rsidR="00FB4722" w:rsidRDefault="00FB4722" w:rsidP="00FB4722">
      <w:pPr>
        <w:pStyle w:val="Normaltindrag"/>
        <w:sectPr w:rsidR="00FB4722">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FB4722" w:rsidRDefault="00496CC8" w:rsidP="00496CC8">
      <w:pPr>
        <w:pStyle w:val="Rubrik1"/>
      </w:pPr>
      <w:bookmarkStart w:id="18" w:name="_Toc408946415"/>
      <w:r>
        <w:t>Riksbankschefens kommentar</w:t>
      </w:r>
      <w:bookmarkEnd w:id="18"/>
    </w:p>
    <w:p w:rsidR="00931061" w:rsidRDefault="00931061" w:rsidP="00931061">
      <w:pPr>
        <w:rPr>
          <w:i/>
        </w:rPr>
      </w:pPr>
      <w:r>
        <w:rPr>
          <w:i/>
        </w:rPr>
        <w:t>Det gick i många avseenden bra för Sverige under 2014. Tillväxten var rel</w:t>
      </w:r>
      <w:r>
        <w:rPr>
          <w:i/>
        </w:rPr>
        <w:t>a</w:t>
      </w:r>
      <w:r>
        <w:rPr>
          <w:i/>
        </w:rPr>
        <w:t xml:space="preserve">tivt god och kreditsystemet fungerade fortsatt väl. Men det fanns två stora utmaningar – för låg inflation och ökande hushållsskulder. Under året sänkte Riksbanken </w:t>
      </w:r>
      <w:r w:rsidR="008B089A">
        <w:rPr>
          <w:i/>
        </w:rPr>
        <w:t xml:space="preserve">gradvis </w:t>
      </w:r>
      <w:r>
        <w:rPr>
          <w:i/>
        </w:rPr>
        <w:t xml:space="preserve">reporäntan ned till noll för att öka inflationen. Den låga räntan ökar </w:t>
      </w:r>
      <w:r w:rsidR="008B089A">
        <w:rPr>
          <w:i/>
        </w:rPr>
        <w:t xml:space="preserve">dock </w:t>
      </w:r>
      <w:r>
        <w:rPr>
          <w:i/>
        </w:rPr>
        <w:t xml:space="preserve">riskerna </w:t>
      </w:r>
      <w:r w:rsidR="00CF2029">
        <w:rPr>
          <w:i/>
        </w:rPr>
        <w:t xml:space="preserve">för </w:t>
      </w:r>
      <w:r w:rsidR="00922E51">
        <w:rPr>
          <w:i/>
        </w:rPr>
        <w:t xml:space="preserve">att skulderna hos </w:t>
      </w:r>
      <w:r w:rsidR="00F548A7">
        <w:rPr>
          <w:i/>
        </w:rPr>
        <w:t xml:space="preserve">svenska </w:t>
      </w:r>
      <w:r w:rsidR="00922E51">
        <w:rPr>
          <w:i/>
        </w:rPr>
        <w:t>hushåll stiger ytter</w:t>
      </w:r>
      <w:r w:rsidR="00BC13A9">
        <w:rPr>
          <w:i/>
        </w:rPr>
        <w:softHyphen/>
      </w:r>
      <w:r w:rsidR="00922E51">
        <w:rPr>
          <w:i/>
        </w:rPr>
        <w:t>l</w:t>
      </w:r>
      <w:r w:rsidR="00922E51">
        <w:rPr>
          <w:i/>
        </w:rPr>
        <w:t>i</w:t>
      </w:r>
      <w:r w:rsidR="00922E51">
        <w:rPr>
          <w:i/>
        </w:rPr>
        <w:t xml:space="preserve">gare från en </w:t>
      </w:r>
      <w:r w:rsidR="007A320D">
        <w:rPr>
          <w:i/>
        </w:rPr>
        <w:t xml:space="preserve">redan </w:t>
      </w:r>
      <w:r w:rsidR="00922E51">
        <w:rPr>
          <w:i/>
        </w:rPr>
        <w:t>hög nivå</w:t>
      </w:r>
      <w:r>
        <w:rPr>
          <w:i/>
        </w:rPr>
        <w:t xml:space="preserve">. Det brådskar därför med åtgärder inom andra politikområden för att bromsa denna utveckling. </w:t>
      </w:r>
    </w:p>
    <w:p w:rsidR="00931061" w:rsidRPr="00A236C1" w:rsidRDefault="00022448" w:rsidP="002C7FEC">
      <w:pPr>
        <w:pStyle w:val="Normaltindrag"/>
        <w:rPr>
          <w:i/>
        </w:rPr>
      </w:pPr>
      <w:r>
        <w:rPr>
          <w:i/>
        </w:rPr>
        <w:t>Rik</w:t>
      </w:r>
      <w:r>
        <w:rPr>
          <w:i/>
        </w:rPr>
        <w:t>s</w:t>
      </w:r>
      <w:r>
        <w:rPr>
          <w:i/>
        </w:rPr>
        <w:t>banken förberedde det kommande sedel- och myntutbytet som startar 2015 och pågår fram till 2017.</w:t>
      </w:r>
      <w:r w:rsidR="005A2227">
        <w:rPr>
          <w:i/>
        </w:rPr>
        <w:t xml:space="preserve"> Inom Riksbanken genomfördes en organisa</w:t>
      </w:r>
      <w:r w:rsidR="00BC13A9">
        <w:rPr>
          <w:i/>
        </w:rPr>
        <w:softHyphen/>
      </w:r>
      <w:r w:rsidR="005A2227">
        <w:rPr>
          <w:i/>
        </w:rPr>
        <w:t>t</w:t>
      </w:r>
      <w:r w:rsidR="005A2227">
        <w:rPr>
          <w:i/>
        </w:rPr>
        <w:t>o</w:t>
      </w:r>
      <w:r w:rsidR="005A2227">
        <w:rPr>
          <w:i/>
        </w:rPr>
        <w:t>risk förändring för att stödja vår</w:t>
      </w:r>
      <w:r w:rsidR="005A2227" w:rsidRPr="0055059B">
        <w:rPr>
          <w:i/>
        </w:rPr>
        <w:t xml:space="preserve"> vision att vara bland de bästa när det </w:t>
      </w:r>
      <w:r w:rsidR="005A2227">
        <w:rPr>
          <w:i/>
        </w:rPr>
        <w:t>gäller kvalitet och effektivitet.</w:t>
      </w:r>
    </w:p>
    <w:p w:rsidR="00931061" w:rsidRPr="00100A96" w:rsidRDefault="00931061" w:rsidP="00931061">
      <w:pPr>
        <w:pStyle w:val="R3"/>
      </w:pPr>
      <w:r w:rsidRPr="00100A96">
        <w:t>Expansiv penningpolitik för att nå inflationsmålet</w:t>
      </w:r>
    </w:p>
    <w:p w:rsidR="00931061" w:rsidRDefault="00931061" w:rsidP="00AB0583">
      <w:pPr>
        <w:rPr>
          <w:szCs w:val="19"/>
        </w:rPr>
      </w:pPr>
      <w:r>
        <w:t>Under 2014 såg vi att de</w:t>
      </w:r>
      <w:r w:rsidRPr="00545C3E">
        <w:rPr>
          <w:szCs w:val="19"/>
        </w:rPr>
        <w:t xml:space="preserve">n svenska ekonomin påverkades av </w:t>
      </w:r>
      <w:r>
        <w:rPr>
          <w:szCs w:val="19"/>
        </w:rPr>
        <w:t>att</w:t>
      </w:r>
      <w:r w:rsidRPr="00545C3E">
        <w:rPr>
          <w:szCs w:val="19"/>
        </w:rPr>
        <w:t xml:space="preserve"> återhämt</w:t>
      </w:r>
      <w:r w:rsidR="00BC13A9">
        <w:rPr>
          <w:szCs w:val="19"/>
        </w:rPr>
        <w:softHyphen/>
      </w:r>
      <w:r w:rsidRPr="00545C3E">
        <w:rPr>
          <w:szCs w:val="19"/>
        </w:rPr>
        <w:t>nin</w:t>
      </w:r>
      <w:r w:rsidRPr="00545C3E">
        <w:rPr>
          <w:szCs w:val="19"/>
        </w:rPr>
        <w:t>g</w:t>
      </w:r>
      <w:r>
        <w:rPr>
          <w:szCs w:val="19"/>
        </w:rPr>
        <w:t>en</w:t>
      </w:r>
      <w:r w:rsidRPr="00545C3E">
        <w:rPr>
          <w:szCs w:val="19"/>
        </w:rPr>
        <w:t xml:space="preserve"> i euroområdet</w:t>
      </w:r>
      <w:r>
        <w:rPr>
          <w:szCs w:val="19"/>
        </w:rPr>
        <w:t>, som är vår klart största exportmarknad, gick trögt. E</w:t>
      </w:r>
      <w:r w:rsidRPr="00545C3E">
        <w:rPr>
          <w:szCs w:val="19"/>
        </w:rPr>
        <w:t>fterfr</w:t>
      </w:r>
      <w:r w:rsidRPr="00545C3E">
        <w:rPr>
          <w:szCs w:val="19"/>
        </w:rPr>
        <w:t>å</w:t>
      </w:r>
      <w:r w:rsidRPr="00545C3E">
        <w:rPr>
          <w:szCs w:val="19"/>
        </w:rPr>
        <w:t xml:space="preserve">gan </w:t>
      </w:r>
      <w:r>
        <w:rPr>
          <w:szCs w:val="19"/>
        </w:rPr>
        <w:t xml:space="preserve">i euroområdet </w:t>
      </w:r>
      <w:r w:rsidRPr="00545C3E">
        <w:rPr>
          <w:szCs w:val="19"/>
        </w:rPr>
        <w:t xml:space="preserve">hölls tillbaka </w:t>
      </w:r>
      <w:r>
        <w:rPr>
          <w:szCs w:val="19"/>
        </w:rPr>
        <w:t xml:space="preserve">dels </w:t>
      </w:r>
      <w:r w:rsidR="004F6C59">
        <w:rPr>
          <w:szCs w:val="19"/>
        </w:rPr>
        <w:t>av de</w:t>
      </w:r>
      <w:r w:rsidRPr="00545C3E">
        <w:rPr>
          <w:szCs w:val="19"/>
        </w:rPr>
        <w:t xml:space="preserve"> eurolän</w:t>
      </w:r>
      <w:r>
        <w:rPr>
          <w:szCs w:val="19"/>
        </w:rPr>
        <w:t xml:space="preserve">der </w:t>
      </w:r>
      <w:r w:rsidR="004F6C59">
        <w:rPr>
          <w:szCs w:val="19"/>
        </w:rPr>
        <w:t xml:space="preserve">som </w:t>
      </w:r>
      <w:r>
        <w:rPr>
          <w:szCs w:val="19"/>
        </w:rPr>
        <w:t xml:space="preserve">arbetar med att minska sin höga skuldsättning, dels av </w:t>
      </w:r>
      <w:r w:rsidR="004F6C59">
        <w:rPr>
          <w:szCs w:val="19"/>
        </w:rPr>
        <w:t xml:space="preserve">den </w:t>
      </w:r>
      <w:r w:rsidRPr="00545C3E">
        <w:rPr>
          <w:szCs w:val="19"/>
        </w:rPr>
        <w:t>geopolitisk</w:t>
      </w:r>
      <w:r w:rsidR="004F6C59">
        <w:rPr>
          <w:szCs w:val="19"/>
        </w:rPr>
        <w:t>a</w:t>
      </w:r>
      <w:r w:rsidRPr="00545C3E">
        <w:rPr>
          <w:szCs w:val="19"/>
        </w:rPr>
        <w:t xml:space="preserve"> </w:t>
      </w:r>
      <w:r w:rsidR="00716298">
        <w:rPr>
          <w:szCs w:val="19"/>
        </w:rPr>
        <w:t xml:space="preserve">osäkerheten </w:t>
      </w:r>
      <w:r w:rsidR="00716298" w:rsidRPr="00716298">
        <w:rPr>
          <w:szCs w:val="19"/>
        </w:rPr>
        <w:t>till följd av konflikterna i Ukraina, Syrien</w:t>
      </w:r>
      <w:r w:rsidR="00716298">
        <w:rPr>
          <w:szCs w:val="19"/>
        </w:rPr>
        <w:t xml:space="preserve"> </w:t>
      </w:r>
      <w:r w:rsidR="00716298" w:rsidRPr="00716298">
        <w:rPr>
          <w:szCs w:val="19"/>
        </w:rPr>
        <w:t>och Irak</w:t>
      </w:r>
      <w:r w:rsidRPr="00545C3E">
        <w:rPr>
          <w:szCs w:val="19"/>
        </w:rPr>
        <w:t xml:space="preserve">. </w:t>
      </w:r>
      <w:r w:rsidR="00FC547A" w:rsidRPr="00FC547A">
        <w:rPr>
          <w:szCs w:val="19"/>
        </w:rPr>
        <w:t xml:space="preserve">Den svaga utvecklingen i </w:t>
      </w:r>
      <w:r w:rsidR="00FC547A">
        <w:rPr>
          <w:szCs w:val="19"/>
        </w:rPr>
        <w:t>euroområdet</w:t>
      </w:r>
      <w:r w:rsidR="00FC547A" w:rsidRPr="00FC547A">
        <w:rPr>
          <w:szCs w:val="19"/>
        </w:rPr>
        <w:t xml:space="preserve"> innebar att </w:t>
      </w:r>
      <w:r w:rsidR="00FC547A">
        <w:rPr>
          <w:szCs w:val="19"/>
        </w:rPr>
        <w:t>d</w:t>
      </w:r>
      <w:r w:rsidR="00FC547A" w:rsidRPr="00FC547A">
        <w:rPr>
          <w:szCs w:val="19"/>
        </w:rPr>
        <w:t>en svenska exporten växte långsammare än</w:t>
      </w:r>
      <w:r w:rsidR="00FC547A">
        <w:rPr>
          <w:szCs w:val="19"/>
        </w:rPr>
        <w:t xml:space="preserve"> no</w:t>
      </w:r>
      <w:r w:rsidR="00FC547A">
        <w:rPr>
          <w:szCs w:val="19"/>
        </w:rPr>
        <w:t>r</w:t>
      </w:r>
      <w:r w:rsidR="00FC547A">
        <w:rPr>
          <w:szCs w:val="19"/>
        </w:rPr>
        <w:t>malt</w:t>
      </w:r>
      <w:r w:rsidRPr="009F4705">
        <w:rPr>
          <w:szCs w:val="19"/>
        </w:rPr>
        <w:t>, trots</w:t>
      </w:r>
      <w:r w:rsidR="004F6C59">
        <w:rPr>
          <w:szCs w:val="19"/>
        </w:rPr>
        <w:t xml:space="preserve"> att</w:t>
      </w:r>
      <w:r w:rsidRPr="009F4705">
        <w:rPr>
          <w:szCs w:val="19"/>
        </w:rPr>
        <w:t xml:space="preserve"> efterfrågan </w:t>
      </w:r>
      <w:r w:rsidR="004F6C59">
        <w:rPr>
          <w:szCs w:val="19"/>
        </w:rPr>
        <w:t xml:space="preserve">steg </w:t>
      </w:r>
      <w:r w:rsidRPr="009F4705">
        <w:rPr>
          <w:szCs w:val="19"/>
        </w:rPr>
        <w:t>i USA och Asien. De svenska hushållens ekonomi och</w:t>
      </w:r>
      <w:r>
        <w:rPr>
          <w:szCs w:val="19"/>
        </w:rPr>
        <w:t xml:space="preserve"> </w:t>
      </w:r>
      <w:r w:rsidRPr="00545C3E">
        <w:rPr>
          <w:szCs w:val="19"/>
        </w:rPr>
        <w:t>konsumt</w:t>
      </w:r>
      <w:r>
        <w:rPr>
          <w:szCs w:val="19"/>
        </w:rPr>
        <w:t>ion</w:t>
      </w:r>
      <w:r w:rsidRPr="00545C3E">
        <w:rPr>
          <w:szCs w:val="19"/>
        </w:rPr>
        <w:t xml:space="preserve"> </w:t>
      </w:r>
      <w:r>
        <w:rPr>
          <w:szCs w:val="19"/>
        </w:rPr>
        <w:t xml:space="preserve">utvecklades </w:t>
      </w:r>
      <w:r w:rsidR="004F6C59">
        <w:rPr>
          <w:szCs w:val="19"/>
        </w:rPr>
        <w:t xml:space="preserve">dock </w:t>
      </w:r>
      <w:r>
        <w:rPr>
          <w:szCs w:val="19"/>
        </w:rPr>
        <w:t>relativt väl</w:t>
      </w:r>
      <w:r w:rsidRPr="00545C3E">
        <w:rPr>
          <w:szCs w:val="19"/>
        </w:rPr>
        <w:t>. Den svenska infla</w:t>
      </w:r>
      <w:r>
        <w:rPr>
          <w:szCs w:val="19"/>
        </w:rPr>
        <w:t>tionen for</w:t>
      </w:r>
      <w:r>
        <w:rPr>
          <w:szCs w:val="19"/>
        </w:rPr>
        <w:t>t</w:t>
      </w:r>
      <w:r>
        <w:rPr>
          <w:szCs w:val="19"/>
        </w:rPr>
        <w:t xml:space="preserve">satte att vara låg. </w:t>
      </w:r>
    </w:p>
    <w:p w:rsidR="00252116" w:rsidRDefault="00252116" w:rsidP="00252116">
      <w:pPr>
        <w:pStyle w:val="Normaltindrag"/>
        <w:suppressAutoHyphens/>
        <w:rPr>
          <w:szCs w:val="19"/>
        </w:rPr>
      </w:pPr>
      <w:r>
        <w:t>Vi fortsatte under 2014 att föra den expansiva penningpolitik som Rik</w:t>
      </w:r>
      <w:r>
        <w:rPr>
          <w:szCs w:val="19"/>
        </w:rPr>
        <w:t xml:space="preserve">sbanken har bedrivit sedan några år tillbaka. Vi såg att inflationen blev lägre än vad vi förväntade oss och reporäntan sänktes därför successivt till noll procent. </w:t>
      </w:r>
      <w:r w:rsidRPr="00B328EA">
        <w:rPr>
          <w:szCs w:val="19"/>
        </w:rPr>
        <w:t>Samtidigt justerade vi ned vår ränteprognos, den så kallade räntebanan.</w:t>
      </w:r>
      <w:r>
        <w:rPr>
          <w:szCs w:val="19"/>
        </w:rPr>
        <w:t xml:space="preserve"> Reporäntan </w:t>
      </w:r>
      <w:r w:rsidR="00F66A5B">
        <w:rPr>
          <w:szCs w:val="19"/>
        </w:rPr>
        <w:t>bedöms</w:t>
      </w:r>
      <w:r>
        <w:rPr>
          <w:szCs w:val="19"/>
        </w:rPr>
        <w:t xml:space="preserve"> </w:t>
      </w:r>
      <w:r w:rsidR="008A63FB">
        <w:rPr>
          <w:szCs w:val="19"/>
        </w:rPr>
        <w:t>ligga</w:t>
      </w:r>
      <w:r>
        <w:rPr>
          <w:szCs w:val="19"/>
        </w:rPr>
        <w:t xml:space="preserve"> på denna låga nivå tills inflationen tydligt </w:t>
      </w:r>
      <w:r w:rsidRPr="00B328EA">
        <w:rPr>
          <w:szCs w:val="19"/>
        </w:rPr>
        <w:t>tar fart. Först under andra halvåret 2016 bedömer</w:t>
      </w:r>
      <w:r>
        <w:rPr>
          <w:szCs w:val="19"/>
        </w:rPr>
        <w:t xml:space="preserve"> vi det vara lämpligt att gradvis börja höja reporäntan. Det är viktigt att inflationen stiger mot målet på 2 procent eftersom inflationsmålet fungerar som ankare för pris- och lön</w:t>
      </w:r>
      <w:r>
        <w:rPr>
          <w:szCs w:val="19"/>
        </w:rPr>
        <w:t>e</w:t>
      </w:r>
      <w:r>
        <w:rPr>
          <w:szCs w:val="19"/>
        </w:rPr>
        <w:t xml:space="preserve">bildningen. Även om inflationen kan avvika från målet under relativt långa perioder är det centralt att de långsiktiga inflationsförväntningarna förblir väl förankrade vid målet. </w:t>
      </w:r>
    </w:p>
    <w:p w:rsidR="00E64572" w:rsidRPr="00E64572" w:rsidRDefault="003B518E" w:rsidP="00E64572">
      <w:pPr>
        <w:pStyle w:val="R3"/>
        <w:rPr>
          <w:szCs w:val="21"/>
        </w:rPr>
      </w:pPr>
      <w:r>
        <w:rPr>
          <w:szCs w:val="21"/>
        </w:rPr>
        <w:t>Åtgärder ökar</w:t>
      </w:r>
      <w:r w:rsidR="00C74C15">
        <w:rPr>
          <w:szCs w:val="21"/>
        </w:rPr>
        <w:t xml:space="preserve"> motståndskraft</w:t>
      </w:r>
      <w:r>
        <w:rPr>
          <w:szCs w:val="21"/>
        </w:rPr>
        <w:t>en</w:t>
      </w:r>
      <w:r w:rsidR="00C74C15">
        <w:rPr>
          <w:szCs w:val="21"/>
        </w:rPr>
        <w:t xml:space="preserve"> i </w:t>
      </w:r>
      <w:r w:rsidR="00A03646">
        <w:rPr>
          <w:szCs w:val="21"/>
        </w:rPr>
        <w:t>det svenska</w:t>
      </w:r>
      <w:r w:rsidR="00C74C15">
        <w:rPr>
          <w:szCs w:val="21"/>
        </w:rPr>
        <w:t xml:space="preserve"> </w:t>
      </w:r>
      <w:r w:rsidR="0011623D">
        <w:rPr>
          <w:szCs w:val="21"/>
        </w:rPr>
        <w:t>finansiella systemet</w:t>
      </w:r>
    </w:p>
    <w:p w:rsidR="00931061" w:rsidRPr="00931061" w:rsidRDefault="00A03646" w:rsidP="0059432F">
      <w:pPr>
        <w:rPr>
          <w:szCs w:val="19"/>
        </w:rPr>
      </w:pPr>
      <w:r>
        <w:t xml:space="preserve">Vi bedömde </w:t>
      </w:r>
      <w:r w:rsidR="00931061" w:rsidRPr="00931061">
        <w:rPr>
          <w:szCs w:val="19"/>
        </w:rPr>
        <w:t xml:space="preserve">att </w:t>
      </w:r>
      <w:r w:rsidR="00931061">
        <w:rPr>
          <w:szCs w:val="19"/>
        </w:rPr>
        <w:t xml:space="preserve">Sverige </w:t>
      </w:r>
      <w:r>
        <w:rPr>
          <w:szCs w:val="19"/>
        </w:rPr>
        <w:t xml:space="preserve">under 2014 </w:t>
      </w:r>
      <w:r w:rsidR="00931061">
        <w:rPr>
          <w:szCs w:val="19"/>
        </w:rPr>
        <w:t>hade ett säkert och effektivt betalnings</w:t>
      </w:r>
      <w:r w:rsidR="00BC13A9">
        <w:rPr>
          <w:szCs w:val="19"/>
        </w:rPr>
        <w:softHyphen/>
      </w:r>
      <w:r w:rsidR="00931061">
        <w:rPr>
          <w:szCs w:val="19"/>
        </w:rPr>
        <w:t>väsende; d</w:t>
      </w:r>
      <w:r w:rsidR="008B1FD6">
        <w:rPr>
          <w:szCs w:val="19"/>
        </w:rPr>
        <w:t xml:space="preserve">et finansiella systemet </w:t>
      </w:r>
      <w:r w:rsidR="00931061" w:rsidRPr="00931061">
        <w:rPr>
          <w:szCs w:val="19"/>
        </w:rPr>
        <w:t>fungerade väl</w:t>
      </w:r>
      <w:r w:rsidR="00931061">
        <w:rPr>
          <w:szCs w:val="19"/>
        </w:rPr>
        <w:t xml:space="preserve">, </w:t>
      </w:r>
      <w:r w:rsidR="00931061" w:rsidRPr="00931061">
        <w:rPr>
          <w:szCs w:val="19"/>
        </w:rPr>
        <w:t>den finansiella infrastrukt</w:t>
      </w:r>
      <w:r w:rsidR="00931061" w:rsidRPr="00931061">
        <w:rPr>
          <w:szCs w:val="19"/>
        </w:rPr>
        <w:t>u</w:t>
      </w:r>
      <w:r w:rsidR="00931061" w:rsidRPr="00931061">
        <w:rPr>
          <w:szCs w:val="19"/>
        </w:rPr>
        <w:t xml:space="preserve">ren </w:t>
      </w:r>
      <w:r w:rsidR="00931061">
        <w:rPr>
          <w:szCs w:val="19"/>
        </w:rPr>
        <w:t xml:space="preserve">var </w:t>
      </w:r>
      <w:r w:rsidR="00931061" w:rsidRPr="00931061">
        <w:rPr>
          <w:szCs w:val="19"/>
        </w:rPr>
        <w:t>i hög utsträck</w:t>
      </w:r>
      <w:r w:rsidR="00931061">
        <w:rPr>
          <w:szCs w:val="19"/>
        </w:rPr>
        <w:t xml:space="preserve">ning </w:t>
      </w:r>
      <w:r w:rsidR="00931061" w:rsidRPr="00931061">
        <w:rPr>
          <w:szCs w:val="19"/>
        </w:rPr>
        <w:t>säker och effektiv</w:t>
      </w:r>
      <w:r w:rsidR="00ED21F1">
        <w:rPr>
          <w:szCs w:val="19"/>
        </w:rPr>
        <w:t xml:space="preserve"> </w:t>
      </w:r>
      <w:r>
        <w:rPr>
          <w:szCs w:val="19"/>
        </w:rPr>
        <w:t>och</w:t>
      </w:r>
      <w:r w:rsidR="00931061">
        <w:rPr>
          <w:szCs w:val="19"/>
        </w:rPr>
        <w:t xml:space="preserve"> Riksbankens betalnings</w:t>
      </w:r>
      <w:r w:rsidR="00BC13A9">
        <w:rPr>
          <w:szCs w:val="19"/>
        </w:rPr>
        <w:softHyphen/>
      </w:r>
      <w:r w:rsidR="00931061">
        <w:rPr>
          <w:szCs w:val="19"/>
        </w:rPr>
        <w:t>s</w:t>
      </w:r>
      <w:r w:rsidR="00931061">
        <w:rPr>
          <w:szCs w:val="19"/>
        </w:rPr>
        <w:t>y</w:t>
      </w:r>
      <w:r w:rsidR="00931061">
        <w:rPr>
          <w:szCs w:val="19"/>
        </w:rPr>
        <w:t>stem för stora betalningar</w:t>
      </w:r>
      <w:r w:rsidR="001B0FE6">
        <w:rPr>
          <w:szCs w:val="19"/>
        </w:rPr>
        <w:t xml:space="preserve"> (</w:t>
      </w:r>
      <w:r w:rsidR="008B1FD6">
        <w:rPr>
          <w:szCs w:val="19"/>
        </w:rPr>
        <w:t>RIX</w:t>
      </w:r>
      <w:r w:rsidR="001B0FE6">
        <w:rPr>
          <w:szCs w:val="19"/>
        </w:rPr>
        <w:t>)</w:t>
      </w:r>
      <w:r w:rsidR="00931061">
        <w:rPr>
          <w:szCs w:val="19"/>
        </w:rPr>
        <w:t xml:space="preserve"> </w:t>
      </w:r>
      <w:r w:rsidR="008B1FD6">
        <w:rPr>
          <w:szCs w:val="19"/>
        </w:rPr>
        <w:t>fungerade också väl</w:t>
      </w:r>
      <w:r w:rsidR="00931061">
        <w:rPr>
          <w:szCs w:val="19"/>
        </w:rPr>
        <w:t xml:space="preserve">. </w:t>
      </w:r>
    </w:p>
    <w:p w:rsidR="00931061" w:rsidRDefault="00931061" w:rsidP="0059432F">
      <w:pPr>
        <w:pStyle w:val="Normaltindrag"/>
        <w:rPr>
          <w:szCs w:val="19"/>
        </w:rPr>
      </w:pPr>
      <w:r w:rsidRPr="00931061">
        <w:t>Svenska banker, företag</w:t>
      </w:r>
      <w:r>
        <w:rPr>
          <w:szCs w:val="19"/>
        </w:rPr>
        <w:t xml:space="preserve"> och hushåll hade goda finansieringsmöjligheter under året. Lönsamheten i bankerna var hög och betalningsförmågan hos låntagarna var god. Våra tidigare rekommendationer till storbankerna har bidragit till att de stärkt sina buffertar</w:t>
      </w:r>
      <w:r w:rsidRPr="007E127D">
        <w:rPr>
          <w:szCs w:val="19"/>
        </w:rPr>
        <w:t xml:space="preserve"> </w:t>
      </w:r>
      <w:r>
        <w:rPr>
          <w:szCs w:val="19"/>
        </w:rPr>
        <w:t xml:space="preserve">ytterligare. Flera åtgärder har också vidtagits de senaste åren för att öka motståndskraften i det svenska </w:t>
      </w:r>
      <w:r w:rsidRPr="009F4705">
        <w:rPr>
          <w:szCs w:val="19"/>
        </w:rPr>
        <w:t>bank</w:t>
      </w:r>
      <w:r w:rsidR="00792086">
        <w:rPr>
          <w:szCs w:val="19"/>
        </w:rPr>
        <w:softHyphen/>
      </w:r>
      <w:r w:rsidRPr="009F4705">
        <w:rPr>
          <w:szCs w:val="19"/>
        </w:rPr>
        <w:t>s</w:t>
      </w:r>
      <w:r w:rsidRPr="009F4705">
        <w:rPr>
          <w:szCs w:val="19"/>
        </w:rPr>
        <w:t>y</w:t>
      </w:r>
      <w:r w:rsidRPr="009F4705">
        <w:rPr>
          <w:szCs w:val="19"/>
        </w:rPr>
        <w:t>stemet och minska riskerna som kan hota den finansiella stabiliteten.</w:t>
      </w:r>
      <w:r>
        <w:rPr>
          <w:szCs w:val="19"/>
        </w:rPr>
        <w:t xml:space="preserve"> </w:t>
      </w:r>
    </w:p>
    <w:p w:rsidR="00931061" w:rsidRDefault="00931061" w:rsidP="00792086">
      <w:pPr>
        <w:pStyle w:val="Normaltindrag"/>
        <w:suppressAutoHyphens/>
        <w:rPr>
          <w:szCs w:val="19"/>
        </w:rPr>
      </w:pPr>
      <w:r>
        <w:t>Vi såg dock att det alltjämt fanns sårbarheter i det svenska finansiella s</w:t>
      </w:r>
      <w:r>
        <w:rPr>
          <w:szCs w:val="19"/>
        </w:rPr>
        <w:t xml:space="preserve">ystemet eftersom de svenska bankernas tillgångar är över tre gånger så </w:t>
      </w:r>
      <w:r w:rsidR="0035020B">
        <w:rPr>
          <w:szCs w:val="19"/>
        </w:rPr>
        <w:t xml:space="preserve">stora </w:t>
      </w:r>
      <w:r>
        <w:rPr>
          <w:szCs w:val="19"/>
        </w:rPr>
        <w:t>som svensk BNP</w:t>
      </w:r>
      <w:r w:rsidR="007D16AA">
        <w:rPr>
          <w:szCs w:val="19"/>
        </w:rPr>
        <w:t>,</w:t>
      </w:r>
      <w:r>
        <w:rPr>
          <w:szCs w:val="19"/>
        </w:rPr>
        <w:t xml:space="preserve"> och en stor del av deras finansiering sker utomlands. Bankerna är alltså nära kopplade till </w:t>
      </w:r>
      <w:r w:rsidR="00237631">
        <w:rPr>
          <w:szCs w:val="19"/>
        </w:rPr>
        <w:t xml:space="preserve">de </w:t>
      </w:r>
      <w:r>
        <w:rPr>
          <w:szCs w:val="19"/>
        </w:rPr>
        <w:t>internationella marknader</w:t>
      </w:r>
      <w:r w:rsidR="00237631">
        <w:rPr>
          <w:szCs w:val="19"/>
        </w:rPr>
        <w:t>na</w:t>
      </w:r>
      <w:r>
        <w:rPr>
          <w:szCs w:val="19"/>
        </w:rPr>
        <w:t xml:space="preserve">, men de är även länkade till varandra genom </w:t>
      </w:r>
      <w:r w:rsidR="00917A7E">
        <w:rPr>
          <w:szCs w:val="19"/>
        </w:rPr>
        <w:t xml:space="preserve">bland annat </w:t>
      </w:r>
      <w:r>
        <w:rPr>
          <w:szCs w:val="19"/>
        </w:rPr>
        <w:t xml:space="preserve">sin finansiering. Problem i en bank kan </w:t>
      </w:r>
      <w:r w:rsidR="00237631">
        <w:rPr>
          <w:szCs w:val="19"/>
        </w:rPr>
        <w:t xml:space="preserve">därmed </w:t>
      </w:r>
      <w:r>
        <w:rPr>
          <w:szCs w:val="19"/>
        </w:rPr>
        <w:t xml:space="preserve">snabbt sprida sig till hela banksystemet. </w:t>
      </w:r>
      <w:r w:rsidR="00917A7E">
        <w:rPr>
          <w:szCs w:val="19"/>
        </w:rPr>
        <w:t>Sårbarhetern</w:t>
      </w:r>
      <w:r w:rsidR="003B518E">
        <w:rPr>
          <w:szCs w:val="19"/>
        </w:rPr>
        <w:t xml:space="preserve">a gör att vi behöver verka för </w:t>
      </w:r>
      <w:r w:rsidR="00917A7E">
        <w:rPr>
          <w:szCs w:val="19"/>
        </w:rPr>
        <w:t>en</w:t>
      </w:r>
      <w:r>
        <w:rPr>
          <w:szCs w:val="19"/>
        </w:rPr>
        <w:t xml:space="preserve"> hög motståndskraft i det svenska finansiella </w:t>
      </w:r>
      <w:r w:rsidR="00917A7E">
        <w:rPr>
          <w:szCs w:val="19"/>
        </w:rPr>
        <w:t>systemet</w:t>
      </w:r>
      <w:r w:rsidR="008975EC">
        <w:rPr>
          <w:szCs w:val="19"/>
        </w:rPr>
        <w:t xml:space="preserve">. Under 2014 </w:t>
      </w:r>
      <w:r w:rsidR="00237631">
        <w:rPr>
          <w:szCs w:val="19"/>
        </w:rPr>
        <w:t xml:space="preserve">såg vi att det fanns flera åtgärder som </w:t>
      </w:r>
      <w:r w:rsidR="0035020B">
        <w:rPr>
          <w:szCs w:val="19"/>
        </w:rPr>
        <w:t xml:space="preserve">kan </w:t>
      </w:r>
      <w:r w:rsidR="00237631">
        <w:rPr>
          <w:szCs w:val="19"/>
        </w:rPr>
        <w:t>öka motståndskraften, exempelvis</w:t>
      </w:r>
      <w:r w:rsidR="008975EC">
        <w:rPr>
          <w:szCs w:val="19"/>
        </w:rPr>
        <w:t xml:space="preserve"> r</w:t>
      </w:r>
      <w:r>
        <w:rPr>
          <w:szCs w:val="19"/>
        </w:rPr>
        <w:t xml:space="preserve">ekommenderade </w:t>
      </w:r>
      <w:r w:rsidR="008975EC">
        <w:rPr>
          <w:szCs w:val="19"/>
        </w:rPr>
        <w:t>vi</w:t>
      </w:r>
      <w:r>
        <w:rPr>
          <w:szCs w:val="19"/>
        </w:rPr>
        <w:t xml:space="preserve"> Finansinspektionen att införa ett krav på bruttosoliditet för bankerna. </w:t>
      </w:r>
    </w:p>
    <w:p w:rsidR="00931061" w:rsidRDefault="00931061" w:rsidP="00792086">
      <w:pPr>
        <w:pStyle w:val="Normaltindrag"/>
        <w:suppressAutoHyphens/>
        <w:rPr>
          <w:szCs w:val="19"/>
        </w:rPr>
      </w:pPr>
      <w:r>
        <w:t xml:space="preserve">Vi bedömde </w:t>
      </w:r>
      <w:r w:rsidR="008975EC">
        <w:rPr>
          <w:szCs w:val="19"/>
        </w:rPr>
        <w:t xml:space="preserve">alltjämt </w:t>
      </w:r>
      <w:r>
        <w:rPr>
          <w:szCs w:val="19"/>
        </w:rPr>
        <w:t xml:space="preserve">att den största inhemska risken som på sikt kan hota den finansiella stabiliteten i Sverige var </w:t>
      </w:r>
      <w:r w:rsidR="00CF2029" w:rsidRPr="00CF2029">
        <w:rPr>
          <w:szCs w:val="19"/>
        </w:rPr>
        <w:t>de svenska hushållens höga och växande skuldsättning</w:t>
      </w:r>
      <w:r w:rsidR="006867D6">
        <w:rPr>
          <w:szCs w:val="19"/>
        </w:rPr>
        <w:t>.</w:t>
      </w:r>
      <w:r>
        <w:rPr>
          <w:szCs w:val="19"/>
        </w:rPr>
        <w:t xml:space="preserve"> </w:t>
      </w:r>
      <w:r w:rsidR="00237631">
        <w:rPr>
          <w:szCs w:val="19"/>
        </w:rPr>
        <w:t xml:space="preserve">Vi rekommenderade därför </w:t>
      </w:r>
      <w:r w:rsidR="007B3025">
        <w:rPr>
          <w:szCs w:val="19"/>
        </w:rPr>
        <w:t xml:space="preserve">att </w:t>
      </w:r>
      <w:r w:rsidR="00237631">
        <w:rPr>
          <w:szCs w:val="19"/>
        </w:rPr>
        <w:t xml:space="preserve">flera åtgärder </w:t>
      </w:r>
      <w:r w:rsidR="007B3025">
        <w:rPr>
          <w:szCs w:val="19"/>
        </w:rPr>
        <w:t xml:space="preserve">bör övervägas </w:t>
      </w:r>
      <w:r w:rsidR="00CB5491">
        <w:rPr>
          <w:szCs w:val="19"/>
        </w:rPr>
        <w:t xml:space="preserve">för att </w:t>
      </w:r>
      <w:r w:rsidR="00970CD0">
        <w:rPr>
          <w:szCs w:val="19"/>
        </w:rPr>
        <w:t xml:space="preserve">motverka </w:t>
      </w:r>
      <w:r w:rsidR="00CB5491">
        <w:rPr>
          <w:szCs w:val="19"/>
        </w:rPr>
        <w:t>denna utveckling</w:t>
      </w:r>
      <w:r w:rsidR="007D16AA">
        <w:rPr>
          <w:szCs w:val="19"/>
        </w:rPr>
        <w:t>. B</w:t>
      </w:r>
      <w:r w:rsidR="00237631">
        <w:rPr>
          <w:szCs w:val="19"/>
        </w:rPr>
        <w:t xml:space="preserve">land </w:t>
      </w:r>
      <w:r w:rsidR="00CB5491">
        <w:rPr>
          <w:szCs w:val="19"/>
        </w:rPr>
        <w:t>annat</w:t>
      </w:r>
      <w:r>
        <w:rPr>
          <w:szCs w:val="19"/>
        </w:rPr>
        <w:t xml:space="preserve"> </w:t>
      </w:r>
      <w:r w:rsidR="00C207FA">
        <w:rPr>
          <w:szCs w:val="19"/>
        </w:rPr>
        <w:t>ansåg vi att</w:t>
      </w:r>
      <w:r w:rsidR="00751748">
        <w:rPr>
          <w:szCs w:val="19"/>
        </w:rPr>
        <w:t xml:space="preserve"> </w:t>
      </w:r>
      <w:r>
        <w:rPr>
          <w:szCs w:val="19"/>
        </w:rPr>
        <w:t xml:space="preserve">Finansinspektionen </w:t>
      </w:r>
      <w:r w:rsidR="00C207FA">
        <w:rPr>
          <w:szCs w:val="19"/>
        </w:rPr>
        <w:t xml:space="preserve">behövde </w:t>
      </w:r>
      <w:r>
        <w:rPr>
          <w:szCs w:val="19"/>
        </w:rPr>
        <w:t>införa ett amorteringskrav för hushållen.</w:t>
      </w:r>
      <w:r w:rsidR="00905879">
        <w:rPr>
          <w:szCs w:val="19"/>
        </w:rPr>
        <w:t xml:space="preserve"> </w:t>
      </w:r>
    </w:p>
    <w:p w:rsidR="00C74C15" w:rsidRPr="00C74C15" w:rsidRDefault="00C74C15" w:rsidP="00C74C15">
      <w:pPr>
        <w:pStyle w:val="R3"/>
        <w:rPr>
          <w:b w:val="0"/>
          <w:szCs w:val="21"/>
        </w:rPr>
      </w:pPr>
      <w:r w:rsidRPr="00100A96">
        <w:rPr>
          <w:szCs w:val="21"/>
        </w:rPr>
        <w:t>Ohållbar utveckling av hushållens skuldsättning</w:t>
      </w:r>
    </w:p>
    <w:p w:rsidR="005D1788" w:rsidRDefault="00F92632" w:rsidP="00BE780A">
      <w:pPr>
        <w:suppressAutoHyphens/>
        <w:rPr>
          <w:szCs w:val="19"/>
        </w:rPr>
      </w:pPr>
      <w:r>
        <w:t xml:space="preserve">Enligt min mening </w:t>
      </w:r>
      <w:r w:rsidRPr="00545C3E">
        <w:rPr>
          <w:szCs w:val="19"/>
        </w:rPr>
        <w:t xml:space="preserve">är </w:t>
      </w:r>
      <w:r>
        <w:rPr>
          <w:szCs w:val="19"/>
        </w:rPr>
        <w:t xml:space="preserve">just </w:t>
      </w:r>
      <w:r w:rsidRPr="00545C3E">
        <w:rPr>
          <w:szCs w:val="19"/>
        </w:rPr>
        <w:t>hushållens höga och ökande skuldsättning</w:t>
      </w:r>
      <w:r w:rsidDel="00F92632">
        <w:rPr>
          <w:szCs w:val="19"/>
        </w:rPr>
        <w:t xml:space="preserve"> </w:t>
      </w:r>
      <w:r w:rsidR="00931061">
        <w:rPr>
          <w:szCs w:val="19"/>
        </w:rPr>
        <w:t>ett</w:t>
      </w:r>
      <w:r w:rsidR="00931061" w:rsidRPr="00545C3E">
        <w:rPr>
          <w:szCs w:val="19"/>
        </w:rPr>
        <w:t xml:space="preserve"> problem </w:t>
      </w:r>
      <w:r w:rsidR="00931061">
        <w:rPr>
          <w:szCs w:val="19"/>
        </w:rPr>
        <w:t>i Sverige, både ur ett penningpolitiskt perspektiv och</w:t>
      </w:r>
      <w:r w:rsidR="00DD6774">
        <w:rPr>
          <w:szCs w:val="19"/>
        </w:rPr>
        <w:t xml:space="preserve"> </w:t>
      </w:r>
      <w:r w:rsidR="00041E52">
        <w:rPr>
          <w:szCs w:val="19"/>
        </w:rPr>
        <w:t xml:space="preserve">ur </w:t>
      </w:r>
      <w:r w:rsidR="00DD6774">
        <w:rPr>
          <w:szCs w:val="19"/>
        </w:rPr>
        <w:t>ett</w:t>
      </w:r>
      <w:r w:rsidR="00931061">
        <w:rPr>
          <w:szCs w:val="19"/>
        </w:rPr>
        <w:t xml:space="preserve"> finansiell</w:t>
      </w:r>
      <w:r w:rsidR="00DD6774">
        <w:rPr>
          <w:szCs w:val="19"/>
        </w:rPr>
        <w:t>t</w:t>
      </w:r>
      <w:r w:rsidR="00931061">
        <w:rPr>
          <w:szCs w:val="19"/>
        </w:rPr>
        <w:t xml:space="preserve"> stabilitetsperspektiv</w:t>
      </w:r>
      <w:r w:rsidR="00931061" w:rsidRPr="00545C3E">
        <w:rPr>
          <w:szCs w:val="19"/>
        </w:rPr>
        <w:t xml:space="preserve">. </w:t>
      </w:r>
      <w:r w:rsidR="00931061">
        <w:rPr>
          <w:szCs w:val="19"/>
        </w:rPr>
        <w:t>Historiska lärdomar visar att</w:t>
      </w:r>
      <w:r w:rsidR="00931061" w:rsidRPr="00545C3E">
        <w:rPr>
          <w:szCs w:val="19"/>
        </w:rPr>
        <w:t xml:space="preserve"> snabb tillväxt i sku</w:t>
      </w:r>
      <w:r w:rsidR="00931061" w:rsidRPr="00545C3E">
        <w:rPr>
          <w:szCs w:val="19"/>
        </w:rPr>
        <w:t>l</w:t>
      </w:r>
      <w:r w:rsidR="00931061" w:rsidRPr="00545C3E">
        <w:rPr>
          <w:szCs w:val="19"/>
        </w:rPr>
        <w:t>der tillsammans med optimistiska förväntningar</w:t>
      </w:r>
      <w:r w:rsidR="00751748">
        <w:rPr>
          <w:szCs w:val="19"/>
        </w:rPr>
        <w:t xml:space="preserve"> om bostadskostnader och </w:t>
      </w:r>
      <w:r w:rsidR="0005464C">
        <w:rPr>
          <w:szCs w:val="19"/>
        </w:rPr>
        <w:t>bostads</w:t>
      </w:r>
      <w:r w:rsidR="00751748">
        <w:rPr>
          <w:szCs w:val="19"/>
        </w:rPr>
        <w:t xml:space="preserve">priser </w:t>
      </w:r>
      <w:r w:rsidR="00931061" w:rsidRPr="00545C3E">
        <w:rPr>
          <w:szCs w:val="19"/>
        </w:rPr>
        <w:t xml:space="preserve">är ett mönster som ofta </w:t>
      </w:r>
      <w:r w:rsidR="005A2227">
        <w:rPr>
          <w:szCs w:val="19"/>
        </w:rPr>
        <w:t xml:space="preserve">har </w:t>
      </w:r>
      <w:r w:rsidR="00931061" w:rsidRPr="00545C3E">
        <w:rPr>
          <w:szCs w:val="19"/>
        </w:rPr>
        <w:t xml:space="preserve">föregått finansiella kriser. Det gäller därför att </w:t>
      </w:r>
      <w:r w:rsidR="00325B4F">
        <w:rPr>
          <w:szCs w:val="19"/>
        </w:rPr>
        <w:t xml:space="preserve">bromsa </w:t>
      </w:r>
      <w:r w:rsidR="00DC53D3">
        <w:rPr>
          <w:szCs w:val="19"/>
        </w:rPr>
        <w:t xml:space="preserve">ökningen </w:t>
      </w:r>
      <w:r w:rsidR="00931061" w:rsidRPr="00545C3E">
        <w:rPr>
          <w:szCs w:val="19"/>
        </w:rPr>
        <w:t>av hushållens skul</w:t>
      </w:r>
      <w:r w:rsidR="00931061" w:rsidRPr="00545C3E">
        <w:rPr>
          <w:szCs w:val="19"/>
        </w:rPr>
        <w:t>d</w:t>
      </w:r>
      <w:r w:rsidR="00931061">
        <w:rPr>
          <w:szCs w:val="19"/>
        </w:rPr>
        <w:t xml:space="preserve">sättning. Detta är </w:t>
      </w:r>
      <w:r>
        <w:rPr>
          <w:szCs w:val="19"/>
        </w:rPr>
        <w:t xml:space="preserve">också </w:t>
      </w:r>
      <w:r w:rsidR="00931061">
        <w:rPr>
          <w:szCs w:val="19"/>
        </w:rPr>
        <w:t xml:space="preserve">en syn som delas av flera internationella bedömare, till exempel IMF, </w:t>
      </w:r>
      <w:r w:rsidR="00B94EC3">
        <w:rPr>
          <w:szCs w:val="19"/>
        </w:rPr>
        <w:t>Organisationen för ekonomiskt samarbete och utveckling (</w:t>
      </w:r>
      <w:r w:rsidR="00931061">
        <w:rPr>
          <w:szCs w:val="19"/>
        </w:rPr>
        <w:t>OECD</w:t>
      </w:r>
      <w:r w:rsidR="00B94EC3">
        <w:rPr>
          <w:szCs w:val="19"/>
        </w:rPr>
        <w:t>)</w:t>
      </w:r>
      <w:r w:rsidR="00931061">
        <w:rPr>
          <w:szCs w:val="19"/>
        </w:rPr>
        <w:t xml:space="preserve"> och EU-kommissionen</w:t>
      </w:r>
      <w:r w:rsidR="00931061" w:rsidRPr="00A66D8C">
        <w:rPr>
          <w:szCs w:val="19"/>
        </w:rPr>
        <w:t>.</w:t>
      </w:r>
      <w:r w:rsidR="008B1FD6">
        <w:rPr>
          <w:szCs w:val="19"/>
        </w:rPr>
        <w:t xml:space="preserve"> </w:t>
      </w:r>
    </w:p>
    <w:p w:rsidR="00931061" w:rsidRPr="00545C3E" w:rsidRDefault="00931061" w:rsidP="00BE780A">
      <w:pPr>
        <w:pStyle w:val="Normaltindrag"/>
        <w:suppressAutoHyphens/>
        <w:rPr>
          <w:szCs w:val="19"/>
        </w:rPr>
      </w:pPr>
      <w:r>
        <w:t xml:space="preserve">Det finns en rad åtgärder som man skulle kunna välja mellan för att minska hushållens skuldsättning, exempelvis </w:t>
      </w:r>
      <w:r w:rsidRPr="00545C3E">
        <w:rPr>
          <w:szCs w:val="19"/>
        </w:rPr>
        <w:t xml:space="preserve">amorteringskrav, </w:t>
      </w:r>
      <w:r w:rsidR="00751748">
        <w:rPr>
          <w:szCs w:val="19"/>
        </w:rPr>
        <w:t xml:space="preserve">en begränsning av andelen lån med rörlig ränta, </w:t>
      </w:r>
      <w:r>
        <w:rPr>
          <w:szCs w:val="19"/>
        </w:rPr>
        <w:t>a</w:t>
      </w:r>
      <w:r w:rsidRPr="00545C3E">
        <w:rPr>
          <w:szCs w:val="19"/>
        </w:rPr>
        <w:t xml:space="preserve">vskaffande av ränteavdraget och </w:t>
      </w:r>
      <w:r>
        <w:rPr>
          <w:szCs w:val="19"/>
        </w:rPr>
        <w:t>sänkt</w:t>
      </w:r>
      <w:r w:rsidRPr="00545C3E">
        <w:rPr>
          <w:szCs w:val="19"/>
        </w:rPr>
        <w:t xml:space="preserve"> bolåne</w:t>
      </w:r>
      <w:r>
        <w:rPr>
          <w:szCs w:val="19"/>
        </w:rPr>
        <w:t>tak</w:t>
      </w:r>
      <w:r w:rsidRPr="00545C3E">
        <w:rPr>
          <w:szCs w:val="19"/>
        </w:rPr>
        <w:t xml:space="preserve">. </w:t>
      </w:r>
      <w:r>
        <w:rPr>
          <w:szCs w:val="19"/>
        </w:rPr>
        <w:t>Jag tycker att det</w:t>
      </w:r>
      <w:r w:rsidRPr="00545C3E">
        <w:rPr>
          <w:szCs w:val="19"/>
        </w:rPr>
        <w:t xml:space="preserve"> </w:t>
      </w:r>
      <w:r w:rsidR="00235D1F">
        <w:rPr>
          <w:szCs w:val="19"/>
        </w:rPr>
        <w:t xml:space="preserve">är naturligt </w:t>
      </w:r>
      <w:r w:rsidRPr="00545C3E">
        <w:rPr>
          <w:szCs w:val="19"/>
        </w:rPr>
        <w:t xml:space="preserve">att ställa krav på amortering av </w:t>
      </w:r>
      <w:r>
        <w:rPr>
          <w:szCs w:val="19"/>
        </w:rPr>
        <w:t>bostadsl</w:t>
      </w:r>
      <w:r w:rsidRPr="00545C3E">
        <w:rPr>
          <w:szCs w:val="19"/>
        </w:rPr>
        <w:t>ån</w:t>
      </w:r>
      <w:r w:rsidR="004C1FAF">
        <w:rPr>
          <w:szCs w:val="19"/>
        </w:rPr>
        <w:t xml:space="preserve">, men </w:t>
      </w:r>
      <w:r w:rsidR="00603FD2">
        <w:rPr>
          <w:szCs w:val="19"/>
        </w:rPr>
        <w:t xml:space="preserve">kompletterande </w:t>
      </w:r>
      <w:r w:rsidR="00161036" w:rsidRPr="00161036">
        <w:rPr>
          <w:szCs w:val="19"/>
        </w:rPr>
        <w:t>åtgärder</w:t>
      </w:r>
      <w:r w:rsidR="00603FD2">
        <w:rPr>
          <w:szCs w:val="19"/>
        </w:rPr>
        <w:t xml:space="preserve"> behövs för att </w:t>
      </w:r>
      <w:r w:rsidR="00FA1F0D">
        <w:rPr>
          <w:szCs w:val="19"/>
        </w:rPr>
        <w:t>Sverige ska nå</w:t>
      </w:r>
      <w:r w:rsidR="00FA1F0D" w:rsidRPr="00FA1F0D">
        <w:rPr>
          <w:szCs w:val="19"/>
        </w:rPr>
        <w:t xml:space="preserve"> en mer hållbar skuldutveckling</w:t>
      </w:r>
      <w:r w:rsidR="00161036" w:rsidRPr="00161036">
        <w:rPr>
          <w:szCs w:val="19"/>
        </w:rPr>
        <w:t>.</w:t>
      </w:r>
      <w:r w:rsidR="00FA1F0D">
        <w:rPr>
          <w:szCs w:val="19"/>
        </w:rPr>
        <w:t xml:space="preserve"> </w:t>
      </w:r>
      <w:r w:rsidR="004C1FAF">
        <w:rPr>
          <w:szCs w:val="19"/>
        </w:rPr>
        <w:t>Vid rådande nollränta</w:t>
      </w:r>
      <w:r w:rsidR="004C1FAF" w:rsidRPr="004C1FAF">
        <w:rPr>
          <w:szCs w:val="19"/>
        </w:rPr>
        <w:t xml:space="preserve"> brådskar </w:t>
      </w:r>
      <w:r w:rsidR="00F92632">
        <w:rPr>
          <w:szCs w:val="19"/>
        </w:rPr>
        <w:t xml:space="preserve">det </w:t>
      </w:r>
      <w:r w:rsidR="004C1FAF" w:rsidRPr="004C1FAF">
        <w:rPr>
          <w:szCs w:val="19"/>
        </w:rPr>
        <w:t xml:space="preserve">för andra politikområden att minska riskerna förknippade med hushållens </w:t>
      </w:r>
      <w:r w:rsidR="00041E52">
        <w:rPr>
          <w:szCs w:val="19"/>
        </w:rPr>
        <w:t>skulder</w:t>
      </w:r>
      <w:r w:rsidR="004C1FAF" w:rsidRPr="004C1FAF">
        <w:rPr>
          <w:szCs w:val="19"/>
        </w:rPr>
        <w:t>. Det krävs både å</w:t>
      </w:r>
      <w:r w:rsidR="004C1FAF" w:rsidRPr="004C1FAF">
        <w:rPr>
          <w:szCs w:val="19"/>
        </w:rPr>
        <w:t>t</w:t>
      </w:r>
      <w:r w:rsidR="004C1FAF" w:rsidRPr="004C1FAF">
        <w:rPr>
          <w:szCs w:val="19"/>
        </w:rPr>
        <w:t xml:space="preserve">gärder riktade direkt mot hushållens efterfrågan på krediter och reformer för </w:t>
      </w:r>
      <w:r w:rsidR="00041E52">
        <w:rPr>
          <w:szCs w:val="19"/>
        </w:rPr>
        <w:t xml:space="preserve">att skapa </w:t>
      </w:r>
      <w:r w:rsidR="004C1FAF" w:rsidRPr="004C1FAF">
        <w:rPr>
          <w:szCs w:val="19"/>
        </w:rPr>
        <w:t>en bättre fung</w:t>
      </w:r>
      <w:r w:rsidR="004C1FAF" w:rsidRPr="004C1FAF">
        <w:rPr>
          <w:szCs w:val="19"/>
        </w:rPr>
        <w:t>e</w:t>
      </w:r>
      <w:r w:rsidR="004C1FAF" w:rsidRPr="004C1FAF">
        <w:rPr>
          <w:szCs w:val="19"/>
        </w:rPr>
        <w:t xml:space="preserve">rande bostadsmarknad.  </w:t>
      </w:r>
    </w:p>
    <w:p w:rsidR="00931061" w:rsidRPr="00ED283C" w:rsidRDefault="00931061" w:rsidP="00931061">
      <w:pPr>
        <w:pStyle w:val="R3"/>
        <w:rPr>
          <w:szCs w:val="21"/>
        </w:rPr>
      </w:pPr>
      <w:r w:rsidRPr="00ED283C">
        <w:rPr>
          <w:szCs w:val="21"/>
        </w:rPr>
        <w:t>Förändringar inom kontant</w:t>
      </w:r>
      <w:r>
        <w:rPr>
          <w:szCs w:val="21"/>
        </w:rPr>
        <w:t>försörjningen</w:t>
      </w:r>
    </w:p>
    <w:p w:rsidR="00931061" w:rsidRPr="00B50456" w:rsidRDefault="005C4F09" w:rsidP="00931061">
      <w:pPr>
        <w:rPr>
          <w:color w:val="000000"/>
          <w:szCs w:val="19"/>
        </w:rPr>
      </w:pPr>
      <w:r>
        <w:rPr>
          <w:szCs w:val="19"/>
        </w:rPr>
        <w:t>Under 2015</w:t>
      </w:r>
      <w:r w:rsidR="004454F1">
        <w:rPr>
          <w:szCs w:val="19"/>
        </w:rPr>
        <w:t xml:space="preserve"> startar </w:t>
      </w:r>
      <w:r w:rsidR="004454F1">
        <w:t xml:space="preserve">det stora sedel- och myntutbytet som pågår fram till 2017. </w:t>
      </w:r>
      <w:r w:rsidR="00FE69B5">
        <w:rPr>
          <w:szCs w:val="19"/>
        </w:rPr>
        <w:t>Vi har en</w:t>
      </w:r>
      <w:r w:rsidR="004454F1">
        <w:rPr>
          <w:szCs w:val="19"/>
        </w:rPr>
        <w:t xml:space="preserve"> omfattande uppgift </w:t>
      </w:r>
      <w:r w:rsidR="00FE69B5">
        <w:rPr>
          <w:szCs w:val="19"/>
        </w:rPr>
        <w:t>framför oss och under 2014 arbetade</w:t>
      </w:r>
      <w:r w:rsidR="004454F1">
        <w:rPr>
          <w:szCs w:val="19"/>
        </w:rPr>
        <w:t xml:space="preserve"> vi</w:t>
      </w:r>
      <w:r w:rsidR="00931061">
        <w:rPr>
          <w:szCs w:val="19"/>
        </w:rPr>
        <w:t xml:space="preserve"> intensivt med </w:t>
      </w:r>
      <w:r w:rsidR="004454F1">
        <w:rPr>
          <w:szCs w:val="19"/>
        </w:rPr>
        <w:t xml:space="preserve">olika </w:t>
      </w:r>
      <w:r w:rsidR="00931061">
        <w:rPr>
          <w:szCs w:val="19"/>
        </w:rPr>
        <w:t>förberedelser.</w:t>
      </w:r>
      <w:r w:rsidR="004454F1">
        <w:rPr>
          <w:szCs w:val="19"/>
        </w:rPr>
        <w:t xml:space="preserve"> </w:t>
      </w:r>
      <w:r w:rsidR="004C1FAF">
        <w:t xml:space="preserve">Ett första steg på vägen var att </w:t>
      </w:r>
      <w:r w:rsidR="00041E52">
        <w:t>minska</w:t>
      </w:r>
      <w:r w:rsidR="004C1FAF">
        <w:t xml:space="preserve"> </w:t>
      </w:r>
      <w:r w:rsidR="004454F1">
        <w:t>antalet sedlar och sedelversioner inför sedelutbytet</w:t>
      </w:r>
      <w:r w:rsidR="00041E52">
        <w:t>.</w:t>
      </w:r>
      <w:r w:rsidR="004454F1">
        <w:t xml:space="preserve"> </w:t>
      </w:r>
      <w:r w:rsidR="00041E52">
        <w:t>De</w:t>
      </w:r>
      <w:r w:rsidR="004454F1">
        <w:t xml:space="preserve"> </w:t>
      </w:r>
      <w:r w:rsidR="00BE780A">
        <w:t>äldre versionerna av 50- och 1 </w:t>
      </w:r>
      <w:r w:rsidR="004454F1">
        <w:t xml:space="preserve">000-kronorssedlarna, de utan folieband, </w:t>
      </w:r>
      <w:r w:rsidR="00041E52">
        <w:t xml:space="preserve">gick </w:t>
      </w:r>
      <w:r w:rsidR="004454F1">
        <w:t>inte längre att betala med efter den 31 december 2013.</w:t>
      </w:r>
      <w:r w:rsidR="00931061">
        <w:rPr>
          <w:szCs w:val="19"/>
        </w:rPr>
        <w:t xml:space="preserve"> </w:t>
      </w:r>
      <w:r w:rsidR="00285CE1">
        <w:rPr>
          <w:szCs w:val="19"/>
        </w:rPr>
        <w:t xml:space="preserve">Under 2014 blev vårt kontor </w:t>
      </w:r>
      <w:r w:rsidR="00931061">
        <w:rPr>
          <w:szCs w:val="19"/>
        </w:rPr>
        <w:t>för sedelhant</w:t>
      </w:r>
      <w:r w:rsidR="00931061">
        <w:rPr>
          <w:szCs w:val="19"/>
        </w:rPr>
        <w:t>e</w:t>
      </w:r>
      <w:r w:rsidR="00931061">
        <w:rPr>
          <w:szCs w:val="19"/>
        </w:rPr>
        <w:t xml:space="preserve">ring i </w:t>
      </w:r>
      <w:r w:rsidR="00285CE1">
        <w:rPr>
          <w:szCs w:val="19"/>
        </w:rPr>
        <w:t xml:space="preserve">Sigtuna kommun </w:t>
      </w:r>
      <w:r w:rsidR="00931061">
        <w:rPr>
          <w:szCs w:val="19"/>
        </w:rPr>
        <w:t xml:space="preserve">klart. Därmed </w:t>
      </w:r>
      <w:r w:rsidR="00931061" w:rsidRPr="00C039CE">
        <w:rPr>
          <w:szCs w:val="19"/>
        </w:rPr>
        <w:t>ta</w:t>
      </w:r>
      <w:r w:rsidR="00931061">
        <w:rPr>
          <w:szCs w:val="19"/>
        </w:rPr>
        <w:t xml:space="preserve">r vi </w:t>
      </w:r>
      <w:r w:rsidR="00931061" w:rsidRPr="00C039CE">
        <w:rPr>
          <w:szCs w:val="19"/>
        </w:rPr>
        <w:t>emot, lämna</w:t>
      </w:r>
      <w:r w:rsidR="00931061">
        <w:rPr>
          <w:szCs w:val="19"/>
        </w:rPr>
        <w:t>r</w:t>
      </w:r>
      <w:r w:rsidR="00931061" w:rsidRPr="00C039CE">
        <w:rPr>
          <w:szCs w:val="19"/>
        </w:rPr>
        <w:t xml:space="preserve"> ut och makulera</w:t>
      </w:r>
      <w:r w:rsidR="00931061">
        <w:rPr>
          <w:szCs w:val="19"/>
        </w:rPr>
        <w:t>r</w:t>
      </w:r>
      <w:r w:rsidR="00931061" w:rsidRPr="00C039CE">
        <w:rPr>
          <w:szCs w:val="19"/>
        </w:rPr>
        <w:t xml:space="preserve"> sedlar </w:t>
      </w:r>
      <w:r w:rsidR="00931061">
        <w:rPr>
          <w:szCs w:val="19"/>
        </w:rPr>
        <w:t xml:space="preserve">på </w:t>
      </w:r>
      <w:r w:rsidR="00DD6774">
        <w:rPr>
          <w:szCs w:val="19"/>
        </w:rPr>
        <w:t>endast</w:t>
      </w:r>
      <w:r w:rsidR="00DD6774" w:rsidRPr="00C039CE">
        <w:rPr>
          <w:szCs w:val="19"/>
        </w:rPr>
        <w:t xml:space="preserve"> </w:t>
      </w:r>
      <w:r w:rsidR="00931061">
        <w:rPr>
          <w:szCs w:val="19"/>
        </w:rPr>
        <w:t>ett ställe i Sverige.</w:t>
      </w:r>
      <w:r w:rsidR="004454F1">
        <w:rPr>
          <w:szCs w:val="19"/>
        </w:rPr>
        <w:t xml:space="preserve"> </w:t>
      </w:r>
    </w:p>
    <w:p w:rsidR="00931061" w:rsidRPr="00545C3E" w:rsidRDefault="00931061" w:rsidP="00C96600">
      <w:pPr>
        <w:pStyle w:val="Normaltindrag"/>
        <w:suppressAutoHyphens/>
        <w:rPr>
          <w:szCs w:val="19"/>
        </w:rPr>
      </w:pPr>
      <w:r w:rsidRPr="00B50456">
        <w:t xml:space="preserve">Vi ser att en tydlig trend som påverkar centralbanker är den snabba utvecklingen av olika digitala betalningsmetoder som successivt ersätter </w:t>
      </w:r>
      <w:r w:rsidRPr="00545C3E">
        <w:rPr>
          <w:szCs w:val="19"/>
        </w:rPr>
        <w:t>ko</w:t>
      </w:r>
      <w:r w:rsidRPr="00545C3E">
        <w:rPr>
          <w:szCs w:val="19"/>
        </w:rPr>
        <w:t>n</w:t>
      </w:r>
      <w:r w:rsidRPr="00545C3E">
        <w:rPr>
          <w:szCs w:val="19"/>
        </w:rPr>
        <w:t>tanter som</w:t>
      </w:r>
      <w:r>
        <w:rPr>
          <w:szCs w:val="19"/>
        </w:rPr>
        <w:t xml:space="preserve"> </w:t>
      </w:r>
      <w:r w:rsidRPr="00545C3E">
        <w:rPr>
          <w:szCs w:val="19"/>
        </w:rPr>
        <w:t>betalningsmedel. Sverige befinne</w:t>
      </w:r>
      <w:r>
        <w:rPr>
          <w:szCs w:val="19"/>
        </w:rPr>
        <w:t xml:space="preserve">r sig i framkant av </w:t>
      </w:r>
      <w:r w:rsidRPr="00545C3E">
        <w:rPr>
          <w:szCs w:val="19"/>
        </w:rPr>
        <w:t>denna utveckl</w:t>
      </w:r>
      <w:r>
        <w:rPr>
          <w:szCs w:val="19"/>
        </w:rPr>
        <w:t xml:space="preserve">ing. Inom Riksbanken </w:t>
      </w:r>
      <w:r w:rsidRPr="00545C3E">
        <w:rPr>
          <w:szCs w:val="19"/>
        </w:rPr>
        <w:t>föl</w:t>
      </w:r>
      <w:r>
        <w:rPr>
          <w:szCs w:val="19"/>
        </w:rPr>
        <w:t xml:space="preserve">jer och analyserar vi utvecklingen </w:t>
      </w:r>
      <w:r w:rsidRPr="00545C3E">
        <w:rPr>
          <w:szCs w:val="19"/>
        </w:rPr>
        <w:t>för att förstå hur den påverkar det finansiella systemet och vår roll i</w:t>
      </w:r>
      <w:r>
        <w:rPr>
          <w:szCs w:val="19"/>
        </w:rPr>
        <w:t xml:space="preserve"> </w:t>
      </w:r>
      <w:r w:rsidRPr="00545C3E">
        <w:rPr>
          <w:szCs w:val="19"/>
        </w:rPr>
        <w:t xml:space="preserve">det. </w:t>
      </w:r>
      <w:r>
        <w:rPr>
          <w:szCs w:val="19"/>
        </w:rPr>
        <w:t>När användningen av kontanter minskar bidrar detta också till att</w:t>
      </w:r>
      <w:r w:rsidRPr="00545C3E">
        <w:rPr>
          <w:szCs w:val="19"/>
        </w:rPr>
        <w:t xml:space="preserve"> Riksbankens finansiella stäl</w:t>
      </w:r>
      <w:r w:rsidRPr="00545C3E">
        <w:rPr>
          <w:szCs w:val="19"/>
        </w:rPr>
        <w:t>l</w:t>
      </w:r>
      <w:r w:rsidRPr="00545C3E">
        <w:rPr>
          <w:szCs w:val="19"/>
        </w:rPr>
        <w:t>ning förändras</w:t>
      </w:r>
      <w:r>
        <w:rPr>
          <w:szCs w:val="19"/>
        </w:rPr>
        <w:t>. Sedlar och mynt utgör nämligen en räntefri skuld som Rik</w:t>
      </w:r>
      <w:r>
        <w:rPr>
          <w:szCs w:val="19"/>
        </w:rPr>
        <w:t>s</w:t>
      </w:r>
      <w:r>
        <w:rPr>
          <w:szCs w:val="19"/>
        </w:rPr>
        <w:t xml:space="preserve">banken har till allmänheten och som till viss del finansierar Riksbankens </w:t>
      </w:r>
      <w:r w:rsidR="00C207FA">
        <w:rPr>
          <w:szCs w:val="19"/>
        </w:rPr>
        <w:t xml:space="preserve">finansiella </w:t>
      </w:r>
      <w:r>
        <w:rPr>
          <w:szCs w:val="19"/>
        </w:rPr>
        <w:t xml:space="preserve">tillgångar. </w:t>
      </w:r>
    </w:p>
    <w:p w:rsidR="00931061" w:rsidRPr="00ED283C" w:rsidRDefault="00931061" w:rsidP="00931061">
      <w:pPr>
        <w:pStyle w:val="R3"/>
        <w:rPr>
          <w:szCs w:val="21"/>
        </w:rPr>
      </w:pPr>
      <w:r w:rsidRPr="00ED283C">
        <w:rPr>
          <w:szCs w:val="21"/>
        </w:rPr>
        <w:t>En 350-åring i täten</w:t>
      </w:r>
    </w:p>
    <w:p w:rsidR="00931061" w:rsidRPr="00FD53CB" w:rsidRDefault="00931061" w:rsidP="00406E49">
      <w:pPr>
        <w:rPr>
          <w:szCs w:val="19"/>
        </w:rPr>
      </w:pPr>
      <w:r>
        <w:t xml:space="preserve">Vår vision att vara bland de bästa när det gäller kvalitet och effektivitet </w:t>
      </w:r>
      <w:r w:rsidRPr="00545C3E">
        <w:rPr>
          <w:szCs w:val="19"/>
        </w:rPr>
        <w:t>och därigenom behålla ett högt förtroende</w:t>
      </w:r>
      <w:r>
        <w:t xml:space="preserve"> ställer krav på att verksamheten utvec</w:t>
      </w:r>
      <w:r>
        <w:t>k</w:t>
      </w:r>
      <w:r>
        <w:t>las. För att kunna fördjupa och vidga analysen inom vissa områden upprättade vi en delvis ny organisation den 1 mars. Vi införde även en</w:t>
      </w:r>
      <w:r>
        <w:rPr>
          <w:szCs w:val="19"/>
        </w:rPr>
        <w:t xml:space="preserve"> kommittéstruktur </w:t>
      </w:r>
      <w:r w:rsidR="00F12618">
        <w:rPr>
          <w:szCs w:val="19"/>
        </w:rPr>
        <w:t>som gör att vi kan</w:t>
      </w:r>
      <w:r w:rsidRPr="00FD53CB">
        <w:rPr>
          <w:szCs w:val="19"/>
        </w:rPr>
        <w:t xml:space="preserve"> utveckla formerna för samarbete mellan avdelningarna</w:t>
      </w:r>
      <w:r>
        <w:rPr>
          <w:szCs w:val="19"/>
        </w:rPr>
        <w:t xml:space="preserve"> </w:t>
      </w:r>
      <w:r w:rsidR="00F12618">
        <w:rPr>
          <w:szCs w:val="19"/>
        </w:rPr>
        <w:t>och därmed lättare</w:t>
      </w:r>
      <w:r>
        <w:rPr>
          <w:szCs w:val="19"/>
        </w:rPr>
        <w:t xml:space="preserve"> ta oss an </w:t>
      </w:r>
      <w:r w:rsidR="00F12618">
        <w:rPr>
          <w:szCs w:val="19"/>
        </w:rPr>
        <w:t xml:space="preserve">de </w:t>
      </w:r>
      <w:r>
        <w:rPr>
          <w:szCs w:val="19"/>
        </w:rPr>
        <w:t>nya frågeställningar som behöver analyseras</w:t>
      </w:r>
      <w:r w:rsidRPr="00FD53CB">
        <w:rPr>
          <w:szCs w:val="19"/>
        </w:rPr>
        <w:t xml:space="preserve">. </w:t>
      </w:r>
    </w:p>
    <w:p w:rsidR="00931061" w:rsidRPr="00F91B59" w:rsidRDefault="00931061" w:rsidP="00F0670E">
      <w:pPr>
        <w:pStyle w:val="Normaltindrag"/>
        <w:suppressAutoHyphens/>
        <w:rPr>
          <w:szCs w:val="19"/>
        </w:rPr>
      </w:pPr>
      <w:r>
        <w:t>U</w:t>
      </w:r>
      <w:r w:rsidRPr="00FD53CB">
        <w:rPr>
          <w:szCs w:val="19"/>
        </w:rPr>
        <w:t xml:space="preserve">nder hösten </w:t>
      </w:r>
      <w:r>
        <w:rPr>
          <w:szCs w:val="19"/>
        </w:rPr>
        <w:t xml:space="preserve">antog vi också en </w:t>
      </w:r>
      <w:r w:rsidRPr="00FD53CB">
        <w:rPr>
          <w:szCs w:val="19"/>
        </w:rPr>
        <w:t>ny strategisk plan</w:t>
      </w:r>
      <w:r>
        <w:rPr>
          <w:szCs w:val="19"/>
        </w:rPr>
        <w:t xml:space="preserve"> </w:t>
      </w:r>
      <w:r w:rsidRPr="00FD53CB">
        <w:rPr>
          <w:szCs w:val="19"/>
        </w:rPr>
        <w:t xml:space="preserve">med sikte på vårt jubileumsår 2018. Vi </w:t>
      </w:r>
      <w:r>
        <w:rPr>
          <w:szCs w:val="19"/>
        </w:rPr>
        <w:t xml:space="preserve">vill </w:t>
      </w:r>
      <w:r w:rsidRPr="00FD53CB">
        <w:rPr>
          <w:szCs w:val="19"/>
        </w:rPr>
        <w:t>att världens äldsta centralbank</w:t>
      </w:r>
      <w:r>
        <w:rPr>
          <w:szCs w:val="19"/>
        </w:rPr>
        <w:t>,</w:t>
      </w:r>
      <w:r w:rsidRPr="00FD53CB">
        <w:rPr>
          <w:szCs w:val="19"/>
        </w:rPr>
        <w:t xml:space="preserve"> med snart 350 år på nac</w:t>
      </w:r>
      <w:r w:rsidRPr="00FD53CB">
        <w:rPr>
          <w:szCs w:val="19"/>
        </w:rPr>
        <w:t>k</w:t>
      </w:r>
      <w:r w:rsidRPr="00FD53CB">
        <w:rPr>
          <w:szCs w:val="19"/>
        </w:rPr>
        <w:t>en</w:t>
      </w:r>
      <w:r>
        <w:rPr>
          <w:szCs w:val="19"/>
        </w:rPr>
        <w:t xml:space="preserve">, ska </w:t>
      </w:r>
      <w:r w:rsidRPr="00FD53CB">
        <w:rPr>
          <w:szCs w:val="19"/>
        </w:rPr>
        <w:t>vara i täten och bidra till en stabil ekonomisk utveckling för hushåll och företag</w:t>
      </w:r>
      <w:r>
        <w:rPr>
          <w:szCs w:val="19"/>
        </w:rPr>
        <w:t>. I korthet innebär planen</w:t>
      </w:r>
      <w:r w:rsidRPr="00FD53CB">
        <w:rPr>
          <w:szCs w:val="19"/>
        </w:rPr>
        <w:t xml:space="preserve"> att</w:t>
      </w:r>
      <w:r>
        <w:rPr>
          <w:szCs w:val="19"/>
        </w:rPr>
        <w:t xml:space="preserve"> v</w:t>
      </w:r>
      <w:r w:rsidRPr="00924931">
        <w:rPr>
          <w:szCs w:val="19"/>
        </w:rPr>
        <w:t>i</w:t>
      </w:r>
      <w:r w:rsidRPr="00F91B59">
        <w:rPr>
          <w:szCs w:val="19"/>
        </w:rPr>
        <w:t xml:space="preserve"> ska ha en verksamhet i takt med tiden</w:t>
      </w:r>
      <w:r>
        <w:rPr>
          <w:szCs w:val="19"/>
        </w:rPr>
        <w:t xml:space="preserve"> s</w:t>
      </w:r>
      <w:r w:rsidRPr="00F91B59">
        <w:rPr>
          <w:szCs w:val="19"/>
        </w:rPr>
        <w:t xml:space="preserve">om producerar ett resultat av hög kvalitet som vi kommunicerar på ett lättillgängligt och tydligt sätt. </w:t>
      </w:r>
    </w:p>
    <w:p w:rsidR="00581450" w:rsidRDefault="00581450" w:rsidP="00931061"/>
    <w:p w:rsidR="00400B3E" w:rsidRPr="00400B3E" w:rsidRDefault="00400B3E" w:rsidP="00400B3E"/>
    <w:p w:rsidR="00496CC8" w:rsidRPr="00496CC8" w:rsidRDefault="00496CC8" w:rsidP="00496CC8"/>
    <w:p w:rsidR="00FB4722" w:rsidRDefault="00FB4722" w:rsidP="00FB4722">
      <w:pPr>
        <w:pStyle w:val="Normaltindrag"/>
        <w:sectPr w:rsidR="00FB4722">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bookmarkStart w:id="19" w:name="Nästa_Hpunkt"/>
      <w:bookmarkStart w:id="20" w:name="Ordförande"/>
      <w:bookmarkStart w:id="21" w:name="Deltagare"/>
      <w:bookmarkEnd w:id="19"/>
      <w:bookmarkEnd w:id="20"/>
      <w:bookmarkEnd w:id="21"/>
    </w:p>
    <w:p w:rsidR="004548EC" w:rsidRDefault="00496CC8" w:rsidP="004548EC">
      <w:pPr>
        <w:pStyle w:val="Rubrik1"/>
      </w:pPr>
      <w:bookmarkStart w:id="22" w:name="_Toc408946416"/>
      <w:r>
        <w:t>FÖRVALTNINGSBERÄTTELSE</w:t>
      </w:r>
      <w:bookmarkEnd w:id="22"/>
      <w:r>
        <w:t xml:space="preserve"> </w:t>
      </w:r>
    </w:p>
    <w:p w:rsidR="00496CC8" w:rsidRDefault="00496CC8" w:rsidP="00496CC8">
      <w:pPr>
        <w:pStyle w:val="Rubrik1"/>
      </w:pPr>
      <w:bookmarkStart w:id="23" w:name="_Toc408946417"/>
      <w:r>
        <w:t>Riksbankens uppgifter och roll</w:t>
      </w:r>
      <w:bookmarkEnd w:id="23"/>
    </w:p>
    <w:p w:rsidR="005F7B1C" w:rsidRPr="007813B8" w:rsidRDefault="005F7B1C" w:rsidP="00A80E70">
      <w:pPr>
        <w:suppressAutoHyphens/>
        <w:rPr>
          <w:i/>
        </w:rPr>
      </w:pPr>
      <w:r w:rsidRPr="007813B8">
        <w:rPr>
          <w:i/>
        </w:rPr>
        <w:t xml:space="preserve">Riksbanken är Sveriges centralbank och en myndighet under riksdagen. Riksbanken ansvarar för penningpolitiken med målet att upprätthålla ett fast penningvärde. Riksbanken har också i uppdrag att främja ett säkert och effektivt betalningsväsende.  </w:t>
      </w:r>
    </w:p>
    <w:p w:rsidR="005F7B1C" w:rsidRPr="00544D61" w:rsidRDefault="005F7B1C" w:rsidP="005F7B1C">
      <w:pPr>
        <w:pStyle w:val="R3"/>
      </w:pPr>
      <w:r w:rsidRPr="00544D61">
        <w:t>Ett fast penningvärde – prisstabilitet</w:t>
      </w:r>
    </w:p>
    <w:p w:rsidR="005F7B1C" w:rsidRDefault="005F7B1C" w:rsidP="00A80E70">
      <w:pPr>
        <w:suppressAutoHyphens/>
      </w:pPr>
      <w:r w:rsidRPr="00C30A59">
        <w:t xml:space="preserve">Enligt </w:t>
      </w:r>
      <w:r>
        <w:t>lagen (1988:1385) om Sveriges riksbank (</w:t>
      </w:r>
      <w:r w:rsidRPr="00C30A59">
        <w:t>riksbankslagen</w:t>
      </w:r>
      <w:r>
        <w:t>)</w:t>
      </w:r>
      <w:r w:rsidRPr="00C30A59">
        <w:t xml:space="preserve"> ska Riksbanken upprätthålla ett fast penningvärde, </w:t>
      </w:r>
      <w:r>
        <w:t xml:space="preserve">vilket innebär </w:t>
      </w:r>
      <w:r w:rsidRPr="00C30A59">
        <w:t xml:space="preserve">att inflationen </w:t>
      </w:r>
      <w:r>
        <w:t>ska vara</w:t>
      </w:r>
      <w:r w:rsidRPr="00C30A59">
        <w:t xml:space="preserve"> låg och stabil. </w:t>
      </w:r>
      <w:r w:rsidRPr="0061655B">
        <w:t>Riksbanken har</w:t>
      </w:r>
      <w:r>
        <w:t xml:space="preserve"> </w:t>
      </w:r>
      <w:r w:rsidRPr="0061655B">
        <w:t>preciserat ett mål för inflationen som säger att den årliga förändringen av konsumentprisindex (KPI) ska vara 2</w:t>
      </w:r>
      <w:r w:rsidR="00F71AE1">
        <w:t> </w:t>
      </w:r>
      <w:r w:rsidRPr="0061655B">
        <w:t>procent.</w:t>
      </w:r>
      <w:r w:rsidRPr="00250787">
        <w:t xml:space="preserve"> </w:t>
      </w:r>
      <w:r>
        <w:rPr>
          <w:color w:val="000000"/>
        </w:rPr>
        <w:t>KPI påverkas dock ofta av faktorer som Riksbanken inte bör reagera på eftersom de endast be</w:t>
      </w:r>
      <w:r>
        <w:rPr>
          <w:color w:val="000000"/>
        </w:rPr>
        <w:softHyphen/>
        <w:t>döms ge tillfälliga effekter på inflationen. Dä</w:t>
      </w:r>
      <w:r>
        <w:rPr>
          <w:color w:val="000000"/>
        </w:rPr>
        <w:t>r</w:t>
      </w:r>
      <w:r>
        <w:rPr>
          <w:color w:val="000000"/>
        </w:rPr>
        <w:t>för beskriver och förklarar Riksbanken inflationen och penningpolitiken även med andra inflationsmått.</w:t>
      </w:r>
      <w:r w:rsidRPr="00074B57">
        <w:t xml:space="preserve"> </w:t>
      </w:r>
      <w:r w:rsidR="00074B57" w:rsidRPr="00074B57">
        <w:rPr>
          <w:color w:val="000000"/>
        </w:rPr>
        <w:t>Dessa mått har rensats för prisrörelser som bedöms påverka utvecklingen av KPI tillfälligt men inte den mer trend</w:t>
      </w:r>
      <w:r w:rsidR="0040006C">
        <w:rPr>
          <w:color w:val="000000"/>
        </w:rPr>
        <w:softHyphen/>
      </w:r>
      <w:r w:rsidR="00074B57" w:rsidRPr="00074B57">
        <w:rPr>
          <w:color w:val="000000"/>
        </w:rPr>
        <w:t>mässiga u</w:t>
      </w:r>
      <w:r w:rsidR="00074B57" w:rsidRPr="00074B57">
        <w:rPr>
          <w:color w:val="000000"/>
        </w:rPr>
        <w:t>t</w:t>
      </w:r>
      <w:r w:rsidR="00074B57" w:rsidRPr="00074B57">
        <w:rPr>
          <w:color w:val="000000"/>
        </w:rPr>
        <w:t>vecklingen.</w:t>
      </w:r>
      <w:r w:rsidR="00074B57">
        <w:rPr>
          <w:color w:val="000000"/>
        </w:rPr>
        <w:t xml:space="preserve"> </w:t>
      </w:r>
      <w:r>
        <w:rPr>
          <w:color w:val="000000"/>
        </w:rPr>
        <w:t xml:space="preserve">Ett viktigt </w:t>
      </w:r>
      <w:r w:rsidR="00074B57">
        <w:rPr>
          <w:color w:val="000000"/>
        </w:rPr>
        <w:t>sådant</w:t>
      </w:r>
      <w:r>
        <w:rPr>
          <w:color w:val="000000"/>
        </w:rPr>
        <w:t xml:space="preserve"> mått är KPIF, där inflationen rensats från räntekostnader för egnahem som direkt påverkar KPI när Riksbanken ändrar reporäntan.</w:t>
      </w:r>
      <w:r w:rsidR="001D3C15">
        <w:rPr>
          <w:color w:val="000000"/>
        </w:rPr>
        <w:t xml:space="preserve"> KPIF är alltså inflationen mätt med KPI med </w:t>
      </w:r>
      <w:r w:rsidR="006922E2">
        <w:rPr>
          <w:color w:val="000000"/>
        </w:rPr>
        <w:t xml:space="preserve">en </w:t>
      </w:r>
      <w:r w:rsidR="001D3C15">
        <w:rPr>
          <w:color w:val="000000"/>
        </w:rPr>
        <w:t>fast bostadsränta.</w:t>
      </w:r>
    </w:p>
    <w:p w:rsidR="005F7B1C" w:rsidRDefault="005F7B1C" w:rsidP="005F7B1C">
      <w:pPr>
        <w:pStyle w:val="Normaltindrag"/>
      </w:pPr>
      <w:r w:rsidRPr="001B707D">
        <w:t>Riksbankens penningpolitik inri</w:t>
      </w:r>
      <w:r w:rsidR="0040006C">
        <w:t>ktas på att uppfylla inflations</w:t>
      </w:r>
      <w:r w:rsidRPr="001B707D">
        <w:t>mål</w:t>
      </w:r>
      <w:r>
        <w:t>et</w:t>
      </w:r>
      <w:r w:rsidRPr="001B707D">
        <w:t xml:space="preserve"> sam</w:t>
      </w:r>
      <w:r>
        <w:t>-</w:t>
      </w:r>
      <w:r w:rsidRPr="001B707D">
        <w:t xml:space="preserve">tidigt som den ska stödja målen för den allmänna ekonomiska politiken </w:t>
      </w:r>
      <w:r w:rsidR="00EB44A7">
        <w:t>vars</w:t>
      </w:r>
      <w:r>
        <w:t xml:space="preserve"> syfte </w:t>
      </w:r>
      <w:r w:rsidR="00EB44A7">
        <w:t xml:space="preserve">är </w:t>
      </w:r>
      <w:r w:rsidRPr="001B707D">
        <w:t>att uppnå en hållbar tillväxt och hög sysselsättning.</w:t>
      </w:r>
      <w:r>
        <w:t xml:space="preserve"> </w:t>
      </w:r>
      <w:r w:rsidR="00E36BC5">
        <w:t>Riksbanken gör</w:t>
      </w:r>
      <w:r w:rsidRPr="00382BC7">
        <w:t xml:space="preserve"> </w:t>
      </w:r>
      <w:r w:rsidR="00E36BC5">
        <w:t>detta</w:t>
      </w:r>
      <w:r w:rsidRPr="00382BC7">
        <w:t xml:space="preserve"> genom att </w:t>
      </w:r>
      <w:r w:rsidR="00E36BC5">
        <w:t>sträva efter att dels</w:t>
      </w:r>
      <w:r w:rsidRPr="00382BC7">
        <w:t xml:space="preserve"> stabilisera inflationen runt inflationsmålet, </w:t>
      </w:r>
      <w:r w:rsidR="00E36BC5">
        <w:t>dels</w:t>
      </w:r>
      <w:r w:rsidRPr="00382BC7">
        <w:t xml:space="preserve"> stabilisera produktion</w:t>
      </w:r>
      <w:r>
        <w:t>en</w:t>
      </w:r>
      <w:r w:rsidRPr="00382BC7">
        <w:t xml:space="preserve"> och sysselsättning</w:t>
      </w:r>
      <w:r>
        <w:t>en</w:t>
      </w:r>
      <w:r w:rsidRPr="00382BC7">
        <w:t xml:space="preserve"> runt långsiktigt hållbara utvecklingsbanor. Riksbanken bedriver därmed vad som kallas </w:t>
      </w:r>
      <w:r w:rsidR="00E36BC5">
        <w:t xml:space="preserve">en </w:t>
      </w:r>
      <w:r w:rsidRPr="00382BC7">
        <w:t xml:space="preserve">flexibel inflationsmålspolitik. </w:t>
      </w:r>
      <w:r w:rsidR="00E36BC5">
        <w:t>I</w:t>
      </w:r>
      <w:r w:rsidRPr="00382BC7">
        <w:t xml:space="preserve">nflationsmålet är </w:t>
      </w:r>
      <w:r w:rsidR="00E36BC5">
        <w:t xml:space="preserve">dock </w:t>
      </w:r>
      <w:r w:rsidRPr="00382BC7">
        <w:t>överordnat.</w:t>
      </w:r>
      <w:r>
        <w:t xml:space="preserve"> </w:t>
      </w:r>
    </w:p>
    <w:p w:rsidR="005F7B1C" w:rsidRDefault="005F7B1C" w:rsidP="00A80E70">
      <w:pPr>
        <w:pStyle w:val="Normaltindrag"/>
      </w:pPr>
      <w:r w:rsidRPr="00B93592">
        <w:t xml:space="preserve">För att påverka inflationen </w:t>
      </w:r>
      <w:r>
        <w:t xml:space="preserve">och den ekonomiska utvecklingen </w:t>
      </w:r>
      <w:r w:rsidRPr="00B93592">
        <w:t>beslutar Riksbanken om nivån på sin styrränta, den så kallade reporäntan. Reporäntan påverkar andra räntor i ekonomin och</w:t>
      </w:r>
      <w:r>
        <w:t xml:space="preserve"> därmed</w:t>
      </w:r>
      <w:r w:rsidRPr="00B93592">
        <w:t xml:space="preserve"> i förlängningen den ekono</w:t>
      </w:r>
      <w:r w:rsidR="00DF5951">
        <w:softHyphen/>
      </w:r>
      <w:r w:rsidRPr="00B93592">
        <w:t>mi</w:t>
      </w:r>
      <w:r w:rsidRPr="00B93592">
        <w:t>s</w:t>
      </w:r>
      <w:r w:rsidRPr="00B93592">
        <w:t xml:space="preserve">ka aktiviteten och inflationen. </w:t>
      </w:r>
    </w:p>
    <w:p w:rsidR="005F7B1C" w:rsidRPr="00B93592" w:rsidRDefault="005F7B1C" w:rsidP="00A80E70">
      <w:pPr>
        <w:pStyle w:val="Normaltindrag"/>
        <w:suppressAutoHyphens/>
      </w:pPr>
      <w:r>
        <w:rPr>
          <w:szCs w:val="19"/>
        </w:rPr>
        <w:t xml:space="preserve">Riksbanken följer och analyserar risker i det finansiella systemet </w:t>
      </w:r>
      <w:r w:rsidR="007F5F99">
        <w:rPr>
          <w:szCs w:val="19"/>
        </w:rPr>
        <w:t>för</w:t>
      </w:r>
      <w:r>
        <w:rPr>
          <w:szCs w:val="19"/>
        </w:rPr>
        <w:t xml:space="preserve"> att se hur dessa påverkar den allmänna ekonomiska utvecklingen. </w:t>
      </w:r>
      <w:r w:rsidRPr="003D7D2C">
        <w:rPr>
          <w:szCs w:val="19"/>
        </w:rPr>
        <w:t xml:space="preserve">Risker förknippade med finansiella </w:t>
      </w:r>
      <w:r>
        <w:rPr>
          <w:szCs w:val="19"/>
        </w:rPr>
        <w:t>obalanser, såsom hög skuldsättning bland svenska hu</w:t>
      </w:r>
      <w:r>
        <w:rPr>
          <w:szCs w:val="19"/>
        </w:rPr>
        <w:t>s</w:t>
      </w:r>
      <w:r>
        <w:rPr>
          <w:szCs w:val="19"/>
        </w:rPr>
        <w:t>håll,</w:t>
      </w:r>
      <w:r w:rsidRPr="003D7D2C">
        <w:rPr>
          <w:szCs w:val="19"/>
        </w:rPr>
        <w:t xml:space="preserve"> vägs in i räntebesluten. </w:t>
      </w:r>
      <w:r>
        <w:rPr>
          <w:szCs w:val="19"/>
        </w:rPr>
        <w:t xml:space="preserve">Sådana risker kan </w:t>
      </w:r>
      <w:r w:rsidR="00E36BC5">
        <w:rPr>
          <w:szCs w:val="19"/>
        </w:rPr>
        <w:t>nämligen allvarligt</w:t>
      </w:r>
      <w:r>
        <w:rPr>
          <w:szCs w:val="19"/>
        </w:rPr>
        <w:t xml:space="preserve"> hot</w:t>
      </w:r>
      <w:r w:rsidR="00E36BC5">
        <w:rPr>
          <w:szCs w:val="19"/>
        </w:rPr>
        <w:t>a</w:t>
      </w:r>
      <w:r>
        <w:rPr>
          <w:szCs w:val="19"/>
        </w:rPr>
        <w:t xml:space="preserve"> infla</w:t>
      </w:r>
      <w:r w:rsidR="00A80E70">
        <w:rPr>
          <w:szCs w:val="19"/>
        </w:rPr>
        <w:softHyphen/>
      </w:r>
      <w:r>
        <w:rPr>
          <w:szCs w:val="19"/>
        </w:rPr>
        <w:t xml:space="preserve">tions- och makrostabiliteten. </w:t>
      </w:r>
      <w:r w:rsidR="00E36BC5">
        <w:rPr>
          <w:szCs w:val="19"/>
        </w:rPr>
        <w:t>F</w:t>
      </w:r>
      <w:r w:rsidR="00263BC1">
        <w:rPr>
          <w:szCs w:val="19"/>
        </w:rPr>
        <w:t>lera</w:t>
      </w:r>
      <w:r>
        <w:rPr>
          <w:szCs w:val="19"/>
        </w:rPr>
        <w:t xml:space="preserve"> politikområden </w:t>
      </w:r>
      <w:r w:rsidR="00E36BC5">
        <w:rPr>
          <w:szCs w:val="19"/>
        </w:rPr>
        <w:t xml:space="preserve">kommer </w:t>
      </w:r>
      <w:r w:rsidR="0086254E">
        <w:rPr>
          <w:szCs w:val="19"/>
        </w:rPr>
        <w:t xml:space="preserve">att </w:t>
      </w:r>
      <w:r>
        <w:rPr>
          <w:szCs w:val="19"/>
        </w:rPr>
        <w:t xml:space="preserve">behöva </w:t>
      </w:r>
      <w:r w:rsidR="00E36BC5">
        <w:rPr>
          <w:szCs w:val="19"/>
        </w:rPr>
        <w:t>samverka</w:t>
      </w:r>
      <w:r>
        <w:rPr>
          <w:szCs w:val="19"/>
        </w:rPr>
        <w:t xml:space="preserve"> för att hantera riskerna med hushållens skuldsättning, särskilt om bostadspriser</w:t>
      </w:r>
      <w:r w:rsidR="00143FD9">
        <w:rPr>
          <w:szCs w:val="19"/>
        </w:rPr>
        <w:t>na</w:t>
      </w:r>
      <w:r>
        <w:rPr>
          <w:szCs w:val="19"/>
        </w:rPr>
        <w:t xml:space="preserve"> och skuldsättning</w:t>
      </w:r>
      <w:r w:rsidR="00143FD9">
        <w:rPr>
          <w:szCs w:val="19"/>
        </w:rPr>
        <w:t>en</w:t>
      </w:r>
      <w:r>
        <w:rPr>
          <w:szCs w:val="19"/>
        </w:rPr>
        <w:t xml:space="preserve"> ökar snabbt. Ett väl fungerande regelverk och en effektiv tillsyn </w:t>
      </w:r>
      <w:r w:rsidR="007F5F99">
        <w:rPr>
          <w:szCs w:val="19"/>
        </w:rPr>
        <w:t xml:space="preserve">är </w:t>
      </w:r>
      <w:r>
        <w:rPr>
          <w:szCs w:val="19"/>
        </w:rPr>
        <w:t xml:space="preserve">centrala förutsättningar </w:t>
      </w:r>
      <w:r w:rsidR="007F5F99">
        <w:rPr>
          <w:szCs w:val="19"/>
        </w:rPr>
        <w:t xml:space="preserve">för </w:t>
      </w:r>
      <w:r>
        <w:rPr>
          <w:szCs w:val="19"/>
        </w:rPr>
        <w:t>detta arbete</w:t>
      </w:r>
      <w:r w:rsidR="002461A8">
        <w:rPr>
          <w:szCs w:val="19"/>
        </w:rPr>
        <w:t xml:space="preserve">. </w:t>
      </w:r>
    </w:p>
    <w:p w:rsidR="005F7B1C" w:rsidRPr="00544D61" w:rsidRDefault="005F7B1C" w:rsidP="005F7B1C">
      <w:pPr>
        <w:pStyle w:val="R3"/>
      </w:pPr>
      <w:r w:rsidRPr="00544D61">
        <w:t>Ett säkert och effektivt betalningsv</w:t>
      </w:r>
      <w:r>
        <w:t xml:space="preserve">äsende </w:t>
      </w:r>
    </w:p>
    <w:p w:rsidR="009954E6" w:rsidRDefault="005B7925" w:rsidP="006C0FD8">
      <w:r w:rsidRPr="001E671E">
        <w:t>Riksbanken ska enligt riksbankslagen främja ett säkert och effektivt beta</w:t>
      </w:r>
      <w:r w:rsidRPr="001E671E">
        <w:t>l</w:t>
      </w:r>
      <w:r w:rsidRPr="001E671E">
        <w:t xml:space="preserve">ningsväsende. </w:t>
      </w:r>
      <w:r w:rsidR="005F7B1C">
        <w:t xml:space="preserve">Det innebär att Riksbanken ska </w:t>
      </w:r>
      <w:r w:rsidR="005F7B1C" w:rsidRPr="00C30A59">
        <w:t>verka för stabilitet i det fina</w:t>
      </w:r>
      <w:r w:rsidR="005F7B1C" w:rsidRPr="00C30A59">
        <w:t>n</w:t>
      </w:r>
      <w:r w:rsidR="005F7B1C" w:rsidRPr="00C30A59">
        <w:t>siella systemet som helhet</w:t>
      </w:r>
      <w:r w:rsidR="009954E6">
        <w:t xml:space="preserve"> genom förebyggande arbete och krishantering</w:t>
      </w:r>
      <w:r w:rsidR="005F7B1C" w:rsidRPr="00C30A59">
        <w:t>.</w:t>
      </w:r>
      <w:r w:rsidR="00AB5C6E">
        <w:t xml:space="preserve"> </w:t>
      </w:r>
      <w:r w:rsidR="00AB5C6E" w:rsidRPr="009D00A0">
        <w:t>Det finansiella systemets grundläggande funk</w:t>
      </w:r>
      <w:r w:rsidR="00AB5C6E" w:rsidRPr="009D00A0">
        <w:softHyphen/>
        <w:t>tioner är att förmedla betalningar, omvandla sparande till finansiering (kapi</w:t>
      </w:r>
      <w:r w:rsidR="00AB5C6E" w:rsidRPr="009D00A0">
        <w:softHyphen/>
        <w:t>talförsörjning) och h</w:t>
      </w:r>
      <w:r w:rsidR="0056210D">
        <w:t xml:space="preserve">antera risker. </w:t>
      </w:r>
      <w:r w:rsidR="00BD0C76">
        <w:t>Eftersom</w:t>
      </w:r>
      <w:r w:rsidR="00D41E10" w:rsidRPr="009D00A0">
        <w:t xml:space="preserve"> det finansiella </w:t>
      </w:r>
      <w:r w:rsidR="00BD0C76">
        <w:t>systemet har stor</w:t>
      </w:r>
      <w:r w:rsidR="00D41E10" w:rsidRPr="009D00A0">
        <w:t xml:space="preserve"> betydelse för samhällsekonomin regleras aktörerna (exempelvis banker</w:t>
      </w:r>
      <w:r w:rsidR="00BD0C76">
        <w:t>na</w:t>
      </w:r>
      <w:r w:rsidR="00D41E10" w:rsidRPr="009D00A0">
        <w:t>) i systemet genom särskild lagstif</w:t>
      </w:r>
      <w:r w:rsidR="00D41E10" w:rsidRPr="009D00A0">
        <w:t>t</w:t>
      </w:r>
      <w:r w:rsidR="00D41E10" w:rsidRPr="009D00A0">
        <w:t>ning, förordningar och föreskrifter från svenska och europeiska myndigheter.</w:t>
      </w:r>
      <w:r w:rsidR="009954E6">
        <w:t xml:space="preserve"> I Sverige har </w:t>
      </w:r>
      <w:r w:rsidR="00D5639C">
        <w:t>även</w:t>
      </w:r>
      <w:r w:rsidR="00E86643">
        <w:t xml:space="preserve"> </w:t>
      </w:r>
      <w:r w:rsidR="009954E6">
        <w:t>ett ramverk för makrotillsyn kommit på plats</w:t>
      </w:r>
      <w:r w:rsidR="002E6DE1">
        <w:t xml:space="preserve"> som </w:t>
      </w:r>
      <w:r w:rsidR="006861CC">
        <w:t>har betydelse för</w:t>
      </w:r>
      <w:r w:rsidR="002E6DE1">
        <w:t xml:space="preserve"> Riksbanken</w:t>
      </w:r>
      <w:r w:rsidR="006861CC">
        <w:t>s uppdrag</w:t>
      </w:r>
      <w:r w:rsidR="009954E6">
        <w:t>.</w:t>
      </w:r>
    </w:p>
    <w:p w:rsidR="0056210D" w:rsidRDefault="00790E94" w:rsidP="009954E6">
      <w:pPr>
        <w:pStyle w:val="Normaltindrag"/>
      </w:pPr>
      <w:r>
        <w:t xml:space="preserve">I Riksbankens uppdrag </w:t>
      </w:r>
      <w:r w:rsidR="009954E6">
        <w:t xml:space="preserve">att främja ett säkert och effektivt </w:t>
      </w:r>
      <w:r w:rsidR="00BD0C76">
        <w:t xml:space="preserve">betalningsväsende </w:t>
      </w:r>
      <w:r w:rsidR="006922E2">
        <w:t>ingår</w:t>
      </w:r>
      <w:r w:rsidR="00263BC1" w:rsidRPr="0082563B">
        <w:t xml:space="preserve"> att ge ut sedlar och mynt. Riksbanken tillhandahåller </w:t>
      </w:r>
      <w:r w:rsidR="006922E2">
        <w:t>även</w:t>
      </w:r>
      <w:r w:rsidR="00263BC1" w:rsidRPr="0082563B">
        <w:t xml:space="preserve"> ett </w:t>
      </w:r>
      <w:r w:rsidR="00263BC1">
        <w:t>centralt betalnings</w:t>
      </w:r>
      <w:r w:rsidR="00263BC1" w:rsidRPr="0082563B">
        <w:t>system</w:t>
      </w:r>
      <w:r w:rsidR="00693D06">
        <w:t xml:space="preserve"> (</w:t>
      </w:r>
      <w:r w:rsidR="00263BC1">
        <w:t>RIX</w:t>
      </w:r>
      <w:r w:rsidR="00693D06">
        <w:t>)</w:t>
      </w:r>
      <w:r w:rsidR="00263BC1" w:rsidRPr="0082563B">
        <w:t xml:space="preserve"> som </w:t>
      </w:r>
      <w:r w:rsidR="00263BC1">
        <w:t xml:space="preserve">hanterar stora betalningar </w:t>
      </w:r>
      <w:r>
        <w:t xml:space="preserve">i svenska kronor </w:t>
      </w:r>
      <w:r w:rsidR="00263BC1">
        <w:t>me</w:t>
      </w:r>
      <w:r w:rsidR="00263BC1">
        <w:t>l</w:t>
      </w:r>
      <w:r w:rsidR="00263BC1">
        <w:t>lan banker och andra aktörer på ett säkert och effektivt sätt</w:t>
      </w:r>
      <w:r w:rsidR="001311B6">
        <w:t>.</w:t>
      </w:r>
    </w:p>
    <w:p w:rsidR="0056210D" w:rsidRDefault="00DC5FDB" w:rsidP="00F854D6">
      <w:pPr>
        <w:pStyle w:val="R4"/>
        <w:outlineLvl w:val="0"/>
      </w:pPr>
      <w:r>
        <w:t>F</w:t>
      </w:r>
      <w:r w:rsidR="00A1350B">
        <w:t>inansiell stabilitet – f</w:t>
      </w:r>
      <w:r w:rsidR="00F854D6">
        <w:t>örebyggande arbete och krishantering</w:t>
      </w:r>
    </w:p>
    <w:p w:rsidR="00A1350B" w:rsidRDefault="00A1350B" w:rsidP="00A80E70">
      <w:pPr>
        <w:suppressAutoHyphens/>
      </w:pPr>
      <w:r>
        <w:t xml:space="preserve">Riksbanken har valt att definiera finansiell stabilitet som </w:t>
      </w:r>
      <w:r w:rsidR="00BD0C76">
        <w:t>när</w:t>
      </w:r>
      <w:r>
        <w:t xml:space="preserve"> det finansiella systemet kan upprätthålla sina grundläggande funktioner och dessutom har motståndskraft mot störningar som hotar dessa funktioner. Riksbanken strävar efter att förebygga hot mot den finansiella stabiliteten genom att löpande analysera och följa utvecklingen i det finansiella systemet och i ekonomin i övrigt samt genom att informera om och uppmärksamma risker som byggs upp. </w:t>
      </w:r>
      <w:r w:rsidRPr="00B93592">
        <w:t>Analysen fokuserar främst på de stora svenska bankkoncernerna</w:t>
      </w:r>
      <w:r w:rsidR="00AD26CF">
        <w:t xml:space="preserve"> (Handelsbanken, Nordea, SEB och Swedbank)</w:t>
      </w:r>
      <w:r w:rsidRPr="00B93592">
        <w:t>, finansmarknade</w:t>
      </w:r>
      <w:r>
        <w:t>r</w:t>
      </w:r>
      <w:r w:rsidRPr="00B93592">
        <w:t>n</w:t>
      </w:r>
      <w:r>
        <w:t>a</w:t>
      </w:r>
      <w:r w:rsidRPr="00B93592">
        <w:t xml:space="preserve">s </w:t>
      </w:r>
      <w:r>
        <w:t>funktions</w:t>
      </w:r>
      <w:r w:rsidRPr="00B93592">
        <w:t>sätt och de</w:t>
      </w:r>
      <w:r>
        <w:t xml:space="preserve">n finansiella infrastruktur som </w:t>
      </w:r>
      <w:r w:rsidRPr="00B93592">
        <w:t xml:space="preserve">behövs för att </w:t>
      </w:r>
      <w:r w:rsidR="00D923A3">
        <w:t xml:space="preserve">allmänhetens </w:t>
      </w:r>
      <w:r w:rsidRPr="00B93592">
        <w:t xml:space="preserve">betalningar </w:t>
      </w:r>
      <w:r>
        <w:t xml:space="preserve">och de svenska finansmarknaderna </w:t>
      </w:r>
      <w:r w:rsidRPr="00B93592">
        <w:t>ska fun</w:t>
      </w:r>
      <w:r>
        <w:t xml:space="preserve">gera. </w:t>
      </w:r>
      <w:r w:rsidR="00085FBD">
        <w:t xml:space="preserve">Riksbanken har tillsammans med Finansinspektionen </w:t>
      </w:r>
      <w:r w:rsidR="00BD0C76">
        <w:t>ansvar</w:t>
      </w:r>
      <w:r w:rsidR="00085FBD" w:rsidRPr="006869E9">
        <w:t xml:space="preserve"> </w:t>
      </w:r>
      <w:r w:rsidR="00085FBD">
        <w:t xml:space="preserve">för att </w:t>
      </w:r>
      <w:r w:rsidR="00BD0C76">
        <w:t xml:space="preserve">förebygga kriser och på så sätt </w:t>
      </w:r>
      <w:r w:rsidR="00085FBD">
        <w:t>främja stabiliteten i det finansiella systemet.</w:t>
      </w:r>
    </w:p>
    <w:p w:rsidR="00D923A3" w:rsidRDefault="00DF0655" w:rsidP="00D923A3">
      <w:pPr>
        <w:pStyle w:val="Normaltindrag"/>
      </w:pPr>
      <w:r>
        <w:t>Riksbankens</w:t>
      </w:r>
      <w:r w:rsidR="00D923A3" w:rsidRPr="000F12DB">
        <w:t xml:space="preserve"> före</w:t>
      </w:r>
      <w:r>
        <w:t xml:space="preserve">byggande arbete sker </w:t>
      </w:r>
      <w:r w:rsidR="00D923A3" w:rsidRPr="000F12DB">
        <w:t>genom att offentligt och i dialog med aktörerna i det finansiella systemet, både i Sverige och internationellt, uppmärksamma risker och händelser som kan innebära hot mo</w:t>
      </w:r>
      <w:r w:rsidR="00B45F28">
        <w:t>t den finan</w:t>
      </w:r>
      <w:r w:rsidR="00C96600">
        <w:softHyphen/>
      </w:r>
      <w:r w:rsidR="00B45F28">
        <w:t xml:space="preserve">siella stabiliteten. </w:t>
      </w:r>
      <w:r w:rsidR="00F96FEF">
        <w:t xml:space="preserve">Riksbanken </w:t>
      </w:r>
      <w:r w:rsidR="000943EC">
        <w:t xml:space="preserve">ger </w:t>
      </w:r>
      <w:r w:rsidR="00F96FEF">
        <w:t>i detta sammanhang rekommenda</w:t>
      </w:r>
      <w:r w:rsidR="00F96FEF">
        <w:t>t</w:t>
      </w:r>
      <w:r w:rsidR="00F96FEF">
        <w:t xml:space="preserve">ioner till </w:t>
      </w:r>
      <w:r w:rsidR="00F96FEF" w:rsidRPr="000F12DB">
        <w:t xml:space="preserve">banker och andra aktörer på de finansiella marknaderna </w:t>
      </w:r>
      <w:r w:rsidR="00F96FEF">
        <w:t>med m</w:t>
      </w:r>
      <w:r w:rsidR="00DB7289">
        <w:t xml:space="preserve">ålet </w:t>
      </w:r>
      <w:r w:rsidR="00D923A3" w:rsidRPr="000F12DB">
        <w:t xml:space="preserve">att förmå </w:t>
      </w:r>
      <w:r w:rsidR="00F96FEF">
        <w:t>dem</w:t>
      </w:r>
      <w:r w:rsidR="00D923A3" w:rsidRPr="000F12DB">
        <w:t xml:space="preserve"> att förstå och åtgä</w:t>
      </w:r>
      <w:r w:rsidR="00D923A3">
        <w:t>rda de risker som identifieras.</w:t>
      </w:r>
      <w:r w:rsidR="00F96FEF">
        <w:t xml:space="preserve"> </w:t>
      </w:r>
    </w:p>
    <w:p w:rsidR="00D923A3" w:rsidRPr="00D923A3" w:rsidRDefault="00D923A3" w:rsidP="00D923A3">
      <w:pPr>
        <w:pStyle w:val="Normaltindrag"/>
      </w:pPr>
      <w:r w:rsidRPr="000F12DB">
        <w:t xml:space="preserve">Riksbanken påverkar också utformningen av lagar och regler för tillsyn och krishantering genom att </w:t>
      </w:r>
      <w:r w:rsidR="00B45F28">
        <w:t xml:space="preserve">dels </w:t>
      </w:r>
      <w:r w:rsidRPr="000F12DB">
        <w:t>svara</w:t>
      </w:r>
      <w:r w:rsidR="00B45F28">
        <w:t xml:space="preserve"> på remisser och konsultationer, dels </w:t>
      </w:r>
      <w:r w:rsidRPr="000F12DB">
        <w:t xml:space="preserve">aktivt </w:t>
      </w:r>
      <w:r w:rsidR="000F6055" w:rsidRPr="000F12DB">
        <w:t xml:space="preserve">delta </w:t>
      </w:r>
      <w:r w:rsidRPr="000F12DB">
        <w:t>i arbetet i flera internationella organisationer. Det interna</w:t>
      </w:r>
      <w:r w:rsidRPr="000F12DB">
        <w:softHyphen/>
        <w:t>tio</w:t>
      </w:r>
      <w:r w:rsidRPr="000F12DB">
        <w:softHyphen/>
        <w:t xml:space="preserve">nella samarbetet är viktigt </w:t>
      </w:r>
      <w:r w:rsidR="00BD6320">
        <w:t>av flera skäl. Den globaliserade finanssektorn är i behov av ett tydligt och kraftfullt regelverk för att säkerställa internationella minim</w:t>
      </w:r>
      <w:r w:rsidR="00BD6320">
        <w:t>i</w:t>
      </w:r>
      <w:r w:rsidR="00BD6320">
        <w:t>standarder. Dessutom krävs samarbete</w:t>
      </w:r>
      <w:r w:rsidRPr="000F12DB">
        <w:t xml:space="preserve"> för att kontinuerligt </w:t>
      </w:r>
      <w:r w:rsidR="000F6055">
        <w:t xml:space="preserve">kunna </w:t>
      </w:r>
      <w:r w:rsidRPr="000F12DB">
        <w:t>anpassa och förstärka formerna för samordnad övervakning och tillsyn mellan natio</w:t>
      </w:r>
      <w:r w:rsidRPr="000F12DB">
        <w:t>n</w:t>
      </w:r>
      <w:r w:rsidRPr="000F12DB">
        <w:t>ella myndigheter.</w:t>
      </w:r>
      <w:r w:rsidR="00D53523">
        <w:t xml:space="preserve"> </w:t>
      </w:r>
      <w:r w:rsidR="00BD6320">
        <w:t>Samarbetet</w:t>
      </w:r>
      <w:r w:rsidR="00D53523" w:rsidRPr="000F12DB">
        <w:t xml:space="preserve"> är </w:t>
      </w:r>
      <w:r w:rsidR="000F6055">
        <w:t>också</w:t>
      </w:r>
      <w:r w:rsidR="00D53523" w:rsidRPr="000F12DB">
        <w:t xml:space="preserve"> viktigt för att </w:t>
      </w:r>
      <w:r w:rsidR="00D53BFC">
        <w:t xml:space="preserve">det ger möjligheter att </w:t>
      </w:r>
      <w:r w:rsidR="00D53523" w:rsidRPr="000F12DB">
        <w:t>utbyta information, diskutera aktuella risker och utveckla arbetet med att förebygga risker.</w:t>
      </w:r>
    </w:p>
    <w:p w:rsidR="00EC0A08" w:rsidRDefault="00EC0A08" w:rsidP="00A80E70">
      <w:pPr>
        <w:pStyle w:val="Normaltindrag"/>
        <w:suppressAutoHyphens/>
      </w:pPr>
      <w:r w:rsidRPr="000F12DB">
        <w:t>Om en finansiell kris inträffar delar Riksbanken, Finansinspektionen, Finansdepartementet och Riksgälden ansvaret för att hantera krisen på ett sätt som minimerar de samhällsekonomiska kostnaderna. Riksbankens krishante</w:t>
      </w:r>
      <w:r w:rsidRPr="000F12DB">
        <w:softHyphen/>
        <w:t>ring kan delas in i tre huvudsakliga moment: tillförsel av likviditet till det finansiella systemet, kommunikation av Riksbankens bedömningar och samarbete med myndigheter i Sverige och utlandet.</w:t>
      </w:r>
      <w:r>
        <w:t xml:space="preserve"> </w:t>
      </w:r>
      <w:r w:rsidR="00D20EF9">
        <w:t>T</w:t>
      </w:r>
      <w:r>
        <w:t xml:space="preserve">illförsel av likviditet </w:t>
      </w:r>
      <w:r w:rsidR="00D20EF9">
        <w:t xml:space="preserve">kan </w:t>
      </w:r>
      <w:r w:rsidR="00211369">
        <w:t xml:space="preserve">innebära </w:t>
      </w:r>
      <w:r>
        <w:t xml:space="preserve">att </w:t>
      </w:r>
      <w:r w:rsidR="00A1350B">
        <w:t xml:space="preserve">Riksbanken </w:t>
      </w:r>
      <w:r w:rsidR="00211369">
        <w:t>gör</w:t>
      </w:r>
      <w:r w:rsidR="00A1350B">
        <w:t xml:space="preserve"> det lättare för banker att tillfälligt låna hos Riksbanken under vissa förutsättningar</w:t>
      </w:r>
      <w:r w:rsidR="00D41A9A">
        <w:t>.</w:t>
      </w:r>
      <w:r w:rsidR="00D20EF9">
        <w:t xml:space="preserve"> Riksbanken</w:t>
      </w:r>
      <w:r w:rsidR="00D20EF9" w:rsidRPr="000F12DB">
        <w:t xml:space="preserve"> </w:t>
      </w:r>
      <w:r w:rsidR="00D41A9A">
        <w:t>kan också ge</w:t>
      </w:r>
      <w:r w:rsidR="00D20EF9" w:rsidRPr="000F12DB">
        <w:t xml:space="preserve"> likviditets</w:t>
      </w:r>
      <w:r w:rsidR="00C96600">
        <w:softHyphen/>
      </w:r>
      <w:r w:rsidR="00D20EF9" w:rsidRPr="000F12DB">
        <w:t>stöd till enskilda institut på särskilda villkor.</w:t>
      </w:r>
      <w:r w:rsidR="00745DBF">
        <w:t xml:space="preserve"> En </w:t>
      </w:r>
      <w:r w:rsidR="00B45F28">
        <w:t>mer utförlig</w:t>
      </w:r>
      <w:r w:rsidR="00745DBF">
        <w:t xml:space="preserve"> beskrivning av Rik</w:t>
      </w:r>
      <w:r w:rsidR="00745DBF">
        <w:t>s</w:t>
      </w:r>
      <w:r w:rsidR="00745DBF">
        <w:t xml:space="preserve">bankens förbyggande arbete och krishantering </w:t>
      </w:r>
      <w:r w:rsidR="00D53BFC">
        <w:t>finns</w:t>
      </w:r>
      <w:r w:rsidR="00745DBF">
        <w:t xml:space="preserve"> i </w:t>
      </w:r>
      <w:r w:rsidR="00174E98">
        <w:t xml:space="preserve">Riksbankens </w:t>
      </w:r>
      <w:r w:rsidR="00745DBF">
        <w:t>skrift Riksbanken och finansiell stabilitet</w:t>
      </w:r>
      <w:r w:rsidR="00174E98">
        <w:t xml:space="preserve"> (2013)</w:t>
      </w:r>
      <w:r w:rsidR="00745DBF">
        <w:t>.</w:t>
      </w:r>
    </w:p>
    <w:p w:rsidR="003F6546" w:rsidRDefault="006861CC" w:rsidP="00136F86">
      <w:pPr>
        <w:pStyle w:val="R4"/>
        <w:tabs>
          <w:tab w:val="right" w:pos="5953"/>
        </w:tabs>
        <w:outlineLvl w:val="0"/>
      </w:pPr>
      <w:r>
        <w:t>Makrotillsynens betyd</w:t>
      </w:r>
      <w:r w:rsidR="00F82D3A">
        <w:t>else</w:t>
      </w:r>
      <w:r>
        <w:t xml:space="preserve"> för</w:t>
      </w:r>
      <w:r w:rsidR="005B3A13">
        <w:t xml:space="preserve"> Riksbankens uppdrag</w:t>
      </w:r>
      <w:r w:rsidR="00136F86">
        <w:tab/>
      </w:r>
    </w:p>
    <w:p w:rsidR="00BF3241" w:rsidRDefault="002E6DE1" w:rsidP="0080326A">
      <w:r>
        <w:t xml:space="preserve">Den </w:t>
      </w:r>
      <w:r w:rsidR="00CC0F56">
        <w:t xml:space="preserve">internationella finansiella </w:t>
      </w:r>
      <w:r w:rsidR="00CC0F56" w:rsidRPr="00382BC7">
        <w:t xml:space="preserve">krisen 2007–2009 </w:t>
      </w:r>
      <w:r>
        <w:t>medförde</w:t>
      </w:r>
      <w:r w:rsidR="00BF3241">
        <w:t xml:space="preserve"> att</w:t>
      </w:r>
      <w:r>
        <w:t xml:space="preserve"> </w:t>
      </w:r>
      <w:r w:rsidR="009B1FEB">
        <w:t xml:space="preserve">delar av </w:t>
      </w:r>
      <w:r>
        <w:t>arbete</w:t>
      </w:r>
      <w:r w:rsidR="00B0594D">
        <w:t>t med att försöka upptäcka, anal</w:t>
      </w:r>
      <w:r w:rsidR="00B0594D">
        <w:t>y</w:t>
      </w:r>
      <w:r w:rsidR="00B0594D">
        <w:t>sera och motverka risker i det finansiella systemet som helhet</w:t>
      </w:r>
      <w:r>
        <w:t xml:space="preserve"> samlades i det nya politikområdet makrotillsyn. </w:t>
      </w:r>
      <w:r w:rsidRPr="002E6DE1">
        <w:t>Makr</w:t>
      </w:r>
      <w:r w:rsidRPr="002E6DE1">
        <w:t>o</w:t>
      </w:r>
      <w:r w:rsidRPr="002E6DE1">
        <w:t>tillsynen har två huvudsakliga uppgi</w:t>
      </w:r>
      <w:r w:rsidRPr="002E6DE1">
        <w:t>f</w:t>
      </w:r>
      <w:r w:rsidRPr="002E6DE1">
        <w:t>ter. För det första ska den stärka det finansiella systemets motståndskraft, exempelvis genom åtgärder som gör att banker</w:t>
      </w:r>
      <w:r w:rsidR="00F82D3A">
        <w:t>na</w:t>
      </w:r>
      <w:r w:rsidRPr="002E6DE1">
        <w:t xml:space="preserve"> har tillräckligt med kapital för att </w:t>
      </w:r>
      <w:r w:rsidR="00F82D3A">
        <w:t>hantera</w:t>
      </w:r>
      <w:r w:rsidRPr="002E6DE1">
        <w:t xml:space="preserve"> kreditförluster. För det andra ska den motverka uppbyggnaden av finansiella obalanser, vilka senare kan leda till kostsamma anpassningar. Finansiella obalanser kan handla om </w:t>
      </w:r>
      <w:r w:rsidR="00500EEF">
        <w:t>ohållbara</w:t>
      </w:r>
      <w:r w:rsidR="00500EEF" w:rsidRPr="002E6DE1">
        <w:t xml:space="preserve"> </w:t>
      </w:r>
      <w:r w:rsidRPr="002E6DE1">
        <w:t>uppgångar i kreditgivning och skuldsättning som</w:t>
      </w:r>
      <w:r w:rsidR="00BF3241">
        <w:t xml:space="preserve"> </w:t>
      </w:r>
      <w:r w:rsidR="001E5A43">
        <w:t>kan hota hållba</w:t>
      </w:r>
      <w:r w:rsidR="001E5A43">
        <w:t>r</w:t>
      </w:r>
      <w:r w:rsidR="001E5A43">
        <w:t>heten i den ekonomiska utvecklingen</w:t>
      </w:r>
      <w:r w:rsidRPr="002E6DE1">
        <w:t>.</w:t>
      </w:r>
      <w:r w:rsidR="00BF3241">
        <w:t xml:space="preserve"> Exakt vad som ska ingå i </w:t>
      </w:r>
      <w:r w:rsidR="00CC0F56" w:rsidRPr="00382BC7">
        <w:t>makro</w:t>
      </w:r>
      <w:r w:rsidR="00A80E70">
        <w:softHyphen/>
      </w:r>
      <w:r w:rsidR="00CC0F56" w:rsidRPr="00382BC7">
        <w:t>tills</w:t>
      </w:r>
      <w:r w:rsidR="00CC0F56" w:rsidRPr="00382BC7">
        <w:t>y</w:t>
      </w:r>
      <w:r w:rsidR="00CC0F56" w:rsidRPr="00382BC7">
        <w:t>n</w:t>
      </w:r>
      <w:r w:rsidR="00CC0F56">
        <w:t>en</w:t>
      </w:r>
      <w:r w:rsidR="009B1FEB">
        <w:t xml:space="preserve">, </w:t>
      </w:r>
      <w:r w:rsidR="00CC0F56">
        <w:t>vilka</w:t>
      </w:r>
      <w:r w:rsidR="00CC0F56" w:rsidRPr="00382BC7">
        <w:t xml:space="preserve"> verktyg som kan användas </w:t>
      </w:r>
      <w:r w:rsidR="009B1FEB">
        <w:t xml:space="preserve">och verktygens effekt </w:t>
      </w:r>
      <w:r w:rsidR="001E5A43">
        <w:t xml:space="preserve">står </w:t>
      </w:r>
      <w:r w:rsidR="00F82D3A">
        <w:t xml:space="preserve">ännu inte </w:t>
      </w:r>
      <w:r w:rsidR="001E5A43">
        <w:t xml:space="preserve">klart </w:t>
      </w:r>
      <w:r w:rsidR="00CC0F56">
        <w:t xml:space="preserve">eftersom </w:t>
      </w:r>
      <w:r w:rsidR="00CC0F56" w:rsidRPr="00382BC7">
        <w:t>politikområde</w:t>
      </w:r>
      <w:r w:rsidR="00BF3241">
        <w:t>t är</w:t>
      </w:r>
      <w:r w:rsidR="00CC0F56" w:rsidRPr="00382BC7">
        <w:t xml:space="preserve"> under framväxt. </w:t>
      </w:r>
    </w:p>
    <w:p w:rsidR="00CC0F56" w:rsidRPr="00382BC7" w:rsidRDefault="00972468" w:rsidP="00A80E70">
      <w:pPr>
        <w:pStyle w:val="Normaltindrag"/>
        <w:suppressAutoHyphens/>
      </w:pPr>
      <w:r w:rsidRPr="00382BC7">
        <w:t xml:space="preserve">I Sverige </w:t>
      </w:r>
      <w:r>
        <w:t xml:space="preserve">har </w:t>
      </w:r>
      <w:r w:rsidRPr="00382BC7">
        <w:t>Finansinspektion</w:t>
      </w:r>
      <w:r>
        <w:t xml:space="preserve">en </w:t>
      </w:r>
      <w:r w:rsidR="000943EC">
        <w:t>g</w:t>
      </w:r>
      <w:r w:rsidR="00633B82">
        <w:t>etts</w:t>
      </w:r>
      <w:r w:rsidR="000943EC">
        <w:t xml:space="preserve"> </w:t>
      </w:r>
      <w:r w:rsidRPr="00382BC7">
        <w:t xml:space="preserve">det huvudsakliga ansvaret för </w:t>
      </w:r>
      <w:r>
        <w:t xml:space="preserve">de instrument som </w:t>
      </w:r>
      <w:r w:rsidR="00802E7C">
        <w:t xml:space="preserve">hittills </w:t>
      </w:r>
      <w:r>
        <w:t xml:space="preserve">finns </w:t>
      </w:r>
      <w:r w:rsidR="00802E7C">
        <w:t xml:space="preserve">på plats </w:t>
      </w:r>
      <w:r>
        <w:t xml:space="preserve">för att påverka den finansiella stabiliteten. </w:t>
      </w:r>
      <w:r w:rsidR="003F38D0">
        <w:t>Det svenska r</w:t>
      </w:r>
      <w:r w:rsidR="00C942D4">
        <w:t>amverk</w:t>
      </w:r>
      <w:r w:rsidR="003F38D0">
        <w:t>et</w:t>
      </w:r>
      <w:r w:rsidR="00C942D4">
        <w:t xml:space="preserve"> för finansiell stabilitet</w:t>
      </w:r>
      <w:r w:rsidR="003F38D0">
        <w:t xml:space="preserve"> förstärktes </w:t>
      </w:r>
      <w:r w:rsidR="006922E2">
        <w:t xml:space="preserve">också </w:t>
      </w:r>
      <w:r w:rsidR="003F38D0">
        <w:t>i början av 2014</w:t>
      </w:r>
      <w:r w:rsidR="00C942D4">
        <w:t xml:space="preserve">. </w:t>
      </w:r>
      <w:r w:rsidR="00796305">
        <w:t xml:space="preserve">I </w:t>
      </w:r>
      <w:r w:rsidR="00C942D4">
        <w:t>och med detta inrättades</w:t>
      </w:r>
      <w:r w:rsidR="008872EB">
        <w:t xml:space="preserve"> </w:t>
      </w:r>
      <w:r w:rsidR="00B233C5">
        <w:t>det f</w:t>
      </w:r>
      <w:r w:rsidR="00EE6F5B">
        <w:t xml:space="preserve">inansiella stabilitetsrådet </w:t>
      </w:r>
      <w:r w:rsidR="00C942D4">
        <w:t xml:space="preserve">med </w:t>
      </w:r>
      <w:r w:rsidR="00EE6F5B">
        <w:t>f</w:t>
      </w:r>
      <w:r w:rsidR="00EE6F5B" w:rsidRPr="000D0944">
        <w:t xml:space="preserve">öreträdare för regeringen, Finansinspektionen, Riksgälden och Riksbanken. </w:t>
      </w:r>
      <w:r w:rsidR="00EE6F5B">
        <w:t>Rådet</w:t>
      </w:r>
      <w:r w:rsidR="000D0944">
        <w:t xml:space="preserve"> diskutera</w:t>
      </w:r>
      <w:r w:rsidR="00EE6F5B">
        <w:t>r</w:t>
      </w:r>
      <w:r w:rsidR="000D0944">
        <w:t xml:space="preserve"> f</w:t>
      </w:r>
      <w:r w:rsidR="000D0944" w:rsidRPr="000D0944">
        <w:t>rågor om finansiell stabilitet och möjliga åtgärder för att motverka uppbygg</w:t>
      </w:r>
      <w:r w:rsidR="00E4000C">
        <w:t>na</w:t>
      </w:r>
      <w:r w:rsidR="000D0944" w:rsidRPr="000D0944">
        <w:t>den av finansiella obalanser</w:t>
      </w:r>
      <w:r w:rsidR="00EE6F5B">
        <w:t>.</w:t>
      </w:r>
      <w:r w:rsidR="000D0944" w:rsidRPr="000D0944">
        <w:t xml:space="preserve"> </w:t>
      </w:r>
      <w:r w:rsidR="005826F7">
        <w:t>I händelse av</w:t>
      </w:r>
      <w:r w:rsidR="000D0944" w:rsidRPr="000D0944">
        <w:t xml:space="preserve"> en finansiell kris</w:t>
      </w:r>
      <w:r w:rsidR="00EE6F5B">
        <w:t xml:space="preserve"> </w:t>
      </w:r>
      <w:r w:rsidR="000D0944" w:rsidRPr="000D0944">
        <w:t>diskutera</w:t>
      </w:r>
      <w:r w:rsidR="00EE6F5B">
        <w:t>r rådet</w:t>
      </w:r>
      <w:r w:rsidR="000D0944" w:rsidRPr="000D0944">
        <w:t xml:space="preserve"> möjliga åtgärder för att hantera situation</w:t>
      </w:r>
      <w:r>
        <w:t>en</w:t>
      </w:r>
      <w:r w:rsidR="000D0944" w:rsidRPr="000D0944">
        <w:t>.</w:t>
      </w:r>
      <w:r w:rsidR="00EE6F5B">
        <w:t xml:space="preserve"> Rådet </w:t>
      </w:r>
      <w:r w:rsidR="008268EF">
        <w:t xml:space="preserve">är </w:t>
      </w:r>
      <w:r>
        <w:t xml:space="preserve">dock endast </w:t>
      </w:r>
      <w:r w:rsidR="008268EF">
        <w:t>ett mötesf</w:t>
      </w:r>
      <w:r w:rsidR="008268EF">
        <w:t>o</w:t>
      </w:r>
      <w:r w:rsidR="008268EF">
        <w:t xml:space="preserve">rum och inte ett beslutsfattande organ. Det innebär att </w:t>
      </w:r>
      <w:r w:rsidR="00B233C5">
        <w:t xml:space="preserve">de </w:t>
      </w:r>
      <w:r w:rsidR="00AB2612">
        <w:t>representerade</w:t>
      </w:r>
      <w:r w:rsidR="00B233C5">
        <w:t xml:space="preserve"> </w:t>
      </w:r>
      <w:r w:rsidR="00086F5E">
        <w:t>my</w:t>
      </w:r>
      <w:r w:rsidR="00086F5E">
        <w:t>n</w:t>
      </w:r>
      <w:r w:rsidR="00086F5E">
        <w:t>dighet</w:t>
      </w:r>
      <w:r w:rsidR="00B233C5">
        <w:t>erna</w:t>
      </w:r>
      <w:r w:rsidR="00086F5E">
        <w:t xml:space="preserve"> </w:t>
      </w:r>
      <w:r w:rsidR="00926A25">
        <w:t xml:space="preserve">kan </w:t>
      </w:r>
      <w:r w:rsidR="00086F5E">
        <w:t xml:space="preserve">föra </w:t>
      </w:r>
      <w:r w:rsidR="00926A25">
        <w:t xml:space="preserve">fram </w:t>
      </w:r>
      <w:r w:rsidR="00B233C5">
        <w:t xml:space="preserve">sina </w:t>
      </w:r>
      <w:r w:rsidR="00086F5E">
        <w:t xml:space="preserve">åsikter om vad </w:t>
      </w:r>
      <w:r w:rsidR="00ED46C3">
        <w:t>de</w:t>
      </w:r>
      <w:r w:rsidR="00086F5E">
        <w:t xml:space="preserve"> tycker ska åtgä</w:t>
      </w:r>
      <w:r w:rsidR="00086F5E">
        <w:t>r</w:t>
      </w:r>
      <w:r w:rsidR="00086F5E">
        <w:t xml:space="preserve">das, men </w:t>
      </w:r>
      <w:r w:rsidR="00B233C5">
        <w:t>beslut om vilka åtgärder som ska vidta</w:t>
      </w:r>
      <w:r w:rsidR="000D065E">
        <w:t xml:space="preserve">s fattas självständigt inom vars </w:t>
      </w:r>
      <w:r w:rsidR="00B233C5">
        <w:t xml:space="preserve">och ens ansvarsområde. </w:t>
      </w:r>
    </w:p>
    <w:p w:rsidR="00CC0F56" w:rsidRPr="007450BA" w:rsidRDefault="00480017" w:rsidP="00A80E70">
      <w:pPr>
        <w:pStyle w:val="Normaltindrag"/>
        <w:suppressAutoHyphens/>
      </w:pPr>
      <w:r w:rsidRPr="00CE430C">
        <w:t xml:space="preserve">Riksbanken behöver ta hänsyn till risker i det finansiella systemet som helhet, och </w:t>
      </w:r>
      <w:r w:rsidR="00972468">
        <w:t xml:space="preserve">till </w:t>
      </w:r>
      <w:r w:rsidRPr="00CE430C">
        <w:t xml:space="preserve">vilka beslut som fattas inom makrotillsynen, för att kunna </w:t>
      </w:r>
      <w:r w:rsidR="00972468">
        <w:t>utföra</w:t>
      </w:r>
      <w:r w:rsidRPr="00CE430C">
        <w:t xml:space="preserve"> båda sina policyuppdrag – att upprätthålla ett fast penningvärde och att främja ett säkert och effektivt betalningsväsende.</w:t>
      </w:r>
      <w:r>
        <w:t xml:space="preserve"> </w:t>
      </w:r>
      <w:r w:rsidR="00CC0F56" w:rsidRPr="00CE430C">
        <w:t>Ett stabilt finansiellt system är en förutsättning för att Riksbanken ska kunna bedriva en effektiv penningpolitik. Det beror på att de finansiella marknaderna och deras sätt att fungera p</w:t>
      </w:r>
      <w:r>
        <w:t>åverkar genomslaget för penning</w:t>
      </w:r>
      <w:r w:rsidR="00CC0F56" w:rsidRPr="00CE430C">
        <w:t xml:space="preserve">politiken. </w:t>
      </w:r>
      <w:r w:rsidR="0036660C">
        <w:t xml:space="preserve">Den prisstabilitet som </w:t>
      </w:r>
      <w:r w:rsidR="00972468">
        <w:t xml:space="preserve">är </w:t>
      </w:r>
      <w:r w:rsidR="0036660C">
        <w:t>pe</w:t>
      </w:r>
      <w:r w:rsidR="0036660C">
        <w:t>n</w:t>
      </w:r>
      <w:r w:rsidR="0036660C">
        <w:t>ningpolitiken</w:t>
      </w:r>
      <w:r w:rsidR="00972468">
        <w:t>s mål</w:t>
      </w:r>
      <w:r w:rsidR="0036660C">
        <w:t xml:space="preserve"> är </w:t>
      </w:r>
      <w:r w:rsidR="00D83A33">
        <w:t>samtidigt</w:t>
      </w:r>
      <w:r w:rsidR="0036660C">
        <w:t xml:space="preserve"> en förutsättning för at</w:t>
      </w:r>
      <w:r w:rsidR="006254CC">
        <w:t>t uppnå finansiell stab</w:t>
      </w:r>
      <w:r w:rsidR="006254CC">
        <w:t>i</w:t>
      </w:r>
      <w:r w:rsidR="006254CC">
        <w:t xml:space="preserve">litet. </w:t>
      </w:r>
    </w:p>
    <w:p w:rsidR="00CC0F56" w:rsidRPr="00CC0F56" w:rsidRDefault="00422685" w:rsidP="00F854D6">
      <w:pPr>
        <w:pStyle w:val="R4"/>
        <w:outlineLvl w:val="0"/>
      </w:pPr>
      <w:r>
        <w:t>B</w:t>
      </w:r>
      <w:r w:rsidR="00D923A3">
        <w:t xml:space="preserve">etalningssystemet RIX </w:t>
      </w:r>
      <w:r w:rsidR="00A35878">
        <w:t>ger säkra och effektiva finansiella överföringar</w:t>
      </w:r>
    </w:p>
    <w:p w:rsidR="00676DE3" w:rsidRDefault="001E671E" w:rsidP="005759B2">
      <w:r w:rsidRPr="001E671E">
        <w:t xml:space="preserve">Ett sätt att </w:t>
      </w:r>
      <w:r w:rsidR="005B7925" w:rsidRPr="001E671E">
        <w:t>främja ett säkert och effektivt betalningsväsende</w:t>
      </w:r>
      <w:r w:rsidRPr="001E671E">
        <w:t xml:space="preserve"> är att tillhandahå</w:t>
      </w:r>
      <w:r w:rsidRPr="001E671E">
        <w:t>l</w:t>
      </w:r>
      <w:r w:rsidRPr="001E671E">
        <w:t xml:space="preserve">la ett system som underlättar för marknadsaktörerna att </w:t>
      </w:r>
      <w:r w:rsidR="002140D5" w:rsidRPr="001E671E">
        <w:t>g</w:t>
      </w:r>
      <w:r w:rsidR="002140D5">
        <w:t>öra</w:t>
      </w:r>
      <w:r w:rsidR="002140D5" w:rsidRPr="001E671E">
        <w:t xml:space="preserve"> </w:t>
      </w:r>
      <w:r w:rsidRPr="001E671E">
        <w:t>finansiella öve</w:t>
      </w:r>
      <w:r w:rsidRPr="001E671E">
        <w:t>r</w:t>
      </w:r>
      <w:r w:rsidRPr="001E671E">
        <w:t>föringar sinsemellan utan k</w:t>
      </w:r>
      <w:r w:rsidR="00755966">
        <w:t>redit- eller likviditetsrisker.</w:t>
      </w:r>
      <w:r w:rsidR="00120746">
        <w:t xml:space="preserve"> </w:t>
      </w:r>
      <w:r w:rsidR="00120746" w:rsidRPr="00120746">
        <w:t>Rik</w:t>
      </w:r>
      <w:r w:rsidR="00120746" w:rsidRPr="00120746">
        <w:t>s</w:t>
      </w:r>
      <w:r w:rsidR="00120746" w:rsidRPr="00120746">
        <w:t xml:space="preserve">banken </w:t>
      </w:r>
      <w:r w:rsidR="005B7925">
        <w:t>har därför upprättat ett centralt</w:t>
      </w:r>
      <w:r w:rsidR="00120746" w:rsidRPr="00120746">
        <w:t xml:space="preserve"> betalnings</w:t>
      </w:r>
      <w:r w:rsidR="00120746">
        <w:t>system</w:t>
      </w:r>
      <w:r w:rsidR="00CB240A">
        <w:t xml:space="preserve"> (</w:t>
      </w:r>
      <w:r w:rsidR="00120746">
        <w:t>RIX</w:t>
      </w:r>
      <w:r w:rsidR="00CB240A">
        <w:t>)</w:t>
      </w:r>
      <w:r w:rsidR="00120746">
        <w:t xml:space="preserve"> </w:t>
      </w:r>
      <w:r w:rsidR="005B7925">
        <w:t xml:space="preserve">som </w:t>
      </w:r>
      <w:r w:rsidR="00120746" w:rsidRPr="00120746">
        <w:t>hanterar stora beta</w:t>
      </w:r>
      <w:r w:rsidR="00120746" w:rsidRPr="00120746">
        <w:t>l</w:t>
      </w:r>
      <w:r w:rsidR="00120746" w:rsidRPr="00120746">
        <w:t>ningar mellan banker och andra aktörer på ett säkert och effe</w:t>
      </w:r>
      <w:r w:rsidR="00120746" w:rsidRPr="00120746">
        <w:t>k</w:t>
      </w:r>
      <w:r w:rsidR="00120746" w:rsidRPr="00120746">
        <w:t>tivt sätt.</w:t>
      </w:r>
      <w:r w:rsidRPr="001E671E">
        <w:t xml:space="preserve"> De banker, clearinghus och andra marknadsaktörer som deltar i RIX får dessutom alltid tillgång till finansiering i svenska kronor under dagen.</w:t>
      </w:r>
      <w:r w:rsidR="00120746">
        <w:t xml:space="preserve"> </w:t>
      </w:r>
      <w:r w:rsidR="005759B2" w:rsidRPr="005759B2">
        <w:t>I stort sett sam</w:t>
      </w:r>
      <w:r w:rsidR="005759B2" w:rsidRPr="005759B2">
        <w:t>t</w:t>
      </w:r>
      <w:r w:rsidR="005759B2" w:rsidRPr="005759B2">
        <w:t>liga betalningar i svenska kronor som inte sker internt i en enskild bank ha</w:t>
      </w:r>
      <w:r w:rsidR="005759B2" w:rsidRPr="005759B2">
        <w:t>n</w:t>
      </w:r>
      <w:r w:rsidR="005759B2" w:rsidRPr="005759B2">
        <w:t>teras i någon form genom RIX. Därmed har RIX en central roll i det svenska fina</w:t>
      </w:r>
      <w:r w:rsidR="005759B2" w:rsidRPr="005759B2">
        <w:t>n</w:t>
      </w:r>
      <w:r w:rsidR="005759B2" w:rsidRPr="005759B2">
        <w:t xml:space="preserve">siella systemet. </w:t>
      </w:r>
      <w:r w:rsidR="005759B2">
        <w:t>Eftersom RIX är ett system som har avg</w:t>
      </w:r>
      <w:r w:rsidR="005759B2">
        <w:t>ö</w:t>
      </w:r>
      <w:r w:rsidR="005759B2">
        <w:t>rande betydelse för att det finansiella systemet ska fungera väl har Riksba</w:t>
      </w:r>
      <w:r w:rsidR="005759B2">
        <w:t>n</w:t>
      </w:r>
      <w:r w:rsidR="005759B2">
        <w:t xml:space="preserve">ken satt </w:t>
      </w:r>
      <w:r w:rsidR="00CA482B">
        <w:t>höga</w:t>
      </w:r>
      <w:r w:rsidR="005759B2">
        <w:t xml:space="preserve"> mål för dess tillgänglighet</w:t>
      </w:r>
      <w:r w:rsidR="00CA482B">
        <w:t xml:space="preserve"> och</w:t>
      </w:r>
      <w:r w:rsidR="00C6702C">
        <w:t xml:space="preserve"> funktionalitet.</w:t>
      </w:r>
    </w:p>
    <w:p w:rsidR="00120746" w:rsidRDefault="00C6702C" w:rsidP="00EE6A1D">
      <w:pPr>
        <w:pStyle w:val="Normaltindrag"/>
        <w:suppressAutoHyphens/>
      </w:pPr>
      <w:r w:rsidRPr="00C6702C">
        <w:t>RIX har också en stor betydelse för det penningpolitiska styrsystemet. Räntorna på deltagarnas konton i Riksbank</w:t>
      </w:r>
      <w:r>
        <w:t>en är direkt kopplade till repo</w:t>
      </w:r>
      <w:r w:rsidR="00EE6A1D">
        <w:softHyphen/>
      </w:r>
      <w:r w:rsidRPr="00C6702C">
        <w:t>rä</w:t>
      </w:r>
      <w:r w:rsidRPr="00C6702C">
        <w:t>n</w:t>
      </w:r>
      <w:r w:rsidRPr="00C6702C">
        <w:t>tan. RIX gör det också möjligt för de penningpolitiska motparterna att enkelt utjämna saldona på sina konton i Riksbanken. Dessutom är det genom RIX som Riksbanken själv genomför olika transaktioner, exempelvis penningpol</w:t>
      </w:r>
      <w:r w:rsidRPr="00C6702C">
        <w:t>i</w:t>
      </w:r>
      <w:r w:rsidRPr="00C6702C">
        <w:t>tiska transaktioner av olika slag, lämnar krediter vid extraordinära åtgärder och betalar för leveranser av kontanter till och från banker.</w:t>
      </w:r>
      <w:r w:rsidR="006922E2" w:rsidRPr="006922E2">
        <w:t xml:space="preserve"> </w:t>
      </w:r>
      <w:r w:rsidR="006922E2">
        <w:t>Mer utförlig</w:t>
      </w:r>
      <w:r w:rsidR="006922E2" w:rsidRPr="00BE675F">
        <w:t xml:space="preserve"> information om RIX finns i </w:t>
      </w:r>
      <w:r w:rsidR="006922E2">
        <w:t>Riksbankens rapport</w:t>
      </w:r>
      <w:r w:rsidR="006922E2" w:rsidRPr="00BE675F">
        <w:t xml:space="preserve"> Den svenska finansmarknaden</w:t>
      </w:r>
      <w:r w:rsidR="006922E2">
        <w:t xml:space="preserve"> (2014)</w:t>
      </w:r>
      <w:r w:rsidR="006922E2" w:rsidRPr="00BE675F">
        <w:t>.</w:t>
      </w:r>
    </w:p>
    <w:p w:rsidR="00D33B17" w:rsidRPr="00D33B17" w:rsidRDefault="00A35878" w:rsidP="00D33B17">
      <w:pPr>
        <w:pStyle w:val="R4"/>
        <w:outlineLvl w:val="0"/>
      </w:pPr>
      <w:r>
        <w:t>Säker och effektiv k</w:t>
      </w:r>
      <w:r w:rsidR="00D33B17">
        <w:t>ontantförsörjning</w:t>
      </w:r>
    </w:p>
    <w:p w:rsidR="008A3F42" w:rsidRPr="00F92C23" w:rsidRDefault="005B7925" w:rsidP="00EE6A1D">
      <w:pPr>
        <w:suppressAutoHyphens/>
        <w:rPr>
          <w:lang w:eastAsia="x-none"/>
        </w:rPr>
      </w:pPr>
      <w:r>
        <w:rPr>
          <w:lang w:eastAsia="x-none"/>
        </w:rPr>
        <w:t>I R</w:t>
      </w:r>
      <w:r w:rsidR="008A3F42" w:rsidRPr="0074426F">
        <w:rPr>
          <w:lang w:eastAsia="x-none"/>
        </w:rPr>
        <w:t>iksbanken</w:t>
      </w:r>
      <w:r w:rsidR="008A3F42">
        <w:rPr>
          <w:lang w:eastAsia="x-none"/>
        </w:rPr>
        <w:t>s</w:t>
      </w:r>
      <w:r w:rsidR="008A3F42" w:rsidRPr="0074426F">
        <w:rPr>
          <w:lang w:eastAsia="x-none"/>
        </w:rPr>
        <w:t xml:space="preserve"> </w:t>
      </w:r>
      <w:r w:rsidR="008A3F42">
        <w:rPr>
          <w:lang w:eastAsia="x-none"/>
        </w:rPr>
        <w:t xml:space="preserve">uppdrag </w:t>
      </w:r>
      <w:r w:rsidRPr="00C30A59">
        <w:t>att främja ett säkert och effektivt betalningsväsende</w:t>
      </w:r>
      <w:r>
        <w:t xml:space="preserve"> ingår </w:t>
      </w:r>
      <w:r w:rsidR="006B7201">
        <w:t xml:space="preserve">också </w:t>
      </w:r>
      <w:r w:rsidR="008A3F42" w:rsidRPr="0074426F">
        <w:rPr>
          <w:lang w:eastAsia="x-none"/>
        </w:rPr>
        <w:t>ensamrätt</w:t>
      </w:r>
      <w:r>
        <w:rPr>
          <w:lang w:eastAsia="x-none"/>
        </w:rPr>
        <w:t>en</w:t>
      </w:r>
      <w:r w:rsidR="008A3F42" w:rsidRPr="0074426F">
        <w:rPr>
          <w:lang w:eastAsia="x-none"/>
        </w:rPr>
        <w:t xml:space="preserve"> att ge ut sedlar och mynt </w:t>
      </w:r>
      <w:r w:rsidR="008A3F42">
        <w:rPr>
          <w:lang w:eastAsia="x-none"/>
        </w:rPr>
        <w:t xml:space="preserve">i Sverige </w:t>
      </w:r>
      <w:r>
        <w:rPr>
          <w:lang w:eastAsia="x-none"/>
        </w:rPr>
        <w:t xml:space="preserve">och </w:t>
      </w:r>
      <w:r w:rsidR="005759B2">
        <w:rPr>
          <w:lang w:eastAsia="x-none"/>
        </w:rPr>
        <w:t xml:space="preserve">att </w:t>
      </w:r>
      <w:r>
        <w:rPr>
          <w:lang w:eastAsia="x-none"/>
        </w:rPr>
        <w:t>ansvara</w:t>
      </w:r>
      <w:r w:rsidR="008A3F42" w:rsidRPr="0074426F">
        <w:rPr>
          <w:lang w:eastAsia="x-none"/>
        </w:rPr>
        <w:t xml:space="preserve"> för landets </w:t>
      </w:r>
      <w:r w:rsidR="008A3F42">
        <w:rPr>
          <w:lang w:eastAsia="x-none"/>
        </w:rPr>
        <w:t>kontant</w:t>
      </w:r>
      <w:r w:rsidR="008A3F42" w:rsidRPr="0074426F">
        <w:rPr>
          <w:lang w:eastAsia="x-none"/>
        </w:rPr>
        <w:t xml:space="preserve">försörjning. Detta innebär att Riksbanken tillhandahåller sedlar och mynt, </w:t>
      </w:r>
      <w:r w:rsidR="008A3F42">
        <w:rPr>
          <w:lang w:eastAsia="x-none"/>
        </w:rPr>
        <w:t>makulerar</w:t>
      </w:r>
      <w:r w:rsidR="008A3F42" w:rsidRPr="0074426F">
        <w:rPr>
          <w:lang w:eastAsia="x-none"/>
        </w:rPr>
        <w:t xml:space="preserve"> uttjänta sedlar och mynt och löser in ogiltiga sedlar. </w:t>
      </w:r>
      <w:r w:rsidR="008A3F42" w:rsidRPr="00F92C23">
        <w:t xml:space="preserve">Målet för denna verksamhet är att säkerställa att sedlar och mynt är av hög kvalitet och att Riksbankens kontantförsörjning är säker och effektiv. Allmänheten och de företag som hanterar kontanter </w:t>
      </w:r>
      <w:r w:rsidR="008A3F42">
        <w:t>ska ha ett stort förtroende</w:t>
      </w:r>
      <w:r w:rsidR="008A3F42" w:rsidRPr="00F92C23">
        <w:t xml:space="preserve"> för sedlar och mynt och för kontantförsörjningen. </w:t>
      </w:r>
      <w:r w:rsidR="004A14AB">
        <w:rPr>
          <w:lang w:eastAsia="x-none"/>
        </w:rPr>
        <w:t>Riksbanken följer också utvecklingen på betalningsmarknaderna och analyserar användningen av ko</w:t>
      </w:r>
      <w:r w:rsidR="004A14AB">
        <w:rPr>
          <w:lang w:eastAsia="x-none"/>
        </w:rPr>
        <w:t>n</w:t>
      </w:r>
      <w:r w:rsidR="004A14AB">
        <w:rPr>
          <w:lang w:eastAsia="x-none"/>
        </w:rPr>
        <w:t>tanter och alternativa betalningsmedel i ekonomin.</w:t>
      </w:r>
    </w:p>
    <w:p w:rsidR="005F7B1C" w:rsidRPr="00544D61" w:rsidRDefault="005F7B1C" w:rsidP="005F7B1C">
      <w:pPr>
        <w:pStyle w:val="R3"/>
      </w:pPr>
      <w:r w:rsidRPr="00544D61">
        <w:t>Riksbankens självständiga ställning</w:t>
      </w:r>
    </w:p>
    <w:p w:rsidR="005F7B1C" w:rsidRPr="00C30A59" w:rsidRDefault="005F7B1C" w:rsidP="00F1327C">
      <w:r w:rsidRPr="00C30A59">
        <w:t>Riksbanken är en myndighet under riksdagen. Riksdagen utser leda</w:t>
      </w:r>
      <w:r>
        <w:t>möterna i riksbanksfullmäktige, och r</w:t>
      </w:r>
      <w:r w:rsidRPr="00C30A59">
        <w:t xml:space="preserve">iksbanksfullmäktige </w:t>
      </w:r>
      <w:r>
        <w:t>utser</w:t>
      </w:r>
      <w:r w:rsidRPr="00C30A59">
        <w:t xml:space="preserve"> </w:t>
      </w:r>
      <w:r>
        <w:t xml:space="preserve">i sin tur </w:t>
      </w:r>
      <w:r w:rsidRPr="00C30A59">
        <w:t>ledamöterna i Riks</w:t>
      </w:r>
      <w:r>
        <w:t>b</w:t>
      </w:r>
      <w:r w:rsidRPr="00C30A59">
        <w:t>ankens direktion. Fullmäktige</w:t>
      </w:r>
      <w:r>
        <w:t xml:space="preserve"> ska också</w:t>
      </w:r>
      <w:r w:rsidRPr="00C30A59">
        <w:t xml:space="preserve"> övervaka och kontrollera direk</w:t>
      </w:r>
      <w:r w:rsidR="001E27D3">
        <w:softHyphen/>
      </w:r>
      <w:r w:rsidRPr="00C30A59">
        <w:t>tionens arbete.</w:t>
      </w:r>
    </w:p>
    <w:p w:rsidR="005F7B1C" w:rsidRPr="00530665" w:rsidRDefault="005F7B1C" w:rsidP="00EE6A1D">
      <w:pPr>
        <w:pStyle w:val="Normaltindrag"/>
        <w:suppressAutoHyphens/>
      </w:pPr>
      <w:r w:rsidRPr="00530665">
        <w:t xml:space="preserve">Riksbankens direktion fattar de penningpolitiska besluten utan att ta </w:t>
      </w:r>
      <w:r w:rsidR="00DE29B9">
        <w:t>instruktion</w:t>
      </w:r>
      <w:r w:rsidRPr="00530665">
        <w:t xml:space="preserve"> från någon annan. Genom att delegera uppgiften att hålla infla</w:t>
      </w:r>
      <w:r w:rsidR="005B0B24">
        <w:softHyphen/>
      </w:r>
      <w:r w:rsidRPr="00530665">
        <w:t>tionen låg och stabil till Riksbanken har riksdagen gett penningpolitiken ett långsiktigt perspektiv och skapat goda förutsättningar för att inflationsmålet ska uppfattas som trovärdigt.</w:t>
      </w:r>
    </w:p>
    <w:p w:rsidR="000B5226" w:rsidRPr="00B15336" w:rsidRDefault="005F7B1C" w:rsidP="00DF5951">
      <w:pPr>
        <w:pStyle w:val="Normaltindrag"/>
        <w:suppressAutoHyphens/>
      </w:pPr>
      <w:r w:rsidRPr="00CE430C">
        <w:t xml:space="preserve">Den självständiga ställningen tar sig också </w:t>
      </w:r>
      <w:r w:rsidR="003C698A">
        <w:t>uttryck i Riksbankens finansiel</w:t>
      </w:r>
      <w:r w:rsidRPr="00CE430C">
        <w:t xml:space="preserve">la oberoende som säkras </w:t>
      </w:r>
      <w:r w:rsidR="00550AB5">
        <w:t xml:space="preserve">bland annat </w:t>
      </w:r>
      <w:r w:rsidRPr="00CE430C">
        <w:t>genom att Riksbanken har rätt att förvalta finansiella tillgångar.</w:t>
      </w:r>
      <w:r w:rsidRPr="00B93592">
        <w:t xml:space="preserve"> </w:t>
      </w:r>
      <w:r w:rsidR="003156D1">
        <w:t>Syftet med tillgångsförvaltningen är</w:t>
      </w:r>
      <w:r>
        <w:t xml:space="preserve"> att </w:t>
      </w:r>
      <w:r w:rsidRPr="00B93592">
        <w:t>säkerställa att banken kan uppfylla sitt lagstadgade mål och utföra sina uppdrag</w:t>
      </w:r>
      <w:r w:rsidR="003156D1">
        <w:t>,</w:t>
      </w:r>
      <w:r w:rsidR="000B5226">
        <w:t xml:space="preserve"> nämligen att </w:t>
      </w:r>
      <w:r w:rsidR="000B5226" w:rsidRPr="00B15336">
        <w:t>genomföra penningpolitiken, ha beredskap att intervenera på valutamar</w:t>
      </w:r>
      <w:r w:rsidR="000B5226" w:rsidRPr="00B15336">
        <w:t>k</w:t>
      </w:r>
      <w:r w:rsidR="000B5226" w:rsidRPr="00B15336">
        <w:t xml:space="preserve">naden </w:t>
      </w:r>
      <w:r w:rsidR="000B5226">
        <w:t>och</w:t>
      </w:r>
      <w:r w:rsidR="000B5226" w:rsidRPr="00B15336">
        <w:t xml:space="preserve"> kunna ge tillfäll</w:t>
      </w:r>
      <w:r w:rsidR="000B5226">
        <w:t>igt likviditetsstöd till banker</w:t>
      </w:r>
      <w:r w:rsidR="00CA482B">
        <w:t xml:space="preserve">. </w:t>
      </w:r>
      <w:r w:rsidR="000B5226">
        <w:t>Tillgån</w:t>
      </w:r>
      <w:r w:rsidR="000B5226">
        <w:t>g</w:t>
      </w:r>
      <w:r w:rsidR="000B5226">
        <w:t xml:space="preserve">arna måste därför vara sammansatta så att uppdragen alltid kan </w:t>
      </w:r>
      <w:r w:rsidR="00EE080D">
        <w:t>ut</w:t>
      </w:r>
      <w:r w:rsidR="000B5226">
        <w:t xml:space="preserve">föras. </w:t>
      </w:r>
      <w:r>
        <w:t xml:space="preserve">Givet detta </w:t>
      </w:r>
      <w:r w:rsidRPr="00B93592">
        <w:t>in</w:t>
      </w:r>
      <w:r w:rsidR="00DF5951">
        <w:softHyphen/>
      </w:r>
      <w:r w:rsidRPr="00B93592">
        <w:t xml:space="preserve">riktas </w:t>
      </w:r>
      <w:r>
        <w:t>t</w:t>
      </w:r>
      <w:r w:rsidRPr="00B93592">
        <w:t>illgångsförvaltningen på att uppnå en så hög långsiktig avkas</w:t>
      </w:r>
      <w:r w:rsidRPr="00B93592">
        <w:t>t</w:t>
      </w:r>
      <w:r w:rsidRPr="00B93592">
        <w:t xml:space="preserve">ning som möjligt i förhållande till den risk som </w:t>
      </w:r>
      <w:r w:rsidR="00550AB5">
        <w:t>Riksbanken har fastställt</w:t>
      </w:r>
      <w:r w:rsidRPr="00B93592">
        <w:t>.</w:t>
      </w:r>
      <w:r w:rsidR="000B5226">
        <w:t xml:space="preserve"> </w:t>
      </w:r>
      <w:r w:rsidR="000B5226" w:rsidRPr="00B15336">
        <w:t xml:space="preserve">En långsiktigt god avkastning på tillgångarna </w:t>
      </w:r>
      <w:r w:rsidR="000B5226">
        <w:t>stärker</w:t>
      </w:r>
      <w:r w:rsidR="000B5226" w:rsidRPr="00B15336">
        <w:t xml:space="preserve"> </w:t>
      </w:r>
      <w:r w:rsidR="000B5226">
        <w:t xml:space="preserve">även </w:t>
      </w:r>
      <w:r w:rsidR="000B5226" w:rsidRPr="00B15336">
        <w:t>Riksbankens finansiella oberoe</w:t>
      </w:r>
      <w:r w:rsidR="000B5226" w:rsidRPr="00B15336">
        <w:t>n</w:t>
      </w:r>
      <w:r w:rsidR="000B5226" w:rsidRPr="00B15336">
        <w:t>de.</w:t>
      </w:r>
    </w:p>
    <w:p w:rsidR="005F7B1C" w:rsidRPr="00544D61" w:rsidRDefault="005F7B1C" w:rsidP="005F7B1C">
      <w:pPr>
        <w:pStyle w:val="R3"/>
      </w:pPr>
      <w:r w:rsidRPr="00544D61">
        <w:t>Öppenhet och kommunikation</w:t>
      </w:r>
    </w:p>
    <w:p w:rsidR="005F7B1C" w:rsidRDefault="005F7B1C" w:rsidP="005F7B1C">
      <w:r w:rsidRPr="00C30A59">
        <w:t xml:space="preserve">Riksbanken </w:t>
      </w:r>
      <w:r>
        <w:t xml:space="preserve">lägger stor vikt vid att vara öppen och tydlig </w:t>
      </w:r>
      <w:r w:rsidR="003904B7">
        <w:t>i sin</w:t>
      </w:r>
      <w:r>
        <w:t xml:space="preserve"> verksam</w:t>
      </w:r>
      <w:r w:rsidR="003904B7">
        <w:t>het</w:t>
      </w:r>
      <w:r>
        <w:t>. En bred krets av utomstående ska kunna förstå vad Riksbanken gör och varför. Genom att Riksbanken är öppen och tydlig med vad som ligger till grund för de penningpolitiska besluten öka</w:t>
      </w:r>
      <w:r w:rsidR="00B03163">
        <w:t>r trovärdigheten för inflations</w:t>
      </w:r>
      <w:r>
        <w:t xml:space="preserve">målet. </w:t>
      </w:r>
      <w:r w:rsidRPr="00B93592">
        <w:t>Öppe</w:t>
      </w:r>
      <w:r w:rsidRPr="00B93592">
        <w:t>n</w:t>
      </w:r>
      <w:r w:rsidRPr="00B93592">
        <w:t xml:space="preserve">het och tydlighet skapar dessutom förtroende för hur Riksbanken bedömer och hanterar situationen på de finansiella marknaderna. </w:t>
      </w:r>
      <w:r>
        <w:t>Att Riksbanken red</w:t>
      </w:r>
      <w:r>
        <w:t>o</w:t>
      </w:r>
      <w:r>
        <w:t>gör för sina bedömningar bidrar till att ekonomins aktörer kan bilda sig en uppfattning om den ekonomiska utvecklingen och riskerna i det finansiella s</w:t>
      </w:r>
      <w:r>
        <w:t>y</w:t>
      </w:r>
      <w:r>
        <w:t xml:space="preserve">stemet. </w:t>
      </w:r>
    </w:p>
    <w:p w:rsidR="005F7B1C" w:rsidRPr="00FF19B1" w:rsidRDefault="005F7B1C" w:rsidP="009C67D4">
      <w:pPr>
        <w:pStyle w:val="Normaltindrag"/>
        <w:suppressAutoHyphens/>
      </w:pPr>
      <w:r w:rsidRPr="00B93592">
        <w:t xml:space="preserve">Riksbankens självständiga ställning ställer också stora krav på </w:t>
      </w:r>
      <w:r>
        <w:t>kom</w:t>
      </w:r>
      <w:r w:rsidR="009C67D4">
        <w:softHyphen/>
      </w:r>
      <w:r>
        <w:t xml:space="preserve">munikation och </w:t>
      </w:r>
      <w:r w:rsidRPr="00B93592">
        <w:t>insyn i bankens verksamheter så att dessa kan granskas och utvä</w:t>
      </w:r>
      <w:r w:rsidRPr="00B93592">
        <w:t>r</w:t>
      </w:r>
      <w:r w:rsidRPr="00B93592">
        <w:t>deras</w:t>
      </w:r>
      <w:r>
        <w:t xml:space="preserve"> av allmänheten och uppdragsgivaren, riksdagen</w:t>
      </w:r>
      <w:r w:rsidRPr="00B93592">
        <w:t>.</w:t>
      </w:r>
      <w:r>
        <w:t xml:space="preserve"> </w:t>
      </w:r>
      <w:r w:rsidRPr="00B93592">
        <w:t xml:space="preserve">Öppenheten tar sig till exempel uttryck i att Riksbanken på sin webbplats publicerar protokoll och beslutsunderlag från direktionens sammanträden samt </w:t>
      </w:r>
      <w:r>
        <w:t xml:space="preserve">detaljerade </w:t>
      </w:r>
      <w:r w:rsidRPr="00B93592">
        <w:t xml:space="preserve">protokoll från de penningpolitiska sammanträdena. </w:t>
      </w:r>
      <w:r w:rsidR="00444A14">
        <w:t xml:space="preserve">Mycket av Riksbankens analysarbete presenteras även i rapportform (se bilaga 3). </w:t>
      </w:r>
      <w:r w:rsidRPr="00B93592">
        <w:t xml:space="preserve">Dessutom är de </w:t>
      </w:r>
      <w:r>
        <w:t xml:space="preserve">modeller </w:t>
      </w:r>
      <w:r w:rsidRPr="00B93592">
        <w:t>som Riksbanken använder i sitt analysarbete offentliga</w:t>
      </w:r>
      <w:r>
        <w:t xml:space="preserve"> – det gäller både </w:t>
      </w:r>
      <w:r w:rsidRPr="00B93592">
        <w:t>ma</w:t>
      </w:r>
      <w:r w:rsidRPr="00B93592">
        <w:t>k</w:t>
      </w:r>
      <w:r w:rsidRPr="00B93592">
        <w:t xml:space="preserve">roekonomiska prognosmodeller </w:t>
      </w:r>
      <w:r>
        <w:t>och modeller för stresstester av banker</w:t>
      </w:r>
      <w:r w:rsidRPr="00B93592">
        <w:t>.</w:t>
      </w:r>
      <w:r>
        <w:tab/>
      </w:r>
    </w:p>
    <w:p w:rsidR="00400B3E" w:rsidRPr="00400B3E" w:rsidRDefault="00400B3E" w:rsidP="00400B3E"/>
    <w:p w:rsidR="00FB4722" w:rsidRDefault="00FB4722" w:rsidP="00FB4722"/>
    <w:p w:rsidR="00FB4722" w:rsidRDefault="00FB4722" w:rsidP="00FB4722">
      <w:pPr>
        <w:pStyle w:val="Normaltindrag"/>
        <w:sectPr w:rsidR="00FB4722">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E047A3" w:rsidRDefault="00E047A3" w:rsidP="00F82501">
      <w:pPr>
        <w:pStyle w:val="Rubrik1"/>
      </w:pPr>
      <w:bookmarkStart w:id="24" w:name="_Toc408946418"/>
      <w:r>
        <w:t>Organisation och styrning</w:t>
      </w:r>
      <w:bookmarkEnd w:id="24"/>
    </w:p>
    <w:p w:rsidR="00E047A3" w:rsidRPr="00182254" w:rsidRDefault="00CB07F3" w:rsidP="00423E3B">
      <w:pPr>
        <w:rPr>
          <w:i/>
        </w:rPr>
      </w:pPr>
      <w:r w:rsidRPr="007A26E0">
        <w:rPr>
          <w:i/>
        </w:rPr>
        <w:t>Riksbanken fortsatte att utveckla sin organisation och styrning i strävan att uppnå visionen att vara bland de bästa i jämförelse med andra organisa</w:t>
      </w:r>
      <w:r w:rsidR="0037112D">
        <w:rPr>
          <w:i/>
        </w:rPr>
        <w:softHyphen/>
      </w:r>
      <w:r w:rsidRPr="007A26E0">
        <w:rPr>
          <w:i/>
        </w:rPr>
        <w:t xml:space="preserve">tioner. Under 2014 var den främsta organisatoriska förändringen att tre nya avdelningar bildades, bland annat i syfte att samordna och fördjupa den finansiella analysen. </w:t>
      </w:r>
      <w:r w:rsidR="00DD72DC" w:rsidRPr="00DD72DC">
        <w:rPr>
          <w:i/>
        </w:rPr>
        <w:t>Hösten 2014 fastställdes</w:t>
      </w:r>
      <w:r w:rsidR="00DD72DC">
        <w:rPr>
          <w:i/>
        </w:rPr>
        <w:t xml:space="preserve"> också</w:t>
      </w:r>
      <w:r w:rsidR="00DD72DC" w:rsidRPr="00DD72DC">
        <w:rPr>
          <w:i/>
        </w:rPr>
        <w:t xml:space="preserve"> en ny strategisk plan</w:t>
      </w:r>
      <w:r w:rsidR="00DD72DC">
        <w:rPr>
          <w:i/>
        </w:rPr>
        <w:t xml:space="preserve"> </w:t>
      </w:r>
      <w:r w:rsidR="00B81EE0">
        <w:rPr>
          <w:i/>
        </w:rPr>
        <w:t>med temat E</w:t>
      </w:r>
      <w:r w:rsidR="00B81EE0" w:rsidRPr="00DD72DC">
        <w:rPr>
          <w:i/>
        </w:rPr>
        <w:t>n 350-åring i tä</w:t>
      </w:r>
      <w:r w:rsidR="00B81EE0">
        <w:rPr>
          <w:i/>
        </w:rPr>
        <w:t xml:space="preserve">ten, där verksamheterna </w:t>
      </w:r>
      <w:r w:rsidR="008A49A7">
        <w:rPr>
          <w:i/>
        </w:rPr>
        <w:t xml:space="preserve">tar </w:t>
      </w:r>
      <w:r w:rsidR="00DD72DC" w:rsidRPr="00DD72DC">
        <w:rPr>
          <w:i/>
        </w:rPr>
        <w:t>sikte på Rik</w:t>
      </w:r>
      <w:r w:rsidR="00DD72DC" w:rsidRPr="00DD72DC">
        <w:rPr>
          <w:i/>
        </w:rPr>
        <w:t>s</w:t>
      </w:r>
      <w:r w:rsidR="00DD72DC" w:rsidRPr="00DD72DC">
        <w:rPr>
          <w:i/>
        </w:rPr>
        <w:t>bankens ju</w:t>
      </w:r>
      <w:r w:rsidR="00321B38">
        <w:rPr>
          <w:i/>
        </w:rPr>
        <w:t>bileumsår 2018</w:t>
      </w:r>
      <w:r w:rsidR="00DD72DC" w:rsidRPr="00DD72DC">
        <w:rPr>
          <w:i/>
        </w:rPr>
        <w:t xml:space="preserve">. </w:t>
      </w:r>
    </w:p>
    <w:p w:rsidR="00DD72DC" w:rsidRPr="00FD183E" w:rsidRDefault="00DD72DC" w:rsidP="00DD72DC">
      <w:pPr>
        <w:pStyle w:val="R2"/>
        <w:rPr>
          <w:sz w:val="32"/>
          <w:szCs w:val="32"/>
        </w:rPr>
      </w:pPr>
      <w:r>
        <w:rPr>
          <w:sz w:val="32"/>
          <w:szCs w:val="32"/>
        </w:rPr>
        <w:t>Organisation</w:t>
      </w:r>
    </w:p>
    <w:p w:rsidR="00E047A3" w:rsidRDefault="00CB07F3" w:rsidP="00423E3B">
      <w:r w:rsidRPr="006C705C">
        <w:t>Riksbanken var</w:t>
      </w:r>
      <w:r w:rsidR="00813C1D">
        <w:t xml:space="preserve"> under </w:t>
      </w:r>
      <w:r>
        <w:t xml:space="preserve">2014 </w:t>
      </w:r>
      <w:r w:rsidRPr="006C705C">
        <w:t>organiserad i sju avde</w:t>
      </w:r>
      <w:r w:rsidRPr="006C705C">
        <w:t>l</w:t>
      </w:r>
      <w:r w:rsidRPr="006C705C">
        <w:t>ningar</w:t>
      </w:r>
      <w:r w:rsidR="00C227FF">
        <w:t xml:space="preserve"> (se figur</w:t>
      </w:r>
      <w:r w:rsidR="000527F4">
        <w:t> </w:t>
      </w:r>
      <w:r w:rsidR="00C227FF">
        <w:t>1</w:t>
      </w:r>
      <w:r w:rsidR="00167AD1">
        <w:t xml:space="preserve"> och bilaga</w:t>
      </w:r>
      <w:r w:rsidR="000527F4">
        <w:t> </w:t>
      </w:r>
      <w:r w:rsidR="001B0FE6">
        <w:t>1</w:t>
      </w:r>
      <w:r w:rsidRPr="006C705C">
        <w:t xml:space="preserve">). </w:t>
      </w:r>
      <w:r>
        <w:t>Fyra</w:t>
      </w:r>
      <w:r w:rsidRPr="006C705C">
        <w:t xml:space="preserve"> av avdelningarna </w:t>
      </w:r>
      <w:r w:rsidR="00BC05BB">
        <w:t>arbetar</w:t>
      </w:r>
      <w:r w:rsidRPr="006C705C">
        <w:t xml:space="preserve"> direkt </w:t>
      </w:r>
      <w:r w:rsidR="00BC05BB">
        <w:t>med</w:t>
      </w:r>
      <w:r w:rsidRPr="006C705C">
        <w:t xml:space="preserve"> bankens huvuduppgifter: avdelningen för penningpolitik, avdelningen för finansiell stabilitet</w:t>
      </w:r>
      <w:r>
        <w:t xml:space="preserve">, </w:t>
      </w:r>
      <w:r w:rsidRPr="006C705C">
        <w:t>avde</w:t>
      </w:r>
      <w:r w:rsidRPr="006C705C">
        <w:t>l</w:t>
      </w:r>
      <w:r w:rsidRPr="006C705C">
        <w:t xml:space="preserve">ningen för </w:t>
      </w:r>
      <w:r>
        <w:t>marknader och avdelningen för beta</w:t>
      </w:r>
      <w:r>
        <w:t>l</w:t>
      </w:r>
      <w:r>
        <w:t>ningssystem och kontanter</w:t>
      </w:r>
      <w:r w:rsidRPr="006C705C">
        <w:t>.</w:t>
      </w:r>
      <w:r w:rsidR="00E047A3" w:rsidRPr="0052406A">
        <w:t xml:space="preserve"> </w:t>
      </w:r>
    </w:p>
    <w:p w:rsidR="00E047A3" w:rsidRDefault="000622A3" w:rsidP="0014376D">
      <w:pPr>
        <w:spacing w:before="312"/>
        <w:jc w:val="left"/>
        <w:rPr>
          <w:b/>
        </w:rPr>
      </w:pPr>
      <w:r>
        <w:rPr>
          <w:b/>
        </w:rPr>
        <w:t>Figur 1</w:t>
      </w:r>
      <w:r w:rsidR="00423E3B" w:rsidRPr="00B66842">
        <w:rPr>
          <w:b/>
        </w:rPr>
        <w:t>. Riksbankens organisation under 2014</w:t>
      </w:r>
      <w:r w:rsidR="00B66842">
        <w:rPr>
          <w:b/>
        </w:rPr>
        <w:t xml:space="preserve"> </w:t>
      </w:r>
    </w:p>
    <w:p w:rsidR="00B66842" w:rsidRPr="00B66842" w:rsidRDefault="00B66842" w:rsidP="00B66842">
      <w:pPr>
        <w:pStyle w:val="Normaltindrag"/>
      </w:pPr>
    </w:p>
    <w:p w:rsidR="00B66842" w:rsidRPr="00B66842" w:rsidRDefault="00A12E15" w:rsidP="00B66842">
      <w:pPr>
        <w:pStyle w:val="Normaltindrag"/>
        <w:ind w:firstLine="0"/>
      </w:pPr>
      <w:r w:rsidRPr="00986B60">
        <w:rPr>
          <w:noProof/>
        </w:rPr>
        <w:drawing>
          <wp:inline distT="0" distB="0" distL="0" distR="0">
            <wp:extent cx="3781425" cy="1590675"/>
            <wp:effectExtent l="0" t="0" r="9525" b="9525"/>
            <wp:docPr id="2"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81425" cy="1590675"/>
                    </a:xfrm>
                    <a:prstGeom prst="rect">
                      <a:avLst/>
                    </a:prstGeom>
                    <a:noFill/>
                    <a:ln>
                      <a:noFill/>
                    </a:ln>
                  </pic:spPr>
                </pic:pic>
              </a:graphicData>
            </a:graphic>
          </wp:inline>
        </w:drawing>
      </w:r>
    </w:p>
    <w:p w:rsidR="00B66842" w:rsidRDefault="00B66842" w:rsidP="00B66842">
      <w:pPr>
        <w:pStyle w:val="Fotnotstextindrag"/>
      </w:pPr>
    </w:p>
    <w:p w:rsidR="00B66842" w:rsidRDefault="00B66842" w:rsidP="00B66842">
      <w:pPr>
        <w:pStyle w:val="Fotnotstextindrag"/>
      </w:pPr>
    </w:p>
    <w:p w:rsidR="00CB07F3" w:rsidRPr="00182254" w:rsidRDefault="00CB07F3" w:rsidP="00D44248">
      <w:pPr>
        <w:suppressAutoHyphens/>
        <w:rPr>
          <w:b/>
          <w:spacing w:val="-2"/>
        </w:rPr>
      </w:pPr>
      <w:r w:rsidRPr="006616E3">
        <w:t xml:space="preserve">En ledningsgrupp bestående av cheferna för samtliga avdelningar utom internrevisionsavdelningen har till uppgift att samordna och följa upp verksamheten. </w:t>
      </w:r>
      <w:r w:rsidR="00D04319">
        <w:t xml:space="preserve">Chefen för kommunikationsenheten ingår också i gruppen. </w:t>
      </w:r>
      <w:r w:rsidRPr="006616E3">
        <w:t>Chefen för stabsavdelningen är ordförande i ledningsgruppen</w:t>
      </w:r>
      <w:r>
        <w:t>.</w:t>
      </w:r>
    </w:p>
    <w:p w:rsidR="00E047A3" w:rsidRDefault="00E047A3" w:rsidP="00423E3B">
      <w:pPr>
        <w:pStyle w:val="R3"/>
      </w:pPr>
      <w:r w:rsidRPr="00BC5192">
        <w:t>Förändringar i den organisatoriska strukturen</w:t>
      </w:r>
    </w:p>
    <w:p w:rsidR="00CB07F3" w:rsidRDefault="00813C1D" w:rsidP="0089787E">
      <w:r>
        <w:t xml:space="preserve">Den 1 mars </w:t>
      </w:r>
      <w:r w:rsidR="00CB07F3">
        <w:t xml:space="preserve">2014 fick Riksbanken en delvis ny organisation. </w:t>
      </w:r>
      <w:r>
        <w:t>O</w:t>
      </w:r>
      <w:r w:rsidR="00E90923">
        <w:t>mo</w:t>
      </w:r>
      <w:r>
        <w:t>rganisa</w:t>
      </w:r>
      <w:r w:rsidR="00D44248">
        <w:softHyphen/>
      </w:r>
      <w:r>
        <w:t>tionen innebar delningar och sammanslagningar av några tidigare avdel</w:t>
      </w:r>
      <w:r w:rsidR="00400797">
        <w:softHyphen/>
      </w:r>
      <w:r>
        <w:t>nin</w:t>
      </w:r>
      <w:r w:rsidR="00400797">
        <w:t>g</w:t>
      </w:r>
      <w:r>
        <w:t>ar</w:t>
      </w:r>
      <w:r w:rsidR="006B4B0B">
        <w:t>, men antalet avdelningar blev detsamma som tidigare</w:t>
      </w:r>
      <w:r>
        <w:t>.</w:t>
      </w:r>
      <w:r w:rsidR="0089787E">
        <w:t xml:space="preserve"> </w:t>
      </w:r>
      <w:r w:rsidR="00E90923">
        <w:t xml:space="preserve">Förändringarna </w:t>
      </w:r>
      <w:r w:rsidR="0089787E">
        <w:t>geno</w:t>
      </w:r>
      <w:r w:rsidR="0089787E">
        <w:t>m</w:t>
      </w:r>
      <w:r w:rsidR="0089787E">
        <w:t>fördes</w:t>
      </w:r>
      <w:r w:rsidR="00CB07F3">
        <w:t xml:space="preserve"> för att </w:t>
      </w:r>
      <w:r w:rsidR="0088115D">
        <w:t xml:space="preserve">göra det möjligt att </w:t>
      </w:r>
      <w:r w:rsidR="00CB07F3">
        <w:t>fördjupa och vidga analysen inom vissa områden. Till exempel vill Riksba</w:t>
      </w:r>
      <w:r w:rsidR="00CB07F3">
        <w:t>n</w:t>
      </w:r>
      <w:r w:rsidR="00CB07F3">
        <w:t>ken bättre samordna och fördjupa sin finansiella analys och samla arbetet med betalningssystem och kontanter.</w:t>
      </w:r>
    </w:p>
    <w:p w:rsidR="00CB07F3" w:rsidRDefault="00CB07F3" w:rsidP="00CB07F3">
      <w:pPr>
        <w:pStyle w:val="Normaltindrag"/>
      </w:pPr>
      <w:r>
        <w:t xml:space="preserve">Riksbankens nya kontanthanteringskontor i </w:t>
      </w:r>
      <w:r w:rsidR="00BC05BB">
        <w:t>Sigtuna kommun</w:t>
      </w:r>
      <w:r>
        <w:t xml:space="preserve"> öppnade den 10 februari 2014. </w:t>
      </w:r>
      <w:r w:rsidR="0088115D">
        <w:t>Sedan</w:t>
      </w:r>
      <w:r>
        <w:t xml:space="preserve"> verksamheten vid Riksbankens platskontor i Mölndal och Tumba avvecklats sker nu all utlämning av kontanter till bankerna från endast </w:t>
      </w:r>
      <w:r w:rsidR="00947957">
        <w:t>en plats</w:t>
      </w:r>
      <w:r>
        <w:t>. Bankerna distribuerar sedan kontanterna vidare till handeln och allmänheten via sina kontantdepåer.</w:t>
      </w:r>
    </w:p>
    <w:p w:rsidR="00EC146D" w:rsidRPr="00FD183E" w:rsidRDefault="00EC146D" w:rsidP="00EC146D">
      <w:pPr>
        <w:pStyle w:val="R2"/>
        <w:rPr>
          <w:sz w:val="32"/>
          <w:szCs w:val="32"/>
        </w:rPr>
      </w:pPr>
      <w:r w:rsidRPr="00FD183E">
        <w:rPr>
          <w:sz w:val="32"/>
          <w:szCs w:val="32"/>
        </w:rPr>
        <w:t>Ledning</w:t>
      </w:r>
    </w:p>
    <w:p w:rsidR="00EC146D" w:rsidRDefault="00EC146D" w:rsidP="00EC146D">
      <w:r w:rsidRPr="00DA6011">
        <w:t>Riksbanken leds av en direktion som utses av riksbanksfullmäktige. Fullmä</w:t>
      </w:r>
      <w:r w:rsidRPr="00DA6011">
        <w:t>k</w:t>
      </w:r>
      <w:r w:rsidRPr="00DA6011">
        <w:t>tige utses i sin tur av riksdagen. Direktionen har ett gemensamt ansvar för bankens strategiska ledning medan fullmäktige främst</w:t>
      </w:r>
      <w:r>
        <w:t xml:space="preserve"> har en kontrollerande funktion.</w:t>
      </w:r>
    </w:p>
    <w:p w:rsidR="00EC146D" w:rsidRPr="00B75EAC" w:rsidRDefault="00EC146D" w:rsidP="00EC146D">
      <w:pPr>
        <w:pStyle w:val="R2"/>
      </w:pPr>
      <w:r>
        <w:t>Riksbankens direktion</w:t>
      </w:r>
    </w:p>
    <w:p w:rsidR="00EC146D" w:rsidRDefault="00EC146D" w:rsidP="00D44248">
      <w:pPr>
        <w:suppressAutoHyphens/>
      </w:pPr>
      <w:r w:rsidRPr="003B700C">
        <w:t xml:space="preserve">Riksbankens direktion består av sex ledamöter som utses av </w:t>
      </w:r>
      <w:r>
        <w:t>riksbanks</w:t>
      </w:r>
      <w:r w:rsidR="00677D34">
        <w:softHyphen/>
      </w:r>
      <w:r w:rsidRPr="003B700C">
        <w:t>fullmäktige för en mandatperiod på fem eller sex år. Fullmäktige utser en ord</w:t>
      </w:r>
      <w:r w:rsidR="00B508CC">
        <w:softHyphen/>
      </w:r>
      <w:r w:rsidRPr="003B700C">
        <w:t>förande i direk</w:t>
      </w:r>
      <w:r w:rsidRPr="003B700C">
        <w:softHyphen/>
        <w:t>tionen, som samtidigt ska vara chef för Riksbanken, och minst en vice ordförande som samtidigt ska vara vice riksbankschef. Fullmäktige fastställer också löner och andra anställnings</w:t>
      </w:r>
      <w:r w:rsidR="00677D34">
        <w:softHyphen/>
      </w:r>
      <w:r w:rsidRPr="003B700C">
        <w:t xml:space="preserve">förmåner för ledamöterna i </w:t>
      </w:r>
      <w:r>
        <w:t>direktionen</w:t>
      </w:r>
      <w:r w:rsidRPr="003B700C">
        <w:t xml:space="preserve">. </w:t>
      </w:r>
      <w:r>
        <w:t>Den 31 december 2014 bestod direktionen av följande ledamöter:</w:t>
      </w:r>
    </w:p>
    <w:p w:rsidR="00EC146D" w:rsidRPr="00786DAF" w:rsidRDefault="00EC146D" w:rsidP="00EC146D">
      <w:pPr>
        <w:pStyle w:val="R4"/>
        <w:outlineLvl w:val="0"/>
      </w:pPr>
      <w:r w:rsidRPr="00786DAF">
        <w:t xml:space="preserve">Stefan Ingves, mandatperiod sex år från den 1 januari 2012  </w:t>
      </w:r>
    </w:p>
    <w:p w:rsidR="00EC146D" w:rsidRPr="00DB7E9E" w:rsidRDefault="00EC146D" w:rsidP="00DF5951">
      <w:pPr>
        <w:suppressAutoHyphens/>
      </w:pPr>
      <w:r w:rsidRPr="00DB7E9E">
        <w:t xml:space="preserve">Stefan Ingves är riksbankschef och ordförande i direktionen. </w:t>
      </w:r>
      <w:r>
        <w:t xml:space="preserve">Han tillträdde posten den 1 januari 2006 för en mandatperiod på sex år och har ett förnyat mandat att leda Riksbankens direktion under ytterligare sex år från den 1 januari 2012. </w:t>
      </w:r>
      <w:r w:rsidRPr="004E5825">
        <w:t xml:space="preserve">Ingves är medlem i Europeiska centralbankens </w:t>
      </w:r>
      <w:r>
        <w:t>(</w:t>
      </w:r>
      <w:r w:rsidRPr="004E5825">
        <w:t>ECB</w:t>
      </w:r>
      <w:r>
        <w:t>)</w:t>
      </w:r>
      <w:r w:rsidRPr="004E5825">
        <w:t xml:space="preserve"> allmänna råd och ledamot av Bank for International Settlements </w:t>
      </w:r>
      <w:r>
        <w:t>(</w:t>
      </w:r>
      <w:r w:rsidRPr="004E5825">
        <w:t>BIS</w:t>
      </w:r>
      <w:r>
        <w:t>)</w:t>
      </w:r>
      <w:r w:rsidRPr="004E5825">
        <w:t xml:space="preserve"> styrelse samt Sveriges </w:t>
      </w:r>
      <w:r>
        <w:t>representant</w:t>
      </w:r>
      <w:r w:rsidRPr="004E5825">
        <w:t xml:space="preserve"> i Interna</w:t>
      </w:r>
      <w:r>
        <w:softHyphen/>
      </w:r>
      <w:r w:rsidRPr="004E5825">
        <w:t>tionella valutafonden</w:t>
      </w:r>
      <w:r>
        <w:t>s</w:t>
      </w:r>
      <w:r w:rsidRPr="004E5825">
        <w:t xml:space="preserve"> </w:t>
      </w:r>
      <w:r>
        <w:t>(</w:t>
      </w:r>
      <w:r w:rsidRPr="004E5825">
        <w:t>IMF</w:t>
      </w:r>
      <w:r>
        <w:t>) guvernör</w:t>
      </w:r>
      <w:r>
        <w:t>s</w:t>
      </w:r>
      <w:r>
        <w:t>styrelse</w:t>
      </w:r>
      <w:r w:rsidRPr="004E5825">
        <w:t xml:space="preserve">. </w:t>
      </w:r>
      <w:r>
        <w:t>Han</w:t>
      </w:r>
      <w:r w:rsidRPr="004E5825">
        <w:t xml:space="preserve"> är också ordförande i Baselkommittén för banktillsyn</w:t>
      </w:r>
      <w:r>
        <w:t xml:space="preserve"> (BCBS) respektive</w:t>
      </w:r>
      <w:r w:rsidRPr="004E5825">
        <w:t xml:space="preserve"> i Europeiska systemrisknämndens </w:t>
      </w:r>
      <w:r>
        <w:t>(</w:t>
      </w:r>
      <w:r w:rsidRPr="004E5825">
        <w:t>ESRB</w:t>
      </w:r>
      <w:r>
        <w:t>)</w:t>
      </w:r>
      <w:r w:rsidRPr="004E5825">
        <w:t xml:space="preserve"> rådgivande tekniska kommitté </w:t>
      </w:r>
      <w:r>
        <w:t>(</w:t>
      </w:r>
      <w:r w:rsidRPr="004E5825">
        <w:t>ATC</w:t>
      </w:r>
      <w:r>
        <w:t>)</w:t>
      </w:r>
      <w:r w:rsidRPr="002A3E31">
        <w:t xml:space="preserve"> </w:t>
      </w:r>
      <w:r w:rsidR="003A35A3">
        <w:t>och ledamot i r</w:t>
      </w:r>
      <w:r>
        <w:t>ådet för finansiell stabilitet (FSB)</w:t>
      </w:r>
      <w:r w:rsidRPr="004E5825">
        <w:t xml:space="preserve">. </w:t>
      </w:r>
      <w:r w:rsidRPr="00DB7E9E">
        <w:t xml:space="preserve">Ingves är ekonomie doktor och var fram till </w:t>
      </w:r>
      <w:r>
        <w:t xml:space="preserve">det </w:t>
      </w:r>
      <w:r w:rsidRPr="00DB7E9E">
        <w:t>att han tillträdde som riksbankschef chef för a</w:t>
      </w:r>
      <w:r w:rsidRPr="00DB7E9E">
        <w:t>v</w:t>
      </w:r>
      <w:r w:rsidRPr="00DB7E9E">
        <w:t>delningen för monetära och finansiel</w:t>
      </w:r>
      <w:r>
        <w:softHyphen/>
      </w:r>
      <w:r w:rsidRPr="00DB7E9E">
        <w:t xml:space="preserve">la system </w:t>
      </w:r>
      <w:r>
        <w:t>vid</w:t>
      </w:r>
      <w:r w:rsidRPr="00DB7E9E">
        <w:t xml:space="preserve"> IMF. Dessför</w:t>
      </w:r>
      <w:r w:rsidR="00400797">
        <w:softHyphen/>
      </w:r>
      <w:r w:rsidRPr="00DB7E9E">
        <w:t>innan var han bland annat vice riksbankschef, generaldirektör för Bankstödsnämnden, f</w:t>
      </w:r>
      <w:r w:rsidRPr="00DB7E9E">
        <w:t>i</w:t>
      </w:r>
      <w:r w:rsidRPr="00DB7E9E">
        <w:t>nansråd och chef för finansmarknadsavdelningen på Finans</w:t>
      </w:r>
      <w:r w:rsidR="00D44248">
        <w:softHyphen/>
      </w:r>
      <w:r w:rsidRPr="00DB7E9E">
        <w:t>depa</w:t>
      </w:r>
      <w:r w:rsidRPr="00DB7E9E">
        <w:t>r</w:t>
      </w:r>
      <w:r w:rsidRPr="00DB7E9E">
        <w:t>tementet.</w:t>
      </w:r>
    </w:p>
    <w:p w:rsidR="00EC146D" w:rsidRPr="00786DAF" w:rsidRDefault="00EC146D" w:rsidP="00EC146D">
      <w:pPr>
        <w:pStyle w:val="R4"/>
        <w:outlineLvl w:val="0"/>
      </w:pPr>
      <w:r w:rsidRPr="00786DAF">
        <w:t>Kerstin af Jochnick, mandatperiod sex år från den 1 januari 2012</w:t>
      </w:r>
    </w:p>
    <w:p w:rsidR="00EC146D" w:rsidRDefault="00EC146D" w:rsidP="00C8253F">
      <w:pPr>
        <w:tabs>
          <w:tab w:val="left" w:pos="284"/>
        </w:tabs>
        <w:suppressAutoHyphens/>
      </w:pPr>
      <w:r>
        <w:t>Kerstin af Jochnick</w:t>
      </w:r>
      <w:r w:rsidRPr="003E32A2">
        <w:t xml:space="preserve"> är</w:t>
      </w:r>
      <w:r>
        <w:t xml:space="preserve"> förste</w:t>
      </w:r>
      <w:r w:rsidRPr="003E32A2">
        <w:t xml:space="preserve"> vice riksbankschef. </w:t>
      </w:r>
      <w:r w:rsidR="00C8253F">
        <w:t>Hon representerar Riks</w:t>
      </w:r>
      <w:r>
        <w:t xml:space="preserve">banken </w:t>
      </w:r>
      <w:r w:rsidRPr="00FB78AC">
        <w:t xml:space="preserve">i </w:t>
      </w:r>
      <w:r>
        <w:t>ATC,</w:t>
      </w:r>
      <w:r w:rsidRPr="00FB78AC">
        <w:t xml:space="preserve"> FSB:s Cross-Border Crisis Management Group</w:t>
      </w:r>
      <w:r>
        <w:t xml:space="preserve"> (CBCM) och är svensk delegat i</w:t>
      </w:r>
      <w:r w:rsidRPr="00FB78AC">
        <w:t xml:space="preserve"> </w:t>
      </w:r>
      <w:r w:rsidR="000622A3">
        <w:t>BCBS</w:t>
      </w:r>
      <w:r w:rsidRPr="00FB78AC">
        <w:t>.</w:t>
      </w:r>
      <w:r>
        <w:t xml:space="preserve"> </w:t>
      </w:r>
      <w:r w:rsidR="00CE3BDE">
        <w:t>Kerstin</w:t>
      </w:r>
      <w:r w:rsidR="007B0343">
        <w:t> </w:t>
      </w:r>
      <w:r>
        <w:t>af Jochnick är natio</w:t>
      </w:r>
      <w:r>
        <w:softHyphen/>
        <w:t>nalekonom. Hon har tidigare bland annat varit vd för Svenska Bankföreningen, ordförande i Europeiska banktillsynskommittén (CEBS) och</w:t>
      </w:r>
      <w:r w:rsidR="00C8253F">
        <w:t xml:space="preserve"> avdelningschef på Finans</w:t>
      </w:r>
      <w:r w:rsidR="00485DC4">
        <w:softHyphen/>
      </w:r>
      <w:r w:rsidR="00C8253F">
        <w:t>inspek</w:t>
      </w:r>
      <w:r>
        <w:t>tionen. Hon arbetade på Riksbanken 1977–1991.</w:t>
      </w:r>
    </w:p>
    <w:p w:rsidR="00EC146D" w:rsidRPr="00786DAF" w:rsidRDefault="00EC146D" w:rsidP="00EC146D">
      <w:pPr>
        <w:pStyle w:val="R4"/>
        <w:outlineLvl w:val="0"/>
      </w:pPr>
      <w:r>
        <w:t>Martin Flodén, mandatperiod fem år från den 22 maj 2013</w:t>
      </w:r>
    </w:p>
    <w:p w:rsidR="00EC146D" w:rsidRPr="00647CD1" w:rsidRDefault="00EC146D" w:rsidP="00EC146D">
      <w:r>
        <w:t xml:space="preserve">Martin Flodén är vice riksbankschef. </w:t>
      </w:r>
      <w:r w:rsidRPr="00C30270">
        <w:t>H</w:t>
      </w:r>
      <w:r w:rsidRPr="002D2E6A">
        <w:t>an representerar Riksbanken</w:t>
      </w:r>
      <w:r>
        <w:t xml:space="preserve"> i</w:t>
      </w:r>
      <w:r w:rsidRPr="002D2E6A">
        <w:t xml:space="preserve"> OECD:s kommitté WP3 </w:t>
      </w:r>
      <w:r w:rsidRPr="003B700C">
        <w:t>och</w:t>
      </w:r>
      <w:r>
        <w:t xml:space="preserve"> i</w:t>
      </w:r>
      <w:r w:rsidRPr="00C30270">
        <w:t xml:space="preserve"> </w:t>
      </w:r>
      <w:r w:rsidRPr="002D2E6A">
        <w:t xml:space="preserve">Bellagiogruppen. </w:t>
      </w:r>
      <w:r w:rsidRPr="00647CD1">
        <w:t>F</w:t>
      </w:r>
      <w:r>
        <w:t>lodén är</w:t>
      </w:r>
      <w:r w:rsidRPr="00647CD1">
        <w:t xml:space="preserve"> professor i nationalekonomi vi</w:t>
      </w:r>
      <w:r>
        <w:t>d Stockholms universitet. Han</w:t>
      </w:r>
      <w:r w:rsidRPr="00647CD1">
        <w:t xml:space="preserve"> har tidigare varit ledamot i Ekonomiska rådet, Finanspolitiska rådet och SNS Konjunkturråd.</w:t>
      </w:r>
    </w:p>
    <w:p w:rsidR="00EC146D" w:rsidRPr="00786DAF" w:rsidRDefault="00EC146D" w:rsidP="00EC146D">
      <w:pPr>
        <w:pStyle w:val="R4"/>
        <w:outlineLvl w:val="0"/>
      </w:pPr>
      <w:r w:rsidRPr="00786DAF">
        <w:t>Per Jansson, mandatperiod fem år från den 1 januari 2012</w:t>
      </w:r>
    </w:p>
    <w:p w:rsidR="00EC146D" w:rsidRDefault="00EC146D" w:rsidP="00C8253F">
      <w:pPr>
        <w:suppressAutoHyphens/>
      </w:pPr>
      <w:r>
        <w:t>Per Jansson</w:t>
      </w:r>
      <w:r w:rsidRPr="00DB7E9E">
        <w:t xml:space="preserve"> är vice riksbankschef. </w:t>
      </w:r>
      <w:r>
        <w:t>Han</w:t>
      </w:r>
      <w:r w:rsidRPr="00647CD1">
        <w:t xml:space="preserve"> </w:t>
      </w:r>
      <w:r>
        <w:t>representerar</w:t>
      </w:r>
      <w:r w:rsidRPr="00647CD1">
        <w:t xml:space="preserve"> Riksbanken i den no</w:t>
      </w:r>
      <w:r w:rsidR="00FB0C77">
        <w:t>rdisk-</w:t>
      </w:r>
      <w:r w:rsidRPr="00647CD1">
        <w:t xml:space="preserve">baltiska valkretsens kommitté för IMF-samarbetet. </w:t>
      </w:r>
      <w:r w:rsidR="001E27D3">
        <w:t>Jansson är docent i natio</w:t>
      </w:r>
      <w:r>
        <w:t xml:space="preserve">nalekonomi och </w:t>
      </w:r>
      <w:r w:rsidRPr="00DB7E9E">
        <w:t xml:space="preserve">var fram till </w:t>
      </w:r>
      <w:r>
        <w:t xml:space="preserve">det </w:t>
      </w:r>
      <w:r w:rsidRPr="00DB7E9E">
        <w:t>att han tillträdde som</w:t>
      </w:r>
      <w:r>
        <w:t xml:space="preserve"> vice</w:t>
      </w:r>
      <w:r w:rsidRPr="00DB7E9E">
        <w:t xml:space="preserve"> riks</w:t>
      </w:r>
      <w:r w:rsidR="00677D34">
        <w:softHyphen/>
      </w:r>
      <w:r w:rsidRPr="00DB7E9E">
        <w:t>bankschef</w:t>
      </w:r>
      <w:r>
        <w:t xml:space="preserve"> chef för Riksbankens avdelning för penningpolitik. Dessförinnan var han bland annat statssekreterare på Finansdepartementet och biträdande avdelningschef på Konjunkturinstitutet. Han arbetade på Riksbanken som bitr</w:t>
      </w:r>
      <w:r>
        <w:t>ä</w:t>
      </w:r>
      <w:r>
        <w:t xml:space="preserve">dande avdelningschef 2003–2006 och som enhetschef 1996–2000. </w:t>
      </w:r>
    </w:p>
    <w:p w:rsidR="00EC146D" w:rsidRPr="00786DAF" w:rsidRDefault="00EC146D" w:rsidP="00EC146D">
      <w:pPr>
        <w:pStyle w:val="R4"/>
        <w:outlineLvl w:val="0"/>
      </w:pPr>
      <w:r>
        <w:t>Cecilia Skingsley, mandatperiod sex år från den 22 maj 2013</w:t>
      </w:r>
    </w:p>
    <w:p w:rsidR="00EC146D" w:rsidRDefault="00EC146D" w:rsidP="00EC146D">
      <w:r>
        <w:t>Cecilia Skingsley är vice riksbankschef. Ho</w:t>
      </w:r>
      <w:r w:rsidRPr="00DB7E9E">
        <w:t>n repr</w:t>
      </w:r>
      <w:r>
        <w:t xml:space="preserve">esenterar Riksbanken i </w:t>
      </w:r>
      <w:r w:rsidRPr="00DB7E9E">
        <w:t>EU:s ekonomiska och finansiella kommitté (EFK)</w:t>
      </w:r>
      <w:r>
        <w:t xml:space="preserve"> och i </w:t>
      </w:r>
      <w:r w:rsidRPr="00DB7E9E">
        <w:t xml:space="preserve">ECB:s internationella kommitté. </w:t>
      </w:r>
      <w:r w:rsidRPr="00394776">
        <w:t>Skingsley har en filosofie kandidatexamen i nationalekonomi och är diplomerad finansanalytiker.</w:t>
      </w:r>
      <w:r>
        <w:t xml:space="preserve"> Hon</w:t>
      </w:r>
      <w:r w:rsidRPr="00603A4E">
        <w:t xml:space="preserve"> var tidigare chef</w:t>
      </w:r>
      <w:r>
        <w:t>s</w:t>
      </w:r>
      <w:r w:rsidRPr="00603A4E">
        <w:t>ekonom på Swedbank</w:t>
      </w:r>
      <w:r>
        <w:t xml:space="preserve"> och har även arbetat på Dagens industri, ABN Amro Bank och Finans</w:t>
      </w:r>
      <w:r w:rsidR="00C8253F">
        <w:softHyphen/>
      </w:r>
      <w:r>
        <w:t>depa</w:t>
      </w:r>
      <w:r>
        <w:t>r</w:t>
      </w:r>
      <w:r>
        <w:t xml:space="preserve">tementet. </w:t>
      </w:r>
    </w:p>
    <w:p w:rsidR="00EC146D" w:rsidRPr="001F43B6" w:rsidRDefault="00EC146D" w:rsidP="00EC146D">
      <w:pPr>
        <w:pStyle w:val="R4"/>
        <w:rPr>
          <w:i w:val="0"/>
          <w:sz w:val="19"/>
          <w:szCs w:val="19"/>
          <w:u w:val="single"/>
        </w:rPr>
      </w:pPr>
      <w:r w:rsidRPr="001F43B6">
        <w:rPr>
          <w:i w:val="0"/>
          <w:sz w:val="19"/>
          <w:szCs w:val="19"/>
          <w:u w:val="single"/>
        </w:rPr>
        <w:t>Ledam</w:t>
      </w:r>
      <w:r>
        <w:rPr>
          <w:i w:val="0"/>
          <w:sz w:val="19"/>
          <w:szCs w:val="19"/>
          <w:u w:val="single"/>
        </w:rPr>
        <w:t>ot</w:t>
      </w:r>
      <w:r w:rsidRPr="001F43B6">
        <w:rPr>
          <w:i w:val="0"/>
          <w:sz w:val="19"/>
          <w:szCs w:val="19"/>
          <w:u w:val="single"/>
        </w:rPr>
        <w:t xml:space="preserve"> som lämnade si</w:t>
      </w:r>
      <w:r>
        <w:rPr>
          <w:i w:val="0"/>
          <w:sz w:val="19"/>
          <w:szCs w:val="19"/>
          <w:u w:val="single"/>
        </w:rPr>
        <w:t xml:space="preserve">n befattning den </w:t>
      </w:r>
      <w:r w:rsidR="003B7BCD">
        <w:rPr>
          <w:i w:val="0"/>
          <w:sz w:val="19"/>
          <w:szCs w:val="19"/>
          <w:u w:val="single"/>
        </w:rPr>
        <w:t>6</w:t>
      </w:r>
      <w:r>
        <w:rPr>
          <w:i w:val="0"/>
          <w:sz w:val="19"/>
          <w:szCs w:val="19"/>
          <w:u w:val="single"/>
        </w:rPr>
        <w:t xml:space="preserve"> oktober 2014</w:t>
      </w:r>
      <w:r w:rsidRPr="001F43B6">
        <w:rPr>
          <w:i w:val="0"/>
          <w:sz w:val="19"/>
          <w:szCs w:val="19"/>
          <w:u w:val="single"/>
        </w:rPr>
        <w:t>:</w:t>
      </w:r>
    </w:p>
    <w:p w:rsidR="00EC146D" w:rsidRPr="00786DAF" w:rsidRDefault="00EC146D" w:rsidP="00EC146D">
      <w:pPr>
        <w:pStyle w:val="R4"/>
        <w:outlineLvl w:val="0"/>
      </w:pPr>
      <w:r w:rsidRPr="00786DAF">
        <w:t>Karolina Ekholm, mandatperiod sex år från den 15 mars 2009</w:t>
      </w:r>
    </w:p>
    <w:p w:rsidR="00EC146D" w:rsidRDefault="00EC146D" w:rsidP="00EC146D">
      <w:r w:rsidRPr="003E32A2">
        <w:t xml:space="preserve">Karolina Ekholm </w:t>
      </w:r>
      <w:r>
        <w:t>va</w:t>
      </w:r>
      <w:r w:rsidRPr="003E32A2">
        <w:t xml:space="preserve">r vice riksbankschef. Hon </w:t>
      </w:r>
      <w:r>
        <w:t>var</w:t>
      </w:r>
      <w:r w:rsidRPr="003E32A2">
        <w:t xml:space="preserve"> riksbankschefens ställför</w:t>
      </w:r>
      <w:r w:rsidRPr="003E32A2">
        <w:t>e</w:t>
      </w:r>
      <w:r w:rsidRPr="003E32A2">
        <w:t>trädare i ECB:s allmänna råd och delt</w:t>
      </w:r>
      <w:r>
        <w:t>og</w:t>
      </w:r>
      <w:r w:rsidRPr="003E32A2">
        <w:t xml:space="preserve"> tillsammans med riksbankschefen i BIS styrelsemöten respektive möten för centralbankschefer. </w:t>
      </w:r>
      <w:r w:rsidRPr="00785C7A">
        <w:t>Hon repres</w:t>
      </w:r>
      <w:r w:rsidRPr="003B700C">
        <w:t>en</w:t>
      </w:r>
      <w:r w:rsidR="00C96600">
        <w:softHyphen/>
      </w:r>
      <w:r w:rsidRPr="003B700C">
        <w:t>t</w:t>
      </w:r>
      <w:r w:rsidRPr="003B700C">
        <w:t>e</w:t>
      </w:r>
      <w:r>
        <w:t>rade</w:t>
      </w:r>
      <w:r w:rsidRPr="003B700C">
        <w:t xml:space="preserve"> Riksbanken i ESRB, </w:t>
      </w:r>
      <w:r>
        <w:t xml:space="preserve">i </w:t>
      </w:r>
      <w:r w:rsidRPr="00785C7A">
        <w:t>FSB:s regionala grupp</w:t>
      </w:r>
      <w:r w:rsidRPr="003B700C">
        <w:t xml:space="preserve"> och i</w:t>
      </w:r>
      <w:r w:rsidRPr="00FB78AC">
        <w:t xml:space="preserve"> Committee on </w:t>
      </w:r>
      <w:r w:rsidR="004F0EBA">
        <w:t xml:space="preserve">the </w:t>
      </w:r>
      <w:r w:rsidRPr="00FB78AC">
        <w:t>Global Financial System (CGFS)</w:t>
      </w:r>
      <w:r>
        <w:t>.</w:t>
      </w:r>
      <w:r w:rsidRPr="00FB78AC">
        <w:t xml:space="preserve"> </w:t>
      </w:r>
      <w:r w:rsidRPr="003E32A2">
        <w:t xml:space="preserve">Ekholm är sedan 2010 tjänstledig </w:t>
      </w:r>
      <w:r>
        <w:t>från sin professur</w:t>
      </w:r>
      <w:r w:rsidRPr="003E32A2">
        <w:t xml:space="preserve"> vid </w:t>
      </w:r>
      <w:r>
        <w:t>N</w:t>
      </w:r>
      <w:r w:rsidRPr="003E32A2">
        <w:t xml:space="preserve">ationalekonomiska institutionen vid Stockholms universitet. </w:t>
      </w:r>
      <w:r>
        <w:t>Hon</w:t>
      </w:r>
      <w:r w:rsidRPr="003E32A2">
        <w:t xml:space="preserve"> </w:t>
      </w:r>
      <w:r>
        <w:t xml:space="preserve">har tidigare varit </w:t>
      </w:r>
      <w:r w:rsidRPr="00647CD1">
        <w:t>ledamot i Ekonomiska rådet</w:t>
      </w:r>
      <w:r>
        <w:t xml:space="preserve"> och</w:t>
      </w:r>
      <w:r w:rsidRPr="00647CD1">
        <w:t xml:space="preserve"> Finanspolitiska rådet</w:t>
      </w:r>
      <w:r w:rsidRPr="003E32A2">
        <w:t xml:space="preserve">. </w:t>
      </w:r>
    </w:p>
    <w:p w:rsidR="00DB003E" w:rsidRPr="001F43B6" w:rsidRDefault="00DB003E" w:rsidP="00DB003E">
      <w:pPr>
        <w:pStyle w:val="R4"/>
        <w:rPr>
          <w:i w:val="0"/>
          <w:sz w:val="19"/>
          <w:szCs w:val="19"/>
          <w:u w:val="single"/>
        </w:rPr>
      </w:pPr>
      <w:r w:rsidRPr="001F43B6">
        <w:rPr>
          <w:i w:val="0"/>
          <w:sz w:val="19"/>
          <w:szCs w:val="19"/>
          <w:u w:val="single"/>
        </w:rPr>
        <w:t>Ledam</w:t>
      </w:r>
      <w:r>
        <w:rPr>
          <w:i w:val="0"/>
          <w:sz w:val="19"/>
          <w:szCs w:val="19"/>
          <w:u w:val="single"/>
        </w:rPr>
        <w:t>ot</w:t>
      </w:r>
      <w:r w:rsidRPr="001F43B6">
        <w:rPr>
          <w:i w:val="0"/>
          <w:sz w:val="19"/>
          <w:szCs w:val="19"/>
          <w:u w:val="single"/>
        </w:rPr>
        <w:t xml:space="preserve"> som </w:t>
      </w:r>
      <w:r>
        <w:rPr>
          <w:i w:val="0"/>
          <w:sz w:val="19"/>
          <w:szCs w:val="19"/>
          <w:u w:val="single"/>
        </w:rPr>
        <w:t>utsågs den 19 december 2014</w:t>
      </w:r>
      <w:r w:rsidRPr="001F43B6">
        <w:rPr>
          <w:i w:val="0"/>
          <w:sz w:val="19"/>
          <w:szCs w:val="19"/>
          <w:u w:val="single"/>
        </w:rPr>
        <w:t>:</w:t>
      </w:r>
    </w:p>
    <w:p w:rsidR="007B0343" w:rsidRDefault="007B0343" w:rsidP="007B0343">
      <w:pPr>
        <w:pStyle w:val="R4"/>
        <w:outlineLvl w:val="0"/>
      </w:pPr>
      <w:r>
        <w:t>Henry Ohlsson, mandatperiod sex år från den 12 januari 2015</w:t>
      </w:r>
    </w:p>
    <w:p w:rsidR="007B0343" w:rsidRPr="009A55CC" w:rsidRDefault="007B0343" w:rsidP="00C8253F">
      <w:pPr>
        <w:suppressAutoHyphens/>
      </w:pPr>
      <w:r>
        <w:t xml:space="preserve">Henry Ohlsson </w:t>
      </w:r>
      <w:r w:rsidR="00DD77EC">
        <w:t xml:space="preserve">utsågs enhälligt av fullmäktige den 19 december 2014 att efterträda vice riksbankschef Karolina </w:t>
      </w:r>
      <w:r w:rsidR="00DD77EC" w:rsidRPr="00DD77EC">
        <w:t>Ekholm</w:t>
      </w:r>
      <w:r w:rsidRPr="00DD77EC">
        <w:t xml:space="preserve">. </w:t>
      </w:r>
      <w:r w:rsidR="00DD77EC" w:rsidRPr="00DD77EC">
        <w:t xml:space="preserve">Ohlsson tillträdde </w:t>
      </w:r>
      <w:r w:rsidR="00DD77EC">
        <w:t xml:space="preserve">som vice riksbankschef den 12 januari 2015. </w:t>
      </w:r>
      <w:r w:rsidRPr="00DD77EC">
        <w:t>Han är professor i nationalekonomi vid Uppsala uni</w:t>
      </w:r>
      <w:r>
        <w:t>versitet och var tidigare bland annat ordförande i Industrins ekonomiska råd, ledamot i Arbetsförmedlingens styrelse och ordförande i Ek</w:t>
      </w:r>
      <w:r>
        <w:t>o</w:t>
      </w:r>
      <w:r>
        <w:t>nomiska rådet.</w:t>
      </w:r>
    </w:p>
    <w:p w:rsidR="00EC146D" w:rsidRDefault="00EC146D" w:rsidP="00EC146D">
      <w:pPr>
        <w:pStyle w:val="R3"/>
      </w:pPr>
      <w:r>
        <w:t>Direktionens uppgifter</w:t>
      </w:r>
    </w:p>
    <w:p w:rsidR="00EC146D" w:rsidRPr="003B700C" w:rsidRDefault="00EC146D" w:rsidP="000E7B66">
      <w:pPr>
        <w:suppressAutoHyphens/>
      </w:pPr>
      <w:r w:rsidRPr="003B700C">
        <w:t xml:space="preserve">Direktionen har ett gemensamt ansvar för Riksbankens strategiska ledning och fastställer Riksbankens instruktion. Direktionens roll som </w:t>
      </w:r>
      <w:r>
        <w:t>strategisk beslutsfattare</w:t>
      </w:r>
      <w:r w:rsidRPr="003B700C">
        <w:t xml:space="preserve"> innebär att dess arbete inriktas på centrala beslut om penning- och valutapolitiken, betydelsefulla frågor inom området finansiell stabilitet och Riksbankens kapitalförvaltning. D</w:t>
      </w:r>
      <w:r w:rsidR="000E7B66">
        <w:t>irektionen fattar också de över</w:t>
      </w:r>
      <w:r w:rsidRPr="003B700C">
        <w:t xml:space="preserve">gripande besluten om Riksbankens verksamhet, </w:t>
      </w:r>
      <w:r>
        <w:t xml:space="preserve">såsom </w:t>
      </w:r>
      <w:r w:rsidRPr="003B700C">
        <w:t xml:space="preserve">besluten om strategiska mål, verksamhetsplan och budget samt uppföljningar av dessa. Samtidigt har riksbankschefen ett tydligt uppdrag att följa upp verksamheten mot fastställda planer och mot beslutad budget. Riksbankschefen </w:t>
      </w:r>
      <w:r>
        <w:t>är</w:t>
      </w:r>
      <w:r w:rsidRPr="003B700C">
        <w:t xml:space="preserve"> också chef</w:t>
      </w:r>
      <w:r>
        <w:t xml:space="preserve"> </w:t>
      </w:r>
      <w:r w:rsidRPr="003B700C">
        <w:t xml:space="preserve">över avdelningscheferna, vilka bereder och lägger fram förslag eller underlag till direktionen i de ärenden som beslutas </w:t>
      </w:r>
      <w:r>
        <w:t>där</w:t>
      </w:r>
      <w:r w:rsidRPr="003B700C">
        <w:t>.</w:t>
      </w:r>
    </w:p>
    <w:p w:rsidR="00EC146D" w:rsidRPr="002875EB" w:rsidRDefault="00EC146D" w:rsidP="00EC146D">
      <w:pPr>
        <w:pStyle w:val="Normaltindrag"/>
      </w:pPr>
      <w:r w:rsidRPr="003B700C">
        <w:t xml:space="preserve">Direktionen fattar gemensamma beslut vid sina sammanträden. </w:t>
      </w:r>
      <w:r>
        <w:t>U</w:t>
      </w:r>
      <w:r w:rsidRPr="00621334">
        <w:t>nder 201</w:t>
      </w:r>
      <w:r>
        <w:t>4</w:t>
      </w:r>
      <w:r w:rsidRPr="00621334">
        <w:t xml:space="preserve"> höll </w:t>
      </w:r>
      <w:r w:rsidRPr="00481B4D">
        <w:t xml:space="preserve">direktionen totalt </w:t>
      </w:r>
      <w:r w:rsidR="009A55CC">
        <w:t>36</w:t>
      </w:r>
      <w:r w:rsidR="009A55CC" w:rsidRPr="00481B4D">
        <w:t xml:space="preserve"> </w:t>
      </w:r>
      <w:r w:rsidRPr="00481B4D">
        <w:t xml:space="preserve">sammanträden, varav </w:t>
      </w:r>
      <w:r w:rsidR="009A55CC">
        <w:t>10</w:t>
      </w:r>
      <w:r w:rsidR="009A55CC" w:rsidRPr="00481B4D">
        <w:t xml:space="preserve"> </w:t>
      </w:r>
      <w:r w:rsidRPr="00481B4D">
        <w:t xml:space="preserve">per capsulam-möten och </w:t>
      </w:r>
      <w:r w:rsidR="004778BD">
        <w:t>6</w:t>
      </w:r>
      <w:r w:rsidR="004778BD" w:rsidRPr="00481B4D">
        <w:t xml:space="preserve"> </w:t>
      </w:r>
      <w:r w:rsidRPr="00481B4D">
        <w:t>pe</w:t>
      </w:r>
      <w:r w:rsidRPr="009E44C6">
        <w:t>n</w:t>
      </w:r>
      <w:r w:rsidRPr="0091692A">
        <w:t>ningpolitiska möten</w:t>
      </w:r>
      <w:r w:rsidRPr="00BF377F">
        <w:t>.</w:t>
      </w:r>
      <w:r>
        <w:t xml:space="preserve"> </w:t>
      </w:r>
    </w:p>
    <w:p w:rsidR="00EC146D" w:rsidRDefault="00EC146D" w:rsidP="000E7B66">
      <w:pPr>
        <w:pStyle w:val="Normaltindrag"/>
        <w:suppressAutoHyphens/>
      </w:pPr>
      <w:r>
        <w:t xml:space="preserve">Direktionen ska minst två gånger om året lämna en skriftlig redogörelse för penningpolitiken till riksdagens finansutskott. </w:t>
      </w:r>
      <w:r w:rsidR="00A54D4D" w:rsidRPr="00A54D4D">
        <w:t>Den första redogörelsen består av en särskild rapport</w:t>
      </w:r>
      <w:r w:rsidR="009F5084">
        <w:t>, Redogörelse för penningpolitiken,</w:t>
      </w:r>
      <w:r w:rsidR="00A54D4D" w:rsidRPr="00A54D4D">
        <w:t xml:space="preserve"> som samm</w:t>
      </w:r>
      <w:r w:rsidR="00A54D4D">
        <w:t>anställs till riksdagens finans</w:t>
      </w:r>
      <w:r w:rsidR="00A54D4D" w:rsidRPr="00A54D4D">
        <w:t>utskott i början av året. Den andra redo</w:t>
      </w:r>
      <w:r w:rsidR="000E7B66">
        <w:softHyphen/>
      </w:r>
      <w:r w:rsidR="00A54D4D" w:rsidRPr="00A54D4D">
        <w:t>görelsen utgörs av den tredje penningpolitiska rappor</w:t>
      </w:r>
      <w:r w:rsidR="00A54D4D">
        <w:t xml:space="preserve">ten för året. </w:t>
      </w:r>
      <w:r>
        <w:t>Redo</w:t>
      </w:r>
      <w:r w:rsidR="000E7B66">
        <w:softHyphen/>
      </w:r>
      <w:r>
        <w:t>göre</w:t>
      </w:r>
      <w:r>
        <w:t>l</w:t>
      </w:r>
      <w:r>
        <w:t xml:space="preserve">sen kompletteras vid varje tillfälle med en offentlig utfrågning. Från och med 2012 hålls det tre utfrågningar </w:t>
      </w:r>
      <w:r w:rsidR="008E4645">
        <w:t xml:space="preserve">per år </w:t>
      </w:r>
      <w:r>
        <w:t>om penningpolitiken, och sedan hösten 2012 deltar alltid både riksbankschefen och någon av de vice riksbankscheferna (enligt ett roterande schema) vid dessa utfrågningar i finans</w:t>
      </w:r>
      <w:r w:rsidR="000E7B66">
        <w:softHyphen/>
      </w:r>
      <w:r>
        <w:t>utskottet. Ut</w:t>
      </w:r>
      <w:r w:rsidR="0002045B">
        <w:t>över de tre penning</w:t>
      </w:r>
      <w:r>
        <w:t>politiska utfrågningarna deltog direktions</w:t>
      </w:r>
      <w:r w:rsidR="000E7B66">
        <w:softHyphen/>
      </w:r>
      <w:r>
        <w:t xml:space="preserve">ledamöterna under 2014 i </w:t>
      </w:r>
      <w:r w:rsidR="009A55CC">
        <w:t xml:space="preserve">tre </w:t>
      </w:r>
      <w:r>
        <w:t xml:space="preserve">slutna utfrågningar i finansutskottet för att diskutera </w:t>
      </w:r>
      <w:r w:rsidRPr="00DD7C02">
        <w:t>rappo</w:t>
      </w:r>
      <w:r w:rsidRPr="00DD7C02">
        <w:t>r</w:t>
      </w:r>
      <w:r w:rsidRPr="00DD7C02">
        <w:t>t</w:t>
      </w:r>
      <w:r w:rsidR="009F5084">
        <w:t>en</w:t>
      </w:r>
      <w:r>
        <w:t xml:space="preserve"> Redogörelse för penningpolitiken och IMF-frågor.</w:t>
      </w:r>
    </w:p>
    <w:p w:rsidR="00EC146D" w:rsidRDefault="00EC146D" w:rsidP="00EC146D">
      <w:pPr>
        <w:pStyle w:val="R4"/>
        <w:pBdr>
          <w:top w:val="single" w:sz="4" w:space="1" w:color="auto"/>
          <w:left w:val="single" w:sz="4" w:space="4" w:color="auto"/>
          <w:right w:val="single" w:sz="4" w:space="4" w:color="auto"/>
        </w:pBdr>
        <w:outlineLvl w:val="0"/>
      </w:pPr>
      <w:r>
        <w:t>Formell behandling av Riksbankens årsredovisning</w:t>
      </w:r>
    </w:p>
    <w:p w:rsidR="00EC146D" w:rsidRDefault="00EC146D" w:rsidP="000E7B66">
      <w:pPr>
        <w:pBdr>
          <w:top w:val="single" w:sz="4" w:space="1" w:color="auto"/>
          <w:left w:val="single" w:sz="4" w:space="4" w:color="auto"/>
          <w:right w:val="single" w:sz="4" w:space="4" w:color="auto"/>
        </w:pBdr>
        <w:suppressAutoHyphens/>
      </w:pPr>
      <w:r>
        <w:t>Enligt riksbankslagen ska Riksbankens direktion varje år före den 22 februari lämna en redovisning för det föregående räkenskapsåret</w:t>
      </w:r>
      <w:r w:rsidDel="00621334">
        <w:t xml:space="preserve"> </w:t>
      </w:r>
      <w:r>
        <w:t>till riksdagen, Riksrevisionen och riksbanksfullmäktige. Riksbankens resultat</w:t>
      </w:r>
      <w:r w:rsidR="00BD420F">
        <w:t>-</w:t>
      </w:r>
      <w:r>
        <w:t xml:space="preserve"> och balansräkning fastställs av riksdagen, som också beslutar om hur bankens </w:t>
      </w:r>
      <w:r w:rsidR="003E5F95">
        <w:t>resulta</w:t>
      </w:r>
      <w:r>
        <w:t>t ska disponeras. Försl</w:t>
      </w:r>
      <w:r w:rsidR="003E5F95">
        <w:t>aget till disposition av resultatet</w:t>
      </w:r>
      <w:r>
        <w:t xml:space="preserve"> lämnas till riksdagen av riksbanksfullmäktige som också granskar bankens bokslutsarbete med inriktning på beräkningen av bankens resultat. Tillsammans med förslaget till </w:t>
      </w:r>
      <w:r w:rsidR="003E5F95">
        <w:t>d</w:t>
      </w:r>
      <w:r>
        <w:t>isposi</w:t>
      </w:r>
      <w:r>
        <w:t>t</w:t>
      </w:r>
      <w:r>
        <w:t xml:space="preserve">ion </w:t>
      </w:r>
      <w:r w:rsidR="003E5F95">
        <w:t xml:space="preserve">av resultatet </w:t>
      </w:r>
      <w:r>
        <w:t xml:space="preserve">lämnar fullmäktige även en egen verksamhetsberättelse för räkenskapsåret till riksdagen. Fullmäktiges verksamhetsberättelse och förslag till disposition </w:t>
      </w:r>
      <w:r w:rsidR="00EF1996">
        <w:t xml:space="preserve">av resultatet </w:t>
      </w:r>
      <w:r>
        <w:t>lämn</w:t>
      </w:r>
      <w:r w:rsidR="001E27D3">
        <w:t>as till riksdagen samma dag som</w:t>
      </w:r>
      <w:r w:rsidR="003568A7">
        <w:t xml:space="preserve"> </w:t>
      </w:r>
      <w:r>
        <w:t>Riksbankens årsr</w:t>
      </w:r>
      <w:r>
        <w:t>e</w:t>
      </w:r>
      <w:r>
        <w:t>dovisning.</w:t>
      </w:r>
    </w:p>
    <w:p w:rsidR="00EC146D" w:rsidRPr="00DB0F73" w:rsidRDefault="00EC146D" w:rsidP="000E7B66">
      <w:pPr>
        <w:pStyle w:val="Normaltindrag"/>
        <w:pBdr>
          <w:left w:val="single" w:sz="4" w:space="4" w:color="auto"/>
          <w:bottom w:val="single" w:sz="4" w:space="1" w:color="auto"/>
          <w:right w:val="single" w:sz="4" w:space="4" w:color="auto"/>
        </w:pBdr>
        <w:suppressAutoHyphens/>
      </w:pPr>
      <w:r>
        <w:t xml:space="preserve">Senast en månad efter att Riksbanken lämnat årsredovisningen till </w:t>
      </w:r>
      <w:r w:rsidR="003568A7">
        <w:t>riks</w:t>
      </w:r>
      <w:r w:rsidR="001E27D3">
        <w:softHyphen/>
      </w:r>
      <w:r>
        <w:t>dagen ska Riksrevisionens granskning av årsredovisningen vara färdig. Riksrevisionen ska då lämna en revisionsberättelse med sina iakttagelser från granskningen</w:t>
      </w:r>
      <w:r w:rsidRPr="009C069C">
        <w:t xml:space="preserve"> </w:t>
      </w:r>
      <w:r w:rsidR="00D5639C">
        <w:t>till riksdagen. Revi</w:t>
      </w:r>
      <w:r>
        <w:t>si</w:t>
      </w:r>
      <w:r w:rsidR="003568A7">
        <w:t>onsberättelsen innehåller också Riks</w:t>
      </w:r>
      <w:r>
        <w:t>revisionens bedömning av om riksdagen bör fastställa Riksbankens resultat</w:t>
      </w:r>
      <w:r w:rsidR="00D77A10">
        <w:t>-</w:t>
      </w:r>
      <w:r>
        <w:t xml:space="preserve"> och balansräkning enligt direktionens förslag i årsredovisningen.</w:t>
      </w:r>
    </w:p>
    <w:p w:rsidR="00EC146D" w:rsidRDefault="00EC146D" w:rsidP="000E7B66">
      <w:pPr>
        <w:pStyle w:val="Normaltindrag"/>
        <w:pBdr>
          <w:left w:val="single" w:sz="4" w:space="4" w:color="auto"/>
          <w:bottom w:val="single" w:sz="4" w:space="1" w:color="auto"/>
          <w:right w:val="single" w:sz="4" w:space="4" w:color="auto"/>
        </w:pBdr>
        <w:suppressAutoHyphens/>
      </w:pPr>
      <w:r>
        <w:t xml:space="preserve">Riksbankens årsredovisning granskas inom riksdagen av finansutskottet. Finansutskottets uppgift är att förbereda riksdagens beslut när det gäller ansvarsfrihet för fullmäktige för dess verksamhet och </w:t>
      </w:r>
      <w:r w:rsidR="00D5639C">
        <w:t>för direk</w:t>
      </w:r>
      <w:r>
        <w:t>tionen för fö</w:t>
      </w:r>
      <w:r>
        <w:t>r</w:t>
      </w:r>
      <w:r>
        <w:t>valtningen av Riksbanken, fastställandet av Riksbankens resultat</w:t>
      </w:r>
      <w:r w:rsidR="00D77A10">
        <w:t>-</w:t>
      </w:r>
      <w:r>
        <w:t xml:space="preserve"> och balan</w:t>
      </w:r>
      <w:r>
        <w:t>s</w:t>
      </w:r>
      <w:r>
        <w:t xml:space="preserve">räkning för räkenskapsåret samt dispositionen av Riksbankens resultat för räkenskapsåret. När riksdagen </w:t>
      </w:r>
      <w:r w:rsidR="00D5639C">
        <w:t xml:space="preserve">fattat dessa beslut </w:t>
      </w:r>
      <w:r>
        <w:t xml:space="preserve">kan Riksbanken leverera den beslutade delen av sitt resultat till statskassan. </w:t>
      </w:r>
      <w:r w:rsidR="00430716">
        <w:t>L</w:t>
      </w:r>
      <w:r>
        <w:t>everansen sker som regel en vecka efter riksdagens beslut, i samband med att Riksbanken genomför h</w:t>
      </w:r>
      <w:r>
        <w:t>u</w:t>
      </w:r>
      <w:r>
        <w:t xml:space="preserve">vudsakliga transaktioner </w:t>
      </w:r>
      <w:r w:rsidR="009F5084">
        <w:t xml:space="preserve">(för närvarande </w:t>
      </w:r>
      <w:r w:rsidR="00E42B3C">
        <w:t>r</w:t>
      </w:r>
      <w:r w:rsidR="009F5084">
        <w:t>iksbank</w:t>
      </w:r>
      <w:r w:rsidR="00FB0C77">
        <w:t>s</w:t>
      </w:r>
      <w:r w:rsidR="009F5084">
        <w:t>certifikat)</w:t>
      </w:r>
      <w:r>
        <w:t>.</w:t>
      </w:r>
    </w:p>
    <w:p w:rsidR="00EC146D" w:rsidRPr="000F14AE" w:rsidRDefault="00EC146D" w:rsidP="000D61DC">
      <w:pPr>
        <w:pStyle w:val="Normaltindrag"/>
        <w:pBdr>
          <w:left w:val="single" w:sz="4" w:space="4" w:color="auto"/>
          <w:bottom w:val="single" w:sz="4" w:space="1" w:color="auto"/>
          <w:right w:val="single" w:sz="4" w:space="4" w:color="auto"/>
        </w:pBdr>
      </w:pPr>
      <w:r>
        <w:t>Senare under samma år redovisar Riksbanken för riksdagen vilka åtgärder banken vid</w:t>
      </w:r>
      <w:r w:rsidR="00FB0C77">
        <w:t>tagit med anledning av Riksrevi</w:t>
      </w:r>
      <w:r>
        <w:t>sionens iakttagelser. Även denna redovisning sker i enlighet med bestämmelserna i riksbankslagen.</w:t>
      </w:r>
    </w:p>
    <w:p w:rsidR="00EC146D" w:rsidRPr="00B75EAC" w:rsidRDefault="00EC146D" w:rsidP="00EC146D">
      <w:pPr>
        <w:pStyle w:val="R2"/>
      </w:pPr>
      <w:r>
        <w:t>Riksbanksfullmäktige</w:t>
      </w:r>
    </w:p>
    <w:p w:rsidR="00EC146D" w:rsidRDefault="00EC146D" w:rsidP="00EC146D">
      <w:r>
        <w:t>Riksbanksfullmäktige har elva ledamöter och lika många suppleanter. Led</w:t>
      </w:r>
      <w:r>
        <w:t>a</w:t>
      </w:r>
      <w:r>
        <w:t>möterna utses av riksdagen efter allmänna val för en mandatperiod på fyra år. Fullmäktige väljer inom sig ordförande och vice ordförande.</w:t>
      </w:r>
    </w:p>
    <w:p w:rsidR="00EC146D" w:rsidRDefault="00EC146D" w:rsidP="003A35A3">
      <w:pPr>
        <w:pStyle w:val="Normaltindrag"/>
        <w:suppressAutoHyphens/>
      </w:pPr>
      <w:r>
        <w:t xml:space="preserve">Den 31 december 2014 bestod fullmäktige av följande ledamöter: </w:t>
      </w:r>
      <w:r w:rsidR="003B7BCD" w:rsidRPr="007532B9">
        <w:t>Susanne</w:t>
      </w:r>
      <w:r w:rsidR="00BD455E">
        <w:t> </w:t>
      </w:r>
      <w:r w:rsidR="003B7BCD" w:rsidRPr="007532B9">
        <w:t>Eberstein</w:t>
      </w:r>
      <w:r w:rsidRPr="007532B9">
        <w:t xml:space="preserve"> (ordförande), </w:t>
      </w:r>
      <w:r w:rsidR="003B7BCD" w:rsidRPr="007532B9">
        <w:t>Michael Lundholm</w:t>
      </w:r>
      <w:r w:rsidRPr="007532B9">
        <w:t xml:space="preserve"> (vice ordförande), </w:t>
      </w:r>
      <w:r w:rsidR="003B7BCD" w:rsidRPr="007532B9">
        <w:t>Hans</w:t>
      </w:r>
      <w:r w:rsidR="00BD455E">
        <w:t> </w:t>
      </w:r>
      <w:r w:rsidR="003B7BCD" w:rsidRPr="007532B9">
        <w:t>Hoff, Peter Egardt, Caroline Helmersson Olsson, Martin Kinnunen, Hans Birger Ekström, Anders Karlsson, Roger Tiefensee, Agneta Börjesson samt Chris Hei</w:t>
      </w:r>
      <w:r w:rsidR="007532B9" w:rsidRPr="007532B9">
        <w:t>s</w:t>
      </w:r>
      <w:r w:rsidR="003B7BCD" w:rsidRPr="007532B9">
        <w:t>ter.</w:t>
      </w:r>
      <w:r w:rsidRPr="007532B9">
        <w:t xml:space="preserve"> Suppleanter var </w:t>
      </w:r>
      <w:r w:rsidR="003B7BCD" w:rsidRPr="007532B9">
        <w:t xml:space="preserve">Catharina Bråkenhielm, </w:t>
      </w:r>
      <w:r w:rsidR="003A35A3">
        <w:t>Elisabeth </w:t>
      </w:r>
      <w:r w:rsidR="003B7BCD" w:rsidRPr="007532B9">
        <w:t>Björnsdotter Rahm, Tommy Waidelich, Oskar</w:t>
      </w:r>
      <w:r w:rsidR="003568A7">
        <w:t xml:space="preserve"> Öholm, </w:t>
      </w:r>
      <w:r w:rsidR="006F5859">
        <w:t>Ann</w:t>
      </w:r>
      <w:r w:rsidR="006F5859">
        <w:noBreakHyphen/>
      </w:r>
      <w:r w:rsidR="003A35A3">
        <w:t>Kristine </w:t>
      </w:r>
      <w:r w:rsidR="003568A7">
        <w:t xml:space="preserve">Johansson, </w:t>
      </w:r>
      <w:r w:rsidR="001E27D3">
        <w:t>Olle</w:t>
      </w:r>
      <w:r w:rsidR="0073791B" w:rsidDel="005825F4">
        <w:t xml:space="preserve"> </w:t>
      </w:r>
      <w:r w:rsidR="003B7BCD" w:rsidRPr="007532B9">
        <w:t>Felten, Carl B Hamilton, ClasGöran Carlsson, Karin</w:t>
      </w:r>
      <w:r w:rsidR="003A35A3">
        <w:t> </w:t>
      </w:r>
      <w:r w:rsidR="003B7BCD" w:rsidRPr="007532B9">
        <w:t xml:space="preserve">Nilsson, </w:t>
      </w:r>
      <w:r w:rsidR="009343C4">
        <w:t>Es</w:t>
      </w:r>
      <w:r w:rsidR="009343C4">
        <w:t>a</w:t>
      </w:r>
      <w:r w:rsidR="009343C4">
        <w:t>belle Dingizian</w:t>
      </w:r>
      <w:r w:rsidR="003B7BCD" w:rsidRPr="007532B9">
        <w:t xml:space="preserve"> samt Stefan Attefall.</w:t>
      </w:r>
    </w:p>
    <w:p w:rsidR="00EC146D" w:rsidRDefault="00EC146D" w:rsidP="00EC146D">
      <w:pPr>
        <w:pStyle w:val="R3"/>
      </w:pPr>
      <w:r>
        <w:t>Riksbanksfullmäktiges uppgifter</w:t>
      </w:r>
    </w:p>
    <w:p w:rsidR="00EC146D" w:rsidRPr="00EB796B" w:rsidRDefault="00EC146D" w:rsidP="00684E46">
      <w:r w:rsidRPr="00EB796B">
        <w:t>Fullmäktige har till uppgift att följa och kontrollera hur Riksbanken bedriver sin verksamhet och hur direktionsledamöterna leder verksamheten. Fullmä</w:t>
      </w:r>
      <w:r w:rsidRPr="00EB796B">
        <w:t>k</w:t>
      </w:r>
      <w:r w:rsidRPr="00EB796B">
        <w:t>tige utövar sin kontroll bland annat genom att fullmäktiges ordförande och vice ordförande närvarar vid direktionens sammanträden. Ordföranden och vice ordföranden har också rätt att yttra sig under direktionens sammanträden</w:t>
      </w:r>
      <w:r w:rsidR="004A7F6D">
        <w:t>,</w:t>
      </w:r>
      <w:r w:rsidRPr="00EB796B">
        <w:t xml:space="preserve"> men de har inte förslags- </w:t>
      </w:r>
      <w:r w:rsidR="007E0707">
        <w:t>eller</w:t>
      </w:r>
      <w:r w:rsidRPr="00EB796B">
        <w:t xml:space="preserve"> rösträtt. Fullmäktige har även en revisionsfunk</w:t>
      </w:r>
      <w:r w:rsidRPr="00EB796B">
        <w:softHyphen/>
        <w:t xml:space="preserve">tion </w:t>
      </w:r>
      <w:r w:rsidRPr="008E408C">
        <w:t>vars arbete utförs av en extern revi</w:t>
      </w:r>
      <w:r w:rsidRPr="008E408C">
        <w:softHyphen/>
        <w:t>sionsbyrå under ledning av en auktor</w:t>
      </w:r>
      <w:r w:rsidRPr="008E408C">
        <w:t>i</w:t>
      </w:r>
      <w:r w:rsidRPr="008E408C">
        <w:t>serad revisor.</w:t>
      </w:r>
    </w:p>
    <w:p w:rsidR="00EC146D" w:rsidRPr="00EB796B" w:rsidRDefault="00EC146D" w:rsidP="006F3415">
      <w:pPr>
        <w:pStyle w:val="Normaltindrag"/>
        <w:suppressAutoHyphens/>
      </w:pPr>
      <w:r w:rsidRPr="00EB796B">
        <w:t>Fullmäktige utser ledamöterna i Riksbankens direktion och beslutar om deras löne- och anställningsvillkor. Fullmäktige fastställer också Riksbankens arbetsordning och beslutar om utformningen av sedlar och mynt.</w:t>
      </w:r>
    </w:p>
    <w:p w:rsidR="00EC146D" w:rsidRPr="00EB796B" w:rsidRDefault="00EC146D" w:rsidP="006F3415">
      <w:pPr>
        <w:pStyle w:val="Normaltindrag"/>
        <w:suppressAutoHyphens/>
      </w:pPr>
      <w:r w:rsidRPr="00EB796B">
        <w:t>Vidare lämnar fullmäktige förslag till riksdagen om hur Riksbankens resultat ska disponeras samt yttrar sig till riksdagen i frågan om direktions</w:t>
      </w:r>
      <w:r w:rsidR="006F3415">
        <w:softHyphen/>
      </w:r>
      <w:r w:rsidRPr="00EB796B">
        <w:t>ledam</w:t>
      </w:r>
      <w:r w:rsidRPr="00EB796B">
        <w:t>ö</w:t>
      </w:r>
      <w:r w:rsidRPr="00EB796B">
        <w:t xml:space="preserve">ternas ansvarsfrihet. </w:t>
      </w:r>
    </w:p>
    <w:p w:rsidR="00EC146D" w:rsidRPr="00EB796B" w:rsidRDefault="00EC146D" w:rsidP="00553CB0">
      <w:pPr>
        <w:pStyle w:val="Normaltindrag"/>
        <w:suppressAutoHyphens/>
      </w:pPr>
      <w:r w:rsidRPr="00EB796B">
        <w:t>Fullmäktige lämnar remissyttranden inom sitt verksamhetsområde</w:t>
      </w:r>
      <w:r w:rsidR="004A7F6D">
        <w:t>,</w:t>
      </w:r>
      <w:r w:rsidRPr="00EB796B">
        <w:t xml:space="preserve"> </w:t>
      </w:r>
      <w:r>
        <w:t>och d</w:t>
      </w:r>
      <w:r w:rsidRPr="00EB796B">
        <w:t>i</w:t>
      </w:r>
      <w:r w:rsidR="00433F47">
        <w:t>rek</w:t>
      </w:r>
      <w:r w:rsidRPr="00EB796B">
        <w:t>tionen samråder med fullmäktige om förslag till riksdagen och rege</w:t>
      </w:r>
      <w:r w:rsidR="00553CB0">
        <w:softHyphen/>
      </w:r>
      <w:r w:rsidRPr="00EB796B">
        <w:t>ringen som avser ändringar i författningar eller andra åtgärder från statens sida.</w:t>
      </w:r>
    </w:p>
    <w:p w:rsidR="00EC146D" w:rsidRDefault="00EC146D" w:rsidP="00EC146D">
      <w:pPr>
        <w:pStyle w:val="Normaltindrag"/>
      </w:pPr>
      <w:r w:rsidRPr="00EB796B">
        <w:t>Ordföranden och vice ordföranden lämnar en redovisning om fullmäktiges arbete inför riksdagens finansutskott. Detta sker vanligtvis två gånger om året.</w:t>
      </w:r>
    </w:p>
    <w:p w:rsidR="00EC146D" w:rsidRDefault="00EC146D" w:rsidP="00EC146D">
      <w:pPr>
        <w:pStyle w:val="Normaltindrag"/>
      </w:pPr>
      <w:r>
        <w:t xml:space="preserve">Under året sammanträdde fullmäktige vid </w:t>
      </w:r>
      <w:r w:rsidR="005E1507">
        <w:t xml:space="preserve">14 </w:t>
      </w:r>
      <w:r>
        <w:t>tillfällen. Vid sitt samma</w:t>
      </w:r>
      <w:r>
        <w:t>n</w:t>
      </w:r>
      <w:r>
        <w:t xml:space="preserve">träde </w:t>
      </w:r>
      <w:r w:rsidR="003169C7">
        <w:t xml:space="preserve">den </w:t>
      </w:r>
      <w:r w:rsidR="005E1507" w:rsidRPr="00046AA3">
        <w:t>19</w:t>
      </w:r>
      <w:r w:rsidR="005E1507">
        <w:t xml:space="preserve"> december</w:t>
      </w:r>
      <w:r>
        <w:t xml:space="preserve"> utsåg fullmäktige </w:t>
      </w:r>
      <w:r w:rsidR="005E1507">
        <w:t xml:space="preserve">Henry Ohlsson </w:t>
      </w:r>
      <w:r>
        <w:t>till ny direktions</w:t>
      </w:r>
      <w:r w:rsidR="00553CB0">
        <w:softHyphen/>
      </w:r>
      <w:r>
        <w:t>l</w:t>
      </w:r>
      <w:r>
        <w:t>e</w:t>
      </w:r>
      <w:r>
        <w:t xml:space="preserve">damot med en mandatperiod på </w:t>
      </w:r>
      <w:r w:rsidR="005E1507">
        <w:t xml:space="preserve">sex </w:t>
      </w:r>
      <w:r>
        <w:t xml:space="preserve">år från den </w:t>
      </w:r>
      <w:r w:rsidR="005E1507" w:rsidRPr="00046AA3">
        <w:t>12</w:t>
      </w:r>
      <w:r w:rsidR="005E1507">
        <w:t xml:space="preserve"> januari 2015</w:t>
      </w:r>
      <w:r>
        <w:t>.</w:t>
      </w:r>
    </w:p>
    <w:p w:rsidR="00EC146D" w:rsidRPr="00280CF5" w:rsidRDefault="00EC146D" w:rsidP="00137F68">
      <w:pPr>
        <w:pStyle w:val="Normaltindrag"/>
        <w:suppressAutoHyphens/>
      </w:pPr>
      <w:r>
        <w:t>En redogörelse för fullmäktiges verksamhet presenteras i fullmäktiges framställning till riksdagen 2014/15:RB2 Förslag till disposition av Riksbankens vinst för räkenskapsåret 2014 samt riksbanksfullmäktiges verksamhet</w:t>
      </w:r>
      <w:r>
        <w:t>s</w:t>
      </w:r>
      <w:r>
        <w:t xml:space="preserve">berättelse </w:t>
      </w:r>
      <w:r w:rsidR="007E0707">
        <w:t xml:space="preserve">för </w:t>
      </w:r>
      <w:r>
        <w:t xml:space="preserve">2014. </w:t>
      </w:r>
    </w:p>
    <w:p w:rsidR="00E047A3" w:rsidRPr="00FD183E" w:rsidRDefault="00E047A3" w:rsidP="002D7F10">
      <w:pPr>
        <w:pStyle w:val="R2"/>
        <w:rPr>
          <w:sz w:val="32"/>
          <w:szCs w:val="32"/>
        </w:rPr>
      </w:pPr>
      <w:r w:rsidRPr="00FD183E">
        <w:rPr>
          <w:sz w:val="32"/>
          <w:szCs w:val="32"/>
        </w:rPr>
        <w:t>Verksamhetsstyrning</w:t>
      </w:r>
    </w:p>
    <w:p w:rsidR="00B60B56" w:rsidRDefault="00B60B56" w:rsidP="0093641D">
      <w:r>
        <w:t>Riksbankens mål, uppdrag och organisation läggs fast i riksbankslagen och i Riksbankens arbetsordning respektive instruktion. Riksbankens arbete styrs vidare av en</w:t>
      </w:r>
      <w:r w:rsidR="005833EA">
        <w:t xml:space="preserve"> vision på lång sikt, en</w:t>
      </w:r>
      <w:r>
        <w:t xml:space="preserve"> strategisk plan, en årlig verksamhetsplan och interna regelverk i form av policyer, regler och rutinbeskrivningar. </w:t>
      </w:r>
    </w:p>
    <w:p w:rsidR="007D43E7" w:rsidRDefault="005B422E" w:rsidP="00137F68">
      <w:pPr>
        <w:pStyle w:val="Normaltindrag"/>
        <w:suppressAutoHyphens/>
      </w:pPr>
      <w:r>
        <w:t>Riksbankens vision är att vara bland de bästa när det gäller kvalitet och effektivitet och därigenom behålla ett högt förtroende. Det innebär att uppgifterna ska fullgöras med hög kvalitet till rimliga kostnader. På så vis bidrar Riksbanken till en stabil ekonomisk utveckling för företag och hushåll i Sv</w:t>
      </w:r>
      <w:r>
        <w:t>e</w:t>
      </w:r>
      <w:r>
        <w:t xml:space="preserve">rige. </w:t>
      </w:r>
    </w:p>
    <w:p w:rsidR="005B422E" w:rsidRDefault="005B422E" w:rsidP="0093641D">
      <w:pPr>
        <w:pStyle w:val="Normaltindrag"/>
      </w:pPr>
      <w:r>
        <w:t>Visionens ambitionsnivå innebär att Riksbanken ska vara bland de bästa i jämförelse med såväl andra centralbanker som andra jämförbara myndigheter, akademiska institutioner och privata företag. Visionen konkretiseras i ver</w:t>
      </w:r>
      <w:r>
        <w:t>k</w:t>
      </w:r>
      <w:r>
        <w:t>samhetsmål och resultatindikatorer för Riksbankens olika områden.</w:t>
      </w:r>
    </w:p>
    <w:p w:rsidR="003C3CD1" w:rsidRPr="007D43E7" w:rsidRDefault="003C3CD1" w:rsidP="007D43E7">
      <w:pPr>
        <w:pStyle w:val="R3"/>
      </w:pPr>
      <w:r w:rsidRPr="007D43E7">
        <w:t>Verksamheten utvecklas utifrån en strategisk plan</w:t>
      </w:r>
    </w:p>
    <w:p w:rsidR="00087E83" w:rsidRDefault="001C1337" w:rsidP="005F7598">
      <w:r>
        <w:t>Riksbankens verksamhetsplanering utgår från en strategisk plan som beskr</w:t>
      </w:r>
      <w:r>
        <w:t>i</w:t>
      </w:r>
      <w:r>
        <w:t xml:space="preserve">ver </w:t>
      </w:r>
      <w:r w:rsidR="009D5F29">
        <w:t xml:space="preserve">uppdraget, visionen och vilken </w:t>
      </w:r>
      <w:r>
        <w:t xml:space="preserve">inriktning som ska gälla för kommande verksamhetsplaner. Den strategiska plan som varit vägledande </w:t>
      </w:r>
      <w:r w:rsidR="00074E8E">
        <w:t xml:space="preserve">till och med </w:t>
      </w:r>
      <w:r>
        <w:t>2014 beslutades hösten 2011</w:t>
      </w:r>
      <w:r w:rsidR="005F7475">
        <w:t>. Den</w:t>
      </w:r>
      <w:r w:rsidR="008D5D76">
        <w:t xml:space="preserve"> beskrev behovet av en ny </w:t>
      </w:r>
      <w:r w:rsidR="005F7475">
        <w:t>inriktning</w:t>
      </w:r>
      <w:r w:rsidR="008D5D76">
        <w:t xml:space="preserve"> efter </w:t>
      </w:r>
      <w:r w:rsidR="007E7BEB">
        <w:t xml:space="preserve">ett antal år då Riksbanken utvärderat och </w:t>
      </w:r>
      <w:r w:rsidR="00940209">
        <w:t xml:space="preserve">konsoliderat </w:t>
      </w:r>
      <w:r w:rsidR="007E7BEB">
        <w:t>verksa</w:t>
      </w:r>
      <w:r w:rsidR="007E7BEB">
        <w:t>m</w:t>
      </w:r>
      <w:r w:rsidR="007E7BEB">
        <w:t>heten för att kunna fokusera på uppbyggnaden av huvuduppgifterna pennin</w:t>
      </w:r>
      <w:r w:rsidR="007E7BEB">
        <w:t>g</w:t>
      </w:r>
      <w:r w:rsidR="007E7BEB">
        <w:t>politik och finansiell stabilitet</w:t>
      </w:r>
      <w:r w:rsidR="005F7475">
        <w:t>. Den nya i</w:t>
      </w:r>
      <w:r>
        <w:t xml:space="preserve">nriktningen </w:t>
      </w:r>
      <w:r w:rsidR="007E7BEB">
        <w:t>tog avstamp i erfare</w:t>
      </w:r>
      <w:r w:rsidR="007E7BEB">
        <w:t>n</w:t>
      </w:r>
      <w:r w:rsidR="007E7BEB">
        <w:t xml:space="preserve">heterna från den finansiella krisen och innebar bland annat en </w:t>
      </w:r>
      <w:r>
        <w:t>öka</w:t>
      </w:r>
      <w:r w:rsidR="007E7BEB">
        <w:t>d</w:t>
      </w:r>
      <w:r>
        <w:t xml:space="preserve"> integra</w:t>
      </w:r>
      <w:r>
        <w:t>t</w:t>
      </w:r>
      <w:r>
        <w:t>ion mellan bankens huvuduppgifter</w:t>
      </w:r>
      <w:r w:rsidR="005F7475">
        <w:t>.</w:t>
      </w:r>
    </w:p>
    <w:p w:rsidR="00E047A3" w:rsidRDefault="001C1337" w:rsidP="00137F68">
      <w:pPr>
        <w:pStyle w:val="Normaltindrag"/>
        <w:suppressAutoHyphens/>
      </w:pPr>
      <w:r>
        <w:t xml:space="preserve">Hösten 2014 fastställdes en ny strategisk plan </w:t>
      </w:r>
      <w:r w:rsidR="008D43D3">
        <w:t xml:space="preserve">med temat En 350-åring i täten, där verksamheterna </w:t>
      </w:r>
      <w:r>
        <w:t>tar sikte på Riksbankens jubi</w:t>
      </w:r>
      <w:r w:rsidR="0013571D">
        <w:t>leumsår 2018</w:t>
      </w:r>
      <w:r>
        <w:t>. Planen innehåller tre strategiska mål: att Riksbanken ska ha en verksamhet i takt med tiden och omvärlden inom alla sina områden, ett eng</w:t>
      </w:r>
      <w:r>
        <w:t>a</w:t>
      </w:r>
      <w:r>
        <w:t xml:space="preserve">gerande arbetsklimat som bidrar till bra prioriteringar och ett effektivt </w:t>
      </w:r>
      <w:r w:rsidR="00A80074">
        <w:t xml:space="preserve">arbete </w:t>
      </w:r>
      <w:r>
        <w:t xml:space="preserve">samt </w:t>
      </w:r>
      <w:r w:rsidR="00A80074">
        <w:t>ett</w:t>
      </w:r>
      <w:r>
        <w:t xml:space="preserve"> resultat av hög kvalitet för att förtjäna ett högt förtroende. De strat</w:t>
      </w:r>
      <w:r>
        <w:t>e</w:t>
      </w:r>
      <w:r>
        <w:t xml:space="preserve">giska målen ska </w:t>
      </w:r>
      <w:r w:rsidR="00080480">
        <w:t>uppnås</w:t>
      </w:r>
      <w:r>
        <w:t xml:space="preserve"> med hjälp av tio strategiska prioriteringar som de närmaste åren ska konkretiseras </w:t>
      </w:r>
      <w:r w:rsidR="00080480">
        <w:t>med</w:t>
      </w:r>
      <w:r>
        <w:t xml:space="preserve"> handlingsplaner i </w:t>
      </w:r>
      <w:r w:rsidR="00080480">
        <w:t>de årliga verksa</w:t>
      </w:r>
      <w:r w:rsidR="00080480">
        <w:t>m</w:t>
      </w:r>
      <w:r w:rsidR="00080480">
        <w:t>hetsplanerna.</w:t>
      </w:r>
    </w:p>
    <w:p w:rsidR="00E047A3" w:rsidRPr="00BD035D" w:rsidRDefault="00E047A3" w:rsidP="00836A95">
      <w:pPr>
        <w:pStyle w:val="R3"/>
        <w:rPr>
          <w:b w:val="0"/>
          <w:szCs w:val="21"/>
        </w:rPr>
      </w:pPr>
      <w:r w:rsidRPr="00BD035D">
        <w:t>Intern styrning och kontroll</w:t>
      </w:r>
    </w:p>
    <w:p w:rsidR="00DE6C6E" w:rsidRPr="00C02CAF" w:rsidRDefault="00DE6C6E" w:rsidP="00836A95">
      <w:r w:rsidRPr="00C02CAF">
        <w:t>I enlighet med bestämmelserna i riksbank</w:t>
      </w:r>
      <w:r>
        <w:t>slagen lämnar Riksbankens direk</w:t>
      </w:r>
      <w:r w:rsidR="00433F47">
        <w:softHyphen/>
      </w:r>
      <w:r w:rsidRPr="00C02CAF">
        <w:t xml:space="preserve">tion </w:t>
      </w:r>
      <w:r w:rsidR="00143BC0">
        <w:t xml:space="preserve">från och med räkenskapsåret 2011 </w:t>
      </w:r>
      <w:r w:rsidRPr="00C02CAF">
        <w:t xml:space="preserve">i årsredovisningen en bedömning av om </w:t>
      </w:r>
      <w:r w:rsidR="00CE6FD0">
        <w:t>bankens</w:t>
      </w:r>
      <w:r w:rsidR="00CE6FD0" w:rsidRPr="00C02CAF">
        <w:t xml:space="preserve"> </w:t>
      </w:r>
      <w:r w:rsidRPr="00C02CAF">
        <w:t xml:space="preserve">interna styrning och kontroll är betryggande. </w:t>
      </w:r>
    </w:p>
    <w:p w:rsidR="00BD035D" w:rsidRDefault="00DE6C6E" w:rsidP="00BD035D">
      <w:pPr>
        <w:pStyle w:val="Normaltindrag"/>
      </w:pPr>
      <w:r w:rsidRPr="00C02CAF">
        <w:t>Direktionen är ytterst ansvarig för intern styrning och kontroll och fast</w:t>
      </w:r>
      <w:r w:rsidR="00A51E65">
        <w:softHyphen/>
      </w:r>
      <w:r w:rsidRPr="00C02CAF">
        <w:t>stä</w:t>
      </w:r>
      <w:r w:rsidRPr="00C02CAF">
        <w:t>l</w:t>
      </w:r>
      <w:r w:rsidRPr="00C02CAF">
        <w:t xml:space="preserve">ler de övergripande policyer och regler som styr verksamheten. Ansvaret för den dagliga styrningen och kontrollen av verksamheten, dess effektivitet, resultat och riskhantering ligger däremot hos avdelningscheferna som i sin tur rapporterar till direktionen. Samtidigt är det alla medarbetares ansvar att påtala risker och rapportera incidenter i verksamheten. </w:t>
      </w:r>
    </w:p>
    <w:p w:rsidR="00BD035D" w:rsidRDefault="00DE6C6E" w:rsidP="00BD035D">
      <w:pPr>
        <w:pStyle w:val="Normaltindrag"/>
      </w:pPr>
      <w:r w:rsidRPr="00C02CAF">
        <w:t>Riskenheten inom stabsavdelningen stöder Riksbankens verksamheter med ramverk, metoder och rådgivning inom alla riskområden. Riskenheten rappo</w:t>
      </w:r>
      <w:r w:rsidRPr="00C02CAF">
        <w:t>r</w:t>
      </w:r>
      <w:r w:rsidRPr="00C02CAF">
        <w:t>terar också tre gånger per år sin oberoende bedömning av Riksbankens fina</w:t>
      </w:r>
      <w:r w:rsidRPr="00C02CAF">
        <w:t>n</w:t>
      </w:r>
      <w:r w:rsidRPr="00C02CAF">
        <w:t xml:space="preserve">siella och operativa risker till direktionen. </w:t>
      </w:r>
      <w:r>
        <w:t xml:space="preserve">Riskenheten följer även upp den </w:t>
      </w:r>
      <w:r w:rsidRPr="009C247D">
        <w:t>interna styrningen och kon</w:t>
      </w:r>
      <w:r>
        <w:t>trollen i verksamhe</w:t>
      </w:r>
      <w:r w:rsidRPr="009C247D">
        <w:t xml:space="preserve">ten utifrån faktorerna </w:t>
      </w:r>
      <w:r>
        <w:t xml:space="preserve">styr- och </w:t>
      </w:r>
      <w:r w:rsidRPr="009C247D">
        <w:t>kontrollmiljö, risk</w:t>
      </w:r>
      <w:r>
        <w:t>analys</w:t>
      </w:r>
      <w:r w:rsidRPr="009C247D">
        <w:t>, kontroll</w:t>
      </w:r>
      <w:r>
        <w:t>mekanismer, infor</w:t>
      </w:r>
      <w:r w:rsidRPr="009C247D">
        <w:t>mation och kommunika</w:t>
      </w:r>
      <w:r w:rsidR="00433F47">
        <w:softHyphen/>
      </w:r>
      <w:r w:rsidRPr="009C247D">
        <w:t xml:space="preserve">tion samt uppföljning och </w:t>
      </w:r>
      <w:r>
        <w:t xml:space="preserve">rapportering. </w:t>
      </w:r>
    </w:p>
    <w:p w:rsidR="00DE6C6E" w:rsidRDefault="00DE6C6E" w:rsidP="00BD035D">
      <w:pPr>
        <w:pStyle w:val="Normaltindrag"/>
      </w:pPr>
      <w:r w:rsidRPr="00C02CAF">
        <w:t xml:space="preserve">På uppdrag av direktionen gör </w:t>
      </w:r>
      <w:r>
        <w:t xml:space="preserve">även </w:t>
      </w:r>
      <w:r w:rsidRPr="00C02CAF">
        <w:t>internrevisionsavdelningen en ober</w:t>
      </w:r>
      <w:r w:rsidRPr="00C02CAF">
        <w:t>o</w:t>
      </w:r>
      <w:r w:rsidRPr="00C02CAF">
        <w:t>ende utvärdering av den operativa verksamhetens interna styrning och ko</w:t>
      </w:r>
      <w:r w:rsidRPr="00C02CAF">
        <w:t>n</w:t>
      </w:r>
      <w:r w:rsidRPr="00C02CAF">
        <w:t>troll, inklusive verksamhetens risker.</w:t>
      </w:r>
    </w:p>
    <w:p w:rsidR="00E047A3" w:rsidRPr="00BD035D" w:rsidRDefault="00E047A3" w:rsidP="00140267">
      <w:pPr>
        <w:pStyle w:val="R4"/>
        <w:pBdr>
          <w:top w:val="single" w:sz="4" w:space="1" w:color="auto"/>
          <w:left w:val="single" w:sz="4" w:space="4" w:color="auto"/>
          <w:right w:val="single" w:sz="4" w:space="4" w:color="auto"/>
        </w:pBdr>
        <w:rPr>
          <w:i w:val="0"/>
          <w:szCs w:val="21"/>
        </w:rPr>
      </w:pPr>
      <w:r w:rsidRPr="00BD035D">
        <w:t xml:space="preserve">Risker i Riksbankens verksamhet </w:t>
      </w:r>
    </w:p>
    <w:p w:rsidR="00183E74" w:rsidRDefault="00183E74" w:rsidP="00140267">
      <w:pPr>
        <w:pBdr>
          <w:top w:val="single" w:sz="4" w:space="1" w:color="auto"/>
          <w:left w:val="single" w:sz="4" w:space="4" w:color="auto"/>
          <w:right w:val="single" w:sz="4" w:space="4" w:color="auto"/>
        </w:pBdr>
      </w:pPr>
      <w:r>
        <w:t>I Riksbankens verksamhet finns både finansiella och operativa risker. De finansiella riskerna uppstår framför allt i förvaltningen av guld- och valuta</w:t>
      </w:r>
      <w:r w:rsidR="00A51E65">
        <w:softHyphen/>
      </w:r>
      <w:r>
        <w:t>r</w:t>
      </w:r>
      <w:r>
        <w:t>e</w:t>
      </w:r>
      <w:r>
        <w:t xml:space="preserve">serven och beskrivs närmare </w:t>
      </w:r>
      <w:r w:rsidR="000622A3">
        <w:t xml:space="preserve">i </w:t>
      </w:r>
      <w:r w:rsidR="00C27186">
        <w:t xml:space="preserve">rutan Riksbankens finansiella regelverk och hantering av olika risker </w:t>
      </w:r>
      <w:r>
        <w:t xml:space="preserve">i avsnittet Tillgångsförvaltning. </w:t>
      </w:r>
    </w:p>
    <w:p w:rsidR="00183E74" w:rsidRDefault="00183E74" w:rsidP="00140267">
      <w:pPr>
        <w:pStyle w:val="Normaltindrag"/>
        <w:pBdr>
          <w:top w:val="single" w:sz="4" w:space="1" w:color="auto"/>
          <w:left w:val="single" w:sz="4" w:space="4" w:color="auto"/>
          <w:right w:val="single" w:sz="4" w:space="4" w:color="auto"/>
        </w:pBdr>
      </w:pPr>
      <w:r>
        <w:t>Operativa risker kan skada Riksbankens verksamhet, tillgångar eller ans</w:t>
      </w:r>
      <w:r>
        <w:t>e</w:t>
      </w:r>
      <w:r>
        <w:t xml:space="preserve">ende och uppstår till följd av mänskliga fel eller misstag, brister i bemanning, interna processer eller </w:t>
      </w:r>
      <w:r w:rsidR="00BD035D">
        <w:t>it</w:t>
      </w:r>
      <w:r>
        <w:t>-system, eller påverkas av externa händelser. Den här typen av risker finns i hela verksamheten, i såväl det dagliga arbetet som vid förändringar. Vissa risker är av mer strategisk natur och beaktas i verksa</w:t>
      </w:r>
      <w:r>
        <w:t>m</w:t>
      </w:r>
      <w:r>
        <w:t>hetsstyrningen för att undvika negativa konsekvenser på längre sikt.</w:t>
      </w:r>
    </w:p>
    <w:p w:rsidR="00BB2798" w:rsidRDefault="00183E74" w:rsidP="00140267">
      <w:pPr>
        <w:pStyle w:val="Normaltindrag"/>
        <w:pBdr>
          <w:left w:val="single" w:sz="4" w:space="4" w:color="auto"/>
          <w:bottom w:val="single" w:sz="4" w:space="1" w:color="auto"/>
          <w:right w:val="single" w:sz="4" w:space="4" w:color="auto"/>
        </w:pBdr>
      </w:pPr>
      <w:r>
        <w:t>För att lyckas i sitt uppdrag är det viktigt att Riksbanken snabbt kan ident</w:t>
      </w:r>
      <w:r>
        <w:t>i</w:t>
      </w:r>
      <w:r>
        <w:t>fiera och hantera såväl interna störningar som händelser i omvärlden. Det gäller allt från att hantera en förändrad hotbild mot exempelvis kontantver</w:t>
      </w:r>
      <w:r>
        <w:t>k</w:t>
      </w:r>
      <w:r>
        <w:t xml:space="preserve">samheten eller </w:t>
      </w:r>
      <w:r w:rsidR="00BD035D">
        <w:t>it</w:t>
      </w:r>
      <w:r>
        <w:t>-stödet till att anpassa processer och system till nya förutsät</w:t>
      </w:r>
      <w:r>
        <w:t>t</w:t>
      </w:r>
      <w:r>
        <w:t>ningar.</w:t>
      </w:r>
    </w:p>
    <w:p w:rsidR="0034003B" w:rsidRDefault="00BB2798" w:rsidP="00A51E65">
      <w:pPr>
        <w:pStyle w:val="Normaltindrag"/>
        <w:pBdr>
          <w:left w:val="single" w:sz="4" w:space="4" w:color="auto"/>
          <w:bottom w:val="single" w:sz="4" w:space="1" w:color="auto"/>
          <w:right w:val="single" w:sz="4" w:space="4" w:color="auto"/>
        </w:pBdr>
        <w:suppressAutoHyphens/>
      </w:pPr>
      <w:r>
        <w:t>Riksbanken arbetar systematiskt med riskhantering utifrån en etablerad, bankgemensam process för operativa risker. Processen vidareutvecklas löpande, och riskhantering och verksamhetsplanering är integrerade genom samordnade processer för uppföljning och dokumentation.</w:t>
      </w:r>
      <w:r w:rsidR="00183E74">
        <w:t xml:space="preserve"> </w:t>
      </w:r>
    </w:p>
    <w:p w:rsidR="0034003B" w:rsidRDefault="00183E74" w:rsidP="00A51E65">
      <w:pPr>
        <w:pStyle w:val="Normaltindrag"/>
        <w:pBdr>
          <w:left w:val="single" w:sz="4" w:space="4" w:color="auto"/>
          <w:bottom w:val="single" w:sz="4" w:space="1" w:color="auto"/>
          <w:right w:val="single" w:sz="4" w:space="4" w:color="auto"/>
        </w:pBdr>
        <w:suppressAutoHyphens/>
      </w:pPr>
      <w:r>
        <w:t>De risker som</w:t>
      </w:r>
      <w:r w:rsidR="009910F6">
        <w:t xml:space="preserve"> historiskt</w:t>
      </w:r>
      <w:r>
        <w:t xml:space="preserve"> har identifierats i Riksbankens verksamhet rör främst hanteringen av konfidentiell information, </w:t>
      </w:r>
      <w:r w:rsidR="00BD035D">
        <w:t>it</w:t>
      </w:r>
      <w:r>
        <w:t>-</w:t>
      </w:r>
      <w:r w:rsidR="005C4F09">
        <w:t>infrastruktur</w:t>
      </w:r>
      <w:r>
        <w:t xml:space="preserve">, interna processer och beroendet av externa parter. Dessa risker kan framför allt påverka effektiviteten och förmågan att nå verksamhetsmålen. </w:t>
      </w:r>
    </w:p>
    <w:p w:rsidR="00E047A3" w:rsidRDefault="00183E74" w:rsidP="00140267">
      <w:pPr>
        <w:pStyle w:val="Normaltindrag"/>
        <w:pBdr>
          <w:left w:val="single" w:sz="4" w:space="4" w:color="auto"/>
          <w:bottom w:val="single" w:sz="4" w:space="1" w:color="auto"/>
          <w:right w:val="single" w:sz="4" w:space="4" w:color="auto"/>
        </w:pBdr>
      </w:pPr>
      <w:r w:rsidRPr="005250A5">
        <w:t xml:space="preserve">Under 2014 påverkades risknivån </w:t>
      </w:r>
      <w:r w:rsidR="00C70CAB">
        <w:t>inom kontanthanteringen till följd av ett antal större projekt</w:t>
      </w:r>
      <w:r w:rsidR="00003717" w:rsidRPr="005250A5">
        <w:t>.</w:t>
      </w:r>
      <w:r w:rsidRPr="005250A5">
        <w:t xml:space="preserve"> Verksamhetens </w:t>
      </w:r>
      <w:r w:rsidR="00C70CAB">
        <w:t xml:space="preserve">årliga riskanalyser och </w:t>
      </w:r>
      <w:r w:rsidRPr="005250A5">
        <w:t>incidentrapport</w:t>
      </w:r>
      <w:r w:rsidRPr="005250A5">
        <w:t>e</w:t>
      </w:r>
      <w:r w:rsidRPr="005250A5">
        <w:t>r</w:t>
      </w:r>
      <w:r w:rsidR="00C70CAB">
        <w:t>ing</w:t>
      </w:r>
      <w:r w:rsidRPr="005250A5">
        <w:t xml:space="preserve"> </w:t>
      </w:r>
      <w:r w:rsidR="00C70CAB" w:rsidRPr="005250A5">
        <w:t>visa</w:t>
      </w:r>
      <w:r w:rsidR="00C70CAB">
        <w:t>r</w:t>
      </w:r>
      <w:r w:rsidR="00A947C6" w:rsidRPr="005250A5">
        <w:t xml:space="preserve"> inte på </w:t>
      </w:r>
      <w:r w:rsidR="00C70CAB">
        <w:t>att</w:t>
      </w:r>
      <w:r w:rsidR="00A947C6" w:rsidRPr="005250A5">
        <w:t xml:space="preserve"> risknivån </w:t>
      </w:r>
      <w:r w:rsidR="00C70CAB">
        <w:t>för banken som helhet har påverkats nämnvärt under 2014</w:t>
      </w:r>
      <w:r w:rsidR="00A947C6" w:rsidRPr="005250A5">
        <w:t>.</w:t>
      </w:r>
      <w:r w:rsidRPr="005250A5">
        <w:t xml:space="preserve"> Samtliga incidenter hant</w:t>
      </w:r>
      <w:r w:rsidRPr="005250A5">
        <w:t>e</w:t>
      </w:r>
      <w:r w:rsidRPr="005250A5">
        <w:t>rades med stöd av Riksbankens rutiner.</w:t>
      </w:r>
    </w:p>
    <w:p w:rsidR="00E047A3" w:rsidRPr="00182254" w:rsidRDefault="00F07B42" w:rsidP="001F38DA">
      <w:pPr>
        <w:pStyle w:val="R3"/>
      </w:pPr>
      <w:r>
        <w:t>Riksbanken använder indikatorer för att mäta</w:t>
      </w:r>
      <w:r w:rsidR="001A6645">
        <w:t xml:space="preserve"> resultat</w:t>
      </w:r>
      <w:r>
        <w:t>et</w:t>
      </w:r>
      <w:r w:rsidR="001A6645">
        <w:t xml:space="preserve"> </w:t>
      </w:r>
    </w:p>
    <w:p w:rsidR="00080480" w:rsidRDefault="00080480" w:rsidP="00A51E65">
      <w:pPr>
        <w:suppressAutoHyphens/>
      </w:pPr>
      <w:r>
        <w:t>Under 2014 var Riksbankens verksamhet indelad i sju målområden: penningpolitik, finansiell stabilitet, betalningssystemet RIX, kontantför</w:t>
      </w:r>
      <w:r w:rsidR="00CC5AC3">
        <w:softHyphen/>
      </w:r>
      <w:r>
        <w:t>sörjning, kapitalförvaltning, statistik och ett bankgemensamt område. Det bankgeme</w:t>
      </w:r>
      <w:r>
        <w:t>n</w:t>
      </w:r>
      <w:r>
        <w:t xml:space="preserve">samma området var </w:t>
      </w:r>
      <w:r w:rsidR="0090296F">
        <w:t>i sin tur</w:t>
      </w:r>
      <w:r>
        <w:t xml:space="preserve"> uppdelat i sju delar: kommunikation, medarb</w:t>
      </w:r>
      <w:r>
        <w:t>e</w:t>
      </w:r>
      <w:r>
        <w:t xml:space="preserve">tare, ledning och styrning, </w:t>
      </w:r>
      <w:r w:rsidR="000B15D2">
        <w:t>it</w:t>
      </w:r>
      <w:r>
        <w:t>, administrativt stöd och service, miljö samt r</w:t>
      </w:r>
      <w:r>
        <w:t>e</w:t>
      </w:r>
      <w:r>
        <w:t>surser.</w:t>
      </w:r>
    </w:p>
    <w:p w:rsidR="00080480" w:rsidRDefault="009D5F29" w:rsidP="00456A29">
      <w:pPr>
        <w:pStyle w:val="Normaltindrag"/>
        <w:suppressAutoHyphens/>
      </w:pPr>
      <w:r>
        <w:t>För</w:t>
      </w:r>
      <w:r w:rsidR="00080480">
        <w:t xml:space="preserve"> varje område </w:t>
      </w:r>
      <w:r w:rsidR="00F76D01">
        <w:t>fastställs</w:t>
      </w:r>
      <w:r w:rsidR="00080480">
        <w:t xml:space="preserve"> ett antal mål </w:t>
      </w:r>
      <w:r w:rsidR="00F76D01">
        <w:t>som ska konkretisera vad vis</w:t>
      </w:r>
      <w:r w:rsidR="001A6645">
        <w:t>ionens ambitionsnivå bland de bästa</w:t>
      </w:r>
      <w:r w:rsidR="00F76D01">
        <w:t xml:space="preserve"> innebär för området. Till varje mål kopplas i sin tur en eller flera resultatindikatorer som ska </w:t>
      </w:r>
      <w:r w:rsidR="00080480">
        <w:t>ge en bild av hur väl Riksbanken uppfyller denna ambitionsnivå. Ett exempel är Riksbankens prognos</w:t>
      </w:r>
      <w:r w:rsidR="00A51E65">
        <w:softHyphen/>
      </w:r>
      <w:r w:rsidR="00080480">
        <w:t>förmåga, där en indikator är en årlig jämförelse med nio andra prognos</w:t>
      </w:r>
      <w:r w:rsidR="00A51E65">
        <w:softHyphen/>
      </w:r>
      <w:r w:rsidR="00080480">
        <w:t>makare. Bland de bästa har för denna indikator översatts till en placering bland de tre bästa i rank</w:t>
      </w:r>
      <w:r w:rsidR="00C63F8D">
        <w:t>n</w:t>
      </w:r>
      <w:r w:rsidR="00080480">
        <w:t xml:space="preserve">ingen. </w:t>
      </w:r>
    </w:p>
    <w:p w:rsidR="00080480" w:rsidRDefault="00080480" w:rsidP="00836A95">
      <w:pPr>
        <w:pStyle w:val="Normaltindrag"/>
      </w:pPr>
      <w:r>
        <w:t>Under året fick direktionen två uppföljningsrapporter som sammanfattade status</w:t>
      </w:r>
      <w:r w:rsidR="0090296F">
        <w:t>en</w:t>
      </w:r>
      <w:r>
        <w:t xml:space="preserve"> för indikatorerna, handlingsplanerna, budgeten och de operativa riskerna. Totalt kopplades </w:t>
      </w:r>
      <w:r w:rsidR="00141C8C">
        <w:t xml:space="preserve">93 </w:t>
      </w:r>
      <w:r>
        <w:t>indikatorer till målen i 2014 års verksamhet</w:t>
      </w:r>
      <w:r>
        <w:t>s</w:t>
      </w:r>
      <w:r>
        <w:t xml:space="preserve">plan. Av de </w:t>
      </w:r>
      <w:r w:rsidR="00141C8C">
        <w:t>8</w:t>
      </w:r>
      <w:r w:rsidR="00537151">
        <w:t>5</w:t>
      </w:r>
      <w:r w:rsidR="00141C8C">
        <w:t xml:space="preserve"> </w:t>
      </w:r>
      <w:r>
        <w:t xml:space="preserve">indikatorer som kunde utvärderas visade cirka </w:t>
      </w:r>
      <w:r w:rsidR="00141C8C">
        <w:t xml:space="preserve">80 </w:t>
      </w:r>
      <w:r>
        <w:t>procent på ett godkänt resultat vid uppföljningarna. Resultatet inom Riksba</w:t>
      </w:r>
      <w:r>
        <w:t>n</w:t>
      </w:r>
      <w:r>
        <w:t>kens olika verksamhetsområden presenteras under respektive avsnitt i årsr</w:t>
      </w:r>
      <w:r>
        <w:t>e</w:t>
      </w:r>
      <w:r>
        <w:t>dovisningen.</w:t>
      </w:r>
    </w:p>
    <w:p w:rsidR="00E047A3" w:rsidRPr="002E60CC" w:rsidRDefault="00E047A3" w:rsidP="002677B0">
      <w:pPr>
        <w:pStyle w:val="R4"/>
        <w:outlineLvl w:val="0"/>
      </w:pPr>
      <w:r w:rsidRPr="00B520B5">
        <w:t xml:space="preserve">Förtroendet </w:t>
      </w:r>
      <w:r w:rsidR="0088115D">
        <w:t>hos</w:t>
      </w:r>
      <w:r w:rsidR="0088115D" w:rsidRPr="00B520B5">
        <w:t xml:space="preserve"> </w:t>
      </w:r>
      <w:r w:rsidRPr="00B520B5">
        <w:t>Riksbankens målgrupper</w:t>
      </w:r>
    </w:p>
    <w:p w:rsidR="00E047A3" w:rsidRDefault="000326B2" w:rsidP="00A51E65">
      <w:pPr>
        <w:suppressAutoHyphens/>
      </w:pPr>
      <w:r>
        <w:t>Riksbankens vision är att vara bland de bästa och därigenom behålla ett högt förtroende. För att mäta hur olika målgruppers och allmänhetens förtroende för Riksbanken utvecklas använder Riksbanken regelbundet externa under</w:t>
      </w:r>
      <w:r w:rsidR="00A51E65">
        <w:softHyphen/>
      </w:r>
      <w:r>
        <w:t xml:space="preserve">sökningar. Mätningar som redovisades under 2014 visade på ett fortsatt högt förtroende </w:t>
      </w:r>
      <w:r w:rsidR="0088115D">
        <w:t xml:space="preserve">hos </w:t>
      </w:r>
      <w:r>
        <w:t>allmänheten och Riksbankens målgru</w:t>
      </w:r>
      <w:r w:rsidR="002677B0">
        <w:t>pper. Riksbanken återfanns åter</w:t>
      </w:r>
      <w:r>
        <w:t xml:space="preserve">igen bland de fem svenska samhällsinstitutioner </w:t>
      </w:r>
      <w:r w:rsidR="0088115D">
        <w:t xml:space="preserve">som har </w:t>
      </w:r>
      <w:r>
        <w:t>högst förtroende i Sverige, både i SOM-institutets</w:t>
      </w:r>
      <w:r w:rsidR="00F72F3B">
        <w:t xml:space="preserve"> rapport Förtroendet för Riksbanken</w:t>
      </w:r>
      <w:r>
        <w:t xml:space="preserve"> och i Medieakademins </w:t>
      </w:r>
      <w:r w:rsidR="001748FF">
        <w:t xml:space="preserve">Förtroendebarometer som mäter </w:t>
      </w:r>
      <w:r w:rsidR="00F72F3B" w:rsidRPr="00F72F3B">
        <w:t>och jämför</w:t>
      </w:r>
      <w:r w:rsidR="00F72F3B">
        <w:t xml:space="preserve"> </w:t>
      </w:r>
      <w:r w:rsidR="00F72F3B" w:rsidRPr="00F72F3B">
        <w:t>fö</w:t>
      </w:r>
      <w:r w:rsidR="00F72F3B" w:rsidRPr="00F72F3B">
        <w:t>r</w:t>
      </w:r>
      <w:r w:rsidR="00F72F3B" w:rsidRPr="00F72F3B">
        <w:t>troendet för ett antal olika institutioner och organisationer i Sverige</w:t>
      </w:r>
      <w:r>
        <w:t xml:space="preserve">. Även TNS Sifos årliga mätning av anseendet för svenska myndigheter rankade Riksbanken bland de fem myndigheter som har högst anseende i landet. Mätningarna visade dock på olika </w:t>
      </w:r>
      <w:r w:rsidR="0085740F">
        <w:t>utveckling för förtroendet. SOM</w:t>
      </w:r>
      <w:r w:rsidR="0085740F">
        <w:noBreakHyphen/>
      </w:r>
      <w:r>
        <w:t>institutets och TNS Sifos undersökningar visade på ett något stärkt förtroende respektive anseende för Riksbanken jämfört med föregående år, medan Medieakademins mätning visade på ett något svagare förtroende.</w:t>
      </w:r>
    </w:p>
    <w:p w:rsidR="00E047A3" w:rsidRPr="002E60CC" w:rsidRDefault="00E047A3" w:rsidP="002677B0">
      <w:pPr>
        <w:pStyle w:val="R4"/>
        <w:outlineLvl w:val="0"/>
      </w:pPr>
      <w:r w:rsidRPr="002E60CC">
        <w:t>Kommunikation</w:t>
      </w:r>
    </w:p>
    <w:p w:rsidR="000326B2" w:rsidRDefault="000326B2" w:rsidP="00010A83">
      <w:r>
        <w:t>Medi</w:t>
      </w:r>
      <w:r w:rsidR="0088115D">
        <w:t>ern</w:t>
      </w:r>
      <w:r>
        <w:t xml:space="preserve">as rapportering </w:t>
      </w:r>
      <w:r w:rsidR="009E1FFC">
        <w:t xml:space="preserve">om </w:t>
      </w:r>
      <w:r>
        <w:t>Riksbanken var mindre omfattande under 2014 än föregående år, med undantag för vissa publicitetstoppar. I fokus för rapport</w:t>
      </w:r>
      <w:r>
        <w:t>e</w:t>
      </w:r>
      <w:r>
        <w:t>ringen st</w:t>
      </w:r>
      <w:r w:rsidR="00C6515C">
        <w:t>od de penningpolitiska besluten. S</w:t>
      </w:r>
      <w:r>
        <w:t>änkningen av reporäntan i juli var det mest omskrivna penningpolitiska beslutet på flera år. Andra frågor som präglade rapporteringen under året var Riksbankens prognosförmåga och den låga inflationen i relation till inflationsmålet. Hushållens skuldsättning är en fråga som Riksban</w:t>
      </w:r>
      <w:r w:rsidR="004E3188">
        <w:t>ken framhållit som en stor risk. R</w:t>
      </w:r>
      <w:r>
        <w:t>iksbankens eko</w:t>
      </w:r>
      <w:r w:rsidR="00702780">
        <w:t>n</w:t>
      </w:r>
      <w:r w:rsidR="00702780">
        <w:t>o</w:t>
      </w:r>
      <w:r w:rsidR="00702780">
        <w:t xml:space="preserve">miska kommentar </w:t>
      </w:r>
      <w:r>
        <w:t>Hur skul</w:t>
      </w:r>
      <w:r w:rsidR="00702780">
        <w:t>dsatta är de svenska hushållen?</w:t>
      </w:r>
      <w:r>
        <w:t xml:space="preserve"> rönte </w:t>
      </w:r>
      <w:r w:rsidR="004E3188">
        <w:t xml:space="preserve">därför </w:t>
      </w:r>
      <w:r>
        <w:t>ett omfatta</w:t>
      </w:r>
      <w:r>
        <w:t>n</w:t>
      </w:r>
      <w:r>
        <w:t xml:space="preserve">de medialt intresse. Utöver detta har även frågor </w:t>
      </w:r>
      <w:r w:rsidR="00673383">
        <w:t>om</w:t>
      </w:r>
      <w:r w:rsidR="00673383" w:rsidRPr="00666580">
        <w:t xml:space="preserve"> </w:t>
      </w:r>
      <w:r w:rsidRPr="00666580">
        <w:t>Riksba</w:t>
      </w:r>
      <w:r w:rsidRPr="00666580">
        <w:t>n</w:t>
      </w:r>
      <w:r w:rsidRPr="00666580">
        <w:t>kens uppdrag, mål och mandat</w:t>
      </w:r>
      <w:r>
        <w:t xml:space="preserve"> diskuterats i medierna.</w:t>
      </w:r>
    </w:p>
    <w:p w:rsidR="000326B2" w:rsidRPr="00666580" w:rsidRDefault="000326B2" w:rsidP="00C96600">
      <w:pPr>
        <w:pStyle w:val="Normaltindrag"/>
        <w:suppressAutoHyphens/>
      </w:pPr>
      <w:r>
        <w:t xml:space="preserve">Riksbanken lanserade i juli ett nyhetsbrev riktat främst </w:t>
      </w:r>
      <w:r w:rsidR="0088115D">
        <w:t>till</w:t>
      </w:r>
      <w:r>
        <w:t xml:space="preserve"> </w:t>
      </w:r>
      <w:r w:rsidR="00B53411">
        <w:t xml:space="preserve">sin </w:t>
      </w:r>
      <w:r>
        <w:t>uppdrags</w:t>
      </w:r>
      <w:r w:rsidR="00A51E65">
        <w:softHyphen/>
      </w:r>
      <w:r w:rsidR="00FF0644">
        <w:t>givare r</w:t>
      </w:r>
      <w:r>
        <w:t>iksdagen med syfte att underlätta för ledamöterna att följa Riks</w:t>
      </w:r>
      <w:r w:rsidR="0085740F">
        <w:softHyphen/>
      </w:r>
      <w:r>
        <w:t>ba</w:t>
      </w:r>
      <w:r>
        <w:t>n</w:t>
      </w:r>
      <w:r w:rsidR="004E3188">
        <w:t xml:space="preserve">kens verksamhet. I </w:t>
      </w:r>
      <w:r>
        <w:t>samband med detta deltog Riksbanken i Almedalen för första gången. Nyhetsbrevet, som skickas ut till samtliga riksdagsledamöter, är tillgängligt på Riksbankens webbplats.</w:t>
      </w:r>
    </w:p>
    <w:p w:rsidR="000326B2" w:rsidRDefault="000326B2" w:rsidP="00010A83">
      <w:pPr>
        <w:pStyle w:val="Normaltindrag"/>
      </w:pPr>
      <w:r>
        <w:t>Riksbanken fick under 2014 ta emot pris för sin öppenhet genom utmä</w:t>
      </w:r>
      <w:r>
        <w:t>r</w:t>
      </w:r>
      <w:r>
        <w:t>kelsen Central Banking Transparency Award av Central Banking Publi</w:t>
      </w:r>
      <w:r w:rsidR="0085740F">
        <w:softHyphen/>
      </w:r>
      <w:r>
        <w:t>cations. I motiveringen till priset går att läsa att Riksbanken spelat en ban</w:t>
      </w:r>
      <w:r w:rsidR="00A51E65">
        <w:softHyphen/>
      </w:r>
      <w:r>
        <w:t>br</w:t>
      </w:r>
      <w:r>
        <w:t>y</w:t>
      </w:r>
      <w:r>
        <w:t xml:space="preserve">tande roll för centralbankers öppenhet och tydlighet inom kommunikation, genom att målmedvetet säkerställa att dess processer och beslutsfattande är öppet och tydligt </w:t>
      </w:r>
      <w:r w:rsidR="0088115D">
        <w:t>kommunicerade</w:t>
      </w:r>
      <w:r>
        <w:t>.</w:t>
      </w:r>
    </w:p>
    <w:p w:rsidR="00E047A3" w:rsidRPr="00B75EAC" w:rsidRDefault="00E047A3" w:rsidP="00F82501">
      <w:pPr>
        <w:pStyle w:val="R2"/>
      </w:pPr>
      <w:r>
        <w:t>Medarbetare</w:t>
      </w:r>
    </w:p>
    <w:p w:rsidR="00EB47B4" w:rsidRPr="00185D92" w:rsidRDefault="00E03ECF" w:rsidP="0098663B">
      <w:r>
        <w:t>Riksbanken</w:t>
      </w:r>
      <w:r w:rsidR="00E41014">
        <w:t xml:space="preserve"> </w:t>
      </w:r>
      <w:r w:rsidR="00324BE2">
        <w:t>hade vid utgången av 2014</w:t>
      </w:r>
      <w:r w:rsidR="00E41014">
        <w:t xml:space="preserve"> </w:t>
      </w:r>
      <w:r w:rsidR="00324BE2">
        <w:t xml:space="preserve">totalt 365 </w:t>
      </w:r>
      <w:r>
        <w:t>m</w:t>
      </w:r>
      <w:r w:rsidR="00917FAF">
        <w:t>edarbetar</w:t>
      </w:r>
      <w:r w:rsidR="009E6AEC">
        <w:t xml:space="preserve">e </w:t>
      </w:r>
      <w:r w:rsidR="00324BE2">
        <w:t>(329 års</w:t>
      </w:r>
      <w:r w:rsidR="00CE2EF4">
        <w:softHyphen/>
      </w:r>
      <w:r w:rsidR="00324BE2">
        <w:t>a</w:t>
      </w:r>
      <w:r w:rsidR="00324BE2">
        <w:t>r</w:t>
      </w:r>
      <w:r w:rsidR="00324BE2">
        <w:t>betskrafter)</w:t>
      </w:r>
      <w:r w:rsidR="00E41014">
        <w:t xml:space="preserve">. </w:t>
      </w:r>
      <w:r w:rsidR="00D8311F" w:rsidRPr="00D8311F">
        <w:t>Medarbetarna har</w:t>
      </w:r>
      <w:r w:rsidR="00E41014">
        <w:t xml:space="preserve"> ofta </w:t>
      </w:r>
      <w:r w:rsidR="00D8311F" w:rsidRPr="00D8311F">
        <w:t>komplexa uppgifter och höga krav på sig.</w:t>
      </w:r>
      <w:r w:rsidR="009E6AEC">
        <w:t xml:space="preserve"> </w:t>
      </w:r>
      <w:r w:rsidR="00D8311F" w:rsidRPr="00D8311F">
        <w:t>För att kunna möta de utmaningar som man ställs inför är det viktigt att alla medarbetare bidrar till</w:t>
      </w:r>
      <w:r w:rsidR="009E6AEC">
        <w:t xml:space="preserve"> att </w:t>
      </w:r>
      <w:r w:rsidR="00D8311F" w:rsidRPr="00D8311F">
        <w:t xml:space="preserve">skapa och utveckla en god arbetsmiljö. Det ger förutsättningar </w:t>
      </w:r>
      <w:r w:rsidR="008D43D3">
        <w:t xml:space="preserve">för </w:t>
      </w:r>
      <w:r w:rsidR="00D8311F" w:rsidRPr="00D8311F">
        <w:t>att kombinera behovet av utvecklin</w:t>
      </w:r>
      <w:r w:rsidR="00D8311F">
        <w:t>g i arbetet med god livsbalans</w:t>
      </w:r>
      <w:r w:rsidR="00D74E66" w:rsidRPr="00D74E66">
        <w:t>.</w:t>
      </w:r>
      <w:r w:rsidR="00EB47B4" w:rsidRPr="00185D92">
        <w:t> </w:t>
      </w:r>
    </w:p>
    <w:p w:rsidR="00E37383" w:rsidRPr="00702780" w:rsidRDefault="00E37383" w:rsidP="00AD05E8">
      <w:pPr>
        <w:pStyle w:val="R3"/>
      </w:pPr>
      <w:r w:rsidRPr="00702780">
        <w:t>Strategisk</w:t>
      </w:r>
      <w:r w:rsidR="001D22FB">
        <w:t xml:space="preserve"> satsning på ledar</w:t>
      </w:r>
      <w:r w:rsidR="00FB5FDB">
        <w:t>-</w:t>
      </w:r>
      <w:r w:rsidR="001D22FB">
        <w:t xml:space="preserve"> </w:t>
      </w:r>
      <w:r w:rsidRPr="00702780">
        <w:t xml:space="preserve">och medarbetarskap </w:t>
      </w:r>
    </w:p>
    <w:p w:rsidR="00E37383" w:rsidRPr="00702780" w:rsidRDefault="00E37383" w:rsidP="00CE2EF4">
      <w:pPr>
        <w:suppressAutoHyphens/>
        <w:rPr>
          <w:szCs w:val="19"/>
        </w:rPr>
      </w:pPr>
      <w:r w:rsidRPr="00702780">
        <w:rPr>
          <w:szCs w:val="19"/>
        </w:rPr>
        <w:t xml:space="preserve">Enligt den strategiska plan som togs fram under 2014 ska Riksbanken ha ett engagerande arbetsklimat som bidrar till rätt prioriteringar för bästa resultat. </w:t>
      </w:r>
      <w:r w:rsidR="00215F4C">
        <w:rPr>
          <w:szCs w:val="19"/>
        </w:rPr>
        <w:t>För</w:t>
      </w:r>
      <w:r w:rsidRPr="00702780">
        <w:rPr>
          <w:szCs w:val="19"/>
        </w:rPr>
        <w:t xml:space="preserve"> att åstadkomma detta </w:t>
      </w:r>
      <w:r w:rsidR="00215F4C">
        <w:rPr>
          <w:szCs w:val="19"/>
        </w:rPr>
        <w:t>behövs</w:t>
      </w:r>
      <w:r w:rsidRPr="00702780">
        <w:rPr>
          <w:szCs w:val="19"/>
        </w:rPr>
        <w:t xml:space="preserve"> ett väl fungerande ledarskap. Varje år samlas Riksbankens chefer under </w:t>
      </w:r>
      <w:r w:rsidR="00E03ECF">
        <w:rPr>
          <w:szCs w:val="19"/>
        </w:rPr>
        <w:t xml:space="preserve">en till </w:t>
      </w:r>
      <w:r w:rsidRPr="00702780">
        <w:rPr>
          <w:szCs w:val="19"/>
        </w:rPr>
        <w:t>två dagar för att arbeta med ledar</w:t>
      </w:r>
      <w:r w:rsidR="00CE2EF4">
        <w:rPr>
          <w:szCs w:val="19"/>
        </w:rPr>
        <w:softHyphen/>
      </w:r>
      <w:r w:rsidRPr="00702780">
        <w:rPr>
          <w:szCs w:val="19"/>
        </w:rPr>
        <w:t xml:space="preserve">skapsfrågor. Under höstens chefsträff låg fokus på att vidareutveckla ett samlat och aktivt ledarskap för att möta </w:t>
      </w:r>
      <w:r w:rsidR="006B2827">
        <w:rPr>
          <w:szCs w:val="19"/>
        </w:rPr>
        <w:t>Riksbankens</w:t>
      </w:r>
      <w:r w:rsidRPr="00702780">
        <w:rPr>
          <w:szCs w:val="19"/>
        </w:rPr>
        <w:t xml:space="preserve"> utmaningar och </w:t>
      </w:r>
      <w:r w:rsidR="00215F4C">
        <w:rPr>
          <w:szCs w:val="19"/>
        </w:rPr>
        <w:t xml:space="preserve">fortsätta att </w:t>
      </w:r>
      <w:r w:rsidRPr="00702780">
        <w:rPr>
          <w:szCs w:val="19"/>
        </w:rPr>
        <w:t>u</w:t>
      </w:r>
      <w:r w:rsidRPr="00702780">
        <w:rPr>
          <w:szCs w:val="19"/>
        </w:rPr>
        <w:t>t</w:t>
      </w:r>
      <w:r w:rsidRPr="00702780">
        <w:rPr>
          <w:szCs w:val="19"/>
        </w:rPr>
        <w:t xml:space="preserve">veckla ett stimulerande arbetsklimat. Arbetet utmynnade i en </w:t>
      </w:r>
      <w:r w:rsidR="00D95BED">
        <w:rPr>
          <w:szCs w:val="19"/>
        </w:rPr>
        <w:t xml:space="preserve">ny </w:t>
      </w:r>
      <w:r w:rsidR="00B6677C">
        <w:rPr>
          <w:szCs w:val="19"/>
        </w:rPr>
        <w:t>chefs- och medarbetarpolicy</w:t>
      </w:r>
      <w:r w:rsidR="00B6677C" w:rsidRPr="00702780">
        <w:rPr>
          <w:szCs w:val="19"/>
        </w:rPr>
        <w:t xml:space="preserve"> </w:t>
      </w:r>
      <w:r w:rsidR="001F1151">
        <w:rPr>
          <w:szCs w:val="19"/>
        </w:rPr>
        <w:t xml:space="preserve">som fastställs under 2015 </w:t>
      </w:r>
      <w:r w:rsidRPr="00702780">
        <w:rPr>
          <w:szCs w:val="19"/>
        </w:rPr>
        <w:t>och en konkret handlingsplan för 2015</w:t>
      </w:r>
      <w:r w:rsidR="006B2827">
        <w:t>–</w:t>
      </w:r>
      <w:r w:rsidRPr="00702780">
        <w:rPr>
          <w:szCs w:val="19"/>
        </w:rPr>
        <w:t xml:space="preserve">2016. </w:t>
      </w:r>
    </w:p>
    <w:p w:rsidR="00E37383" w:rsidRPr="00217BE2" w:rsidRDefault="00E37383" w:rsidP="00F22A49">
      <w:pPr>
        <w:pStyle w:val="Normaltindrag"/>
        <w:rPr>
          <w:szCs w:val="19"/>
        </w:rPr>
      </w:pPr>
      <w:r w:rsidRPr="00702780">
        <w:rPr>
          <w:szCs w:val="19"/>
        </w:rPr>
        <w:t xml:space="preserve">Parallellt med ledarskapssatsningen </w:t>
      </w:r>
      <w:r w:rsidR="00217BE2">
        <w:rPr>
          <w:szCs w:val="19"/>
        </w:rPr>
        <w:t xml:space="preserve">fortsatte </w:t>
      </w:r>
      <w:r w:rsidR="00702780">
        <w:rPr>
          <w:szCs w:val="19"/>
        </w:rPr>
        <w:t>Riksbanken</w:t>
      </w:r>
      <w:r w:rsidRPr="00702780">
        <w:rPr>
          <w:szCs w:val="19"/>
        </w:rPr>
        <w:t xml:space="preserve"> att förankra det synsätt och konkretisera de beteenden som formulerade</w:t>
      </w:r>
      <w:r w:rsidR="0093763B">
        <w:rPr>
          <w:szCs w:val="19"/>
        </w:rPr>
        <w:t>s</w:t>
      </w:r>
      <w:r w:rsidRPr="00702780">
        <w:rPr>
          <w:szCs w:val="19"/>
        </w:rPr>
        <w:t xml:space="preserve"> 2013 och som fö</w:t>
      </w:r>
      <w:r w:rsidRPr="00702780">
        <w:rPr>
          <w:szCs w:val="19"/>
        </w:rPr>
        <w:t>r</w:t>
      </w:r>
      <w:r w:rsidR="0093763B">
        <w:rPr>
          <w:szCs w:val="19"/>
        </w:rPr>
        <w:t>knippas</w:t>
      </w:r>
      <w:r w:rsidRPr="00702780">
        <w:rPr>
          <w:szCs w:val="19"/>
        </w:rPr>
        <w:t xml:space="preserve"> med gott medarbetarskap.</w:t>
      </w:r>
      <w:r w:rsidR="00217BE2">
        <w:rPr>
          <w:szCs w:val="19"/>
        </w:rPr>
        <w:t xml:space="preserve"> </w:t>
      </w:r>
      <w:r w:rsidR="00215F4C">
        <w:rPr>
          <w:szCs w:val="19"/>
        </w:rPr>
        <w:t>Ledorden</w:t>
      </w:r>
      <w:r w:rsidRPr="00702780">
        <w:rPr>
          <w:szCs w:val="19"/>
        </w:rPr>
        <w:t xml:space="preserve"> i medarbetarskapet är resultat, initiativ, kompetens, samarbete och arbetsglädje. </w:t>
      </w:r>
    </w:p>
    <w:p w:rsidR="00E37383" w:rsidRPr="00217BE2" w:rsidRDefault="00E37383" w:rsidP="00217BE2">
      <w:pPr>
        <w:pStyle w:val="R3"/>
      </w:pPr>
      <w:r w:rsidRPr="00217BE2">
        <w:t>Riksbanken som attraktiv arbetsplats</w:t>
      </w:r>
    </w:p>
    <w:p w:rsidR="00E37383" w:rsidRPr="00702780" w:rsidRDefault="00E37383" w:rsidP="00611B82">
      <w:pPr>
        <w:rPr>
          <w:szCs w:val="19"/>
        </w:rPr>
      </w:pPr>
      <w:r w:rsidRPr="00702780">
        <w:rPr>
          <w:szCs w:val="19"/>
        </w:rPr>
        <w:t xml:space="preserve">Riksbanken har under många år arbetat med att stärka sitt varumärke som arbetsplats för att kunna rekrytera och behålla duktiga medarbetare. Detta strategiska arbete, så kallad employer branding, har bland annat resulterat i att </w:t>
      </w:r>
      <w:r w:rsidR="00446551">
        <w:rPr>
          <w:szCs w:val="19"/>
        </w:rPr>
        <w:t>ekonomistudenter ran</w:t>
      </w:r>
      <w:r w:rsidR="00240646">
        <w:rPr>
          <w:szCs w:val="19"/>
        </w:rPr>
        <w:t>kat</w:t>
      </w:r>
      <w:r w:rsidR="00446551">
        <w:rPr>
          <w:szCs w:val="19"/>
        </w:rPr>
        <w:t xml:space="preserve"> </w:t>
      </w:r>
      <w:r w:rsidRPr="00702780">
        <w:rPr>
          <w:szCs w:val="19"/>
        </w:rPr>
        <w:t>Riksbanken</w:t>
      </w:r>
      <w:r w:rsidR="00446551">
        <w:rPr>
          <w:szCs w:val="19"/>
        </w:rPr>
        <w:t xml:space="preserve"> som den mest attraktiva arbetsgivaren inom </w:t>
      </w:r>
      <w:r w:rsidR="00391281">
        <w:rPr>
          <w:szCs w:val="19"/>
        </w:rPr>
        <w:t xml:space="preserve">den </w:t>
      </w:r>
      <w:r w:rsidR="00446551">
        <w:rPr>
          <w:szCs w:val="19"/>
        </w:rPr>
        <w:t>offentlig</w:t>
      </w:r>
      <w:r w:rsidR="00391281">
        <w:rPr>
          <w:szCs w:val="19"/>
        </w:rPr>
        <w:t>a</w:t>
      </w:r>
      <w:r w:rsidR="00446551">
        <w:rPr>
          <w:szCs w:val="19"/>
        </w:rPr>
        <w:t xml:space="preserve"> sektor</w:t>
      </w:r>
      <w:r w:rsidR="00391281">
        <w:rPr>
          <w:szCs w:val="19"/>
        </w:rPr>
        <w:t>n</w:t>
      </w:r>
      <w:r w:rsidR="00446551">
        <w:rPr>
          <w:szCs w:val="19"/>
        </w:rPr>
        <w:t xml:space="preserve"> i undersökningen Företagsbarometern. </w:t>
      </w:r>
      <w:r w:rsidRPr="00702780">
        <w:rPr>
          <w:szCs w:val="19"/>
        </w:rPr>
        <w:t xml:space="preserve">Under 2014 blev Riksbanken </w:t>
      </w:r>
      <w:r w:rsidR="00446551">
        <w:rPr>
          <w:szCs w:val="19"/>
        </w:rPr>
        <w:t xml:space="preserve">även </w:t>
      </w:r>
      <w:r w:rsidRPr="00702780">
        <w:rPr>
          <w:szCs w:val="19"/>
        </w:rPr>
        <w:t>nominerad av undersö</w:t>
      </w:r>
      <w:r w:rsidR="00C6515C">
        <w:rPr>
          <w:szCs w:val="19"/>
        </w:rPr>
        <w:t>kningsföretaget Universum till Årets employer branding</w:t>
      </w:r>
      <w:r w:rsidR="00240646">
        <w:rPr>
          <w:szCs w:val="19"/>
        </w:rPr>
        <w:t>-</w:t>
      </w:r>
      <w:r w:rsidR="00C6515C">
        <w:rPr>
          <w:szCs w:val="19"/>
        </w:rPr>
        <w:t>företag</w:t>
      </w:r>
      <w:r w:rsidR="00D031BD">
        <w:rPr>
          <w:szCs w:val="19"/>
        </w:rPr>
        <w:t>.</w:t>
      </w:r>
      <w:r w:rsidRPr="00702780">
        <w:rPr>
          <w:szCs w:val="19"/>
        </w:rPr>
        <w:t xml:space="preserve"> </w:t>
      </w:r>
    </w:p>
    <w:p w:rsidR="00731067" w:rsidRDefault="00E37383" w:rsidP="00F22A49">
      <w:pPr>
        <w:pStyle w:val="Normaltindrag"/>
        <w:rPr>
          <w:szCs w:val="19"/>
        </w:rPr>
      </w:pPr>
      <w:r w:rsidRPr="00702780">
        <w:rPr>
          <w:szCs w:val="19"/>
        </w:rPr>
        <w:t>Bilden av Riksbanken som attraktiv arbets</w:t>
      </w:r>
      <w:r w:rsidR="00BA0E3C">
        <w:rPr>
          <w:szCs w:val="19"/>
        </w:rPr>
        <w:t>givare</w:t>
      </w:r>
      <w:r w:rsidRPr="00702780">
        <w:rPr>
          <w:szCs w:val="19"/>
        </w:rPr>
        <w:t xml:space="preserve"> bekräftas även internt.</w:t>
      </w:r>
      <w:r w:rsidR="00C96600">
        <w:rPr>
          <w:szCs w:val="19"/>
        </w:rPr>
        <w:t xml:space="preserve"> </w:t>
      </w:r>
      <w:r w:rsidRPr="00EB527D">
        <w:t xml:space="preserve">Den undersökning som </w:t>
      </w:r>
      <w:r w:rsidR="009D39E4" w:rsidRPr="00EB527D">
        <w:t xml:space="preserve">under hösten 2014 </w:t>
      </w:r>
      <w:r w:rsidRPr="00EB527D">
        <w:t xml:space="preserve">skickades ut till alla medarbetare </w:t>
      </w:r>
      <w:r w:rsidR="009D39E4">
        <w:t>i åldersgruppen upp till</w:t>
      </w:r>
      <w:r w:rsidR="009D39E4" w:rsidRPr="00EB527D">
        <w:t xml:space="preserve"> </w:t>
      </w:r>
      <w:r w:rsidRPr="00EB527D">
        <w:t>40 år visar att</w:t>
      </w:r>
      <w:r w:rsidR="009B2F6F" w:rsidRPr="00EB527D">
        <w:t xml:space="preserve"> våra med</w:t>
      </w:r>
      <w:r w:rsidR="00731067" w:rsidRPr="00EB527D">
        <w:t>arb</w:t>
      </w:r>
      <w:r w:rsidR="00731067" w:rsidRPr="00EB527D">
        <w:t>e</w:t>
      </w:r>
      <w:r w:rsidR="00731067" w:rsidRPr="00EB527D">
        <w:t xml:space="preserve">tare förknippar </w:t>
      </w:r>
      <w:r w:rsidR="00446551" w:rsidRPr="00EB527D">
        <w:t xml:space="preserve">Riksbanken </w:t>
      </w:r>
      <w:r w:rsidR="00731067" w:rsidRPr="00EB527D">
        <w:t>med</w:t>
      </w:r>
      <w:r w:rsidR="00A6657D" w:rsidRPr="00EB527D">
        <w:t xml:space="preserve"> bland annat </w:t>
      </w:r>
      <w:r w:rsidR="00731067" w:rsidRPr="00EB527D">
        <w:t>en dynamisk och kreativ arbet</w:t>
      </w:r>
      <w:r w:rsidR="00731067" w:rsidRPr="00EB527D">
        <w:t>s</w:t>
      </w:r>
      <w:r w:rsidR="00731067" w:rsidRPr="00EB527D">
        <w:t xml:space="preserve">miljö och inspirerande ledare. </w:t>
      </w:r>
    </w:p>
    <w:p w:rsidR="00E37383" w:rsidRPr="00702780" w:rsidRDefault="0093763B" w:rsidP="00F22A49">
      <w:pPr>
        <w:pStyle w:val="Normaltindrag"/>
        <w:rPr>
          <w:szCs w:val="19"/>
        </w:rPr>
      </w:pPr>
      <w:r>
        <w:rPr>
          <w:szCs w:val="19"/>
        </w:rPr>
        <w:t>Riksbanken</w:t>
      </w:r>
      <w:r w:rsidR="00E37383" w:rsidRPr="00702780">
        <w:rPr>
          <w:szCs w:val="19"/>
        </w:rPr>
        <w:t xml:space="preserve"> har marknadsfört </w:t>
      </w:r>
      <w:r>
        <w:rPr>
          <w:szCs w:val="19"/>
        </w:rPr>
        <w:t>sig som</w:t>
      </w:r>
      <w:r w:rsidR="00E37383" w:rsidRPr="00702780">
        <w:rPr>
          <w:szCs w:val="19"/>
        </w:rPr>
        <w:t xml:space="preserve"> arbetsplats med hjälp </w:t>
      </w:r>
      <w:r w:rsidR="00D031BD">
        <w:rPr>
          <w:szCs w:val="19"/>
        </w:rPr>
        <w:t xml:space="preserve">av </w:t>
      </w:r>
      <w:r w:rsidR="00E37383" w:rsidRPr="00702780">
        <w:rPr>
          <w:szCs w:val="19"/>
        </w:rPr>
        <w:t>egna me</w:t>
      </w:r>
      <w:r w:rsidR="00E37383" w:rsidRPr="00702780">
        <w:rPr>
          <w:szCs w:val="19"/>
        </w:rPr>
        <w:t>d</w:t>
      </w:r>
      <w:r w:rsidR="00E37383" w:rsidRPr="00702780">
        <w:rPr>
          <w:szCs w:val="19"/>
        </w:rPr>
        <w:t>arbetare</w:t>
      </w:r>
      <w:r w:rsidR="00D031BD">
        <w:rPr>
          <w:szCs w:val="19"/>
        </w:rPr>
        <w:t>,</w:t>
      </w:r>
      <w:r w:rsidR="00E37383" w:rsidRPr="00702780">
        <w:rPr>
          <w:szCs w:val="19"/>
        </w:rPr>
        <w:t xml:space="preserve"> bland annat på svenska universitet och vid internationella arbet</w:t>
      </w:r>
      <w:r w:rsidR="00E37383" w:rsidRPr="00702780">
        <w:rPr>
          <w:szCs w:val="19"/>
        </w:rPr>
        <w:t>s</w:t>
      </w:r>
      <w:r w:rsidR="00E37383" w:rsidRPr="00702780">
        <w:rPr>
          <w:szCs w:val="19"/>
        </w:rPr>
        <w:t xml:space="preserve">marknadsmässor. Under året </w:t>
      </w:r>
      <w:r w:rsidR="00391281">
        <w:rPr>
          <w:szCs w:val="19"/>
        </w:rPr>
        <w:t xml:space="preserve">gjordes </w:t>
      </w:r>
      <w:r>
        <w:rPr>
          <w:szCs w:val="19"/>
        </w:rPr>
        <w:t>satsningar</w:t>
      </w:r>
      <w:r w:rsidR="00E37383" w:rsidRPr="00702780">
        <w:rPr>
          <w:szCs w:val="19"/>
        </w:rPr>
        <w:t xml:space="preserve"> på att skapa relationer till ekonomidoktorander som kan vara intressanta för Riksbanken på lång sikt. </w:t>
      </w:r>
      <w:r w:rsidR="007F5F10">
        <w:rPr>
          <w:szCs w:val="19"/>
        </w:rPr>
        <w:t>R</w:t>
      </w:r>
      <w:r>
        <w:rPr>
          <w:szCs w:val="19"/>
        </w:rPr>
        <w:t>iksbanken</w:t>
      </w:r>
      <w:r w:rsidR="007F5F10">
        <w:rPr>
          <w:szCs w:val="19"/>
        </w:rPr>
        <w:t xml:space="preserve"> har</w:t>
      </w:r>
      <w:r>
        <w:rPr>
          <w:szCs w:val="19"/>
        </w:rPr>
        <w:t xml:space="preserve"> </w:t>
      </w:r>
      <w:r w:rsidR="00E37383" w:rsidRPr="00702780">
        <w:rPr>
          <w:szCs w:val="19"/>
        </w:rPr>
        <w:t xml:space="preserve">också synliggjort </w:t>
      </w:r>
      <w:r>
        <w:rPr>
          <w:szCs w:val="19"/>
        </w:rPr>
        <w:t>sig</w:t>
      </w:r>
      <w:r w:rsidR="00E37383" w:rsidRPr="00702780">
        <w:rPr>
          <w:szCs w:val="19"/>
        </w:rPr>
        <w:t xml:space="preserve"> som arbets</w:t>
      </w:r>
      <w:r>
        <w:rPr>
          <w:szCs w:val="19"/>
        </w:rPr>
        <w:t>plats på sin</w:t>
      </w:r>
      <w:r w:rsidR="00E37383" w:rsidRPr="00702780">
        <w:rPr>
          <w:szCs w:val="19"/>
        </w:rPr>
        <w:t xml:space="preserve"> webbplats, på karriärportaler, i tidningsartiklar och i </w:t>
      </w:r>
      <w:r>
        <w:rPr>
          <w:szCs w:val="19"/>
        </w:rPr>
        <w:t>sina</w:t>
      </w:r>
      <w:r w:rsidR="00E37383" w:rsidRPr="00702780">
        <w:rPr>
          <w:szCs w:val="19"/>
        </w:rPr>
        <w:t xml:space="preserve"> platsannonser. </w:t>
      </w:r>
    </w:p>
    <w:p w:rsidR="00E37383" w:rsidRPr="00611B82" w:rsidRDefault="004611DC" w:rsidP="00611B82">
      <w:pPr>
        <w:pStyle w:val="R3"/>
      </w:pPr>
      <w:r>
        <w:t>Medarbetarnas</w:t>
      </w:r>
      <w:r w:rsidR="00E37383" w:rsidRPr="00611B82">
        <w:t xml:space="preserve"> hälsa</w:t>
      </w:r>
    </w:p>
    <w:p w:rsidR="00E37383" w:rsidRPr="00702780" w:rsidRDefault="00E37383" w:rsidP="00F22A49">
      <w:pPr>
        <w:rPr>
          <w:color w:val="1F497D"/>
          <w:szCs w:val="19"/>
        </w:rPr>
      </w:pPr>
      <w:r w:rsidRPr="00F0233A">
        <w:t xml:space="preserve">Sjukfrånvaron bland Riksbankens medarbetare var </w:t>
      </w:r>
      <w:r w:rsidR="00AA7D08" w:rsidRPr="00F0233A">
        <w:t>1,7</w:t>
      </w:r>
      <w:r w:rsidRPr="00F0233A">
        <w:t xml:space="preserve"> procent under 2014, vilket är en ökning med </w:t>
      </w:r>
      <w:r w:rsidR="00AA7D08" w:rsidRPr="00F0233A">
        <w:t>0,1</w:t>
      </w:r>
      <w:r w:rsidRPr="00F0233A">
        <w:t xml:space="preserve"> procentenheter sedan 2013.</w:t>
      </w:r>
      <w:r w:rsidRPr="00702780">
        <w:t xml:space="preserve"> </w:t>
      </w:r>
      <w:r w:rsidR="00EA078E">
        <w:t>Medarbetarna kunde i likhet med tidigare år delta i</w:t>
      </w:r>
      <w:r w:rsidRPr="00702780">
        <w:t xml:space="preserve"> </w:t>
      </w:r>
      <w:r w:rsidR="00EA078E">
        <w:t>Riksbankens</w:t>
      </w:r>
      <w:r w:rsidRPr="00702780">
        <w:t xml:space="preserve"> förebyggande hälsoinsatser såsom träning och subventionerad massage. </w:t>
      </w:r>
    </w:p>
    <w:p w:rsidR="002764BE" w:rsidRDefault="002764BE" w:rsidP="00837486">
      <w:pPr>
        <w:pStyle w:val="Normaltindrag"/>
        <w:ind w:firstLine="0"/>
        <w:sectPr w:rsidR="002764BE">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FB4722" w:rsidRDefault="00496CC8" w:rsidP="00496CC8">
      <w:pPr>
        <w:pStyle w:val="Rubrik1"/>
      </w:pPr>
      <w:bookmarkStart w:id="25" w:name="_Toc408946419"/>
      <w:r>
        <w:t>Ett fast penningvärde – prisstabilitet</w:t>
      </w:r>
      <w:bookmarkEnd w:id="25"/>
    </w:p>
    <w:p w:rsidR="005E130D" w:rsidRDefault="009D2CBD" w:rsidP="00F22A49">
      <w:pPr>
        <w:rPr>
          <w:i/>
        </w:rPr>
      </w:pPr>
      <w:r w:rsidRPr="00526BCB">
        <w:rPr>
          <w:i/>
        </w:rPr>
        <w:t>Tillväxten i den svenska ekonomin fortsatte under 2014 i un</w:t>
      </w:r>
      <w:r w:rsidR="00CE2780" w:rsidRPr="00526BCB">
        <w:rPr>
          <w:i/>
        </w:rPr>
        <w:t>gefär samma takt som under 2013</w:t>
      </w:r>
      <w:r w:rsidR="00460581">
        <w:rPr>
          <w:i/>
        </w:rPr>
        <w:t>. Enligt Riksbankens bedömning växte</w:t>
      </w:r>
      <w:r w:rsidRPr="00526BCB">
        <w:rPr>
          <w:i/>
        </w:rPr>
        <w:t xml:space="preserve"> BNP med </w:t>
      </w:r>
      <w:r w:rsidR="004F7D11" w:rsidRPr="00526BCB">
        <w:rPr>
          <w:i/>
        </w:rPr>
        <w:t>1,</w:t>
      </w:r>
      <w:r w:rsidR="004273DC" w:rsidRPr="00526BCB">
        <w:rPr>
          <w:i/>
        </w:rPr>
        <w:t>8</w:t>
      </w:r>
      <w:r w:rsidRPr="00526BCB">
        <w:rPr>
          <w:i/>
        </w:rPr>
        <w:t xml:space="preserve"> procent. Samtidigt var inflationstrycket </w:t>
      </w:r>
      <w:r w:rsidR="00CE2780" w:rsidRPr="00526BCB">
        <w:rPr>
          <w:i/>
        </w:rPr>
        <w:t>fortsatt</w:t>
      </w:r>
      <w:r w:rsidRPr="00526BCB">
        <w:rPr>
          <w:i/>
        </w:rPr>
        <w:t xml:space="preserve"> </w:t>
      </w:r>
      <w:r w:rsidR="00F81369" w:rsidRPr="00526BCB">
        <w:rPr>
          <w:i/>
        </w:rPr>
        <w:t>mycket</w:t>
      </w:r>
      <w:r w:rsidRPr="00526BCB">
        <w:rPr>
          <w:i/>
        </w:rPr>
        <w:t xml:space="preserve"> lågt. Till följd av oväntat låga inflationsutfall och ett allt lägre inflationstryck sänkte Riksbanken räntan till 0,25 procent i juli</w:t>
      </w:r>
      <w:r w:rsidR="007E6EE4" w:rsidRPr="00526BCB">
        <w:rPr>
          <w:i/>
        </w:rPr>
        <w:t xml:space="preserve"> och </w:t>
      </w:r>
      <w:r w:rsidR="00F81369" w:rsidRPr="00526BCB">
        <w:rPr>
          <w:i/>
        </w:rPr>
        <w:t>till</w:t>
      </w:r>
      <w:r w:rsidR="007E6EE4" w:rsidRPr="00526BCB">
        <w:rPr>
          <w:i/>
        </w:rPr>
        <w:t xml:space="preserve"> </w:t>
      </w:r>
      <w:r w:rsidR="00F81369" w:rsidRPr="00526BCB">
        <w:rPr>
          <w:i/>
        </w:rPr>
        <w:t>noll</w:t>
      </w:r>
      <w:r w:rsidR="007E6EE4" w:rsidRPr="00526BCB">
        <w:rPr>
          <w:i/>
        </w:rPr>
        <w:t xml:space="preserve"> </w:t>
      </w:r>
      <w:r w:rsidR="00F81369" w:rsidRPr="00526BCB">
        <w:rPr>
          <w:i/>
        </w:rPr>
        <w:t>procent</w:t>
      </w:r>
      <w:r w:rsidR="00F96D76" w:rsidRPr="00526BCB">
        <w:rPr>
          <w:i/>
        </w:rPr>
        <w:t xml:space="preserve"> i</w:t>
      </w:r>
      <w:r w:rsidR="00F81369" w:rsidRPr="00526BCB">
        <w:rPr>
          <w:i/>
        </w:rPr>
        <w:t xml:space="preserve"> okt</w:t>
      </w:r>
      <w:r w:rsidR="00F81369" w:rsidRPr="00526BCB">
        <w:rPr>
          <w:i/>
        </w:rPr>
        <w:t>o</w:t>
      </w:r>
      <w:r w:rsidR="00F81369" w:rsidRPr="00526BCB">
        <w:rPr>
          <w:i/>
        </w:rPr>
        <w:t>ber.</w:t>
      </w:r>
      <w:r w:rsidRPr="00526BCB">
        <w:rPr>
          <w:i/>
        </w:rPr>
        <w:t xml:space="preserve"> </w:t>
      </w:r>
    </w:p>
    <w:p w:rsidR="00BC4E3A" w:rsidRDefault="004A044B" w:rsidP="005E130D">
      <w:pPr>
        <w:pStyle w:val="Normaltindrag"/>
        <w:rPr>
          <w:i/>
        </w:rPr>
      </w:pPr>
      <w:r w:rsidRPr="00326765">
        <w:rPr>
          <w:i/>
        </w:rPr>
        <w:t>Den genomsnittliga arbetslösheten 2014 blev ungefär oförändrad jämfört med 2013, vilket innebar en nivå på 7,9 procent.</w:t>
      </w:r>
      <w:r>
        <w:rPr>
          <w:i/>
        </w:rPr>
        <w:t xml:space="preserve"> </w:t>
      </w:r>
      <w:r w:rsidR="004F7D11" w:rsidRPr="00155643">
        <w:rPr>
          <w:i/>
        </w:rPr>
        <w:t>I</w:t>
      </w:r>
      <w:r w:rsidR="009D2CBD" w:rsidRPr="00155643">
        <w:rPr>
          <w:i/>
        </w:rPr>
        <w:t>nflationen</w:t>
      </w:r>
      <w:r w:rsidR="004F7D11" w:rsidRPr="00155643">
        <w:rPr>
          <w:i/>
        </w:rPr>
        <w:t xml:space="preserve"> 2014 blev lägre än under 2013. Å</w:t>
      </w:r>
      <w:r w:rsidR="009D2CBD" w:rsidRPr="00155643">
        <w:rPr>
          <w:i/>
        </w:rPr>
        <w:t>rs</w:t>
      </w:r>
      <w:r w:rsidR="00BC4E3A" w:rsidRPr="00155643">
        <w:rPr>
          <w:i/>
        </w:rPr>
        <w:t>geno</w:t>
      </w:r>
      <w:r w:rsidR="00BC4E3A" w:rsidRPr="00155643">
        <w:rPr>
          <w:i/>
        </w:rPr>
        <w:t>m</w:t>
      </w:r>
      <w:r w:rsidR="00BC4E3A" w:rsidRPr="00155643">
        <w:rPr>
          <w:i/>
        </w:rPr>
        <w:t xml:space="preserve">snittet för KPI-inflationen var </w:t>
      </w:r>
      <w:r w:rsidR="004273DC" w:rsidRPr="00155643">
        <w:rPr>
          <w:noProof/>
          <w:sz w:val="16"/>
          <w:szCs w:val="16"/>
        </w:rPr>
        <w:t>−</w:t>
      </w:r>
      <w:r w:rsidR="00BC4E3A" w:rsidRPr="00155643">
        <w:rPr>
          <w:i/>
        </w:rPr>
        <w:t>0,</w:t>
      </w:r>
      <w:r w:rsidR="004273DC" w:rsidRPr="00155643">
        <w:rPr>
          <w:i/>
        </w:rPr>
        <w:t>2</w:t>
      </w:r>
      <w:r w:rsidR="00BC4E3A" w:rsidRPr="00155643">
        <w:rPr>
          <w:i/>
        </w:rPr>
        <w:t xml:space="preserve"> procent meda</w:t>
      </w:r>
      <w:r w:rsidR="003175FE" w:rsidRPr="00155643">
        <w:rPr>
          <w:i/>
        </w:rPr>
        <w:t>n inflationen mätt med KPIF upp</w:t>
      </w:r>
      <w:r w:rsidR="00BC4E3A" w:rsidRPr="00155643">
        <w:rPr>
          <w:i/>
        </w:rPr>
        <w:t xml:space="preserve">gick till </w:t>
      </w:r>
      <w:r w:rsidR="00CE2780" w:rsidRPr="00155643">
        <w:rPr>
          <w:i/>
        </w:rPr>
        <w:t xml:space="preserve">i genomsnitt </w:t>
      </w:r>
      <w:r w:rsidR="00BC4E3A" w:rsidRPr="00155643">
        <w:rPr>
          <w:i/>
        </w:rPr>
        <w:t>0,</w:t>
      </w:r>
      <w:r w:rsidR="004273DC" w:rsidRPr="00155643">
        <w:rPr>
          <w:i/>
        </w:rPr>
        <w:t>5</w:t>
      </w:r>
      <w:r w:rsidR="00BC4E3A" w:rsidRPr="00155643">
        <w:rPr>
          <w:i/>
        </w:rPr>
        <w:t xml:space="preserve"> procent.</w:t>
      </w:r>
      <w:r w:rsidR="00BC4E3A" w:rsidRPr="00BC4E3A">
        <w:rPr>
          <w:i/>
        </w:rPr>
        <w:t xml:space="preserve"> </w:t>
      </w:r>
    </w:p>
    <w:p w:rsidR="00CA1AFE" w:rsidRPr="00140598" w:rsidRDefault="00DA5B8A" w:rsidP="00405FE8">
      <w:pPr>
        <w:pStyle w:val="R2"/>
        <w:rPr>
          <w:sz w:val="32"/>
          <w:szCs w:val="32"/>
        </w:rPr>
      </w:pPr>
      <w:r>
        <w:rPr>
          <w:sz w:val="32"/>
          <w:szCs w:val="32"/>
        </w:rPr>
        <w:t>Penningpolitiska beslut</w:t>
      </w:r>
      <w:r w:rsidR="00784B25" w:rsidRPr="00140598">
        <w:rPr>
          <w:sz w:val="32"/>
          <w:szCs w:val="32"/>
        </w:rPr>
        <w:t xml:space="preserve"> </w:t>
      </w:r>
    </w:p>
    <w:p w:rsidR="00F159C4" w:rsidRDefault="00BF249E" w:rsidP="001B7F13">
      <w:pPr>
        <w:suppressAutoHyphens/>
      </w:pPr>
      <w:r w:rsidRPr="00DD2F18">
        <w:t xml:space="preserve">Direktionen håller sex ordinarie penningpolitiska sammanträden per år där den beslutar om reporäntan. Vid tre av dessa tillfällen publiceras en utförlig penningpolitisk rapport </w:t>
      </w:r>
      <w:r>
        <w:t xml:space="preserve">(PPR) </w:t>
      </w:r>
      <w:r w:rsidRPr="00DD2F18">
        <w:t xml:space="preserve">som innehåller detaljerade prognoser för ekonomin </w:t>
      </w:r>
      <w:r>
        <w:t>och infla</w:t>
      </w:r>
      <w:r w:rsidRPr="00DD2F18">
        <w:t>tionen samt bedömningar av hur räntan kommer att utvecklas f</w:t>
      </w:r>
      <w:r>
        <w:t>ram</w:t>
      </w:r>
      <w:r w:rsidRPr="00DD2F18">
        <w:t>över. Vid de övriga tre sammanträdena publiceras en så kallad penningpolitisk uppföljning</w:t>
      </w:r>
      <w:r>
        <w:t xml:space="preserve"> (PPU)</w:t>
      </w:r>
      <w:r w:rsidRPr="00DD2F18">
        <w:t xml:space="preserve"> som innehåller prognoser för samma variabler som den penningpolitiska rapporten men som är mindre utförlig.</w:t>
      </w:r>
    </w:p>
    <w:p w:rsidR="00C47858" w:rsidRDefault="00F12734" w:rsidP="001B7F13">
      <w:pPr>
        <w:pStyle w:val="Normaltindrag"/>
        <w:suppressAutoHyphens/>
      </w:pPr>
      <w:r>
        <w:t xml:space="preserve">Under 2014 </w:t>
      </w:r>
      <w:r w:rsidR="00EC1055">
        <w:t xml:space="preserve">kom </w:t>
      </w:r>
      <w:r w:rsidR="00F159C4" w:rsidRPr="00F159C4">
        <w:t xml:space="preserve">den </w:t>
      </w:r>
      <w:r w:rsidR="00EC1055">
        <w:t xml:space="preserve">oväntat </w:t>
      </w:r>
      <w:r w:rsidR="00F159C4" w:rsidRPr="00F159C4">
        <w:t>låga inflationen att väga allt tyngre i de penningpolitiska besluten.</w:t>
      </w:r>
      <w:r w:rsidR="00985913">
        <w:t xml:space="preserve"> Om inflationen under alltför lång tid </w:t>
      </w:r>
      <w:r w:rsidR="002930B3">
        <w:t xml:space="preserve">skulle avvika </w:t>
      </w:r>
      <w:r w:rsidR="00985913">
        <w:t xml:space="preserve">från målet bedömde direktionen att det skulle finnas en risk för att </w:t>
      </w:r>
      <w:r w:rsidR="008A1A5B">
        <w:t xml:space="preserve">inflationsförväntningarna inte förblev förankrade vid inflationsmålet. I så fall skulle </w:t>
      </w:r>
      <w:r w:rsidR="00C91694">
        <w:t xml:space="preserve">inflationsmålets roll som </w:t>
      </w:r>
      <w:r w:rsidR="00985913">
        <w:t>nomi</w:t>
      </w:r>
      <w:r w:rsidR="00C91694">
        <w:t>nellt</w:t>
      </w:r>
      <w:r w:rsidR="00985913">
        <w:t xml:space="preserve"> ankare </w:t>
      </w:r>
      <w:r w:rsidR="008A1A5B">
        <w:t>riskera att</w:t>
      </w:r>
      <w:r w:rsidR="00985913">
        <w:t xml:space="preserve"> </w:t>
      </w:r>
      <w:r w:rsidR="00F430E3">
        <w:t>försvagas</w:t>
      </w:r>
      <w:r w:rsidR="00985913">
        <w:t>.</w:t>
      </w:r>
      <w:r w:rsidR="00EC1055">
        <w:t xml:space="preserve"> </w:t>
      </w:r>
      <w:r w:rsidR="008A1A5B">
        <w:t xml:space="preserve">Sänkningarna av reporäntan </w:t>
      </w:r>
      <w:r w:rsidR="00690617">
        <w:t>ner till noll procent</w:t>
      </w:r>
      <w:r w:rsidR="00EC1055">
        <w:t xml:space="preserve"> syftade </w:t>
      </w:r>
      <w:r w:rsidR="00985913">
        <w:t xml:space="preserve">därför </w:t>
      </w:r>
      <w:r w:rsidR="00EC1055">
        <w:t xml:space="preserve">inte enbart till </w:t>
      </w:r>
      <w:r w:rsidR="00D06C8E">
        <w:t xml:space="preserve">att </w:t>
      </w:r>
      <w:r w:rsidR="00EC1055">
        <w:t>få den faktiska inflationen att stiga utan också till att sända en tydlig</w:t>
      </w:r>
      <w:r w:rsidR="00EC1055" w:rsidRPr="00EC1055">
        <w:t xml:space="preserve"> </w:t>
      </w:r>
      <w:r w:rsidR="00634C6B">
        <w:t xml:space="preserve">signal </w:t>
      </w:r>
      <w:r w:rsidR="00EC1055">
        <w:t xml:space="preserve">om </w:t>
      </w:r>
      <w:r w:rsidR="00F430E3">
        <w:t>det nominella ankarets bet</w:t>
      </w:r>
      <w:r w:rsidR="00F430E3">
        <w:t>y</w:t>
      </w:r>
      <w:r w:rsidR="00F430E3">
        <w:t>delse</w:t>
      </w:r>
      <w:r w:rsidR="00EC1055">
        <w:t xml:space="preserve">. Samtidigt betonade </w:t>
      </w:r>
      <w:r w:rsidR="00985913">
        <w:t>direktionen</w:t>
      </w:r>
      <w:r w:rsidR="00EC1055">
        <w:t xml:space="preserve"> att den låga räntan skulle öka riskerna för att hushållens skulder utvecklas på ett ohållbart </w:t>
      </w:r>
      <w:r w:rsidR="00F430E3">
        <w:t>sätt</w:t>
      </w:r>
      <w:r w:rsidR="00EC1055">
        <w:t xml:space="preserve">. Men </w:t>
      </w:r>
      <w:r w:rsidR="005E130D">
        <w:t>direktionen</w:t>
      </w:r>
      <w:r w:rsidR="00EC1055">
        <w:t xml:space="preserve"> ansåg att ansvaret för att h</w:t>
      </w:r>
      <w:r w:rsidR="000518BF">
        <w:t xml:space="preserve">antera dessa risker </w:t>
      </w:r>
      <w:r w:rsidR="00690617">
        <w:t xml:space="preserve">nu </w:t>
      </w:r>
      <w:r w:rsidR="000518BF">
        <w:t>vilade</w:t>
      </w:r>
      <w:r w:rsidR="00EC1055">
        <w:t xml:space="preserve"> på </w:t>
      </w:r>
      <w:r w:rsidR="005250A5">
        <w:t>reg</w:t>
      </w:r>
      <w:r w:rsidR="005250A5">
        <w:t>e</w:t>
      </w:r>
      <w:r w:rsidR="005250A5">
        <w:t xml:space="preserve">ringen och </w:t>
      </w:r>
      <w:r w:rsidR="00EC1055">
        <w:t>andra myndigheter.</w:t>
      </w:r>
    </w:p>
    <w:p w:rsidR="00FD3669" w:rsidRPr="00FD3669" w:rsidRDefault="00CE2780" w:rsidP="00685A62">
      <w:pPr>
        <w:pStyle w:val="Normaltindrag"/>
      </w:pPr>
      <w:r>
        <w:t xml:space="preserve">I </w:t>
      </w:r>
      <w:r w:rsidR="00F159C4">
        <w:t>följande</w:t>
      </w:r>
      <w:r>
        <w:t xml:space="preserve"> avsnitt redovisas </w:t>
      </w:r>
      <w:r w:rsidR="00E9487D">
        <w:t>mer utförligt</w:t>
      </w:r>
      <w:r>
        <w:t xml:space="preserve"> den ekonomiska utvecklingen och bakgrunden till de penningpolitiska besluten under året.</w:t>
      </w:r>
      <w:r w:rsidR="00FD3669" w:rsidRPr="00FD3669">
        <w:t xml:space="preserve"> </w:t>
      </w:r>
    </w:p>
    <w:p w:rsidR="005129EA" w:rsidRPr="00DA5B8A" w:rsidRDefault="007F2DCD" w:rsidP="00DA5B8A">
      <w:pPr>
        <w:pStyle w:val="R3"/>
        <w:rPr>
          <w:szCs w:val="21"/>
        </w:rPr>
      </w:pPr>
      <w:r w:rsidRPr="00DA5B8A">
        <w:rPr>
          <w:szCs w:val="21"/>
        </w:rPr>
        <w:t xml:space="preserve">Fortsatt </w:t>
      </w:r>
      <w:r w:rsidR="00964507" w:rsidRPr="00DA5B8A">
        <w:rPr>
          <w:szCs w:val="21"/>
        </w:rPr>
        <w:t>expansiv penningpolitik</w:t>
      </w:r>
      <w:r w:rsidRPr="00DA5B8A">
        <w:rPr>
          <w:szCs w:val="21"/>
        </w:rPr>
        <w:t xml:space="preserve"> i inledningen av året</w:t>
      </w:r>
    </w:p>
    <w:p w:rsidR="000D29A5" w:rsidRDefault="00DB0EF7" w:rsidP="002651BA">
      <w:r>
        <w:t xml:space="preserve">I </w:t>
      </w:r>
      <w:r w:rsidR="00263A67">
        <w:t xml:space="preserve">december 2013 var reporäntan 0,75 procent. Den hade då gradvis anpassats nedåt från 2 procent hösten 2011 på grund av </w:t>
      </w:r>
      <w:r>
        <w:t>försämrade konjunkturutsikter till följd av den europeiska skuldkrisen och ett allt lägre inflationstryck</w:t>
      </w:r>
      <w:r w:rsidR="00E17B84">
        <w:t>.</w:t>
      </w:r>
    </w:p>
    <w:p w:rsidR="002651BA" w:rsidRDefault="00E113D5" w:rsidP="00E90FB0">
      <w:pPr>
        <w:pStyle w:val="Normaltindrag"/>
      </w:pPr>
      <w:r>
        <w:t xml:space="preserve">I inledningen av </w:t>
      </w:r>
      <w:r w:rsidR="00964507">
        <w:t xml:space="preserve">2014 kunde </w:t>
      </w:r>
      <w:r w:rsidR="00DB0EF7">
        <w:t>direktion</w:t>
      </w:r>
      <w:r w:rsidR="007A0743">
        <w:t>en</w:t>
      </w:r>
      <w:r w:rsidR="00964507">
        <w:t xml:space="preserve"> konstatera att </w:t>
      </w:r>
      <w:r w:rsidR="00DB0EF7">
        <w:t>utsikterna för en återhämtning av konjunkturen</w:t>
      </w:r>
      <w:r w:rsidR="00D30A73">
        <w:t xml:space="preserve"> var goda</w:t>
      </w:r>
      <w:r w:rsidR="00DB0EF7">
        <w:t xml:space="preserve"> i omvärlden. I euroområdet bedömdes återhämtning</w:t>
      </w:r>
      <w:r w:rsidR="00D30A73">
        <w:t>en</w:t>
      </w:r>
      <w:r w:rsidR="00DB0EF7">
        <w:t xml:space="preserve"> ske i långsam takt, medan tillväxtutsikterna var desto bättre </w:t>
      </w:r>
      <w:r w:rsidR="00E07CDB">
        <w:t>på</w:t>
      </w:r>
      <w:r w:rsidR="00DB0EF7">
        <w:t xml:space="preserve"> andra viktiga svenska exportmarknader, som USA och Storbri</w:t>
      </w:r>
      <w:r w:rsidR="000D29A5">
        <w:t xml:space="preserve">tannien. </w:t>
      </w:r>
      <w:r w:rsidR="00917F50">
        <w:t>Inflationen i omvärlden hade sjunkit de senaste åren men väntades stiga gra</w:t>
      </w:r>
      <w:r w:rsidR="00917F50">
        <w:t>d</w:t>
      </w:r>
      <w:r w:rsidR="00917F50">
        <w:t>vis i takt med att konjunkturen stärktes.</w:t>
      </w:r>
    </w:p>
    <w:p w:rsidR="002651BA" w:rsidRDefault="000D29A5" w:rsidP="00E90FB0">
      <w:pPr>
        <w:pStyle w:val="Normaltindrag"/>
      </w:pPr>
      <w:r>
        <w:t xml:space="preserve">Efter några år med svag tillväxt bedömde </w:t>
      </w:r>
      <w:r w:rsidR="00F96D76">
        <w:t>direktionen</w:t>
      </w:r>
      <w:r>
        <w:t xml:space="preserve"> </w:t>
      </w:r>
      <w:r w:rsidR="003E2F0A">
        <w:t>vid det penning</w:t>
      </w:r>
      <w:r w:rsidR="001B7F13">
        <w:softHyphen/>
      </w:r>
      <w:r w:rsidR="003E2F0A">
        <w:t xml:space="preserve">politiska mötet i februari </w:t>
      </w:r>
      <w:r>
        <w:t>att utsikterna var goda för Sveriges ekonomi. Fö</w:t>
      </w:r>
      <w:r>
        <w:t>r</w:t>
      </w:r>
      <w:r>
        <w:t xml:space="preserve">troendet steg </w:t>
      </w:r>
      <w:r w:rsidR="005A402D">
        <w:t>bland</w:t>
      </w:r>
      <w:r>
        <w:t xml:space="preserve"> svenska företag och hushåll samtidigt som arbetsmark</w:t>
      </w:r>
      <w:r w:rsidR="00456A29">
        <w:softHyphen/>
      </w:r>
      <w:r>
        <w:t>n</w:t>
      </w:r>
      <w:r>
        <w:t>a</w:t>
      </w:r>
      <w:r>
        <w:t xml:space="preserve">den förbättrades. Tillsammans med en omvärldsefterfrågan </w:t>
      </w:r>
      <w:r w:rsidR="003575AC">
        <w:t>som gradvis stär</w:t>
      </w:r>
      <w:r w:rsidR="003575AC">
        <w:t>k</w:t>
      </w:r>
      <w:r w:rsidR="003575AC">
        <w:t xml:space="preserve">tes </w:t>
      </w:r>
      <w:r>
        <w:t xml:space="preserve">fanns förutsättningarna på plats för </w:t>
      </w:r>
      <w:r w:rsidR="003575AC">
        <w:t xml:space="preserve">att </w:t>
      </w:r>
      <w:r>
        <w:t>tillväxten i Sverige skulle ta fart 2014.</w:t>
      </w:r>
    </w:p>
    <w:p w:rsidR="002651BA" w:rsidRDefault="000D29A5" w:rsidP="00E90FB0">
      <w:pPr>
        <w:pStyle w:val="Normaltindrag"/>
      </w:pPr>
      <w:r>
        <w:t>Trots de förbättrade konjunkturutsikterna var inflationen fortsatt låg. En orsak till detta var att prisökningarna i företagen var låga i förhåll</w:t>
      </w:r>
      <w:r w:rsidR="00CF4F4B">
        <w:t xml:space="preserve">ande till kostnadsutvecklingen. </w:t>
      </w:r>
      <w:r>
        <w:t xml:space="preserve">Bedömningen var ändå att företagen skulle kunna föra över </w:t>
      </w:r>
      <w:r w:rsidR="0082263F">
        <w:t xml:space="preserve">sina </w:t>
      </w:r>
      <w:r>
        <w:t>kostnadsökningar till konsumentpriser</w:t>
      </w:r>
      <w:r w:rsidR="00D30A73">
        <w:t>na</w:t>
      </w:r>
      <w:r>
        <w:t xml:space="preserve"> </w:t>
      </w:r>
      <w:r w:rsidR="007A0743">
        <w:t>när konjunkturen förbät</w:t>
      </w:r>
      <w:r w:rsidR="007A0743">
        <w:t>t</w:t>
      </w:r>
      <w:r w:rsidR="007A0743">
        <w:t>rades</w:t>
      </w:r>
      <w:r>
        <w:t>.</w:t>
      </w:r>
    </w:p>
    <w:p w:rsidR="00213BC8" w:rsidRDefault="00E17B84" w:rsidP="001B7F13">
      <w:pPr>
        <w:pStyle w:val="Normaltindrag"/>
        <w:suppressAutoHyphens/>
      </w:pPr>
      <w:r>
        <w:t xml:space="preserve">En faktor som </w:t>
      </w:r>
      <w:r w:rsidR="00A04F9E">
        <w:t>direktionen har</w:t>
      </w:r>
      <w:r w:rsidR="00CF4F4B">
        <w:t xml:space="preserve"> </w:t>
      </w:r>
      <w:r w:rsidR="00A04F9E">
        <w:t xml:space="preserve">diskuterat </w:t>
      </w:r>
      <w:r w:rsidR="00E74C9C">
        <w:t>mycket vid</w:t>
      </w:r>
      <w:r>
        <w:t xml:space="preserve"> de senaste årens räntebeslut är hushållens höga skul</w:t>
      </w:r>
      <w:r w:rsidR="00E74C9C">
        <w:t>dsättning</w:t>
      </w:r>
      <w:r w:rsidR="00606722">
        <w:t xml:space="preserve"> </w:t>
      </w:r>
      <w:r w:rsidR="00606722" w:rsidRPr="00160B4C">
        <w:t>(se diagram 1</w:t>
      </w:r>
      <w:r w:rsidR="00606722">
        <w:t>)</w:t>
      </w:r>
      <w:r>
        <w:t xml:space="preserve">. </w:t>
      </w:r>
      <w:r w:rsidR="00DC3DE7" w:rsidRPr="00DC3DE7">
        <w:t>Utvecklingen av hushållens skulder hänger sam</w:t>
      </w:r>
      <w:r w:rsidR="003575AC">
        <w:t>man med utvecklingen av bo</w:t>
      </w:r>
      <w:r w:rsidR="00DC3DE7" w:rsidRPr="00DC3DE7">
        <w:t xml:space="preserve">stadspriserna, vilket </w:t>
      </w:r>
      <w:r w:rsidR="003575AC">
        <w:t xml:space="preserve">beror på att </w:t>
      </w:r>
      <w:r w:rsidR="00DC3DE7" w:rsidRPr="00DC3DE7">
        <w:t xml:space="preserve">bostadsköp till stor del är </w:t>
      </w:r>
      <w:r w:rsidR="00DC3DE7" w:rsidRPr="00160B4C">
        <w:t>lånefinansierade.</w:t>
      </w:r>
      <w:r w:rsidRPr="00160B4C">
        <w:t xml:space="preserve"> </w:t>
      </w:r>
      <w:r w:rsidR="00E74C9C" w:rsidRPr="00160B4C">
        <w:t>De</w:t>
      </w:r>
      <w:r w:rsidR="00E74C9C" w:rsidRPr="00E74C9C">
        <w:t xml:space="preserve"> penning</w:t>
      </w:r>
      <w:r w:rsidR="001B7F13">
        <w:softHyphen/>
      </w:r>
      <w:r w:rsidR="00E74C9C" w:rsidRPr="00E74C9C">
        <w:t>politiska beslut</w:t>
      </w:r>
      <w:r w:rsidR="00E74C9C">
        <w:t>en</w:t>
      </w:r>
      <w:r w:rsidR="00E74C9C" w:rsidRPr="00E74C9C">
        <w:t xml:space="preserve"> har </w:t>
      </w:r>
      <w:r w:rsidR="00E74C9C">
        <w:t>inneburit avvägningar mel</w:t>
      </w:r>
      <w:r w:rsidR="00E74C9C" w:rsidRPr="00E74C9C">
        <w:t>lan att</w:t>
      </w:r>
      <w:r w:rsidR="002328D4">
        <w:t xml:space="preserve"> på kort sikt</w:t>
      </w:r>
      <w:r w:rsidR="00E74C9C" w:rsidRPr="00E74C9C">
        <w:t xml:space="preserve"> stabilisera inflationen och </w:t>
      </w:r>
      <w:r w:rsidR="002328D4">
        <w:t>att</w:t>
      </w:r>
      <w:r w:rsidR="00E74C9C" w:rsidRPr="00E74C9C">
        <w:t xml:space="preserve"> ta hänsyn till de effekter som räntan har på hushållens skuldsättning och därigenom risken för ett ofördelaktigt scenario längre fram.</w:t>
      </w:r>
    </w:p>
    <w:p w:rsidR="0073707E" w:rsidRDefault="0073707E" w:rsidP="0073707E">
      <w:pPr>
        <w:pStyle w:val="Diagramrubrik"/>
      </w:pPr>
      <w:r w:rsidRPr="007C3E7B">
        <w:t xml:space="preserve">Diagram 1. </w:t>
      </w:r>
      <w:r w:rsidRPr="00BD0E24">
        <w:t>Hushållens</w:t>
      </w:r>
      <w:r w:rsidRPr="007C3E7B">
        <w:t xml:space="preserve"> skulder, procent av disponibel inkomst </w:t>
      </w:r>
    </w:p>
    <w:p w:rsidR="0073707E" w:rsidRPr="00FF54BD" w:rsidRDefault="00A12E15" w:rsidP="0073707E">
      <w:r w:rsidRPr="004A044B">
        <w:rPr>
          <w:noProof/>
        </w:rPr>
        <w:drawing>
          <wp:inline distT="0" distB="0" distL="0" distR="0">
            <wp:extent cx="3781425" cy="2466975"/>
            <wp:effectExtent l="0" t="0" r="952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73707E" w:rsidRPr="00DC3DE7" w:rsidRDefault="0073707E" w:rsidP="0073707E">
      <w:pPr>
        <w:pStyle w:val="Fotnotstext"/>
        <w:rPr>
          <w:szCs w:val="17"/>
        </w:rPr>
      </w:pPr>
      <w:r w:rsidRPr="00FE6C77">
        <w:t>Anm. S</w:t>
      </w:r>
      <w:r>
        <w:rPr>
          <w:szCs w:val="17"/>
        </w:rPr>
        <w:t xml:space="preserve">kulderna avser totala skulder. </w:t>
      </w:r>
    </w:p>
    <w:p w:rsidR="0073707E" w:rsidRPr="00A04F9E" w:rsidRDefault="0073707E" w:rsidP="0073707E">
      <w:pPr>
        <w:pStyle w:val="Fotnotstext"/>
        <w:rPr>
          <w:lang w:eastAsia="x-none"/>
        </w:rPr>
      </w:pPr>
      <w:r w:rsidRPr="00FE6C77">
        <w:t>Källor: SCB och Riksbanken</w:t>
      </w:r>
      <w:r>
        <w:rPr>
          <w:lang w:eastAsia="x-none"/>
        </w:rPr>
        <w:t>.</w:t>
      </w:r>
    </w:p>
    <w:p w:rsidR="00EC0C6E" w:rsidRDefault="00EC0C6E" w:rsidP="00EC0C6E">
      <w:pPr>
        <w:pStyle w:val="Fotnotstextindrag"/>
        <w:rPr>
          <w:lang w:eastAsia="x-none"/>
        </w:rPr>
      </w:pPr>
    </w:p>
    <w:p w:rsidR="00EC0C6E" w:rsidRDefault="00EC0C6E" w:rsidP="00EC0C6E">
      <w:pPr>
        <w:pStyle w:val="Normaltindrag"/>
        <w:spacing w:before="62"/>
        <w:ind w:firstLine="0"/>
      </w:pPr>
    </w:p>
    <w:p w:rsidR="00EC0C6E" w:rsidRDefault="00EC0C6E" w:rsidP="00EC0C6E">
      <w:pPr>
        <w:pStyle w:val="Normaltindrag"/>
        <w:spacing w:before="62"/>
        <w:ind w:firstLine="0"/>
      </w:pPr>
    </w:p>
    <w:p w:rsidR="00213BC8" w:rsidRDefault="00213BC8" w:rsidP="009B57A3">
      <w:pPr>
        <w:pStyle w:val="Normaltindrag"/>
        <w:suppressAutoHyphens/>
        <w:spacing w:before="62"/>
        <w:ind w:firstLine="0"/>
      </w:pPr>
      <w:r>
        <w:t>Inför det penningpolitiska mötet i april bekräftade nyinkommen informa</w:t>
      </w:r>
      <w:r>
        <w:t>t</w:t>
      </w:r>
      <w:r>
        <w:t>ion att utvecklingen i omvärlden fortsatte att förbättras i linje med tidigare bedömningar. Inflationen i omvärlden var dock fortsatt låg och kostnads</w:t>
      </w:r>
      <w:r w:rsidR="009B57A3">
        <w:softHyphen/>
      </w:r>
      <w:r>
        <w:t>trycket bedömdes förbli relativt måttligt framöver.</w:t>
      </w:r>
    </w:p>
    <w:p w:rsidR="00213BC8" w:rsidRDefault="00213BC8" w:rsidP="00213BC8">
      <w:pPr>
        <w:pStyle w:val="Normaltindrag"/>
      </w:pPr>
      <w:r>
        <w:t xml:space="preserve">Ett starkt BNP-utfall för fjärde kvartalet </w:t>
      </w:r>
      <w:r w:rsidR="00B91B91">
        <w:t xml:space="preserve">2013 </w:t>
      </w:r>
      <w:r>
        <w:t xml:space="preserve">hade kommit </w:t>
      </w:r>
      <w:r w:rsidR="00A944A7">
        <w:t xml:space="preserve">in </w:t>
      </w:r>
      <w:r>
        <w:t>sedan det senaste penningpolitiska mötet i februari. Direktionen såg det som ytterligare ett tecken på att konjunkturåterhämtningen inletts i Sverige. Därutöver var konsumentförtroendet relativt gott. I stort sett stod sig bilden av konjunktur</w:t>
      </w:r>
      <w:r w:rsidR="001B7F13">
        <w:softHyphen/>
      </w:r>
      <w:r>
        <w:t xml:space="preserve">utsikterna från februarimötet. Även </w:t>
      </w:r>
      <w:r w:rsidR="001D6B74">
        <w:t xml:space="preserve">i fråga om </w:t>
      </w:r>
      <w:r>
        <w:t>arbetsmarknadsu</w:t>
      </w:r>
      <w:r>
        <w:t>t</w:t>
      </w:r>
      <w:r>
        <w:t>vecklingen var utsikterna oförändrade</w:t>
      </w:r>
      <w:r w:rsidR="00B91B91">
        <w:t xml:space="preserve"> mellan februari och april</w:t>
      </w:r>
      <w:r>
        <w:t>.</w:t>
      </w:r>
    </w:p>
    <w:p w:rsidR="007D7060" w:rsidRDefault="00213BC8" w:rsidP="007D7060">
      <w:pPr>
        <w:pStyle w:val="Normaltindrag"/>
      </w:pPr>
      <w:r>
        <w:t>Men liksom vid mötet i februari kunde direktionen konstatera att infla</w:t>
      </w:r>
      <w:r w:rsidR="00456A29">
        <w:softHyphen/>
      </w:r>
      <w:r>
        <w:t>ti</w:t>
      </w:r>
      <w:r>
        <w:t>o</w:t>
      </w:r>
      <w:r>
        <w:t xml:space="preserve">nen var fortsatt låg, trots </w:t>
      </w:r>
      <w:r w:rsidR="00D30A73">
        <w:t>att</w:t>
      </w:r>
      <w:r>
        <w:t xml:space="preserve"> konjunkturutsikterna</w:t>
      </w:r>
      <w:r w:rsidR="00D30A73">
        <w:t xml:space="preserve"> förbättrats</w:t>
      </w:r>
      <w:r>
        <w:t>. Inflationen de senaste månaderna hade blivit lägre än prognosen i fe</w:t>
      </w:r>
      <w:r w:rsidR="00D30A73">
        <w:t>bruari, vilket gjorde att</w:t>
      </w:r>
      <w:r>
        <w:t xml:space="preserve"> inflationsprognosen </w:t>
      </w:r>
      <w:r w:rsidR="00D30A73">
        <w:t xml:space="preserve">reviderades ned något </w:t>
      </w:r>
      <w:r>
        <w:t>(se diagram 2). Konjunkturutsi</w:t>
      </w:r>
      <w:r>
        <w:t>k</w:t>
      </w:r>
      <w:r>
        <w:t xml:space="preserve">terna framöver talade även denna gång för att företagen </w:t>
      </w:r>
      <w:r w:rsidR="00DB1E61">
        <w:t xml:space="preserve">framöver </w:t>
      </w:r>
      <w:r>
        <w:t xml:space="preserve">skulle börja höja priserna i </w:t>
      </w:r>
      <w:r w:rsidR="00CD51EF">
        <w:t xml:space="preserve">större </w:t>
      </w:r>
      <w:r>
        <w:t>utsträckning.</w:t>
      </w:r>
    </w:p>
    <w:p w:rsidR="00EC0C6E" w:rsidRPr="00CD4DAA" w:rsidRDefault="00EC0C6E" w:rsidP="00EC0C6E">
      <w:pPr>
        <w:pStyle w:val="Diagramrubrik"/>
      </w:pPr>
      <w:r w:rsidRPr="007C3E7B">
        <w:t>Diagram</w:t>
      </w:r>
      <w:r>
        <w:t xml:space="preserve"> 2. KPIF och KPIF-prognoser under 2014, årlig procentuell förändring</w:t>
      </w:r>
    </w:p>
    <w:p w:rsidR="00EC0C6E" w:rsidRPr="00CF4895" w:rsidRDefault="00A12E15" w:rsidP="00EC0C6E">
      <w:pPr>
        <w:pStyle w:val="Normaltindrag"/>
        <w:ind w:firstLine="0"/>
        <w:rPr>
          <w:lang w:eastAsia="x-none"/>
        </w:rPr>
      </w:pPr>
      <w:r w:rsidRPr="00B15841">
        <w:rPr>
          <w:noProof/>
        </w:rPr>
        <w:drawing>
          <wp:inline distT="0" distB="0" distL="0" distR="0">
            <wp:extent cx="3781425" cy="2466975"/>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EC0C6E" w:rsidRDefault="00EC0C6E" w:rsidP="00EC0C6E">
      <w:pPr>
        <w:pStyle w:val="Fotnotstext"/>
        <w:rPr>
          <w:lang w:eastAsia="x-none"/>
        </w:rPr>
      </w:pPr>
      <w:r>
        <w:t xml:space="preserve">Anm. KPIF är KPI med </w:t>
      </w:r>
      <w:r>
        <w:rPr>
          <w:lang w:eastAsia="x-none"/>
        </w:rPr>
        <w:t>fast bostadsränta.</w:t>
      </w:r>
      <w:r w:rsidRPr="004233C6">
        <w:rPr>
          <w:lang w:eastAsia="x-none"/>
        </w:rPr>
        <w:t xml:space="preserve"> </w:t>
      </w:r>
      <w:r w:rsidRPr="00C43BA1">
        <w:rPr>
          <w:lang w:val="x-none" w:eastAsia="x-none"/>
        </w:rPr>
        <w:t>De streckade linjerna avser Riksbankens prognoser.</w:t>
      </w:r>
    </w:p>
    <w:p w:rsidR="00EC0C6E" w:rsidRPr="004233C6" w:rsidRDefault="00EC0C6E" w:rsidP="00EC0C6E">
      <w:pPr>
        <w:pStyle w:val="Fotnotstext"/>
        <w:rPr>
          <w:lang w:val="x-none" w:eastAsia="x-none"/>
        </w:rPr>
      </w:pPr>
      <w:r w:rsidRPr="004263A1">
        <w:t>Käll</w:t>
      </w:r>
      <w:r w:rsidRPr="004233C6">
        <w:rPr>
          <w:lang w:val="x-none" w:eastAsia="x-none"/>
        </w:rPr>
        <w:t>or</w:t>
      </w:r>
      <w:r w:rsidRPr="004263A1">
        <w:rPr>
          <w:lang w:val="x-none" w:eastAsia="x-none"/>
        </w:rPr>
        <w:t>: SCB</w:t>
      </w:r>
      <w:r w:rsidRPr="004233C6">
        <w:rPr>
          <w:lang w:val="x-none" w:eastAsia="x-none"/>
        </w:rPr>
        <w:t xml:space="preserve"> och Riksbanken</w:t>
      </w:r>
      <w:r w:rsidRPr="004263A1">
        <w:rPr>
          <w:lang w:val="x-none" w:eastAsia="x-none"/>
        </w:rPr>
        <w:t>.</w:t>
      </w:r>
    </w:p>
    <w:p w:rsidR="00EC0C6E" w:rsidRDefault="00EC0C6E" w:rsidP="00EC0C6E">
      <w:pPr>
        <w:pStyle w:val="Fotnotstextindrag"/>
        <w:rPr>
          <w:lang w:eastAsia="x-none"/>
        </w:rPr>
      </w:pPr>
    </w:p>
    <w:p w:rsidR="007D7060" w:rsidRDefault="007D7060" w:rsidP="00EC0C6E">
      <w:pPr>
        <w:pStyle w:val="Normaltindrag"/>
        <w:suppressAutoHyphens/>
        <w:spacing w:before="62"/>
        <w:ind w:firstLine="0"/>
      </w:pPr>
      <w:r>
        <w:t>Direktionens avvägning mellan att kortsiktigt stabilisera inflationen och samtidigt ta hänsyn till riskerna förknippade med hushållens skuldsättning hade blivit än mer komplicerad inför det penningpolitiska mötet i april. Detta berodde på att inflationen bedömdes bli lägre samtidigt som hushållens skulder bedömdes öka något snabbare än i föregående prognos. Direktionen konstaterade att den låga inflationen gjorde att penningpolitiken i mindre u</w:t>
      </w:r>
      <w:r>
        <w:t>t</w:t>
      </w:r>
      <w:r>
        <w:t>sträckning än tidigare kunde användas till att hantera riskerna förknippade med hushållens skuldsättning. Därför bedömdes det som mycket angeläget att åtgärder vidtogs inom andra politikområden.</w:t>
      </w:r>
    </w:p>
    <w:p w:rsidR="007D7060" w:rsidRDefault="007D7060" w:rsidP="007D7060">
      <w:pPr>
        <w:pStyle w:val="Normaltindrag"/>
      </w:pPr>
      <w:r>
        <w:t>Mot denna bakgrund beslutade direktionen vid det penningpolitiska mötet i april att lämna reporäntan oförändrad på 0,75 procent (se diagram 3). Men de överraskande låga inflationsutfallen hade ökat osäkerheten om hur snabbt inflationen skulle stiga, vilket ledde till en nedrevidering av reporänte</w:t>
      </w:r>
      <w:r w:rsidR="001A6F5B">
        <w:softHyphen/>
      </w:r>
      <w:r>
        <w:t>progn</w:t>
      </w:r>
      <w:r>
        <w:t>o</w:t>
      </w:r>
      <w:r>
        <w:t>sen på kort sikt.</w:t>
      </w:r>
    </w:p>
    <w:p w:rsidR="00213BC8" w:rsidRPr="00E235CF" w:rsidRDefault="00213BC8" w:rsidP="00B51D40">
      <w:pPr>
        <w:pStyle w:val="Diagramrubrik"/>
        <w:rPr>
          <w:b w:val="0"/>
        </w:rPr>
      </w:pPr>
      <w:r w:rsidRPr="007C3E7B">
        <w:t xml:space="preserve">Diagram 3. Reporänteutfall och reporänteprognoser under 2014, procent </w:t>
      </w:r>
    </w:p>
    <w:p w:rsidR="00213BC8" w:rsidRPr="00E235CF" w:rsidRDefault="00A12E15" w:rsidP="00213BC8">
      <w:pPr>
        <w:keepNext/>
        <w:spacing w:before="120"/>
        <w:rPr>
          <w:szCs w:val="24"/>
        </w:rPr>
      </w:pPr>
      <w:r w:rsidRPr="00B15841">
        <w:rPr>
          <w:noProof/>
        </w:rPr>
        <w:drawing>
          <wp:inline distT="0" distB="0" distL="0" distR="0">
            <wp:extent cx="3781425" cy="2466975"/>
            <wp:effectExtent l="0" t="0" r="952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213BC8" w:rsidRPr="00E235CF" w:rsidRDefault="00213BC8" w:rsidP="00B51D40">
      <w:pPr>
        <w:pStyle w:val="Fotnotstext"/>
        <w:rPr>
          <w:lang w:val="x-none" w:eastAsia="x-none"/>
        </w:rPr>
      </w:pPr>
      <w:r w:rsidRPr="00E235CF">
        <w:t xml:space="preserve">Anm. </w:t>
      </w:r>
      <w:r w:rsidRPr="00C43BA1">
        <w:rPr>
          <w:lang w:val="x-none" w:eastAsia="x-none"/>
        </w:rPr>
        <w:t>De streckade linjerna avser Riksbankens prognoser.</w:t>
      </w:r>
    </w:p>
    <w:p w:rsidR="00213BC8" w:rsidRPr="0093763B" w:rsidRDefault="00213BC8" w:rsidP="00B51D40">
      <w:pPr>
        <w:pStyle w:val="Fotnotstext"/>
        <w:rPr>
          <w:lang w:val="x-none" w:eastAsia="x-none"/>
        </w:rPr>
      </w:pPr>
      <w:r w:rsidRPr="00E235CF">
        <w:t>Källa: Riksbanken.</w:t>
      </w:r>
    </w:p>
    <w:p w:rsidR="00A70F13" w:rsidRPr="00DA5B8A" w:rsidRDefault="00EC0C6E" w:rsidP="00DA5B8A">
      <w:pPr>
        <w:pStyle w:val="R3"/>
        <w:rPr>
          <w:szCs w:val="21"/>
        </w:rPr>
      </w:pPr>
      <w:r>
        <w:rPr>
          <w:szCs w:val="21"/>
        </w:rPr>
        <w:t>Låg inflation</w:t>
      </w:r>
      <w:r w:rsidR="002F196D">
        <w:rPr>
          <w:szCs w:val="21"/>
        </w:rPr>
        <w:t xml:space="preserve"> gav </w:t>
      </w:r>
      <w:r w:rsidR="00A70F13" w:rsidRPr="00DA5B8A">
        <w:rPr>
          <w:szCs w:val="21"/>
        </w:rPr>
        <w:t>räntesänkning i juli</w:t>
      </w:r>
      <w:r w:rsidR="007F2DCD" w:rsidRPr="00DA5B8A">
        <w:rPr>
          <w:szCs w:val="21"/>
        </w:rPr>
        <w:t xml:space="preserve"> </w:t>
      </w:r>
    </w:p>
    <w:p w:rsidR="008F0685" w:rsidRDefault="00DF5361" w:rsidP="00B51D40">
      <w:r>
        <w:t>Bilden av konjunkturutsikterna såväl i Sverige som i omvärlden var relativt oförändrad inför det penningpoliti</w:t>
      </w:r>
      <w:r w:rsidR="00D558C7">
        <w:t xml:space="preserve">ska mötet i juli. </w:t>
      </w:r>
      <w:r w:rsidR="00ED3C7A">
        <w:t>Men direktionen gjorde nu bedömningen att inflationstrycket skulle bli betydligt lägre än vad man tidi</w:t>
      </w:r>
      <w:r w:rsidR="00456A29">
        <w:softHyphen/>
      </w:r>
      <w:r w:rsidR="00ED3C7A">
        <w:t>g</w:t>
      </w:r>
      <w:r w:rsidR="00ED3C7A">
        <w:t>a</w:t>
      </w:r>
      <w:r w:rsidR="00ED3C7A">
        <w:t xml:space="preserve">re trott och att penningpolitiken därför behövde bli mer expansiv. </w:t>
      </w:r>
      <w:r w:rsidR="00ED3C7A" w:rsidRPr="00180637">
        <w:t>Det fanns en rad samverkande faktorer som bidrog</w:t>
      </w:r>
      <w:r w:rsidR="00ED3C7A">
        <w:t xml:space="preserve"> till</w:t>
      </w:r>
      <w:r w:rsidR="00ED3C7A" w:rsidRPr="00180637">
        <w:t xml:space="preserve"> detta</w:t>
      </w:r>
      <w:r w:rsidR="00ED3C7A">
        <w:t>.</w:t>
      </w:r>
      <w:r w:rsidR="00ED3C7A" w:rsidRPr="00ED3C7A">
        <w:t xml:space="preserve"> </w:t>
      </w:r>
      <w:r w:rsidR="00ED3C7A">
        <w:t xml:space="preserve">En sådan faktor var att inflationsutfallen hade fortsatt att </w:t>
      </w:r>
      <w:r w:rsidR="00CD51EF">
        <w:t xml:space="preserve">vara </w:t>
      </w:r>
      <w:r w:rsidR="00ED3C7A">
        <w:t>lägre än vad både Riksba</w:t>
      </w:r>
      <w:r w:rsidR="00ED3C7A">
        <w:t>n</w:t>
      </w:r>
      <w:r w:rsidR="00ED3C7A">
        <w:t xml:space="preserve">ken och marknadsaktörerna hade förväntat </w:t>
      </w:r>
      <w:r w:rsidR="00ED3C7A" w:rsidRPr="00160B4C">
        <w:t>sig</w:t>
      </w:r>
      <w:r w:rsidR="00F0024C">
        <w:t>.</w:t>
      </w:r>
      <w:r w:rsidR="00ED3C7A" w:rsidRPr="00ED3C7A">
        <w:t xml:space="preserve"> Sedan det pe</w:t>
      </w:r>
      <w:r w:rsidR="00ED3C7A">
        <w:t>nningpolitiska mötet i april hade</w:t>
      </w:r>
      <w:r w:rsidR="00ED3C7A" w:rsidRPr="00ED3C7A">
        <w:t xml:space="preserve"> det </w:t>
      </w:r>
      <w:r w:rsidR="00574DEC">
        <w:t>publicerats</w:t>
      </w:r>
      <w:r w:rsidR="00ED3C7A" w:rsidRPr="00ED3C7A">
        <w:t xml:space="preserve"> tre </w:t>
      </w:r>
      <w:r w:rsidR="00F0024C">
        <w:t xml:space="preserve">nya </w:t>
      </w:r>
      <w:r w:rsidR="00ED3C7A">
        <w:t>inflations</w:t>
      </w:r>
      <w:r w:rsidR="00ED3C7A" w:rsidRPr="00ED3C7A">
        <w:t xml:space="preserve">utfall </w:t>
      </w:r>
      <w:r w:rsidR="00694258">
        <w:t xml:space="preserve">för </w:t>
      </w:r>
      <w:r w:rsidR="00574DEC">
        <w:t>mars, april och maj</w:t>
      </w:r>
      <w:r w:rsidR="008F0685">
        <w:t xml:space="preserve"> som</w:t>
      </w:r>
      <w:r w:rsidR="00574DEC">
        <w:t xml:space="preserve"> </w:t>
      </w:r>
      <w:r w:rsidR="00ED3C7A" w:rsidRPr="00ED3C7A">
        <w:t xml:space="preserve">alla </w:t>
      </w:r>
      <w:r w:rsidR="00F0024C">
        <w:t>var</w:t>
      </w:r>
      <w:r w:rsidR="00ED3C7A" w:rsidRPr="00ED3C7A">
        <w:t xml:space="preserve"> lägre än </w:t>
      </w:r>
      <w:r w:rsidR="00574DEC">
        <w:t xml:space="preserve">Riksbankens </w:t>
      </w:r>
      <w:r w:rsidR="00ED3C7A" w:rsidRPr="00ED3C7A">
        <w:t>prognos</w:t>
      </w:r>
      <w:r w:rsidR="00ED3C7A" w:rsidRPr="00160B4C">
        <w:t xml:space="preserve"> (se diagram 4).</w:t>
      </w:r>
      <w:r w:rsidR="00ED3C7A">
        <w:t xml:space="preserve"> </w:t>
      </w:r>
    </w:p>
    <w:p w:rsidR="00EC4FA6" w:rsidRPr="00515CF6" w:rsidRDefault="00EC4FA6" w:rsidP="00EC4FA6">
      <w:pPr>
        <w:pStyle w:val="Diagramrubrik"/>
      </w:pPr>
      <w:r w:rsidRPr="007C3E7B">
        <w:t xml:space="preserve">Diagram </w:t>
      </w:r>
      <w:r>
        <w:t>4. Riksbankens och marknadens kortsiktsprognoser för infla</w:t>
      </w:r>
      <w:r w:rsidR="00CB7E25">
        <w:softHyphen/>
      </w:r>
      <w:r>
        <w:t>t</w:t>
      </w:r>
      <w:r>
        <w:t xml:space="preserve">ionen, årlig procentuell förändring </w:t>
      </w:r>
    </w:p>
    <w:p w:rsidR="00EC4FA6" w:rsidRDefault="00A12E15" w:rsidP="00EC4FA6">
      <w:pPr>
        <w:pStyle w:val="KllaAnmrkning"/>
      </w:pPr>
      <w:r w:rsidRPr="00FA7DE4">
        <w:rPr>
          <w:noProof/>
        </w:rPr>
        <w:drawing>
          <wp:inline distT="0" distB="0" distL="0" distR="0">
            <wp:extent cx="3781425" cy="2466975"/>
            <wp:effectExtent l="0" t="0" r="9525"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EC4FA6" w:rsidRPr="00DC3DE7" w:rsidRDefault="00EC4FA6" w:rsidP="00EC4FA6">
      <w:pPr>
        <w:pStyle w:val="Fotnotstext"/>
        <w:rPr>
          <w:lang w:eastAsia="x-none"/>
        </w:rPr>
      </w:pPr>
      <w:r w:rsidRPr="00DC3DE7">
        <w:t>Anm. Riksbankens prognoser enligt senast publicerad prognos och marknadsför</w:t>
      </w:r>
      <w:r w:rsidR="000341D5">
        <w:softHyphen/>
      </w:r>
      <w:r w:rsidRPr="00DC3DE7">
        <w:t>vän</w:t>
      </w:r>
      <w:r w:rsidRPr="00DC3DE7">
        <w:rPr>
          <w:lang w:eastAsia="x-none"/>
        </w:rPr>
        <w:t>tningar, jämfört med utfall. Riksbankens siffror är inte helt jämförbara med mar</w:t>
      </w:r>
      <w:r w:rsidRPr="00DC3DE7">
        <w:rPr>
          <w:lang w:eastAsia="x-none"/>
        </w:rPr>
        <w:t>k</w:t>
      </w:r>
      <w:r w:rsidRPr="00DC3DE7">
        <w:rPr>
          <w:lang w:eastAsia="x-none"/>
        </w:rPr>
        <w:t>nad</w:t>
      </w:r>
      <w:r w:rsidRPr="00DC3DE7">
        <w:rPr>
          <w:lang w:eastAsia="x-none"/>
        </w:rPr>
        <w:t>s</w:t>
      </w:r>
      <w:r w:rsidRPr="00DC3DE7">
        <w:rPr>
          <w:lang w:eastAsia="x-none"/>
        </w:rPr>
        <w:t>aktörernas förväntningar eftersom Riksbankens prognoser ofta är äldre.</w:t>
      </w:r>
    </w:p>
    <w:p w:rsidR="00EC4FA6" w:rsidRDefault="00EC4FA6" w:rsidP="00EC4FA6">
      <w:pPr>
        <w:pStyle w:val="Fotnotstext"/>
        <w:rPr>
          <w:lang w:eastAsia="x-none"/>
        </w:rPr>
      </w:pPr>
      <w:r w:rsidRPr="00DC3DE7">
        <w:t xml:space="preserve">Källor: Bloomberg, </w:t>
      </w:r>
      <w:r w:rsidRPr="00DC3DE7">
        <w:rPr>
          <w:lang w:eastAsia="x-none"/>
        </w:rPr>
        <w:t>SCB och Riksbanken</w:t>
      </w:r>
      <w:r>
        <w:rPr>
          <w:lang w:eastAsia="x-none"/>
        </w:rPr>
        <w:t>.</w:t>
      </w:r>
    </w:p>
    <w:p w:rsidR="00EC4FA6" w:rsidRPr="00EC4FA6" w:rsidRDefault="00EC4FA6" w:rsidP="0021563B">
      <w:pPr>
        <w:pStyle w:val="Fotnotstextindrag"/>
        <w:rPr>
          <w:lang w:eastAsia="x-none"/>
        </w:rPr>
      </w:pPr>
    </w:p>
    <w:p w:rsidR="00EC4FA6" w:rsidRDefault="00ED3C7A" w:rsidP="00EC4FA6">
      <w:pPr>
        <w:pStyle w:val="Normaltindrag"/>
        <w:spacing w:before="62"/>
        <w:ind w:firstLine="0"/>
      </w:pPr>
      <w:r>
        <w:t>Den låga inflationen omfattade också ett stort antal varu- och tjänstegru</w:t>
      </w:r>
      <w:r>
        <w:t>p</w:t>
      </w:r>
      <w:r>
        <w:t>per, vilket tydde på ett lågt underliggande inflationstryck. Dessutom fortsatte inflationstrycket i omvärlden att vara lågt</w:t>
      </w:r>
      <w:r w:rsidR="00694258">
        <w:t>,</w:t>
      </w:r>
      <w:r>
        <w:t xml:space="preserve"> vilket medförde att penningpolit</w:t>
      </w:r>
      <w:r>
        <w:t>i</w:t>
      </w:r>
      <w:r>
        <w:t xml:space="preserve">ken i omvärlden blev mer expansiv än tidigare, och </w:t>
      </w:r>
      <w:r w:rsidRPr="00DF5361">
        <w:t>att styrräntorna i omvär</w:t>
      </w:r>
      <w:r w:rsidRPr="00DF5361">
        <w:t>l</w:t>
      </w:r>
      <w:r w:rsidRPr="00DF5361">
        <w:t xml:space="preserve">den </w:t>
      </w:r>
      <w:r>
        <w:t>därmed skulle</w:t>
      </w:r>
      <w:r w:rsidRPr="00DF5361">
        <w:t xml:space="preserve"> bli lägre.</w:t>
      </w:r>
      <w:r>
        <w:t xml:space="preserve"> Bland annat hade ECB nyligen sänkt styrräntan och signalerat att räntan skulle vara låg under en lång tid framöver.</w:t>
      </w:r>
      <w:r w:rsidRPr="00DF5361">
        <w:t xml:space="preserve"> </w:t>
      </w:r>
      <w:r>
        <w:t>Om</w:t>
      </w:r>
      <w:r w:rsidRPr="00DF5361">
        <w:t xml:space="preserve"> räntan blir högre i Sverige än i omvärlden tenderar kronkursen att förstärkas, vilket bidrar till lägre inflation genom lägre imp</w:t>
      </w:r>
      <w:r>
        <w:t>ortpriser. Allt annat lika talade</w:t>
      </w:r>
      <w:r w:rsidRPr="00DF5361">
        <w:t xml:space="preserve"> därför lägre </w:t>
      </w:r>
      <w:r>
        <w:t>styr</w:t>
      </w:r>
      <w:r w:rsidRPr="00DF5361">
        <w:t xml:space="preserve">räntor i omvärlden för lägre </w:t>
      </w:r>
      <w:r>
        <w:t>styr</w:t>
      </w:r>
      <w:r w:rsidRPr="00DF5361">
        <w:t xml:space="preserve">räntor också i </w:t>
      </w:r>
      <w:r>
        <w:t>Sverige</w:t>
      </w:r>
      <w:r w:rsidRPr="00DF5361">
        <w:t>.</w:t>
      </w:r>
      <w:r>
        <w:t xml:space="preserve"> Dess</w:t>
      </w:r>
      <w:r w:rsidR="0055222D">
        <w:softHyphen/>
      </w:r>
      <w:r>
        <w:t>u</w:t>
      </w:r>
      <w:r>
        <w:t>tom fanns det risk för att en inflation som låg under målet under lång tid skulle påverka inflationsförväntningarna så att de inte längre skulle förbli förankrade kring målet på 2 procent. Därmed riskerade inflationsmålet att förlora trovärdighet i sin roll som nominellt ankare. Ju längre tid inflationen avvek från målet, desto större bedömdes denna risk bli.</w:t>
      </w:r>
      <w:r w:rsidRPr="00646760">
        <w:t xml:space="preserve"> </w:t>
      </w:r>
      <w:r w:rsidRPr="00DF5361">
        <w:t xml:space="preserve">Sammantaget talade dessa faktorer tydligt för en sänkning av reporäntan och reporäntebanan </w:t>
      </w:r>
      <w:r>
        <w:t>v</w:t>
      </w:r>
      <w:r w:rsidRPr="00DF5361">
        <w:t>i</w:t>
      </w:r>
      <w:r>
        <w:t>d det penningpolitiska mötet i</w:t>
      </w:r>
      <w:r w:rsidRPr="00DF5361">
        <w:t xml:space="preserve"> juli</w:t>
      </w:r>
      <w:r>
        <w:t xml:space="preserve">. </w:t>
      </w:r>
    </w:p>
    <w:p w:rsidR="00E72B17" w:rsidRDefault="00E72B17" w:rsidP="000F3198">
      <w:pPr>
        <w:pStyle w:val="Normaltindrag"/>
        <w:suppressAutoHyphens/>
      </w:pPr>
      <w:r>
        <w:t>Den låga inflationen vägde tungt i det penningpolitiska beslutet. Direk</w:t>
      </w:r>
      <w:r w:rsidR="0055222D">
        <w:softHyphen/>
      </w:r>
      <w:r>
        <w:t>t</w:t>
      </w:r>
      <w:r>
        <w:t>ionen beslutade vid mötet i juli att sänka räntan med 0,5 procentenheter och revidera ned reporänteprognosen kraftigt (se diagram 3). Den nya ränte</w:t>
      </w:r>
      <w:r w:rsidR="005679DA">
        <w:softHyphen/>
      </w:r>
      <w:r>
        <w:t>pr</w:t>
      </w:r>
      <w:r>
        <w:t>o</w:t>
      </w:r>
      <w:r>
        <w:t>gnosen innebar att reporäntan skulle börja höjas först i slutet av 2015. Direktionen bedömde att den mer expansiva penningp</w:t>
      </w:r>
      <w:r>
        <w:t>o</w:t>
      </w:r>
      <w:r>
        <w:t>litiken inte bara skulle bidra till att driva upp den faktiska inflationen utan även till att inflations</w:t>
      </w:r>
      <w:r w:rsidR="0055222D">
        <w:softHyphen/>
      </w:r>
      <w:r>
        <w:t>förvän</w:t>
      </w:r>
      <w:r>
        <w:t>t</w:t>
      </w:r>
      <w:r>
        <w:t>ningarna förblev förankrade kring 2 procent, eftersom man nu sände en tydlig signal om att penningpolitiken skulle se till så att inflationen närmade sig målet inom en rimligt snar framtid.</w:t>
      </w:r>
    </w:p>
    <w:p w:rsidR="00606722" w:rsidRDefault="00CF7002" w:rsidP="00E72B17">
      <w:pPr>
        <w:pStyle w:val="Normaltindrag"/>
      </w:pPr>
      <w:r>
        <w:t>I samband med räntebeslutet i juli konstaterade direktionen att det låga</w:t>
      </w:r>
      <w:r w:rsidRPr="00646760">
        <w:t xml:space="preserve"> ränteläget inne</w:t>
      </w:r>
      <w:r>
        <w:t>ba</w:t>
      </w:r>
      <w:r w:rsidRPr="00646760">
        <w:t>r att ris</w:t>
      </w:r>
      <w:r>
        <w:t>ke</w:t>
      </w:r>
      <w:r w:rsidR="00A63401">
        <w:t>r</w:t>
      </w:r>
      <w:r>
        <w:t>n</w:t>
      </w:r>
      <w:r w:rsidR="00A63401">
        <w:t>a förknippade med hushållens höga skuldsättning ökade</w:t>
      </w:r>
      <w:r w:rsidRPr="00646760">
        <w:t xml:space="preserve">. </w:t>
      </w:r>
      <w:r w:rsidR="00424E28">
        <w:t>Men man</w:t>
      </w:r>
      <w:r w:rsidR="00424E28" w:rsidRPr="00424E28">
        <w:t xml:space="preserve"> </w:t>
      </w:r>
      <w:r w:rsidR="00424E28">
        <w:t xml:space="preserve">ansåg </w:t>
      </w:r>
      <w:r w:rsidR="00424E28" w:rsidRPr="00424E28">
        <w:t>att ansvaret för att hantera dessa risker nu vilade på andra myndigheter.</w:t>
      </w:r>
      <w:r w:rsidR="00424E28">
        <w:t xml:space="preserve"> </w:t>
      </w:r>
      <w:r w:rsidR="00E630A1">
        <w:t>Finansinspektionen hade nyligen presenterat skärpta kapitalkrav för svenska banker. Sammantaget bedömde direktionen att den viktigaste effekten av kraven var att motståndskraften i det svenska bank</w:t>
      </w:r>
      <w:r w:rsidR="00762B88">
        <w:softHyphen/>
      </w:r>
      <w:r w:rsidR="00E630A1">
        <w:t>systemet stärktes. De direkta effekterna på hushållens skuldsättning bedö</w:t>
      </w:r>
      <w:r w:rsidR="00456A29">
        <w:t>m</w:t>
      </w:r>
      <w:r w:rsidR="00E630A1">
        <w:t xml:space="preserve">des däremot vara små (se </w:t>
      </w:r>
      <w:r w:rsidR="004E237A">
        <w:t xml:space="preserve">avsnittet </w:t>
      </w:r>
      <w:r w:rsidR="00E630A1">
        <w:t>Penningpolitisk analys).</w:t>
      </w:r>
      <w:r w:rsidR="00E630A1" w:rsidRPr="00A63401">
        <w:t xml:space="preserve"> </w:t>
      </w:r>
      <w:r w:rsidR="00E630A1">
        <w:t>För att hantera riske</w:t>
      </w:r>
      <w:r w:rsidR="00E630A1">
        <w:t>r</w:t>
      </w:r>
      <w:r w:rsidR="00E630A1">
        <w:t xml:space="preserve">na förknippade med hushållens skuldsättning </w:t>
      </w:r>
      <w:r w:rsidR="00A63401" w:rsidRPr="00A63401">
        <w:t xml:space="preserve">menade </w:t>
      </w:r>
      <w:r w:rsidR="00E630A1">
        <w:t xml:space="preserve">direktionen </w:t>
      </w:r>
      <w:r w:rsidR="00A63401" w:rsidRPr="00A63401">
        <w:t xml:space="preserve">att det </w:t>
      </w:r>
      <w:r w:rsidR="00A63401">
        <w:t xml:space="preserve">inte bara </w:t>
      </w:r>
      <w:r w:rsidR="00A63401" w:rsidRPr="00A63401">
        <w:t xml:space="preserve">krävdes åtgärder </w:t>
      </w:r>
      <w:r w:rsidR="00424E28">
        <w:t>för att öka motståndskraften i banksystemet</w:t>
      </w:r>
      <w:r w:rsidR="008F0685">
        <w:t>. Det b</w:t>
      </w:r>
      <w:r w:rsidR="008F0685">
        <w:t>e</w:t>
      </w:r>
      <w:r w:rsidR="008F0685">
        <w:t>hövdes</w:t>
      </w:r>
      <w:r w:rsidR="00424E28">
        <w:t xml:space="preserve"> också åtgärder </w:t>
      </w:r>
      <w:r w:rsidR="00A63401" w:rsidRPr="00A63401">
        <w:t>riktade direkt mot hushållens efterfrågan på krediter, exempelvis skärpta amorteringskrav och sunda miniminivåer i de kvar-att-leva-på-kalkyler som är en del av bankernas kreditprövning. Dess</w:t>
      </w:r>
      <w:r w:rsidR="00A63401" w:rsidRPr="00A63401">
        <w:t>u</w:t>
      </w:r>
      <w:r w:rsidR="00A63401" w:rsidRPr="00A63401">
        <w:t>tom ansåg</w:t>
      </w:r>
      <w:r w:rsidR="00670BFF">
        <w:t xml:space="preserve"> direktionen</w:t>
      </w:r>
      <w:r w:rsidR="00A63401" w:rsidRPr="00A63401">
        <w:t xml:space="preserve"> det viktigt att ge</w:t>
      </w:r>
      <w:r w:rsidR="005A402D">
        <w:t>nomför</w:t>
      </w:r>
      <w:r w:rsidR="00A63401" w:rsidRPr="00A63401">
        <w:t xml:space="preserve">a reformer för </w:t>
      </w:r>
      <w:r w:rsidR="0088204F">
        <w:t>att öka utbudet av</w:t>
      </w:r>
      <w:r w:rsidR="00A63401" w:rsidRPr="00A63401">
        <w:t xml:space="preserve"> bost</w:t>
      </w:r>
      <w:r w:rsidR="0088204F">
        <w:t>ä</w:t>
      </w:r>
      <w:r w:rsidR="00A63401" w:rsidRPr="00A63401">
        <w:t>d</w:t>
      </w:r>
      <w:r w:rsidR="0088204F">
        <w:t>er</w:t>
      </w:r>
      <w:r w:rsidR="00A63401" w:rsidRPr="00A63401">
        <w:t>.</w:t>
      </w:r>
      <w:r>
        <w:t xml:space="preserve"> </w:t>
      </w:r>
    </w:p>
    <w:p w:rsidR="00DC11DF" w:rsidRDefault="007F2DCD" w:rsidP="00A17995">
      <w:pPr>
        <w:pStyle w:val="Normaltindrag"/>
      </w:pPr>
      <w:r>
        <w:t xml:space="preserve">Inför det penningpolitiska mötet i september kunde </w:t>
      </w:r>
      <w:r w:rsidR="00776580">
        <w:t>d</w:t>
      </w:r>
      <w:r>
        <w:t>irektion</w:t>
      </w:r>
      <w:r w:rsidR="00776580">
        <w:t>en</w:t>
      </w:r>
      <w:r>
        <w:t xml:space="preserve"> konstatera att tillväxtutsikterna i omvärlden blivit mer osäkra</w:t>
      </w:r>
      <w:r w:rsidR="00DB1E61">
        <w:t>, bland annat</w:t>
      </w:r>
      <w:r>
        <w:t xml:space="preserve"> till följd av den tilltagande oron i Ukraina. </w:t>
      </w:r>
      <w:r w:rsidR="00776580">
        <w:t>D</w:t>
      </w:r>
      <w:r w:rsidR="00DC11DF">
        <w:t>irektion</w:t>
      </w:r>
      <w:r w:rsidR="00776580">
        <w:t>en</w:t>
      </w:r>
      <w:r w:rsidR="00DC11DF">
        <w:t xml:space="preserve"> konstaterade </w:t>
      </w:r>
      <w:r w:rsidR="00896E46">
        <w:t xml:space="preserve">dock </w:t>
      </w:r>
      <w:r w:rsidR="00DC11DF">
        <w:t xml:space="preserve">att även om det skett vissa revideringar av </w:t>
      </w:r>
      <w:r w:rsidR="00A17995">
        <w:t xml:space="preserve">BNP- och </w:t>
      </w:r>
      <w:r w:rsidR="00CD51EF">
        <w:t>inflations</w:t>
      </w:r>
      <w:r w:rsidR="00DC11DF">
        <w:t xml:space="preserve">prognoserna var utsikterna för konjunkturen </w:t>
      </w:r>
      <w:r w:rsidR="005F68AC">
        <w:t xml:space="preserve">och </w:t>
      </w:r>
      <w:r w:rsidR="00DC11DF">
        <w:t xml:space="preserve">inflationen i grova drag </w:t>
      </w:r>
      <w:r w:rsidR="00F370A7">
        <w:t xml:space="preserve">i </w:t>
      </w:r>
      <w:r w:rsidR="00DC11DF">
        <w:t>linje med bedömningen i juli. Mot den bakgru</w:t>
      </w:r>
      <w:r w:rsidR="00DC11DF">
        <w:t>n</w:t>
      </w:r>
      <w:r w:rsidR="00DC11DF">
        <w:t xml:space="preserve">den beslutade </w:t>
      </w:r>
      <w:r w:rsidR="00776580">
        <w:t>d</w:t>
      </w:r>
      <w:r w:rsidR="000D1E42">
        <w:t>irektionen</w:t>
      </w:r>
      <w:r w:rsidR="00DC11DF">
        <w:t xml:space="preserve"> att lämna reporäntan oförändrad på 0,25 procent</w:t>
      </w:r>
      <w:r w:rsidR="00E72B17">
        <w:t xml:space="preserve"> (se diagram 3</w:t>
      </w:r>
      <w:r w:rsidR="008F0685">
        <w:t>)</w:t>
      </w:r>
      <w:r w:rsidR="00DC11DF">
        <w:t xml:space="preserve">. Men den svagare utvecklingen i omvärlden och dess negativa inverkan på svensk tillväxt </w:t>
      </w:r>
      <w:r w:rsidR="00D82E0D">
        <w:t>ledde till</w:t>
      </w:r>
      <w:r w:rsidR="00DC11DF">
        <w:t xml:space="preserve"> en mindre nedjustering av reporänteprognosen.</w:t>
      </w:r>
    </w:p>
    <w:p w:rsidR="0021722E" w:rsidRPr="00515CF6" w:rsidRDefault="0021722E" w:rsidP="001B1E08">
      <w:pPr>
        <w:pStyle w:val="R3"/>
        <w:rPr>
          <w:szCs w:val="21"/>
        </w:rPr>
      </w:pPr>
      <w:r w:rsidRPr="00515CF6">
        <w:rPr>
          <w:szCs w:val="21"/>
        </w:rPr>
        <w:t>Reporäntan sänk</w:t>
      </w:r>
      <w:r w:rsidR="00180637" w:rsidRPr="00515CF6">
        <w:rPr>
          <w:szCs w:val="21"/>
        </w:rPr>
        <w:t>te</w:t>
      </w:r>
      <w:r w:rsidRPr="00515CF6">
        <w:rPr>
          <w:szCs w:val="21"/>
        </w:rPr>
        <w:t xml:space="preserve">s till noll </w:t>
      </w:r>
      <w:r w:rsidR="00180637" w:rsidRPr="00515CF6">
        <w:rPr>
          <w:szCs w:val="21"/>
        </w:rPr>
        <w:t>i oktober</w:t>
      </w:r>
    </w:p>
    <w:p w:rsidR="00C97C5A" w:rsidRDefault="00DC136E" w:rsidP="0055222D">
      <w:pPr>
        <w:suppressAutoHyphens/>
      </w:pPr>
      <w:r>
        <w:t>Inför det pe</w:t>
      </w:r>
      <w:r w:rsidR="008F282A">
        <w:t xml:space="preserve">nningpolitiska mötet i oktober </w:t>
      </w:r>
      <w:r w:rsidR="009F1EC9">
        <w:t>gjorde direktionen</w:t>
      </w:r>
      <w:r w:rsidR="000F4E32">
        <w:t xml:space="preserve"> bedömningen </w:t>
      </w:r>
      <w:r w:rsidR="00C97C5A">
        <w:t>att t</w:t>
      </w:r>
      <w:r w:rsidR="000F4E32">
        <w:t>illväxten i euroområdet</w:t>
      </w:r>
      <w:r w:rsidR="00C97C5A">
        <w:t xml:space="preserve"> skulle bli lägre än</w:t>
      </w:r>
      <w:r w:rsidR="00C658A9">
        <w:t xml:space="preserve"> vad man väntat sig</w:t>
      </w:r>
      <w:r w:rsidR="00C97C5A">
        <w:t xml:space="preserve"> tidigare</w:t>
      </w:r>
      <w:r w:rsidR="00C658A9">
        <w:t>,</w:t>
      </w:r>
      <w:r w:rsidR="00C97C5A">
        <w:t xml:space="preserve"> vilket dämpade utsikterna för omvärlden. </w:t>
      </w:r>
      <w:r w:rsidR="008F282A">
        <w:t xml:space="preserve">Även prognoserna för inflationen i omvärlden </w:t>
      </w:r>
      <w:r w:rsidR="00C658A9">
        <w:t>reviderades ned</w:t>
      </w:r>
      <w:r w:rsidR="00C97C5A">
        <w:t>.</w:t>
      </w:r>
      <w:r w:rsidR="008F282A">
        <w:t xml:space="preserve"> I Sverige forts</w:t>
      </w:r>
      <w:r w:rsidR="00C97C5A">
        <w:t>a</w:t>
      </w:r>
      <w:r w:rsidR="008F282A">
        <w:t xml:space="preserve">tte konjunkturen att förbättras, framför </w:t>
      </w:r>
      <w:r w:rsidR="00E72B17">
        <w:t xml:space="preserve">allt </w:t>
      </w:r>
      <w:r w:rsidR="00896E46">
        <w:t xml:space="preserve">tack vare </w:t>
      </w:r>
      <w:r w:rsidR="008F282A">
        <w:t>en god tillväxt i hushållens konsumtion och bostads</w:t>
      </w:r>
      <w:r w:rsidR="0055222D">
        <w:softHyphen/>
      </w:r>
      <w:r w:rsidR="008F282A">
        <w:t>invest</w:t>
      </w:r>
      <w:r w:rsidR="008F282A">
        <w:t>e</w:t>
      </w:r>
      <w:r w:rsidR="008F282A">
        <w:t>ring</w:t>
      </w:r>
      <w:r w:rsidR="003609B7">
        <w:t>ar</w:t>
      </w:r>
      <w:r w:rsidR="008F282A">
        <w:t xml:space="preserve">. </w:t>
      </w:r>
    </w:p>
    <w:p w:rsidR="008F282A" w:rsidRDefault="008F282A" w:rsidP="00E82727">
      <w:pPr>
        <w:pStyle w:val="Normaltindrag"/>
      </w:pPr>
      <w:r>
        <w:t>Trots att såväl BNP som sysselsättning ha</w:t>
      </w:r>
      <w:r w:rsidR="00C97C5A">
        <w:t>de</w:t>
      </w:r>
      <w:r>
        <w:t xml:space="preserve"> </w:t>
      </w:r>
      <w:r w:rsidR="00F57E9C">
        <w:t>utvecklats förhållandevis väl</w:t>
      </w:r>
      <w:r>
        <w:t xml:space="preserve"> det sen</w:t>
      </w:r>
      <w:r w:rsidR="00C97C5A">
        <w:t>aste året hade</w:t>
      </w:r>
      <w:r>
        <w:t xml:space="preserve"> inflationen fortsatt att bli lägre än väntat. </w:t>
      </w:r>
      <w:r w:rsidR="00E82727">
        <w:t xml:space="preserve">Prognosfelet </w:t>
      </w:r>
      <w:r w:rsidR="00B745BA">
        <w:t>för</w:t>
      </w:r>
      <w:r w:rsidR="00E82727">
        <w:t xml:space="preserve"> inflationen i september blev stort, och </w:t>
      </w:r>
      <w:r w:rsidR="00837677">
        <w:t xml:space="preserve">den låga inflationen var </w:t>
      </w:r>
      <w:r w:rsidR="00E82727">
        <w:t>dessutom förde</w:t>
      </w:r>
      <w:r w:rsidR="00837677">
        <w:t>lad</w:t>
      </w:r>
      <w:r w:rsidR="00E82727">
        <w:t xml:space="preserve"> över flertalet undergrupper av KPI. </w:t>
      </w:r>
      <w:r>
        <w:t>Den breda nedgången i infla</w:t>
      </w:r>
      <w:r w:rsidR="00492147">
        <w:softHyphen/>
      </w:r>
      <w:r>
        <w:t>tio</w:t>
      </w:r>
      <w:r>
        <w:t>n</w:t>
      </w:r>
      <w:r>
        <w:t>en och de återkommande nedrevideringarna av inflationsprognosen tyd</w:t>
      </w:r>
      <w:r w:rsidR="00C658A9">
        <w:t>de</w:t>
      </w:r>
      <w:r>
        <w:t xml:space="preserve"> på att det underliggande inflationstrycket </w:t>
      </w:r>
      <w:r w:rsidR="00C658A9">
        <w:t>var</w:t>
      </w:r>
      <w:r>
        <w:t xml:space="preserve"> lägre än i tidigare bedömning</w:t>
      </w:r>
      <w:r w:rsidR="00E82727">
        <w:t>ar</w:t>
      </w:r>
      <w:r>
        <w:t>. Detta tillsammans med lägre inflation och svagare konjunkturutveckling i omvärlden inneb</w:t>
      </w:r>
      <w:r w:rsidR="00C658A9">
        <w:t>a</w:t>
      </w:r>
      <w:r>
        <w:t xml:space="preserve">r sammantaget att </w:t>
      </w:r>
      <w:r w:rsidR="00F57E9C">
        <w:t>direktionen</w:t>
      </w:r>
      <w:r>
        <w:t xml:space="preserve"> </w:t>
      </w:r>
      <w:r w:rsidR="00C658A9">
        <w:t xml:space="preserve">nu </w:t>
      </w:r>
      <w:r>
        <w:t>bedöm</w:t>
      </w:r>
      <w:r w:rsidR="00C658A9">
        <w:t>de</w:t>
      </w:r>
      <w:r w:rsidR="00F57E9C">
        <w:t xml:space="preserve"> att det skulle</w:t>
      </w:r>
      <w:r>
        <w:t xml:space="preserve"> ta </w:t>
      </w:r>
      <w:r w:rsidR="00C658A9">
        <w:t xml:space="preserve">ännu </w:t>
      </w:r>
      <w:r>
        <w:t xml:space="preserve">längre tid innan inflationen </w:t>
      </w:r>
      <w:r w:rsidR="00E82727">
        <w:t xml:space="preserve">i Sverige </w:t>
      </w:r>
      <w:r>
        <w:t>nå</w:t>
      </w:r>
      <w:r w:rsidR="00C658A9">
        <w:t>dde</w:t>
      </w:r>
      <w:r>
        <w:t xml:space="preserve"> 2 procent</w:t>
      </w:r>
      <w:r w:rsidR="002C64CA">
        <w:t xml:space="preserve"> (se diagram 2)</w:t>
      </w:r>
      <w:r>
        <w:t>.</w:t>
      </w:r>
    </w:p>
    <w:p w:rsidR="00F22BCA" w:rsidRDefault="008F282A" w:rsidP="009B038F">
      <w:pPr>
        <w:pStyle w:val="Normaltindrag"/>
      </w:pPr>
      <w:r>
        <w:t>Reporäntan sänk</w:t>
      </w:r>
      <w:r w:rsidR="00C658A9">
        <w:t>te</w:t>
      </w:r>
      <w:r>
        <w:t>s</w:t>
      </w:r>
      <w:r w:rsidR="00176882">
        <w:t xml:space="preserve"> </w:t>
      </w:r>
      <w:r>
        <w:t>därför med 0,25 procentenheter till noll procent</w:t>
      </w:r>
      <w:r w:rsidR="004809D5">
        <w:t>, sa</w:t>
      </w:r>
      <w:r w:rsidR="004809D5">
        <w:t>m</w:t>
      </w:r>
      <w:r w:rsidR="004809D5">
        <w:t>tidigt som prognosen för reporäntan reviderades ned påtagligt</w:t>
      </w:r>
      <w:r w:rsidR="00E72B17">
        <w:t xml:space="preserve"> (se diagram 3</w:t>
      </w:r>
      <w:r w:rsidR="003609B7">
        <w:t>)</w:t>
      </w:r>
      <w:r>
        <w:t xml:space="preserve">. </w:t>
      </w:r>
      <w:r w:rsidR="00E82727">
        <w:t>Direktionen</w:t>
      </w:r>
      <w:r w:rsidR="004809D5">
        <w:t xml:space="preserve"> bedömde att reporäntan </w:t>
      </w:r>
      <w:r w:rsidR="00DB1E61">
        <w:t xml:space="preserve">skulle behöva </w:t>
      </w:r>
      <w:r w:rsidR="004809D5">
        <w:t xml:space="preserve">vara kvar på noll procent tills inflationen tydligt tagit fart. Först i mitten av 2016 väntades </w:t>
      </w:r>
      <w:r w:rsidR="00E82727">
        <w:t>repo</w:t>
      </w:r>
      <w:r w:rsidR="004809D5">
        <w:t xml:space="preserve">räntan börja höjas långsamt. </w:t>
      </w:r>
      <w:r w:rsidR="00C658A9">
        <w:t>Den mycket expansiva penningpolitiken bedömdes öka</w:t>
      </w:r>
      <w:r>
        <w:t xml:space="preserve"> efterfrågan i eko</w:t>
      </w:r>
      <w:r w:rsidR="00C658A9">
        <w:t xml:space="preserve">nomin och därigenom </w:t>
      </w:r>
      <w:r>
        <w:t>bi</w:t>
      </w:r>
      <w:r w:rsidR="00C658A9">
        <w:t>dra</w:t>
      </w:r>
      <w:r>
        <w:t xml:space="preserve"> till ett högre i</w:t>
      </w:r>
      <w:r>
        <w:t>n</w:t>
      </w:r>
      <w:r>
        <w:t>flationstryck.</w:t>
      </w:r>
      <w:r w:rsidR="00C658A9">
        <w:t xml:space="preserve"> </w:t>
      </w:r>
      <w:r w:rsidR="005A402D">
        <w:t>Precis som i juli bedömdes d</w:t>
      </w:r>
      <w:r w:rsidR="004809D5">
        <w:t>essutom räntesänkningen</w:t>
      </w:r>
      <w:r w:rsidR="005A402D">
        <w:t xml:space="preserve"> i sig</w:t>
      </w:r>
      <w:r w:rsidR="004809D5">
        <w:t xml:space="preserve"> </w:t>
      </w:r>
      <w:r w:rsidR="00F134A3">
        <w:t xml:space="preserve">bidra </w:t>
      </w:r>
      <w:r w:rsidR="004809D5">
        <w:t>till att infla</w:t>
      </w:r>
      <w:r w:rsidR="00492147">
        <w:softHyphen/>
      </w:r>
      <w:r w:rsidR="004809D5">
        <w:t>t</w:t>
      </w:r>
      <w:r w:rsidR="004809D5">
        <w:t>ionsförväntningarna förblev förankrade runt 2 procent, g</w:t>
      </w:r>
      <w:r w:rsidR="00C658A9">
        <w:t>enom att sända en tydlig signal att penningpolitiken inriktades på att infla</w:t>
      </w:r>
      <w:r w:rsidR="00C658A9">
        <w:t>t</w:t>
      </w:r>
      <w:r w:rsidR="00C658A9">
        <w:t>ionen skulle närma sig inflationsmålet</w:t>
      </w:r>
      <w:r w:rsidR="004809D5">
        <w:t>.</w:t>
      </w:r>
    </w:p>
    <w:p w:rsidR="0021563B" w:rsidRDefault="00E80AA2" w:rsidP="00492147">
      <w:pPr>
        <w:pStyle w:val="Normaltindrag"/>
        <w:suppressAutoHyphens/>
      </w:pPr>
      <w:r>
        <w:t xml:space="preserve">Inför det penningpolitiska mötet i december bedömde direktionen att konjunkturåterhämtningen i omvärlden skulle fortsätta, men liksom tidigare var det stora skillnader mellan regioner. Oljepriset hade fortsatt </w:t>
      </w:r>
      <w:r w:rsidR="00480E2A">
        <w:t xml:space="preserve">att </w:t>
      </w:r>
      <w:r>
        <w:t>falla kraftigt sedan oktober och nått den lägsta nivån sedan 2010. I omvärlden bedömdes detta medföra att tillväxten blev lägre i länder beroende av olje</w:t>
      </w:r>
      <w:r w:rsidR="00492147">
        <w:softHyphen/>
      </w:r>
      <w:r>
        <w:t>export medan den i</w:t>
      </w:r>
      <w:r w:rsidR="0028393B">
        <w:t xml:space="preserve"> </w:t>
      </w:r>
      <w:r>
        <w:t>stället blev högre i oljeimporterande länder. Sammantaget var konjun</w:t>
      </w:r>
      <w:r>
        <w:t>k</w:t>
      </w:r>
      <w:r>
        <w:t>turutsikterna i omvärlden i stort sett oförändrade jämfört med bedömningen i oktober. En tydlig effekt av det lägre oljepriset var dock att inflationen i omvärlden nu väntades bli betydligt lägre än i oktoberprognosen.</w:t>
      </w:r>
    </w:p>
    <w:p w:rsidR="001E080D" w:rsidRDefault="00E80AA2" w:rsidP="00492147">
      <w:pPr>
        <w:pStyle w:val="Normaltindrag"/>
        <w:suppressAutoHyphens/>
      </w:pPr>
      <w:r>
        <w:t>Sedan den penningpolitiska rapporten i oktober hade den svenska konjunkturen fortsatt att förbättras, men inflationen var fortfarande låg och de långsiktiga inflationsförväntningarna hade sjunkit</w:t>
      </w:r>
      <w:r w:rsidR="0070451F">
        <w:t xml:space="preserve"> (se diagram 5)</w:t>
      </w:r>
      <w:r>
        <w:t>. Den real</w:t>
      </w:r>
      <w:r w:rsidR="00492147">
        <w:softHyphen/>
      </w:r>
      <w:r>
        <w:t xml:space="preserve">ekonomiska utvecklingen i Sverige hade varit i linje med Riksbankens prognos, och BNP och sysselsättning bedömdes fortsätta </w:t>
      </w:r>
      <w:r w:rsidR="00543FA0">
        <w:t xml:space="preserve">att </w:t>
      </w:r>
      <w:r>
        <w:t xml:space="preserve">stiga i linje med tidigare </w:t>
      </w:r>
      <w:r w:rsidR="00543FA0">
        <w:t>prognos</w:t>
      </w:r>
      <w:r>
        <w:t xml:space="preserve">. Inflationen väntades dock bli något lägre under en tid, främst till följd av det fallande oljepriset. </w:t>
      </w:r>
    </w:p>
    <w:p w:rsidR="001E080D" w:rsidRDefault="001E080D" w:rsidP="00492147">
      <w:pPr>
        <w:suppressAutoHyphens/>
        <w:spacing w:before="0"/>
        <w:ind w:firstLine="227"/>
      </w:pPr>
      <w:r>
        <w:t>Sammantaget gjorde direktionen bedömningen att penningpolitiken behövde bli ännu mer expansiv, dels för att se till att infla</w:t>
      </w:r>
      <w:r>
        <w:t>t</w:t>
      </w:r>
      <w:r>
        <w:t>ionen närmade sig målet tillräckligt snabbt, dels för att minska risken för att de långsiktiga inflation</w:t>
      </w:r>
      <w:r>
        <w:t>s</w:t>
      </w:r>
      <w:r>
        <w:t xml:space="preserve">förväntningarna skulle fortsätta att falla. Reporäntan bedömdes nu behöva ligga kvar på noll procent en något längre tid jämfört med </w:t>
      </w:r>
      <w:r w:rsidR="00CD18CB">
        <w:t>oktober</w:t>
      </w:r>
      <w:r w:rsidR="00CD18CB">
        <w:softHyphen/>
        <w:t xml:space="preserve">prognosen </w:t>
      </w:r>
      <w:r>
        <w:t>– till andra halvåret 2016 (se diagram 3). Vid den tidpunkten väntades KPIF-inflationen vara nära 2 procent, samtidigt som BNP-tillväxten varit relativt hög under cirka ett år och arbetslösheten fallit sedan en tid. Det skulle alltså bli frågan om en mycket låg reporänta i förhållande till rådande konjunktur- och inflationsläge. Direktionen konstaterade också att om penningpolitiken skulle behöva göras ännu mer expansiv framöver var alter</w:t>
      </w:r>
      <w:r w:rsidR="00492147">
        <w:softHyphen/>
      </w:r>
      <w:r>
        <w:t xml:space="preserve">nativet </w:t>
      </w:r>
      <w:r w:rsidRPr="00283E7B">
        <w:t xml:space="preserve">i första hand att fortsätta </w:t>
      </w:r>
      <w:r>
        <w:t xml:space="preserve">att </w:t>
      </w:r>
      <w:r w:rsidRPr="00283E7B">
        <w:t>skjuta på en första höjning av reporäntan</w:t>
      </w:r>
      <w:r>
        <w:t>. Riksbanken meddelade även att ytterligare åtgärder förbereds som kan användas för att göra penningpolitiken mer expansiv. Sådana åtgärder ska vid behov kunna prese</w:t>
      </w:r>
      <w:r>
        <w:t>n</w:t>
      </w:r>
      <w:r>
        <w:t>teras med start från nästa penningpolitiska möte.</w:t>
      </w:r>
    </w:p>
    <w:p w:rsidR="00C15F2B" w:rsidRPr="00515CF6" w:rsidRDefault="00515CF6" w:rsidP="00515CF6">
      <w:pPr>
        <w:pStyle w:val="Diagramrubrik"/>
        <w:rPr>
          <w:b w:val="0"/>
        </w:rPr>
      </w:pPr>
      <w:r w:rsidRPr="00515CF6">
        <w:t>Diagram 5. Inflationsförväntningar på ett, två och fem års sikt</w:t>
      </w:r>
    </w:p>
    <w:p w:rsidR="00C15F2B" w:rsidRPr="004263A1" w:rsidRDefault="00A12E15" w:rsidP="00C15F2B">
      <w:pPr>
        <w:spacing w:before="120"/>
      </w:pPr>
      <w:r w:rsidRPr="00104954">
        <w:rPr>
          <w:noProof/>
        </w:rPr>
        <w:drawing>
          <wp:inline distT="0" distB="0" distL="0" distR="0">
            <wp:extent cx="3781425" cy="2466975"/>
            <wp:effectExtent l="0" t="0" r="9525"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C15F2B" w:rsidRPr="004263A1" w:rsidRDefault="00C15F2B" w:rsidP="001B1E08">
      <w:pPr>
        <w:pStyle w:val="Fotnotstext"/>
        <w:rPr>
          <w:lang w:eastAsia="x-none"/>
        </w:rPr>
      </w:pPr>
      <w:r w:rsidRPr="004263A1">
        <w:rPr>
          <w:lang w:val="x-none"/>
        </w:rPr>
        <w:t xml:space="preserve">Källa: </w:t>
      </w:r>
      <w:r>
        <w:rPr>
          <w:lang w:eastAsia="x-none"/>
        </w:rPr>
        <w:t>TNS Sifo Prospera</w:t>
      </w:r>
      <w:r w:rsidRPr="004263A1">
        <w:rPr>
          <w:lang w:val="x-none" w:eastAsia="x-none"/>
        </w:rPr>
        <w:t>.</w:t>
      </w:r>
    </w:p>
    <w:p w:rsidR="0070451F" w:rsidRDefault="0070451F" w:rsidP="005679DA">
      <w:pPr>
        <w:pStyle w:val="Fotnotstextindrag"/>
      </w:pPr>
    </w:p>
    <w:p w:rsidR="00E80AA2" w:rsidRDefault="00E80AA2" w:rsidP="00492147">
      <w:pPr>
        <w:pStyle w:val="Normaltindrag"/>
        <w:suppressAutoHyphens/>
        <w:spacing w:before="62"/>
        <w:ind w:firstLine="0"/>
      </w:pPr>
      <w:r>
        <w:t xml:space="preserve">Liksom vid de senaste penningpolitiska mötena bedömde direktionen att den låga räntan, utöver fortsatt stimulans åt konjunkturen, skulle bidra till att trenden med stigande bostadspriser och skuldsättning hos hushållen </w:t>
      </w:r>
      <w:r w:rsidR="002173F6">
        <w:t>fortsatte</w:t>
      </w:r>
      <w:r w:rsidR="00897680">
        <w:t>. Finansinspektionen</w:t>
      </w:r>
      <w:r>
        <w:t xml:space="preserve"> hade i november </w:t>
      </w:r>
      <w:r w:rsidR="00B7186C">
        <w:t>presenterat</w:t>
      </w:r>
      <w:r>
        <w:t xml:space="preserve"> ett förslag på amorterings</w:t>
      </w:r>
      <w:r w:rsidR="00492147">
        <w:softHyphen/>
      </w:r>
      <w:r>
        <w:t>krav för nya bolån (se avsnittet Ett säkert och effektivt betalningsväsende). Direktionen ansåg att förslaget var ett steg i rätt riktning, men gjorde sam</w:t>
      </w:r>
      <w:r w:rsidR="002C0514">
        <w:softHyphen/>
      </w:r>
      <w:r>
        <w:t xml:space="preserve">tidigt bedömningen att det endast skulle få marginella effekter på hushållens skuldsättning. </w:t>
      </w:r>
      <w:r w:rsidR="007D0A36">
        <w:t xml:space="preserve">För att minska </w:t>
      </w:r>
      <w:r w:rsidR="00717424">
        <w:t>riskerna menade direktionen d</w:t>
      </w:r>
      <w:r>
        <w:t xml:space="preserve">ärför </w:t>
      </w:r>
      <w:r w:rsidR="00717424">
        <w:t xml:space="preserve">att </w:t>
      </w:r>
      <w:r>
        <w:t>ytter</w:t>
      </w:r>
      <w:r w:rsidR="002C0514">
        <w:softHyphen/>
      </w:r>
      <w:r>
        <w:t>ligare åtgärder</w:t>
      </w:r>
      <w:r w:rsidR="00717424">
        <w:t xml:space="preserve"> behöver införas gradvis under en längre tidsperiod</w:t>
      </w:r>
      <w:r>
        <w:t>. Ansvaret för detta vilade dock på andra politikområden än penningpolitiken, och direktionen framhöll i detta sammanhang såväl ytterligare makrotillsyns</w:t>
      </w:r>
      <w:r w:rsidR="002C0514">
        <w:softHyphen/>
      </w:r>
      <w:r>
        <w:t>åtgärder som åtgärder inom skatte- och bostadspolitiken.</w:t>
      </w:r>
    </w:p>
    <w:p w:rsidR="00FA5531" w:rsidRPr="00FA5531" w:rsidRDefault="00FA5531" w:rsidP="001B1E08">
      <w:pPr>
        <w:pStyle w:val="R4"/>
        <w:pBdr>
          <w:top w:val="single" w:sz="4" w:space="1" w:color="auto"/>
          <w:left w:val="single" w:sz="4" w:space="4" w:color="auto"/>
          <w:bottom w:val="single" w:sz="4" w:space="1" w:color="auto"/>
          <w:right w:val="single" w:sz="4" w:space="4" w:color="auto"/>
        </w:pBdr>
        <w:rPr>
          <w:i w:val="0"/>
          <w:szCs w:val="21"/>
        </w:rPr>
      </w:pPr>
      <w:r w:rsidRPr="00FA5531">
        <w:t>Penningpolitiska beslut och reservationer 2014</w:t>
      </w:r>
    </w:p>
    <w:p w:rsidR="00FA5531" w:rsidRDefault="00FA5531" w:rsidP="001B1E08">
      <w:pPr>
        <w:pBdr>
          <w:top w:val="single" w:sz="4" w:space="1" w:color="auto"/>
          <w:left w:val="single" w:sz="4" w:space="4" w:color="auto"/>
          <w:bottom w:val="single" w:sz="4" w:space="1" w:color="auto"/>
          <w:right w:val="single" w:sz="4" w:space="4" w:color="auto"/>
        </w:pBdr>
        <w:ind w:left="1304" w:hanging="1304"/>
      </w:pPr>
      <w:r>
        <w:t>12 februari</w:t>
      </w:r>
      <w:r>
        <w:tab/>
        <w:t xml:space="preserve">Reporäntan lämnades oförändrad på 0,75 procent. Prognosen för </w:t>
      </w:r>
      <w:r w:rsidR="00180637">
        <w:t>reporäntan</w:t>
      </w:r>
      <w:r>
        <w:t xml:space="preserve"> lämnades oförändrad. </w:t>
      </w:r>
    </w:p>
    <w:p w:rsidR="00FA5531" w:rsidRDefault="00E72B17" w:rsidP="002C0514">
      <w:pPr>
        <w:pBdr>
          <w:top w:val="single" w:sz="4" w:space="1" w:color="auto"/>
          <w:left w:val="single" w:sz="4" w:space="4" w:color="auto"/>
          <w:bottom w:val="single" w:sz="4" w:space="1" w:color="auto"/>
          <w:right w:val="single" w:sz="4" w:space="4" w:color="auto"/>
        </w:pBdr>
        <w:suppressAutoHyphens/>
        <w:ind w:left="1304" w:hanging="1304"/>
      </w:pPr>
      <w:r>
        <w:t>8</w:t>
      </w:r>
      <w:r w:rsidR="00FA5531">
        <w:t xml:space="preserve"> april</w:t>
      </w:r>
      <w:r w:rsidR="00FA5531">
        <w:tab/>
        <w:t xml:space="preserve">Reporäntan lämnades oförändrad på 0,75 procent. Prognosen för </w:t>
      </w:r>
      <w:r w:rsidR="00180637">
        <w:t>reporäntan</w:t>
      </w:r>
      <w:r w:rsidR="00FA5531">
        <w:t xml:space="preserve"> justerades ned.</w:t>
      </w:r>
      <w:r w:rsidR="00FA5531" w:rsidRPr="00BA4D21">
        <w:t xml:space="preserve"> </w:t>
      </w:r>
      <w:r w:rsidR="00FA5531">
        <w:t xml:space="preserve">Vice riksbankscheferna Karolina Ekholm och Martin Flodén reserverade sig mot beslutet att hålla reporäntan oförändrad och mot räntebanan i den penningpolitiska uppföljningen. De förordade en </w:t>
      </w:r>
      <w:r w:rsidR="002D06B9">
        <w:t>sänk</w:t>
      </w:r>
      <w:r w:rsidR="002C0514">
        <w:softHyphen/>
      </w:r>
      <w:r w:rsidR="002D06B9">
        <w:t>ning av reporäntan till 0,5</w:t>
      </w:r>
      <w:r w:rsidR="00FA5531">
        <w:t xml:space="preserve"> procent och lägre reporäntebanor.</w:t>
      </w:r>
    </w:p>
    <w:p w:rsidR="00FA5531" w:rsidRDefault="00FA5531" w:rsidP="001B1E08">
      <w:pPr>
        <w:pBdr>
          <w:top w:val="single" w:sz="4" w:space="1" w:color="auto"/>
          <w:left w:val="single" w:sz="4" w:space="4" w:color="auto"/>
          <w:bottom w:val="single" w:sz="4" w:space="1" w:color="auto"/>
          <w:right w:val="single" w:sz="4" w:space="4" w:color="auto"/>
        </w:pBdr>
        <w:ind w:left="1304" w:hanging="1304"/>
      </w:pPr>
      <w:r>
        <w:t>2 j</w:t>
      </w:r>
      <w:r w:rsidR="002D06B9">
        <w:t xml:space="preserve">uli </w:t>
      </w:r>
      <w:r w:rsidR="002D06B9">
        <w:tab/>
        <w:t>Reporäntan sänktes med 0,5</w:t>
      </w:r>
      <w:r>
        <w:t xml:space="preserve"> procentenheter till 0,25 procent. </w:t>
      </w:r>
      <w:r w:rsidR="00180637">
        <w:t>Prognosen för reporäntan justerades ned påtagligt.</w:t>
      </w:r>
      <w:r w:rsidR="00180637" w:rsidRPr="00BA4D21">
        <w:t xml:space="preserve"> </w:t>
      </w:r>
      <w:r>
        <w:t>Rik</w:t>
      </w:r>
      <w:r>
        <w:t>s</w:t>
      </w:r>
      <w:r>
        <w:t>bankschef</w:t>
      </w:r>
      <w:r w:rsidR="001D0BA6">
        <w:t>en</w:t>
      </w:r>
      <w:r>
        <w:t xml:space="preserve"> Stefan Ingves och förste vice riksbankschef</w:t>
      </w:r>
      <w:r w:rsidR="001D0BA6">
        <w:t>en</w:t>
      </w:r>
      <w:r>
        <w:t xml:space="preserve"> Kerstin af Jochnick reserverade sig mot beslutet att sänka reporäntan till 0,25 procent och mot reporäntebanan. De fö</w:t>
      </w:r>
      <w:r>
        <w:t>r</w:t>
      </w:r>
      <w:r>
        <w:t>ordade en mindre sänkning av reporäntan med 0,25 proce</w:t>
      </w:r>
      <w:r>
        <w:t>n</w:t>
      </w:r>
      <w:r>
        <w:t>t</w:t>
      </w:r>
      <w:r w:rsidR="00851CD8">
        <w:softHyphen/>
      </w:r>
      <w:r>
        <w:t>enheter och en räntebana där reporäntan i</w:t>
      </w:r>
      <w:r w:rsidR="001D0BA6">
        <w:t xml:space="preserve"> </w:t>
      </w:r>
      <w:r>
        <w:t xml:space="preserve">stället börjar höjas senare. </w:t>
      </w:r>
    </w:p>
    <w:p w:rsidR="00FA5531" w:rsidRDefault="00722CC7" w:rsidP="001B1E08">
      <w:pPr>
        <w:pBdr>
          <w:top w:val="single" w:sz="4" w:space="1" w:color="auto"/>
          <w:left w:val="single" w:sz="4" w:space="4" w:color="auto"/>
          <w:bottom w:val="single" w:sz="4" w:space="1" w:color="auto"/>
          <w:right w:val="single" w:sz="4" w:space="4" w:color="auto"/>
        </w:pBdr>
        <w:ind w:left="1304" w:hanging="1304"/>
      </w:pPr>
      <w:r>
        <w:t>3</w:t>
      </w:r>
      <w:r w:rsidR="00FA5531">
        <w:t xml:space="preserve"> september</w:t>
      </w:r>
      <w:r w:rsidR="00FA5531">
        <w:tab/>
        <w:t xml:space="preserve">Reporäntan lämnades oförändrad på 0,25 procent. Prognosen för </w:t>
      </w:r>
      <w:r w:rsidR="00180637">
        <w:t>reporäntan</w:t>
      </w:r>
      <w:r w:rsidR="00FA5531">
        <w:t xml:space="preserve"> justerades ned marginellt. </w:t>
      </w:r>
    </w:p>
    <w:p w:rsidR="00FA5531" w:rsidRPr="00371538" w:rsidRDefault="00FA5531" w:rsidP="002C0514">
      <w:pPr>
        <w:pBdr>
          <w:top w:val="single" w:sz="4" w:space="1" w:color="auto"/>
          <w:left w:val="single" w:sz="4" w:space="4" w:color="auto"/>
          <w:bottom w:val="single" w:sz="4" w:space="1" w:color="auto"/>
          <w:right w:val="single" w:sz="4" w:space="4" w:color="auto"/>
        </w:pBdr>
        <w:suppressAutoHyphens/>
        <w:ind w:left="1304" w:hanging="1304"/>
        <w:rPr>
          <w:highlight w:val="yellow"/>
        </w:rPr>
      </w:pPr>
      <w:r w:rsidRPr="00144AA5">
        <w:t>27 oktober</w:t>
      </w:r>
      <w:r w:rsidRPr="00144AA5">
        <w:tab/>
      </w:r>
      <w:r w:rsidR="00180637">
        <w:t>Reporäntan sänktes med 0,25</w:t>
      </w:r>
      <w:r w:rsidR="00180637" w:rsidRPr="00180637">
        <w:t xml:space="preserve"> procentenheter till </w:t>
      </w:r>
      <w:r w:rsidR="00180637">
        <w:t>noll</w:t>
      </w:r>
      <w:r w:rsidR="00180637" w:rsidRPr="00180637">
        <w:t xml:space="preserve"> procent. Prognosen för reporäntan justerades ned påtagligt.</w:t>
      </w:r>
      <w:r w:rsidR="00DE3090" w:rsidRPr="001D0BA6">
        <w:t xml:space="preserve"> Rä</w:t>
      </w:r>
      <w:r w:rsidR="00DE3090" w:rsidRPr="001D0BA6">
        <w:t>n</w:t>
      </w:r>
      <w:r w:rsidR="00DE3090" w:rsidRPr="001D0BA6">
        <w:t xml:space="preserve">tan för finjusterande transaktioner, i form av kredit (mot säkerhet) eller inlåning över natten, ändrades samtidigt till noll procent från reporäntan </w:t>
      </w:r>
      <w:r w:rsidR="00DE3090">
        <w:t>+/–</w:t>
      </w:r>
      <w:r w:rsidR="00DE3090" w:rsidRPr="001D0BA6">
        <w:t xml:space="preserve"> 10 ränte</w:t>
      </w:r>
      <w:r w:rsidR="00DE3090" w:rsidRPr="001D0BA6">
        <w:softHyphen/>
        <w:t>punkter.</w:t>
      </w:r>
    </w:p>
    <w:p w:rsidR="00FA5531" w:rsidRDefault="00FA5531" w:rsidP="002C0514">
      <w:pPr>
        <w:pBdr>
          <w:top w:val="single" w:sz="4" w:space="1" w:color="auto"/>
          <w:left w:val="single" w:sz="4" w:space="4" w:color="auto"/>
          <w:bottom w:val="single" w:sz="4" w:space="1" w:color="auto"/>
          <w:right w:val="single" w:sz="4" w:space="4" w:color="auto"/>
        </w:pBdr>
        <w:suppressAutoHyphens/>
        <w:ind w:left="1304" w:hanging="1304"/>
      </w:pPr>
      <w:r w:rsidRPr="00144AA5">
        <w:t>15 december</w:t>
      </w:r>
      <w:r w:rsidRPr="00144AA5">
        <w:tab/>
      </w:r>
      <w:r w:rsidR="00527BBC">
        <w:t>Reporäntan lämnades oförändrad på noll procent. Prognosen för reporäntan innebar att reporäntan var</w:t>
      </w:r>
      <w:r w:rsidR="00527BBC" w:rsidRPr="00527BBC">
        <w:t xml:space="preserve"> kvar på noll</w:t>
      </w:r>
      <w:r w:rsidR="00527BBC">
        <w:t xml:space="preserve"> procent</w:t>
      </w:r>
      <w:r w:rsidR="00527BBC" w:rsidRPr="00527BBC">
        <w:t xml:space="preserve"> under en något längre tid jämfört med prognosen i oktober</w:t>
      </w:r>
      <w:r w:rsidR="00527BBC">
        <w:t>.</w:t>
      </w:r>
    </w:p>
    <w:p w:rsidR="00A215BF" w:rsidRPr="005259D2" w:rsidRDefault="00A215BF" w:rsidP="00A215BF">
      <w:pPr>
        <w:pStyle w:val="R2"/>
      </w:pPr>
      <w:r>
        <w:t>Uppföljning</w:t>
      </w:r>
    </w:p>
    <w:p w:rsidR="00A215BF" w:rsidRDefault="00A215BF" w:rsidP="00A215BF">
      <w:r w:rsidRPr="00C63E86">
        <w:t xml:space="preserve">Riksbankens penningpolitik utvärderas av riksdagens finansutskott. Till denna utvärdering sammanställer Riksbanken </w:t>
      </w:r>
      <w:r w:rsidR="00BF757B">
        <w:t>rapporten R</w:t>
      </w:r>
      <w:r w:rsidRPr="00C63E86">
        <w:t>edogörelse för penning</w:t>
      </w:r>
      <w:r w:rsidR="002C0514">
        <w:softHyphen/>
      </w:r>
      <w:r w:rsidRPr="00C63E86">
        <w:t>p</w:t>
      </w:r>
      <w:r w:rsidRPr="00C63E86">
        <w:t>o</w:t>
      </w:r>
      <w:r w:rsidRPr="00C63E86">
        <w:t xml:space="preserve">litiken som publiceras efter den första </w:t>
      </w:r>
      <w:r w:rsidR="006A4A97">
        <w:t>penningpolitiska rapport</w:t>
      </w:r>
      <w:r w:rsidR="004F39C8">
        <w:t>en</w:t>
      </w:r>
      <w:r w:rsidRPr="00C63E86">
        <w:t xml:space="preserve"> för året. Re</w:t>
      </w:r>
      <w:r>
        <w:t>dog</w:t>
      </w:r>
      <w:r>
        <w:t>ö</w:t>
      </w:r>
      <w:r>
        <w:t>relsen för 2014</w:t>
      </w:r>
      <w:r w:rsidRPr="00C63E86">
        <w:t xml:space="preserve"> kommer att överl</w:t>
      </w:r>
      <w:r>
        <w:t>ämnas till riksdagen i mars 2015</w:t>
      </w:r>
      <w:r w:rsidRPr="00C63E86">
        <w:t>.</w:t>
      </w:r>
    </w:p>
    <w:p w:rsidR="00A215BF" w:rsidRDefault="00A215BF" w:rsidP="00A215BF">
      <w:pPr>
        <w:pStyle w:val="R3"/>
      </w:pPr>
      <w:r w:rsidRPr="007C3E7B">
        <w:t>Inflationen</w:t>
      </w:r>
      <w:r w:rsidRPr="004E6ABE">
        <w:t xml:space="preserve"> </w:t>
      </w:r>
    </w:p>
    <w:p w:rsidR="00A215BF" w:rsidRPr="00155643" w:rsidRDefault="00A215BF" w:rsidP="00EC342F">
      <w:pPr>
        <w:suppressAutoHyphens/>
      </w:pPr>
      <w:r>
        <w:t xml:space="preserve">I genomsnitt uppgick KPI-inflationen till </w:t>
      </w:r>
      <w:r w:rsidR="000E12EF" w:rsidRPr="00155643">
        <w:t>−</w:t>
      </w:r>
      <w:r w:rsidR="00217D61" w:rsidRPr="00155643">
        <w:t>0,</w:t>
      </w:r>
      <w:r w:rsidR="000E12EF" w:rsidRPr="00155643">
        <w:t>2</w:t>
      </w:r>
      <w:r w:rsidR="00217D61" w:rsidRPr="00155643">
        <w:t xml:space="preserve"> procent </w:t>
      </w:r>
      <w:r w:rsidR="00896E46" w:rsidRPr="00155643">
        <w:t xml:space="preserve">under </w:t>
      </w:r>
      <w:r w:rsidR="00217D61" w:rsidRPr="00155643">
        <w:t>2014</w:t>
      </w:r>
      <w:r w:rsidRPr="00155643">
        <w:t xml:space="preserve"> (se tabell</w:t>
      </w:r>
      <w:r w:rsidR="004D42F0">
        <w:t> </w:t>
      </w:r>
      <w:r w:rsidRPr="00155643">
        <w:t>1). Att inflationen mätt med KPI blev så låg beror till stor del på att Rik</w:t>
      </w:r>
      <w:r w:rsidRPr="00155643">
        <w:t>s</w:t>
      </w:r>
      <w:r w:rsidRPr="00155643">
        <w:t xml:space="preserve">banken </w:t>
      </w:r>
      <w:r w:rsidR="00217D61" w:rsidRPr="00155643">
        <w:t>sänkt</w:t>
      </w:r>
      <w:r w:rsidR="00896E46" w:rsidRPr="00155643">
        <w:t>e</w:t>
      </w:r>
      <w:r w:rsidRPr="00155643">
        <w:t xml:space="preserve"> reporän</w:t>
      </w:r>
      <w:r w:rsidR="00217D61" w:rsidRPr="00155643">
        <w:t>tan med</w:t>
      </w:r>
      <w:r w:rsidR="00EA4D2A" w:rsidRPr="00155643">
        <w:t xml:space="preserve"> </w:t>
      </w:r>
      <w:r w:rsidR="00217D61" w:rsidRPr="00155643">
        <w:t>0,25 procentenheter</w:t>
      </w:r>
      <w:r w:rsidRPr="00155643">
        <w:t xml:space="preserve"> </w:t>
      </w:r>
      <w:r w:rsidR="00217D61" w:rsidRPr="00155643">
        <w:t>i december 2013</w:t>
      </w:r>
      <w:r w:rsidR="000E12EF" w:rsidRPr="00155643">
        <w:t>,</w:t>
      </w:r>
      <w:r w:rsidR="002D06B9" w:rsidRPr="00155643">
        <w:t xml:space="preserve"> med 0,5</w:t>
      </w:r>
      <w:r w:rsidR="00217D61" w:rsidRPr="00155643">
        <w:t xml:space="preserve"> procentenheter i juli 2014</w:t>
      </w:r>
      <w:r w:rsidR="000E12EF" w:rsidRPr="00155643">
        <w:t xml:space="preserve"> och med 0,25 procentenheter i oktober 2014</w:t>
      </w:r>
      <w:r w:rsidR="00217D61" w:rsidRPr="00B40CBE">
        <w:t xml:space="preserve">. Den genomsnittliga reporäntan under 2014 var därför betydligt lägre än under 2013. </w:t>
      </w:r>
      <w:r w:rsidRPr="00B40CBE">
        <w:t>När reporän</w:t>
      </w:r>
      <w:r w:rsidR="00217D61" w:rsidRPr="00B40CBE">
        <w:t>tan sänks m</w:t>
      </w:r>
      <w:r w:rsidRPr="00B40CBE">
        <w:t>inskar hushållens räntekostnader för bolån</w:t>
      </w:r>
      <w:r w:rsidR="00712A98">
        <w:t>,</w:t>
      </w:r>
      <w:r w:rsidRPr="00B40CBE">
        <w:t xml:space="preserve"> vilket ger lägre inflat</w:t>
      </w:r>
      <w:r w:rsidR="00F608F5" w:rsidRPr="00B40CBE">
        <w:t xml:space="preserve">ion mätt med KPI (se diagram </w:t>
      </w:r>
      <w:r w:rsidR="008C4074" w:rsidRPr="00B40CBE">
        <w:t>6</w:t>
      </w:r>
      <w:r w:rsidRPr="00D15DE1">
        <w:t>).</w:t>
      </w:r>
    </w:p>
    <w:p w:rsidR="00D248DC" w:rsidRDefault="00306EB2" w:rsidP="00D646A5">
      <w:pPr>
        <w:pStyle w:val="Normaltindrag"/>
        <w:rPr>
          <w:noProof/>
        </w:rPr>
      </w:pPr>
      <w:r w:rsidRPr="00155643">
        <w:t>Men även inflationen mätt med KPIF, det vill säga med fast bostadsränta, var låg 2014. KPIF-inflationen blev i genomsnitt 0,</w:t>
      </w:r>
      <w:r w:rsidR="000E12EF" w:rsidRPr="00155643">
        <w:t>5</w:t>
      </w:r>
      <w:r w:rsidRPr="00155643">
        <w:t xml:space="preserve"> procent 2014 (se di</w:t>
      </w:r>
      <w:r w:rsidRPr="00155643">
        <w:t>a</w:t>
      </w:r>
      <w:r w:rsidRPr="00155643">
        <w:t xml:space="preserve">gram </w:t>
      </w:r>
      <w:r w:rsidR="008C4074" w:rsidRPr="00155643">
        <w:t xml:space="preserve">6 </w:t>
      </w:r>
      <w:r w:rsidRPr="00155643">
        <w:t xml:space="preserve">och tabell 1). Det var </w:t>
      </w:r>
      <w:r w:rsidR="000E12EF" w:rsidRPr="00155643">
        <w:t>betydligt</w:t>
      </w:r>
      <w:r w:rsidRPr="00155643">
        <w:t xml:space="preserve"> lägre än 2012 och 2013, då KPIF-inflationen </w:t>
      </w:r>
      <w:r w:rsidR="00C11C75" w:rsidRPr="00155643">
        <w:t>var</w:t>
      </w:r>
      <w:r w:rsidR="00D248DC" w:rsidRPr="00155643">
        <w:t xml:space="preserve"> kring 1 procent. </w:t>
      </w:r>
      <w:r w:rsidRPr="00155643">
        <w:t>KPIF exklusive energipriser var något högre 2014</w:t>
      </w:r>
      <w:r w:rsidR="00E16AB4" w:rsidRPr="00155643">
        <w:t>,</w:t>
      </w:r>
      <w:r w:rsidRPr="00155643">
        <w:t xml:space="preserve"> 0,</w:t>
      </w:r>
      <w:r w:rsidR="000E12EF" w:rsidRPr="00155643">
        <w:t>7</w:t>
      </w:r>
      <w:r w:rsidRPr="00155643">
        <w:t xml:space="preserve"> procent.</w:t>
      </w:r>
      <w:r w:rsidR="00DE14FE" w:rsidRPr="00DE14FE">
        <w:rPr>
          <w:noProof/>
        </w:rPr>
        <w:t xml:space="preserve"> </w:t>
      </w:r>
    </w:p>
    <w:p w:rsidR="00CD18CB" w:rsidRDefault="00CD18CB" w:rsidP="00D646A5">
      <w:pPr>
        <w:pStyle w:val="Normaltindrag"/>
        <w:rPr>
          <w:noProof/>
        </w:rPr>
      </w:pPr>
    </w:p>
    <w:p w:rsidR="00CD18CB" w:rsidRDefault="00CD18CB" w:rsidP="00D646A5">
      <w:pPr>
        <w:pStyle w:val="Normaltindrag"/>
        <w:rPr>
          <w:noProof/>
        </w:rPr>
      </w:pPr>
    </w:p>
    <w:p w:rsidR="00CD18CB" w:rsidRDefault="00CD18CB" w:rsidP="00D646A5">
      <w:pPr>
        <w:pStyle w:val="Normaltindrag"/>
        <w:rPr>
          <w:noProof/>
        </w:rPr>
      </w:pPr>
    </w:p>
    <w:p w:rsidR="00217D61" w:rsidRPr="004263A1" w:rsidRDefault="00217D61" w:rsidP="001B1E08">
      <w:pPr>
        <w:pStyle w:val="Diagramrubrik"/>
        <w:rPr>
          <w:b w:val="0"/>
        </w:rPr>
      </w:pPr>
      <w:r w:rsidRPr="007C3E7B">
        <w:t xml:space="preserve">Tabell 1. Jämförelse mellan olika inflationsmått, årlig procentuell </w:t>
      </w:r>
      <w:r w:rsidRPr="007C3E7B">
        <w:br/>
        <w:t>förändring</w:t>
      </w:r>
    </w:p>
    <w:tbl>
      <w:tblPr>
        <w:tblW w:w="5890" w:type="dxa"/>
        <w:tblInd w:w="108" w:type="dxa"/>
        <w:tblBorders>
          <w:top w:val="single" w:sz="4" w:space="0" w:color="auto"/>
          <w:bottom w:val="single" w:sz="4" w:space="0" w:color="auto"/>
        </w:tblBorders>
        <w:tblLayout w:type="fixed"/>
        <w:tblLook w:val="01E0" w:firstRow="1" w:lastRow="1" w:firstColumn="1" w:lastColumn="1" w:noHBand="0" w:noVBand="0"/>
      </w:tblPr>
      <w:tblGrid>
        <w:gridCol w:w="2375"/>
        <w:gridCol w:w="1235"/>
        <w:gridCol w:w="1127"/>
        <w:gridCol w:w="1153"/>
      </w:tblGrid>
      <w:tr w:rsidR="00217D61" w:rsidRPr="004263A1" w:rsidTr="00217D61">
        <w:tc>
          <w:tcPr>
            <w:tcW w:w="2375" w:type="dxa"/>
            <w:tcBorders>
              <w:top w:val="single" w:sz="4" w:space="0" w:color="auto"/>
              <w:bottom w:val="nil"/>
            </w:tcBorders>
            <w:shd w:val="clear" w:color="auto" w:fill="auto"/>
          </w:tcPr>
          <w:p w:rsidR="00217D61" w:rsidRPr="004263A1" w:rsidRDefault="00217D61" w:rsidP="00217D61">
            <w:pPr>
              <w:spacing w:before="60" w:line="200" w:lineRule="exact"/>
              <w:rPr>
                <w:sz w:val="16"/>
                <w:szCs w:val="16"/>
              </w:rPr>
            </w:pPr>
          </w:p>
        </w:tc>
        <w:tc>
          <w:tcPr>
            <w:tcW w:w="3515" w:type="dxa"/>
            <w:gridSpan w:val="3"/>
            <w:tcBorders>
              <w:top w:val="single" w:sz="4" w:space="0" w:color="auto"/>
              <w:bottom w:val="nil"/>
            </w:tcBorders>
            <w:shd w:val="clear" w:color="auto" w:fill="auto"/>
          </w:tcPr>
          <w:p w:rsidR="00217D61" w:rsidRPr="004263A1" w:rsidRDefault="00217D61" w:rsidP="00217D61">
            <w:pPr>
              <w:spacing w:before="60" w:line="200" w:lineRule="exact"/>
              <w:ind w:right="962"/>
              <w:jc w:val="right"/>
              <w:rPr>
                <w:b/>
                <w:sz w:val="16"/>
                <w:szCs w:val="16"/>
              </w:rPr>
            </w:pPr>
            <w:r w:rsidRPr="004263A1">
              <w:rPr>
                <w:b/>
                <w:sz w:val="16"/>
                <w:szCs w:val="16"/>
              </w:rPr>
              <w:t>Årsgenomsnitt</w:t>
            </w:r>
          </w:p>
        </w:tc>
      </w:tr>
      <w:tr w:rsidR="00217D61" w:rsidRPr="004263A1" w:rsidTr="00217D61">
        <w:tc>
          <w:tcPr>
            <w:tcW w:w="2375" w:type="dxa"/>
            <w:tcBorders>
              <w:top w:val="nil"/>
              <w:bottom w:val="single" w:sz="4" w:space="0" w:color="auto"/>
            </w:tcBorders>
            <w:shd w:val="clear" w:color="auto" w:fill="auto"/>
          </w:tcPr>
          <w:p w:rsidR="00217D61" w:rsidRPr="004263A1" w:rsidRDefault="00217D61" w:rsidP="00217D61">
            <w:pPr>
              <w:spacing w:before="60" w:line="200" w:lineRule="exact"/>
              <w:rPr>
                <w:sz w:val="16"/>
                <w:szCs w:val="16"/>
              </w:rPr>
            </w:pPr>
          </w:p>
        </w:tc>
        <w:tc>
          <w:tcPr>
            <w:tcW w:w="1235" w:type="dxa"/>
            <w:tcBorders>
              <w:top w:val="nil"/>
              <w:bottom w:val="single" w:sz="4" w:space="0" w:color="auto"/>
            </w:tcBorders>
            <w:shd w:val="clear" w:color="auto" w:fill="auto"/>
          </w:tcPr>
          <w:p w:rsidR="00217D61" w:rsidRPr="004263A1" w:rsidRDefault="00217D61" w:rsidP="00217D61">
            <w:pPr>
              <w:spacing w:before="60" w:line="200" w:lineRule="exact"/>
              <w:ind w:right="91"/>
              <w:jc w:val="right"/>
              <w:rPr>
                <w:b/>
                <w:sz w:val="16"/>
                <w:szCs w:val="16"/>
              </w:rPr>
            </w:pPr>
            <w:r w:rsidRPr="004263A1">
              <w:rPr>
                <w:b/>
                <w:sz w:val="16"/>
                <w:szCs w:val="16"/>
              </w:rPr>
              <w:t>201</w:t>
            </w:r>
            <w:r>
              <w:rPr>
                <w:b/>
                <w:sz w:val="16"/>
                <w:szCs w:val="16"/>
              </w:rPr>
              <w:t>2</w:t>
            </w:r>
          </w:p>
        </w:tc>
        <w:tc>
          <w:tcPr>
            <w:tcW w:w="1127" w:type="dxa"/>
            <w:tcBorders>
              <w:top w:val="nil"/>
              <w:bottom w:val="single" w:sz="4" w:space="0" w:color="auto"/>
            </w:tcBorders>
            <w:shd w:val="clear" w:color="auto" w:fill="auto"/>
          </w:tcPr>
          <w:p w:rsidR="00217D61" w:rsidRPr="004263A1" w:rsidRDefault="00217D61" w:rsidP="00217D61">
            <w:pPr>
              <w:spacing w:before="60" w:line="200" w:lineRule="exact"/>
              <w:ind w:right="112"/>
              <w:jc w:val="right"/>
              <w:rPr>
                <w:b/>
                <w:sz w:val="16"/>
                <w:szCs w:val="16"/>
              </w:rPr>
            </w:pPr>
            <w:r w:rsidRPr="004263A1">
              <w:rPr>
                <w:b/>
                <w:sz w:val="16"/>
                <w:szCs w:val="16"/>
              </w:rPr>
              <w:t>201</w:t>
            </w:r>
            <w:r>
              <w:rPr>
                <w:b/>
                <w:sz w:val="16"/>
                <w:szCs w:val="16"/>
              </w:rPr>
              <w:t>3</w:t>
            </w:r>
          </w:p>
        </w:tc>
        <w:tc>
          <w:tcPr>
            <w:tcW w:w="1153" w:type="dxa"/>
            <w:tcBorders>
              <w:top w:val="nil"/>
              <w:bottom w:val="single" w:sz="4" w:space="0" w:color="auto"/>
            </w:tcBorders>
            <w:shd w:val="clear" w:color="auto" w:fill="auto"/>
          </w:tcPr>
          <w:p w:rsidR="00217D61" w:rsidRPr="008974AF" w:rsidRDefault="00217D61" w:rsidP="00217D61">
            <w:pPr>
              <w:spacing w:before="60" w:line="200" w:lineRule="exact"/>
              <w:ind w:right="112"/>
              <w:jc w:val="right"/>
              <w:rPr>
                <w:b/>
                <w:sz w:val="16"/>
                <w:szCs w:val="16"/>
              </w:rPr>
            </w:pPr>
            <w:r w:rsidRPr="008974AF">
              <w:rPr>
                <w:b/>
                <w:sz w:val="16"/>
                <w:szCs w:val="16"/>
              </w:rPr>
              <w:t>201</w:t>
            </w:r>
            <w:r>
              <w:rPr>
                <w:b/>
                <w:sz w:val="16"/>
                <w:szCs w:val="16"/>
              </w:rPr>
              <w:t>4</w:t>
            </w:r>
          </w:p>
        </w:tc>
      </w:tr>
      <w:tr w:rsidR="00217D61" w:rsidRPr="004263A1" w:rsidTr="00217D61">
        <w:tc>
          <w:tcPr>
            <w:tcW w:w="2375" w:type="dxa"/>
            <w:tcBorders>
              <w:top w:val="single" w:sz="4" w:space="0" w:color="auto"/>
            </w:tcBorders>
            <w:shd w:val="clear" w:color="auto" w:fill="auto"/>
            <w:vAlign w:val="bottom"/>
          </w:tcPr>
          <w:p w:rsidR="00217D61" w:rsidRPr="004263A1" w:rsidRDefault="00217D61" w:rsidP="00217D61">
            <w:pPr>
              <w:spacing w:before="60" w:line="200" w:lineRule="exact"/>
              <w:rPr>
                <w:sz w:val="16"/>
                <w:szCs w:val="16"/>
              </w:rPr>
            </w:pPr>
            <w:r w:rsidRPr="004263A1">
              <w:rPr>
                <w:sz w:val="16"/>
                <w:szCs w:val="16"/>
              </w:rPr>
              <w:t>KPI</w:t>
            </w:r>
          </w:p>
        </w:tc>
        <w:tc>
          <w:tcPr>
            <w:tcW w:w="1235" w:type="dxa"/>
            <w:tcBorders>
              <w:top w:val="single" w:sz="4" w:space="0" w:color="auto"/>
            </w:tcBorders>
            <w:shd w:val="clear" w:color="auto" w:fill="auto"/>
            <w:vAlign w:val="bottom"/>
          </w:tcPr>
          <w:p w:rsidR="00217D61" w:rsidRPr="004263A1" w:rsidRDefault="00217D61" w:rsidP="00217D61">
            <w:pPr>
              <w:spacing w:before="60" w:line="200" w:lineRule="exact"/>
              <w:ind w:right="112"/>
              <w:jc w:val="right"/>
              <w:rPr>
                <w:sz w:val="16"/>
                <w:szCs w:val="16"/>
              </w:rPr>
            </w:pPr>
            <w:r>
              <w:rPr>
                <w:sz w:val="16"/>
                <w:szCs w:val="16"/>
              </w:rPr>
              <w:t>0,9</w:t>
            </w:r>
          </w:p>
        </w:tc>
        <w:tc>
          <w:tcPr>
            <w:tcW w:w="1127" w:type="dxa"/>
            <w:tcBorders>
              <w:top w:val="single" w:sz="4" w:space="0" w:color="auto"/>
            </w:tcBorders>
            <w:shd w:val="clear" w:color="auto" w:fill="auto"/>
            <w:vAlign w:val="bottom"/>
          </w:tcPr>
          <w:p w:rsidR="00217D61" w:rsidRPr="004263A1" w:rsidRDefault="00217D61" w:rsidP="00217D61">
            <w:pPr>
              <w:spacing w:before="60" w:line="200" w:lineRule="exact"/>
              <w:ind w:right="112"/>
              <w:jc w:val="right"/>
              <w:rPr>
                <w:sz w:val="16"/>
                <w:szCs w:val="16"/>
              </w:rPr>
            </w:pPr>
            <w:r>
              <w:rPr>
                <w:sz w:val="16"/>
                <w:szCs w:val="16"/>
              </w:rPr>
              <w:t>0,0</w:t>
            </w:r>
          </w:p>
        </w:tc>
        <w:tc>
          <w:tcPr>
            <w:tcW w:w="1153" w:type="dxa"/>
            <w:tcBorders>
              <w:top w:val="single" w:sz="4" w:space="0" w:color="auto"/>
            </w:tcBorders>
            <w:shd w:val="clear" w:color="auto" w:fill="auto"/>
            <w:vAlign w:val="bottom"/>
          </w:tcPr>
          <w:p w:rsidR="00217D61" w:rsidRPr="00155643" w:rsidRDefault="000E12EF" w:rsidP="00217D61">
            <w:pPr>
              <w:spacing w:before="60" w:line="200" w:lineRule="exact"/>
              <w:ind w:right="112"/>
              <w:jc w:val="right"/>
              <w:rPr>
                <w:sz w:val="16"/>
                <w:szCs w:val="16"/>
              </w:rPr>
            </w:pPr>
            <w:r w:rsidRPr="00155643">
              <w:rPr>
                <w:noProof/>
                <w:sz w:val="16"/>
                <w:szCs w:val="16"/>
              </w:rPr>
              <w:t>−</w:t>
            </w:r>
            <w:r w:rsidR="00217D61" w:rsidRPr="00155643">
              <w:rPr>
                <w:sz w:val="16"/>
                <w:szCs w:val="16"/>
              </w:rPr>
              <w:t>0,</w:t>
            </w:r>
            <w:r w:rsidRPr="00155643">
              <w:rPr>
                <w:noProof/>
                <w:sz w:val="16"/>
                <w:szCs w:val="16"/>
              </w:rPr>
              <w:t>2</w:t>
            </w:r>
          </w:p>
        </w:tc>
      </w:tr>
      <w:tr w:rsidR="00217D61" w:rsidRPr="004263A1" w:rsidTr="00217D61">
        <w:tc>
          <w:tcPr>
            <w:tcW w:w="2375" w:type="dxa"/>
            <w:shd w:val="clear" w:color="auto" w:fill="auto"/>
            <w:vAlign w:val="bottom"/>
          </w:tcPr>
          <w:p w:rsidR="00217D61" w:rsidRPr="004263A1" w:rsidRDefault="00217D61" w:rsidP="00217D61">
            <w:pPr>
              <w:spacing w:before="60" w:line="200" w:lineRule="exact"/>
              <w:rPr>
                <w:sz w:val="16"/>
                <w:szCs w:val="16"/>
              </w:rPr>
            </w:pPr>
            <w:r w:rsidRPr="004263A1">
              <w:rPr>
                <w:sz w:val="16"/>
                <w:szCs w:val="16"/>
              </w:rPr>
              <w:t>KPIF</w:t>
            </w:r>
          </w:p>
        </w:tc>
        <w:tc>
          <w:tcPr>
            <w:tcW w:w="1235" w:type="dxa"/>
            <w:shd w:val="clear" w:color="auto" w:fill="auto"/>
            <w:vAlign w:val="bottom"/>
          </w:tcPr>
          <w:p w:rsidR="00217D61" w:rsidRPr="004263A1" w:rsidRDefault="00217D61" w:rsidP="00217D61">
            <w:pPr>
              <w:spacing w:before="60" w:line="200" w:lineRule="exact"/>
              <w:ind w:right="112"/>
              <w:jc w:val="right"/>
              <w:rPr>
                <w:sz w:val="16"/>
                <w:szCs w:val="16"/>
              </w:rPr>
            </w:pPr>
            <w:r>
              <w:rPr>
                <w:sz w:val="16"/>
                <w:szCs w:val="16"/>
              </w:rPr>
              <w:t>1,0</w:t>
            </w:r>
          </w:p>
        </w:tc>
        <w:tc>
          <w:tcPr>
            <w:tcW w:w="1127" w:type="dxa"/>
            <w:shd w:val="clear" w:color="auto" w:fill="auto"/>
            <w:vAlign w:val="bottom"/>
          </w:tcPr>
          <w:p w:rsidR="00217D61" w:rsidRPr="004263A1" w:rsidRDefault="00217D61" w:rsidP="00217D61">
            <w:pPr>
              <w:spacing w:before="60" w:line="200" w:lineRule="exact"/>
              <w:ind w:right="112"/>
              <w:jc w:val="right"/>
              <w:rPr>
                <w:sz w:val="16"/>
                <w:szCs w:val="16"/>
              </w:rPr>
            </w:pPr>
            <w:r>
              <w:rPr>
                <w:sz w:val="16"/>
                <w:szCs w:val="16"/>
              </w:rPr>
              <w:t>0,9</w:t>
            </w:r>
          </w:p>
        </w:tc>
        <w:tc>
          <w:tcPr>
            <w:tcW w:w="1153" w:type="dxa"/>
            <w:shd w:val="clear" w:color="auto" w:fill="auto"/>
            <w:vAlign w:val="bottom"/>
          </w:tcPr>
          <w:p w:rsidR="00217D61" w:rsidRPr="00155643" w:rsidRDefault="00217D61" w:rsidP="00217D61">
            <w:pPr>
              <w:spacing w:before="60" w:line="200" w:lineRule="exact"/>
              <w:ind w:right="112"/>
              <w:jc w:val="right"/>
              <w:rPr>
                <w:sz w:val="16"/>
                <w:szCs w:val="16"/>
              </w:rPr>
            </w:pPr>
            <w:r w:rsidRPr="00155643">
              <w:rPr>
                <w:sz w:val="16"/>
                <w:szCs w:val="16"/>
              </w:rPr>
              <w:t>0,</w:t>
            </w:r>
            <w:r w:rsidR="000E12EF" w:rsidRPr="00155643">
              <w:rPr>
                <w:sz w:val="16"/>
                <w:szCs w:val="16"/>
              </w:rPr>
              <w:t>5</w:t>
            </w:r>
          </w:p>
        </w:tc>
      </w:tr>
      <w:tr w:rsidR="00217D61" w:rsidRPr="004263A1" w:rsidTr="00217D61">
        <w:tc>
          <w:tcPr>
            <w:tcW w:w="2375" w:type="dxa"/>
            <w:shd w:val="clear" w:color="auto" w:fill="auto"/>
            <w:vAlign w:val="bottom"/>
          </w:tcPr>
          <w:p w:rsidR="00217D61" w:rsidRPr="004263A1" w:rsidRDefault="00217D61" w:rsidP="00217D61">
            <w:pPr>
              <w:spacing w:before="60" w:line="200" w:lineRule="exact"/>
              <w:rPr>
                <w:sz w:val="16"/>
                <w:szCs w:val="16"/>
              </w:rPr>
            </w:pPr>
            <w:r w:rsidRPr="004263A1">
              <w:rPr>
                <w:sz w:val="16"/>
                <w:szCs w:val="16"/>
              </w:rPr>
              <w:t>KPIF exklusive energi</w:t>
            </w:r>
          </w:p>
        </w:tc>
        <w:tc>
          <w:tcPr>
            <w:tcW w:w="1235" w:type="dxa"/>
            <w:shd w:val="clear" w:color="auto" w:fill="auto"/>
            <w:vAlign w:val="bottom"/>
          </w:tcPr>
          <w:p w:rsidR="00217D61" w:rsidRPr="004263A1" w:rsidRDefault="00217D61" w:rsidP="00217D61">
            <w:pPr>
              <w:spacing w:before="60" w:line="200" w:lineRule="exact"/>
              <w:ind w:right="112"/>
              <w:jc w:val="right"/>
              <w:rPr>
                <w:sz w:val="16"/>
                <w:szCs w:val="16"/>
              </w:rPr>
            </w:pPr>
            <w:r w:rsidRPr="004263A1">
              <w:rPr>
                <w:sz w:val="16"/>
                <w:szCs w:val="16"/>
              </w:rPr>
              <w:t>1,0</w:t>
            </w:r>
          </w:p>
        </w:tc>
        <w:tc>
          <w:tcPr>
            <w:tcW w:w="1127" w:type="dxa"/>
            <w:shd w:val="clear" w:color="auto" w:fill="auto"/>
            <w:vAlign w:val="bottom"/>
          </w:tcPr>
          <w:p w:rsidR="00217D61" w:rsidRPr="004263A1" w:rsidRDefault="00217D61" w:rsidP="00217D61">
            <w:pPr>
              <w:spacing w:before="60" w:line="200" w:lineRule="exact"/>
              <w:ind w:right="112"/>
              <w:jc w:val="right"/>
              <w:rPr>
                <w:sz w:val="16"/>
                <w:szCs w:val="16"/>
              </w:rPr>
            </w:pPr>
            <w:r>
              <w:rPr>
                <w:sz w:val="16"/>
                <w:szCs w:val="16"/>
              </w:rPr>
              <w:t>1,1</w:t>
            </w:r>
          </w:p>
        </w:tc>
        <w:tc>
          <w:tcPr>
            <w:tcW w:w="1153" w:type="dxa"/>
            <w:shd w:val="clear" w:color="auto" w:fill="auto"/>
            <w:vAlign w:val="bottom"/>
          </w:tcPr>
          <w:p w:rsidR="00217D61" w:rsidRPr="00155643" w:rsidRDefault="00217D61" w:rsidP="00217D61">
            <w:pPr>
              <w:spacing w:before="60" w:line="200" w:lineRule="exact"/>
              <w:ind w:right="112"/>
              <w:jc w:val="right"/>
              <w:rPr>
                <w:sz w:val="16"/>
                <w:szCs w:val="16"/>
              </w:rPr>
            </w:pPr>
            <w:r w:rsidRPr="00155643">
              <w:rPr>
                <w:sz w:val="16"/>
                <w:szCs w:val="16"/>
              </w:rPr>
              <w:t>0,</w:t>
            </w:r>
            <w:r w:rsidR="000E12EF" w:rsidRPr="00155643">
              <w:rPr>
                <w:sz w:val="16"/>
                <w:szCs w:val="16"/>
              </w:rPr>
              <w:t>7</w:t>
            </w:r>
          </w:p>
        </w:tc>
      </w:tr>
    </w:tbl>
    <w:p w:rsidR="00217D61" w:rsidRDefault="00217D61" w:rsidP="001B1E08">
      <w:pPr>
        <w:pStyle w:val="Fotnotstext"/>
        <w:rPr>
          <w:lang w:eastAsia="x-none"/>
        </w:rPr>
      </w:pPr>
      <w:r w:rsidRPr="004263A1">
        <w:t>Källor: SCB och Riksbanken.</w:t>
      </w:r>
    </w:p>
    <w:p w:rsidR="00A215BF" w:rsidRPr="004263A1" w:rsidRDefault="001E080D" w:rsidP="00A511A6">
      <w:pPr>
        <w:pStyle w:val="Diagramrubrik"/>
      </w:pPr>
      <w:r w:rsidRPr="007C3E7B">
        <w:t xml:space="preserve">Diagram </w:t>
      </w:r>
      <w:r>
        <w:t>6. KPI, KPIF och KPIF exklusive energi, årlig procentuell fö</w:t>
      </w:r>
      <w:r>
        <w:t>r</w:t>
      </w:r>
      <w:r>
        <w:t>ändring</w:t>
      </w:r>
    </w:p>
    <w:p w:rsidR="00A215BF" w:rsidRPr="004263A1" w:rsidRDefault="00A12E15" w:rsidP="00A215BF">
      <w:pPr>
        <w:spacing w:before="120"/>
      </w:pPr>
      <w:r w:rsidRPr="009E3D21">
        <w:rPr>
          <w:noProof/>
        </w:rPr>
        <w:drawing>
          <wp:inline distT="0" distB="0" distL="0" distR="0">
            <wp:extent cx="3781425" cy="2466975"/>
            <wp:effectExtent l="0" t="0" r="9525"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A215BF" w:rsidRPr="004263A1" w:rsidRDefault="00A215BF" w:rsidP="00A511A6">
      <w:pPr>
        <w:pStyle w:val="Fotnotstext"/>
        <w:rPr>
          <w:lang w:val="x-none" w:eastAsia="x-none"/>
        </w:rPr>
      </w:pPr>
      <w:r w:rsidRPr="004263A1">
        <w:t xml:space="preserve">Anm. KPIF är KPI med fast bostadsränta. </w:t>
      </w:r>
    </w:p>
    <w:p w:rsidR="00A215BF" w:rsidRDefault="00A215BF" w:rsidP="00A511A6">
      <w:pPr>
        <w:pStyle w:val="Fotnotstext"/>
        <w:rPr>
          <w:lang w:eastAsia="x-none"/>
        </w:rPr>
      </w:pPr>
      <w:r w:rsidRPr="004263A1">
        <w:t>Källa: SCB.</w:t>
      </w:r>
    </w:p>
    <w:p w:rsidR="00084B5D" w:rsidRDefault="00084B5D" w:rsidP="00C7031A">
      <w:pPr>
        <w:pStyle w:val="R3"/>
      </w:pPr>
      <w:r w:rsidRPr="007C3E7B">
        <w:t>Realekonomisk utveckling</w:t>
      </w:r>
      <w:r w:rsidRPr="004E6ABE">
        <w:t xml:space="preserve"> </w:t>
      </w:r>
    </w:p>
    <w:p w:rsidR="000015FB" w:rsidRDefault="00084B5D" w:rsidP="00EC342F">
      <w:pPr>
        <w:suppressAutoHyphens/>
      </w:pPr>
      <w:r w:rsidRPr="00E16AB4">
        <w:t xml:space="preserve">Enligt Riksbankens bedömning i december </w:t>
      </w:r>
      <w:r>
        <w:t xml:space="preserve">ökade BNP under 2014 med </w:t>
      </w:r>
      <w:r w:rsidRPr="00526BCB">
        <w:t>1,8</w:t>
      </w:r>
      <w:r w:rsidR="00A03957">
        <w:t> </w:t>
      </w:r>
      <w:r>
        <w:t xml:space="preserve">procent, vilket var något mer än under 2013 (se diagram 7). </w:t>
      </w:r>
      <w:r w:rsidR="00172444">
        <w:t>Riksbanken ansåg samtidigt att e</w:t>
      </w:r>
      <w:r>
        <w:t>fterfrågan på svenska exportvaror var fortsatt relativt låg</w:t>
      </w:r>
      <w:r w:rsidR="00563AB9">
        <w:t xml:space="preserve">, </w:t>
      </w:r>
      <w:r>
        <w:t xml:space="preserve">men efter att ha minskat under 2013 steg den svenska exporten </w:t>
      </w:r>
      <w:r w:rsidRPr="004A46D3">
        <w:t xml:space="preserve">under 2014 med </w:t>
      </w:r>
      <w:r w:rsidRPr="00526BCB">
        <w:t xml:space="preserve">2,2 </w:t>
      </w:r>
      <w:r w:rsidRPr="004A46D3">
        <w:t>procent</w:t>
      </w:r>
      <w:r>
        <w:t xml:space="preserve">. Även investeringarna utvecklades svagt, </w:t>
      </w:r>
      <w:r w:rsidR="00587316">
        <w:t>utifrån Riks</w:t>
      </w:r>
      <w:r w:rsidR="0042709D">
        <w:softHyphen/>
      </w:r>
      <w:r w:rsidR="00587316">
        <w:t>bankens beräkning i december</w:t>
      </w:r>
      <w:r w:rsidR="00563AB9">
        <w:t xml:space="preserve">, </w:t>
      </w:r>
      <w:r>
        <w:t xml:space="preserve">men även för dessa vändes en negativ utveckling under 2013 till en tillväxt på </w:t>
      </w:r>
      <w:r w:rsidRPr="00526BCB">
        <w:t xml:space="preserve">4,7 </w:t>
      </w:r>
      <w:r w:rsidRPr="004A46D3">
        <w:t>procent</w:t>
      </w:r>
      <w:r>
        <w:t xml:space="preserve"> under 2014. Hushållens konsumtion har de senaste åren stått emot den svaga omvärldsutvecklingen väl och steg med </w:t>
      </w:r>
      <w:r w:rsidR="00456A29">
        <w:t>2,4 </w:t>
      </w:r>
      <w:r w:rsidRPr="00526BCB">
        <w:t>procent</w:t>
      </w:r>
      <w:r w:rsidR="00752610" w:rsidRPr="00752610">
        <w:t xml:space="preserve"> </w:t>
      </w:r>
      <w:r w:rsidR="00752610">
        <w:t>under 2014</w:t>
      </w:r>
      <w:r>
        <w:t xml:space="preserve">, </w:t>
      </w:r>
      <w:r w:rsidR="00587316">
        <w:t xml:space="preserve">enligt Riksbankens skattning, </w:t>
      </w:r>
      <w:r>
        <w:t>vilket var något mer än under 2013.</w:t>
      </w:r>
    </w:p>
    <w:p w:rsidR="00CD27AE" w:rsidRPr="004263A1" w:rsidRDefault="00CD27AE" w:rsidP="000015FB">
      <w:pPr>
        <w:pStyle w:val="Diagramrubrik"/>
      </w:pPr>
      <w:r w:rsidRPr="007C3E7B">
        <w:t xml:space="preserve">Diagram </w:t>
      </w:r>
      <w:r w:rsidR="008C4074">
        <w:t>7</w:t>
      </w:r>
      <w:r w:rsidRPr="007C3E7B">
        <w:t>. BNP i Sverige, årlig pr</w:t>
      </w:r>
      <w:r w:rsidRPr="007C3E7B">
        <w:t>o</w:t>
      </w:r>
      <w:r w:rsidRPr="007C3E7B">
        <w:t>centuell förändring</w:t>
      </w:r>
    </w:p>
    <w:p w:rsidR="00CD27AE" w:rsidRPr="004263A1" w:rsidRDefault="00A12E15" w:rsidP="00CD27AE">
      <w:pPr>
        <w:spacing w:before="120"/>
      </w:pPr>
      <w:r w:rsidRPr="00FB6373">
        <w:rPr>
          <w:noProof/>
        </w:rPr>
        <w:drawing>
          <wp:inline distT="0" distB="0" distL="0" distR="0">
            <wp:extent cx="3781425" cy="2466975"/>
            <wp:effectExtent l="0" t="0" r="9525"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CD27AE" w:rsidRPr="004263A1" w:rsidRDefault="00CD27AE" w:rsidP="00A511A6">
      <w:pPr>
        <w:pStyle w:val="Fotnotstext"/>
        <w:rPr>
          <w:lang w:eastAsia="x-none"/>
        </w:rPr>
      </w:pPr>
      <w:r w:rsidRPr="004263A1">
        <w:t xml:space="preserve">Anm. Den streckade stapeln avser Riksbankens prognos i </w:t>
      </w:r>
      <w:r w:rsidR="004273DC" w:rsidRPr="000F48E8">
        <w:rPr>
          <w:lang w:eastAsia="x-none"/>
        </w:rPr>
        <w:t xml:space="preserve">december </w:t>
      </w:r>
      <w:r w:rsidRPr="000F48E8">
        <w:rPr>
          <w:lang w:eastAsia="x-none"/>
        </w:rPr>
        <w:t>2014.</w:t>
      </w:r>
      <w:r w:rsidRPr="004263A1">
        <w:rPr>
          <w:lang w:eastAsia="x-none"/>
        </w:rPr>
        <w:t xml:space="preserve"> </w:t>
      </w:r>
      <w:r>
        <w:rPr>
          <w:lang w:eastAsia="x-none"/>
        </w:rPr>
        <w:t xml:space="preserve">På grund av </w:t>
      </w:r>
      <w:r w:rsidR="00E54FCF">
        <w:rPr>
          <w:lang w:eastAsia="x-none"/>
        </w:rPr>
        <w:t xml:space="preserve">omläggning och </w:t>
      </w:r>
      <w:r>
        <w:rPr>
          <w:lang w:eastAsia="x-none"/>
        </w:rPr>
        <w:t xml:space="preserve">revideringar av nationalräkenskaperna </w:t>
      </w:r>
      <w:r w:rsidR="00E54FCF">
        <w:rPr>
          <w:lang w:eastAsia="x-none"/>
        </w:rPr>
        <w:t xml:space="preserve">skiljer sig </w:t>
      </w:r>
      <w:r>
        <w:rPr>
          <w:lang w:eastAsia="x-none"/>
        </w:rPr>
        <w:t xml:space="preserve">BNP-tillväxten för </w:t>
      </w:r>
      <w:r w:rsidR="00E54FCF">
        <w:rPr>
          <w:lang w:eastAsia="x-none"/>
        </w:rPr>
        <w:t>2000–</w:t>
      </w:r>
      <w:r>
        <w:rPr>
          <w:lang w:eastAsia="x-none"/>
        </w:rPr>
        <w:t>201</w:t>
      </w:r>
      <w:r w:rsidR="00E54FCF">
        <w:rPr>
          <w:lang w:eastAsia="x-none"/>
        </w:rPr>
        <w:t>2</w:t>
      </w:r>
      <w:r>
        <w:rPr>
          <w:lang w:eastAsia="x-none"/>
        </w:rPr>
        <w:t xml:space="preserve"> </w:t>
      </w:r>
      <w:r w:rsidR="00E54FCF">
        <w:rPr>
          <w:lang w:eastAsia="x-none"/>
        </w:rPr>
        <w:t>från</w:t>
      </w:r>
      <w:r>
        <w:rPr>
          <w:lang w:eastAsia="x-none"/>
        </w:rPr>
        <w:t xml:space="preserve"> vad som framgick i årsredovisningen för 201</w:t>
      </w:r>
      <w:r w:rsidR="00E54FCF">
        <w:rPr>
          <w:lang w:eastAsia="x-none"/>
        </w:rPr>
        <w:t>3</w:t>
      </w:r>
      <w:r>
        <w:rPr>
          <w:lang w:eastAsia="x-none"/>
        </w:rPr>
        <w:t>.</w:t>
      </w:r>
    </w:p>
    <w:p w:rsidR="00CD27AE" w:rsidRDefault="00CD27AE" w:rsidP="00A511A6">
      <w:pPr>
        <w:pStyle w:val="Fotnotstext"/>
      </w:pPr>
      <w:r w:rsidRPr="004263A1">
        <w:rPr>
          <w:lang w:val="x-none"/>
        </w:rPr>
        <w:t>Källor: SCB och Riksbanken.</w:t>
      </w:r>
    </w:p>
    <w:p w:rsidR="00CE44CC" w:rsidRPr="00CE44CC" w:rsidRDefault="00CE44CC" w:rsidP="00CE44CC">
      <w:pPr>
        <w:pStyle w:val="Fotnotstextindrag"/>
      </w:pPr>
    </w:p>
    <w:p w:rsidR="00CE44CC" w:rsidRPr="00CE44CC" w:rsidRDefault="00CE44CC" w:rsidP="00442E86">
      <w:r>
        <w:t>Arbetslösheten har de senaste åren fluktuerat kring 8 procent (se di</w:t>
      </w:r>
      <w:r>
        <w:t>a</w:t>
      </w:r>
      <w:r>
        <w:t>gram 8). I geno</w:t>
      </w:r>
      <w:r>
        <w:t>m</w:t>
      </w:r>
      <w:r>
        <w:t xml:space="preserve">snitt uppgick den 2014 till </w:t>
      </w:r>
      <w:r w:rsidRPr="00442E86">
        <w:t>7,9</w:t>
      </w:r>
      <w:r>
        <w:t xml:space="preserve"> procent, vilket var i stort sett </w:t>
      </w:r>
      <w:r w:rsidRPr="00442E86">
        <w:t>samma nivå</w:t>
      </w:r>
      <w:r>
        <w:t xml:space="preserve"> som 2013. Trenden i de senaste årens arbetsmarknadsutveckling fort</w:t>
      </w:r>
      <w:r w:rsidR="00456A29">
        <w:softHyphen/>
      </w:r>
      <w:r>
        <w:t>satte; antalet personer i arbetskra</w:t>
      </w:r>
      <w:r>
        <w:t>f</w:t>
      </w:r>
      <w:r>
        <w:t xml:space="preserve">ten </w:t>
      </w:r>
      <w:r w:rsidR="007737DA">
        <w:t xml:space="preserve">ökade samtidigt som antalet sysselsatta </w:t>
      </w:r>
      <w:r>
        <w:t>också ökade, vilket gjorde att arbet</w:t>
      </w:r>
      <w:r>
        <w:t>s</w:t>
      </w:r>
      <w:r>
        <w:t>lösheten blev ungefär oförändrad (se diagram 8).</w:t>
      </w:r>
    </w:p>
    <w:p w:rsidR="00104720" w:rsidRDefault="00104720" w:rsidP="00EC342F">
      <w:pPr>
        <w:suppressAutoHyphens/>
        <w:spacing w:before="0"/>
        <w:ind w:firstLine="227"/>
      </w:pPr>
      <w:r w:rsidRPr="00C63E86">
        <w:t xml:space="preserve">Som ett sammanfattande mått på </w:t>
      </w:r>
      <w:r>
        <w:t>konjunkturläget</w:t>
      </w:r>
      <w:r w:rsidRPr="00C63E86">
        <w:t xml:space="preserve"> </w:t>
      </w:r>
      <w:r>
        <w:t>i</w:t>
      </w:r>
      <w:r w:rsidRPr="00C63E86">
        <w:t xml:space="preserve"> realekonomin används ofta något mått på resursutnyttjandet. Det finns dock inget entydigt sätt att mäta detta, och Riksbanken använder </w:t>
      </w:r>
      <w:r>
        <w:t xml:space="preserve">därför </w:t>
      </w:r>
      <w:r w:rsidRPr="00C63E86">
        <w:t>ett antal olika indikatorer för att bedöma resursutnyttjandet. Exempel på sådana mått är BNP-gapet och timgapet, som mäter BNP:s och de arbetade timmarnas procentuella avvikel</w:t>
      </w:r>
      <w:r w:rsidR="00EC342F">
        <w:softHyphen/>
      </w:r>
      <w:r w:rsidRPr="00C63E86">
        <w:t xml:space="preserve">ser från sina respektive </w:t>
      </w:r>
      <w:r w:rsidR="00DB1E61">
        <w:t xml:space="preserve">uppskattade </w:t>
      </w:r>
      <w:r w:rsidRPr="00C63E86">
        <w:t>långsiktigt hållbara nivåer. Om respektive mått är positivt</w:t>
      </w:r>
      <w:r>
        <w:t xml:space="preserve"> </w:t>
      </w:r>
      <w:r w:rsidRPr="00C63E86">
        <w:t>betyder det att aktivitetsnivån i ekonomin är hög och att resursa</w:t>
      </w:r>
      <w:r w:rsidRPr="00C63E86">
        <w:t>n</w:t>
      </w:r>
      <w:r w:rsidRPr="00C63E86">
        <w:t>vändningen i ekonomin är högre än normalt. Motsatsen gäller när måtten är negativa. Enligt</w:t>
      </w:r>
      <w:r>
        <w:t xml:space="preserve"> BNP-gapet var resursutnyttjandet lägre än normalt under 2014.</w:t>
      </w:r>
      <w:r w:rsidR="001B4CF5">
        <w:t xml:space="preserve"> Timgapet indikerade dock ett resursutnyttjande närmare en normal nivå än BNP-gapet</w:t>
      </w:r>
      <w:r w:rsidR="008C4074">
        <w:t xml:space="preserve"> (se diagram 9</w:t>
      </w:r>
      <w:r w:rsidR="001B4CF5">
        <w:t>).</w:t>
      </w:r>
    </w:p>
    <w:p w:rsidR="00104720" w:rsidRDefault="00104720" w:rsidP="00104720">
      <w:pPr>
        <w:pStyle w:val="Normaltindrag"/>
      </w:pPr>
      <w:r>
        <w:t>Riksbankens egen indikator på resursutnyttjandet, den så kallade RU-indikatorn, sammanfattar information från enkäter och arbetsmarknadsdata med hjälp av en statistisk metod. Även denna indikator visar att resurs</w:t>
      </w:r>
      <w:r w:rsidR="00EC342F">
        <w:softHyphen/>
      </w:r>
      <w:r>
        <w:t>utnyt</w:t>
      </w:r>
      <w:r>
        <w:t>t</w:t>
      </w:r>
      <w:r>
        <w:t xml:space="preserve">jandet var lägre än normalt under 2014 (se diagram </w:t>
      </w:r>
      <w:r w:rsidR="008C4074">
        <w:t>9</w:t>
      </w:r>
      <w:r>
        <w:t xml:space="preserve">). </w:t>
      </w:r>
    </w:p>
    <w:p w:rsidR="00104720" w:rsidRPr="008509AD" w:rsidRDefault="00895205" w:rsidP="00104720">
      <w:pPr>
        <w:pStyle w:val="Normaltindrag"/>
      </w:pPr>
      <w:r>
        <w:t>S</w:t>
      </w:r>
      <w:r w:rsidR="00083EAC">
        <w:t xml:space="preserve">ammantaget är Riksbankens bedömning </w:t>
      </w:r>
      <w:r w:rsidR="00104720">
        <w:t xml:space="preserve">att resursutnyttjandet </w:t>
      </w:r>
      <w:r w:rsidR="00083EAC">
        <w:t xml:space="preserve">i Sverige </w:t>
      </w:r>
      <w:r w:rsidR="00104720">
        <w:t>var något lägre än normalt under året.</w:t>
      </w:r>
    </w:p>
    <w:p w:rsidR="00056FF3" w:rsidRPr="007B2D2E" w:rsidRDefault="00056FF3" w:rsidP="00056FF3">
      <w:pPr>
        <w:pStyle w:val="Diagramrubrik"/>
        <w:rPr>
          <w:noProof/>
        </w:rPr>
      </w:pPr>
      <w:r w:rsidRPr="007B2D2E">
        <w:t xml:space="preserve">Diagram 8. Deltagande i arbetskraften och sysselsättningsgrad samt arbetslösheten i Sverige, procent av befolkningen respektive procent av arbetskraften </w:t>
      </w:r>
    </w:p>
    <w:p w:rsidR="00CE44CC" w:rsidRPr="0097591A" w:rsidRDefault="00A12E15" w:rsidP="00CE44CC">
      <w:pPr>
        <w:pStyle w:val="Normaltindrag"/>
        <w:ind w:firstLine="0"/>
      </w:pPr>
      <w:r w:rsidRPr="00732BFD">
        <w:rPr>
          <w:noProof/>
        </w:rPr>
        <w:drawing>
          <wp:inline distT="0" distB="0" distL="0" distR="0">
            <wp:extent cx="3781425" cy="246697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CE44CC" w:rsidRDefault="00CE44CC" w:rsidP="00CE44CC">
      <w:pPr>
        <w:pStyle w:val="Fotnotstext"/>
        <w:rPr>
          <w:lang w:eastAsia="x-none"/>
        </w:rPr>
      </w:pPr>
      <w:r w:rsidRPr="004263A1">
        <w:t xml:space="preserve">Anm. </w:t>
      </w:r>
      <w:r w:rsidRPr="000A3EEF">
        <w:rPr>
          <w:lang w:eastAsia="x-none"/>
        </w:rPr>
        <w:t>Säsongsrensade data. Tre månaders glidande medelvärde. Uppgifterna avser personer i åldern 15</w:t>
      </w:r>
      <w:r>
        <w:rPr>
          <w:lang w:eastAsia="x-none"/>
        </w:rPr>
        <w:t>–</w:t>
      </w:r>
      <w:r w:rsidRPr="000A3EEF">
        <w:rPr>
          <w:lang w:eastAsia="x-none"/>
        </w:rPr>
        <w:t xml:space="preserve">74 år. </w:t>
      </w:r>
    </w:p>
    <w:p w:rsidR="00CE44CC" w:rsidRDefault="00CE44CC" w:rsidP="00CE44CC">
      <w:pPr>
        <w:pStyle w:val="Fotnotstext"/>
        <w:rPr>
          <w:lang w:eastAsia="x-none"/>
        </w:rPr>
      </w:pPr>
      <w:r w:rsidRPr="004263A1">
        <w:rPr>
          <w:lang w:val="x-none"/>
        </w:rPr>
        <w:t>Källor: SCB och Riksbanken.</w:t>
      </w:r>
    </w:p>
    <w:p w:rsidR="00056FF3" w:rsidRPr="007B2D2E" w:rsidRDefault="00056FF3" w:rsidP="00056FF3">
      <w:pPr>
        <w:pStyle w:val="Diagramrubrik"/>
      </w:pPr>
      <w:r w:rsidRPr="007B2D2E">
        <w:t>Diagram 9. BNP- och timgap samt RU-indikatorn, procent respektive standardavvikelse</w:t>
      </w:r>
    </w:p>
    <w:p w:rsidR="00A215BF" w:rsidRPr="004263A1" w:rsidRDefault="00A12E15" w:rsidP="00A215BF">
      <w:r w:rsidRPr="008A4AA2">
        <w:rPr>
          <w:noProof/>
        </w:rPr>
        <w:drawing>
          <wp:inline distT="0" distB="0" distL="0" distR="0">
            <wp:extent cx="3781425" cy="2466975"/>
            <wp:effectExtent l="0" t="0" r="9525"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A215BF" w:rsidRPr="004263A1" w:rsidRDefault="00A215BF" w:rsidP="00EF57EC">
      <w:pPr>
        <w:pStyle w:val="Fotnotstext"/>
        <w:rPr>
          <w:lang w:eastAsia="x-none"/>
        </w:rPr>
      </w:pPr>
      <w:r w:rsidRPr="004263A1">
        <w:t>Anm. BNP-gap avser BNP:s avvikelse från sin trend beräknad med en produktion</w:t>
      </w:r>
      <w:r w:rsidRPr="004263A1">
        <w:rPr>
          <w:lang w:eastAsia="x-none"/>
        </w:rPr>
        <w:t>s</w:t>
      </w:r>
      <w:r w:rsidRPr="004263A1">
        <w:rPr>
          <w:lang w:eastAsia="x-none"/>
        </w:rPr>
        <w:t>funktion. Timgap avser skillnaden mellan det faktiska antalet arbetade timmar och Riksbankens bedömning av trenden för arbetade timmar. RU-indikatorn är normalis</w:t>
      </w:r>
      <w:r w:rsidRPr="004263A1">
        <w:rPr>
          <w:lang w:eastAsia="x-none"/>
        </w:rPr>
        <w:t>e</w:t>
      </w:r>
      <w:r w:rsidRPr="004263A1">
        <w:rPr>
          <w:lang w:eastAsia="x-none"/>
        </w:rPr>
        <w:t>rad så att medelvärdet är 0 och standardavvikelsen är 1.</w:t>
      </w:r>
      <w:r>
        <w:rPr>
          <w:lang w:eastAsia="x-none"/>
        </w:rPr>
        <w:t xml:space="preserve"> </w:t>
      </w:r>
      <w:r w:rsidRPr="004263A1">
        <w:rPr>
          <w:lang w:eastAsia="x-none"/>
        </w:rPr>
        <w:t>De streckade linjerna avser Riksbankens progn</w:t>
      </w:r>
      <w:r w:rsidRPr="00316B82">
        <w:rPr>
          <w:lang w:eastAsia="x-none"/>
        </w:rPr>
        <w:t xml:space="preserve">os i </w:t>
      </w:r>
      <w:r w:rsidR="00377BB1" w:rsidRPr="00316B82">
        <w:rPr>
          <w:lang w:eastAsia="x-none"/>
        </w:rPr>
        <w:t xml:space="preserve">december </w:t>
      </w:r>
      <w:r w:rsidR="00571AF6" w:rsidRPr="00316B82">
        <w:rPr>
          <w:lang w:eastAsia="x-none"/>
        </w:rPr>
        <w:t>2014</w:t>
      </w:r>
      <w:r w:rsidRPr="00316B82">
        <w:rPr>
          <w:lang w:eastAsia="x-none"/>
        </w:rPr>
        <w:t>.</w:t>
      </w:r>
      <w:r w:rsidRPr="004263A1">
        <w:rPr>
          <w:lang w:eastAsia="x-none"/>
        </w:rPr>
        <w:t xml:space="preserve"> </w:t>
      </w:r>
    </w:p>
    <w:p w:rsidR="00A215BF" w:rsidRDefault="00A215BF" w:rsidP="00EF57EC">
      <w:pPr>
        <w:pStyle w:val="Fotnotstext"/>
        <w:rPr>
          <w:lang w:eastAsia="x-none"/>
        </w:rPr>
      </w:pPr>
      <w:r w:rsidRPr="004D281D">
        <w:t>Källor: SCB och Riksbanken.</w:t>
      </w:r>
    </w:p>
    <w:p w:rsidR="00E76F21" w:rsidRDefault="00E76F21" w:rsidP="00FE3621">
      <w:pPr>
        <w:pStyle w:val="Fotnotstextindrag"/>
      </w:pPr>
    </w:p>
    <w:p w:rsidR="005428B9" w:rsidRPr="00046E35" w:rsidRDefault="00D6427B" w:rsidP="009F550F">
      <w:pPr>
        <w:pStyle w:val="R4"/>
        <w:pBdr>
          <w:top w:val="single" w:sz="4" w:space="1" w:color="auto"/>
          <w:left w:val="single" w:sz="4" w:space="4" w:color="auto"/>
          <w:right w:val="single" w:sz="4" w:space="4" w:color="auto"/>
        </w:pBdr>
        <w:outlineLvl w:val="0"/>
      </w:pPr>
      <w:r>
        <w:t>Fortsatt satsning på den finansiella statistiken</w:t>
      </w:r>
    </w:p>
    <w:p w:rsidR="008479D9" w:rsidRDefault="008479D9" w:rsidP="009F550F">
      <w:pPr>
        <w:pBdr>
          <w:left w:val="single" w:sz="4" w:space="4" w:color="auto"/>
          <w:right w:val="single" w:sz="4" w:space="4" w:color="auto"/>
        </w:pBdr>
      </w:pPr>
      <w:r w:rsidRPr="008440EA">
        <w:t>Enligt riksbankslagen ska Riksbanken löpande offentliggöra statistiska up</w:t>
      </w:r>
      <w:r w:rsidRPr="008440EA">
        <w:t>p</w:t>
      </w:r>
      <w:r w:rsidRPr="008440EA">
        <w:t>gifter om valuta- och kreditförhållanden.</w:t>
      </w:r>
      <w:r>
        <w:t xml:space="preserve"> </w:t>
      </w:r>
      <w:r w:rsidRPr="009321CE">
        <w:t xml:space="preserve"> </w:t>
      </w:r>
    </w:p>
    <w:p w:rsidR="008479D9" w:rsidRDefault="008479D9" w:rsidP="009F550F">
      <w:pPr>
        <w:pStyle w:val="Normaltindrag"/>
        <w:pBdr>
          <w:left w:val="single" w:sz="4" w:space="4" w:color="auto"/>
          <w:right w:val="single" w:sz="4" w:space="4" w:color="auto"/>
        </w:pBdr>
      </w:pPr>
      <w:r>
        <w:t>Statistik över</w:t>
      </w:r>
      <w:r w:rsidRPr="008440EA">
        <w:t xml:space="preserve"> finansmarknad</w:t>
      </w:r>
      <w:r>
        <w:t>en, värdepappersemissioner och</w:t>
      </w:r>
      <w:r w:rsidRPr="008440EA">
        <w:t xml:space="preserve"> betalnings</w:t>
      </w:r>
      <w:r w:rsidR="00EC342F">
        <w:softHyphen/>
      </w:r>
      <w:r w:rsidRPr="008440EA">
        <w:t>b</w:t>
      </w:r>
      <w:r w:rsidRPr="008440EA">
        <w:t>a</w:t>
      </w:r>
      <w:r w:rsidRPr="008440EA">
        <w:t>lans</w:t>
      </w:r>
      <w:r>
        <w:t>en</w:t>
      </w:r>
      <w:r w:rsidRPr="008440EA">
        <w:t xml:space="preserve"> produceras och publiceras på Riksbankens uppdrag av Statistiska centralbyrån (SCB). Riksbanken ansvarar för statistikens kvalitet, innehåll och utveckling.</w:t>
      </w:r>
      <w:r>
        <w:t xml:space="preserve"> </w:t>
      </w:r>
    </w:p>
    <w:p w:rsidR="008479D9" w:rsidRDefault="008479D9" w:rsidP="00EC342F">
      <w:pPr>
        <w:pStyle w:val="Normaltindrag"/>
        <w:pBdr>
          <w:left w:val="single" w:sz="4" w:space="4" w:color="auto"/>
          <w:right w:val="single" w:sz="4" w:space="4" w:color="auto"/>
        </w:pBdr>
        <w:suppressAutoHyphens/>
      </w:pPr>
      <w:r w:rsidRPr="008440EA">
        <w:t xml:space="preserve">Riksbanken samlar </w:t>
      </w:r>
      <w:r>
        <w:t xml:space="preserve">själv </w:t>
      </w:r>
      <w:r w:rsidRPr="008440EA">
        <w:t xml:space="preserve">in och publicerar daglig omsättningsstatistik på ränte- och valutamarknaden från Riksbankens och Riksgäldens motparter. </w:t>
      </w:r>
      <w:r w:rsidR="00126C11">
        <w:t>Dessutom</w:t>
      </w:r>
      <w:r w:rsidRPr="008440EA">
        <w:t xml:space="preserve"> sammanställs och publiceras dagligen räntor och valutor på Riksbankens webbplats.</w:t>
      </w:r>
      <w:r>
        <w:t xml:space="preserve"> </w:t>
      </w:r>
      <w:r w:rsidRPr="00536126">
        <w:t>Riksbanken</w:t>
      </w:r>
      <w:r>
        <w:t xml:space="preserve"> genomför och publicerar även en före</w:t>
      </w:r>
      <w:r w:rsidR="00EC342F">
        <w:softHyphen/>
      </w:r>
      <w:r>
        <w:t>tagsu</w:t>
      </w:r>
      <w:r>
        <w:t>n</w:t>
      </w:r>
      <w:r>
        <w:t>dersökning</w:t>
      </w:r>
      <w:r w:rsidRPr="00536126">
        <w:t xml:space="preserve"> </w:t>
      </w:r>
      <w:r>
        <w:t xml:space="preserve">tre gånger per år i syfte att </w:t>
      </w:r>
      <w:r w:rsidRPr="00643F2E">
        <w:t>få fördjupad information om hur för</w:t>
      </w:r>
      <w:r w:rsidRPr="00643F2E">
        <w:t>e</w:t>
      </w:r>
      <w:r w:rsidRPr="00643F2E">
        <w:t>tagen</w:t>
      </w:r>
      <w:r>
        <w:t xml:space="preserve"> </w:t>
      </w:r>
      <w:r w:rsidRPr="00643F2E">
        <w:t>uppfattar den aktuella</w:t>
      </w:r>
      <w:r>
        <w:t xml:space="preserve"> ekonomiska</w:t>
      </w:r>
      <w:r w:rsidRPr="00643F2E">
        <w:t xml:space="preserve"> situationen</w:t>
      </w:r>
      <w:r>
        <w:t>.</w:t>
      </w:r>
    </w:p>
    <w:p w:rsidR="008479D9" w:rsidRDefault="008479D9" w:rsidP="00EC342F">
      <w:pPr>
        <w:pStyle w:val="Normaltindrag"/>
        <w:pBdr>
          <w:left w:val="single" w:sz="4" w:space="4" w:color="auto"/>
          <w:right w:val="single" w:sz="4" w:space="4" w:color="auto"/>
        </w:pBdr>
        <w:suppressAutoHyphens/>
      </w:pPr>
      <w:r w:rsidRPr="009321CE">
        <w:t>Erfarenheterna från finanskrisen har lett till större behov av samordning och delning av finansiell statistik mellan olika myndigheter. Den 1 augusti 2014 trädde en lag i kraft som innebär att en särskild databas för insamling och behandling av finansiella uppgifter inrättas hos SCB</w:t>
      </w:r>
      <w:r>
        <w:t>.</w:t>
      </w:r>
      <w:r w:rsidRPr="009321CE">
        <w:t xml:space="preserve"> Lagen ger Riksbanken och Finansinspektionen möjlighet att ta del av varandras upp</w:t>
      </w:r>
      <w:r w:rsidR="00EC342F">
        <w:softHyphen/>
      </w:r>
      <w:r w:rsidRPr="009321CE">
        <w:t>gifter och därmed samordna och effektivisera statistikproduktion</w:t>
      </w:r>
      <w:r>
        <w:t>en</w:t>
      </w:r>
      <w:r w:rsidRPr="009321CE">
        <w:t xml:space="preserve">. </w:t>
      </w:r>
      <w:r w:rsidR="00126C11">
        <w:t>Under året</w:t>
      </w:r>
      <w:r w:rsidRPr="009321CE">
        <w:t xml:space="preserve"> </w:t>
      </w:r>
      <w:r w:rsidR="00190A5E">
        <w:t>plan</w:t>
      </w:r>
      <w:r w:rsidR="00190A5E">
        <w:t>e</w:t>
      </w:r>
      <w:r w:rsidR="00190A5E">
        <w:t>rade</w:t>
      </w:r>
      <w:r w:rsidR="00126C11">
        <w:t xml:space="preserve"> </w:t>
      </w:r>
      <w:r w:rsidRPr="009321CE">
        <w:t xml:space="preserve">Riksbanken och Finansinspektionen </w:t>
      </w:r>
      <w:r w:rsidR="00126C11">
        <w:t>tillsammans hur den nya databasen ska realiseras rent praktiskt.</w:t>
      </w:r>
    </w:p>
    <w:p w:rsidR="008479D9" w:rsidRDefault="008479D9" w:rsidP="009F550F">
      <w:pPr>
        <w:pStyle w:val="Normaltindrag"/>
        <w:pBdr>
          <w:left w:val="single" w:sz="4" w:space="4" w:color="auto"/>
          <w:right w:val="single" w:sz="4" w:space="4" w:color="auto"/>
        </w:pBdr>
      </w:pPr>
      <w:r w:rsidRPr="00055C41">
        <w:t xml:space="preserve">Som ett led i arbetet med att förstärka den finansiella statistiken </w:t>
      </w:r>
      <w:r w:rsidR="00236BDD">
        <w:t>genom</w:t>
      </w:r>
      <w:r w:rsidR="004D4F70">
        <w:softHyphen/>
      </w:r>
      <w:r w:rsidR="00236BDD">
        <w:t>förde</w:t>
      </w:r>
      <w:r w:rsidR="00236BDD" w:rsidRPr="00055C41">
        <w:t xml:space="preserve"> </w:t>
      </w:r>
      <w:r w:rsidRPr="00055C41">
        <w:t>Riksbanken under året två utredningar</w:t>
      </w:r>
      <w:r w:rsidR="00126C11" w:rsidRPr="00055C41">
        <w:t xml:space="preserve"> om förutsättnin</w:t>
      </w:r>
      <w:r w:rsidR="00126C11" w:rsidRPr="00055C41">
        <w:t>g</w:t>
      </w:r>
      <w:r w:rsidR="00126C11" w:rsidRPr="00055C41">
        <w:t xml:space="preserve">arna att upprätta </w:t>
      </w:r>
      <w:r w:rsidRPr="00055C41">
        <w:t xml:space="preserve">dels en </w:t>
      </w:r>
      <w:r w:rsidR="00A70974">
        <w:t>d</w:t>
      </w:r>
      <w:r w:rsidRPr="00055C41">
        <w:t>atabas</w:t>
      </w:r>
      <w:r w:rsidR="00A70974">
        <w:t xml:space="preserve"> över företags krediter</w:t>
      </w:r>
      <w:r w:rsidR="00A97F3B">
        <w:t>,</w:t>
      </w:r>
      <w:r w:rsidRPr="00055C41">
        <w:t xml:space="preserve"> dels en databas för värdepappersinn</w:t>
      </w:r>
      <w:r w:rsidRPr="00055C41">
        <w:t>e</w:t>
      </w:r>
      <w:r w:rsidRPr="00055C41">
        <w:t xml:space="preserve">hav. </w:t>
      </w:r>
      <w:r w:rsidR="00126C11" w:rsidRPr="00055C41">
        <w:t>D</w:t>
      </w:r>
      <w:r w:rsidRPr="00055C41">
        <w:t>ataba</w:t>
      </w:r>
      <w:r w:rsidRPr="009321CE">
        <w:rPr>
          <w:bCs/>
        </w:rPr>
        <w:t>ser</w:t>
      </w:r>
      <w:r w:rsidR="00126C11">
        <w:rPr>
          <w:bCs/>
        </w:rPr>
        <w:t xml:space="preserve">na </w:t>
      </w:r>
      <w:r w:rsidR="00DA5ECD">
        <w:rPr>
          <w:bCs/>
        </w:rPr>
        <w:t>kommer att</w:t>
      </w:r>
      <w:r w:rsidR="00126C11">
        <w:rPr>
          <w:bCs/>
        </w:rPr>
        <w:t xml:space="preserve"> innehålla </w:t>
      </w:r>
      <w:r w:rsidRPr="009321CE">
        <w:rPr>
          <w:bCs/>
        </w:rPr>
        <w:t>detaljerad informa</w:t>
      </w:r>
      <w:r w:rsidRPr="009321CE">
        <w:rPr>
          <w:bCs/>
        </w:rPr>
        <w:t>t</w:t>
      </w:r>
      <w:r w:rsidRPr="009321CE">
        <w:rPr>
          <w:bCs/>
        </w:rPr>
        <w:t xml:space="preserve">ion om </w:t>
      </w:r>
      <w:r w:rsidR="00A70974">
        <w:rPr>
          <w:bCs/>
        </w:rPr>
        <w:t>företags</w:t>
      </w:r>
      <w:r w:rsidRPr="009321CE">
        <w:rPr>
          <w:bCs/>
        </w:rPr>
        <w:t xml:space="preserve">lån och värdepapper. </w:t>
      </w:r>
      <w:r w:rsidR="00126C11">
        <w:rPr>
          <w:bCs/>
        </w:rPr>
        <w:t>Sådan</w:t>
      </w:r>
      <w:r w:rsidRPr="009321CE">
        <w:rPr>
          <w:bCs/>
        </w:rPr>
        <w:t xml:space="preserve"> information, lån-för-lån och vä</w:t>
      </w:r>
      <w:r w:rsidRPr="009321CE">
        <w:rPr>
          <w:bCs/>
        </w:rPr>
        <w:t>r</w:t>
      </w:r>
      <w:r w:rsidRPr="009321CE">
        <w:rPr>
          <w:bCs/>
        </w:rPr>
        <w:t xml:space="preserve">depapper-för-värdepapper, </w:t>
      </w:r>
      <w:r w:rsidR="00126C11">
        <w:rPr>
          <w:bCs/>
        </w:rPr>
        <w:t xml:space="preserve">är </w:t>
      </w:r>
      <w:r w:rsidRPr="009321CE">
        <w:rPr>
          <w:bCs/>
        </w:rPr>
        <w:t>viktig</w:t>
      </w:r>
      <w:r w:rsidR="00126C11">
        <w:rPr>
          <w:bCs/>
        </w:rPr>
        <w:t xml:space="preserve"> som</w:t>
      </w:r>
      <w:r w:rsidRPr="009321CE">
        <w:rPr>
          <w:bCs/>
        </w:rPr>
        <w:t xml:space="preserve"> underlag för att Riksban</w:t>
      </w:r>
      <w:r w:rsidR="00126C11">
        <w:rPr>
          <w:bCs/>
        </w:rPr>
        <w:t xml:space="preserve">ken ska kunna fördjupa sin </w:t>
      </w:r>
      <w:r w:rsidRPr="009321CE">
        <w:rPr>
          <w:bCs/>
        </w:rPr>
        <w:t>analys inom pennin</w:t>
      </w:r>
      <w:r w:rsidR="00DA5ECD">
        <w:rPr>
          <w:bCs/>
        </w:rPr>
        <w:t>g</w:t>
      </w:r>
      <w:r w:rsidRPr="009321CE">
        <w:rPr>
          <w:bCs/>
        </w:rPr>
        <w:t xml:space="preserve">politik och finansiell stabilitet. </w:t>
      </w:r>
    </w:p>
    <w:p w:rsidR="008479D9" w:rsidRDefault="008479D9" w:rsidP="00EC342F">
      <w:pPr>
        <w:pStyle w:val="Normaltindrag"/>
        <w:pBdr>
          <w:left w:val="single" w:sz="4" w:space="4" w:color="auto"/>
          <w:right w:val="single" w:sz="4" w:space="4" w:color="auto"/>
        </w:pBdr>
        <w:suppressAutoHyphens/>
      </w:pPr>
      <w:r w:rsidRPr="009321CE">
        <w:rPr>
          <w:bCs/>
        </w:rPr>
        <w:t xml:space="preserve">Inom ramen för det internationella statistiksamarbetet </w:t>
      </w:r>
      <w:r w:rsidR="000F0061">
        <w:rPr>
          <w:bCs/>
        </w:rPr>
        <w:t>genomförde</w:t>
      </w:r>
      <w:r w:rsidRPr="009321CE">
        <w:rPr>
          <w:bCs/>
        </w:rPr>
        <w:t xml:space="preserve"> Riksbanken under året en rad förändringar. Finansmarknadsstatistiken som rapporteras månadsvis av banker, bostadsinstitut och andra monetära finansinst</w:t>
      </w:r>
      <w:r w:rsidRPr="009321CE">
        <w:rPr>
          <w:bCs/>
        </w:rPr>
        <w:t>i</w:t>
      </w:r>
      <w:r w:rsidRPr="009321CE">
        <w:rPr>
          <w:bCs/>
        </w:rPr>
        <w:t>tut uppdatera</w:t>
      </w:r>
      <w:r w:rsidR="000F0061">
        <w:rPr>
          <w:bCs/>
        </w:rPr>
        <w:t>de</w:t>
      </w:r>
      <w:r w:rsidRPr="009321CE">
        <w:rPr>
          <w:bCs/>
        </w:rPr>
        <w:t>s. Bakgrunden till uppdateringen är dels att möta nya behov hos användarna, dels att anpassa innehållet till det nya nationalräkenskapssystemet (</w:t>
      </w:r>
      <w:r w:rsidR="00953836">
        <w:rPr>
          <w:bCs/>
        </w:rPr>
        <w:t xml:space="preserve">Europeiska national- och </w:t>
      </w:r>
      <w:r w:rsidR="00733BB4">
        <w:rPr>
          <w:bCs/>
        </w:rPr>
        <w:t>regional</w:t>
      </w:r>
      <w:r w:rsidR="00953836">
        <w:rPr>
          <w:bCs/>
        </w:rPr>
        <w:t>räkenskaps</w:t>
      </w:r>
      <w:r w:rsidR="00733BB4">
        <w:rPr>
          <w:bCs/>
        </w:rPr>
        <w:softHyphen/>
      </w:r>
      <w:r w:rsidR="00953836">
        <w:rPr>
          <w:bCs/>
        </w:rPr>
        <w:t>systemet i Europeiska unionen</w:t>
      </w:r>
      <w:r w:rsidRPr="009321CE">
        <w:rPr>
          <w:bCs/>
        </w:rPr>
        <w:t>, ESA 2010) som trä</w:t>
      </w:r>
      <w:r w:rsidR="00953836">
        <w:rPr>
          <w:bCs/>
        </w:rPr>
        <w:t>dde</w:t>
      </w:r>
      <w:r w:rsidRPr="009321CE">
        <w:rPr>
          <w:bCs/>
        </w:rPr>
        <w:t xml:space="preserve"> i kraft under året. </w:t>
      </w:r>
    </w:p>
    <w:p w:rsidR="008479D9" w:rsidRDefault="008479D9" w:rsidP="009F550F">
      <w:pPr>
        <w:pStyle w:val="Normaltindrag"/>
        <w:pBdr>
          <w:left w:val="single" w:sz="4" w:space="4" w:color="auto"/>
          <w:right w:val="single" w:sz="4" w:space="4" w:color="auto"/>
        </w:pBdr>
      </w:pPr>
      <w:r w:rsidRPr="009321CE">
        <w:rPr>
          <w:bCs/>
        </w:rPr>
        <w:t xml:space="preserve">I arbetet inom Bank for International Settlements (BIS) har fler detaljer börjat samlas in </w:t>
      </w:r>
      <w:r w:rsidR="00126C11">
        <w:rPr>
          <w:bCs/>
        </w:rPr>
        <w:t>om</w:t>
      </w:r>
      <w:r w:rsidRPr="009321CE">
        <w:rPr>
          <w:bCs/>
        </w:rPr>
        <w:t xml:space="preserve"> bankernas utländska tillgångar och skulder. Inom det europeiska centralbankssystemet (ESCB) pågår arbete med att utöka statist</w:t>
      </w:r>
      <w:r w:rsidRPr="009321CE">
        <w:rPr>
          <w:bCs/>
        </w:rPr>
        <w:t>i</w:t>
      </w:r>
      <w:r w:rsidRPr="009321CE">
        <w:rPr>
          <w:bCs/>
        </w:rPr>
        <w:t xml:space="preserve">ken över försäkringsföretag och se hur detta bäst kan samordnas med den kommande europeiska tillsynsrapporteringen för försäkringsföretag, kallad Solvens </w:t>
      </w:r>
      <w:r w:rsidR="00FB4B85">
        <w:rPr>
          <w:bCs/>
        </w:rPr>
        <w:t>II</w:t>
      </w:r>
      <w:r w:rsidRPr="009321CE">
        <w:rPr>
          <w:bCs/>
        </w:rPr>
        <w:t>.</w:t>
      </w:r>
    </w:p>
    <w:p w:rsidR="008479D9" w:rsidRDefault="008479D9" w:rsidP="009F550F">
      <w:pPr>
        <w:pStyle w:val="Normaltindrag"/>
        <w:pBdr>
          <w:left w:val="single" w:sz="4" w:space="4" w:color="auto"/>
          <w:right w:val="single" w:sz="4" w:space="4" w:color="auto"/>
        </w:pBdr>
      </w:pPr>
      <w:r w:rsidRPr="009321CE">
        <w:rPr>
          <w:bCs/>
        </w:rPr>
        <w:t>Under 2014 pågick även arbetet med att förbereda anpassningen av</w:t>
      </w:r>
      <w:r w:rsidRPr="009321CE">
        <w:t xml:space="preserve"> beta</w:t>
      </w:r>
      <w:r w:rsidRPr="009321CE">
        <w:t>l</w:t>
      </w:r>
      <w:r w:rsidRPr="009321CE">
        <w:t xml:space="preserve">ningsbalansstatistiken till Internationella valutafondens (IMF) sjätte manual som anger den internationella standarden för betalningsbalansstatistik. </w:t>
      </w:r>
      <w:r w:rsidRPr="00055C41">
        <w:t>Den första publiceringen i Sverige enligt den nya standarden skedde i december 2014.</w:t>
      </w:r>
      <w:r w:rsidRPr="009321CE">
        <w:t xml:space="preserve"> </w:t>
      </w:r>
    </w:p>
    <w:p w:rsidR="008479D9" w:rsidRPr="009321CE" w:rsidRDefault="008479D9" w:rsidP="009F550F">
      <w:pPr>
        <w:pStyle w:val="Normaltindrag"/>
        <w:pBdr>
          <w:left w:val="single" w:sz="4" w:space="4" w:color="auto"/>
          <w:bottom w:val="single" w:sz="4" w:space="1" w:color="auto"/>
          <w:right w:val="single" w:sz="4" w:space="4" w:color="auto"/>
        </w:pBdr>
      </w:pPr>
      <w:r w:rsidRPr="009321CE">
        <w:t>I</w:t>
      </w:r>
      <w:r w:rsidR="00D55D8C">
        <w:t>MF</w:t>
      </w:r>
      <w:r w:rsidRPr="009321CE">
        <w:t xml:space="preserve"> utvärderade under året Sveriges förutsättningar för deltagande i IMF:s utökade internationella statistikstandard (Special Data Dissemination Sta</w:t>
      </w:r>
      <w:r w:rsidRPr="009321CE">
        <w:t>n</w:t>
      </w:r>
      <w:r w:rsidRPr="009321CE">
        <w:t xml:space="preserve">dard, SDDS Plus). </w:t>
      </w:r>
      <w:r w:rsidRPr="00055C41">
        <w:t>Utvärderingen innebar att IMF i november 2014 tillkänn</w:t>
      </w:r>
      <w:r w:rsidRPr="00055C41">
        <w:t>a</w:t>
      </w:r>
      <w:r w:rsidRPr="00055C41">
        <w:t>gav att Sverige officiellt blir ett av de första länderna i världen att ansluta sig till den utökade statistikstandarden.</w:t>
      </w:r>
      <w:r w:rsidRPr="009321CE">
        <w:t xml:space="preserve"> Riksbanken, som sedan 1996 varit koo</w:t>
      </w:r>
      <w:r w:rsidRPr="009321CE">
        <w:t>r</w:t>
      </w:r>
      <w:r w:rsidRPr="009321CE">
        <w:t xml:space="preserve">dinator och ansvarat för SDDS i Sverige, överlämnar </w:t>
      </w:r>
      <w:r w:rsidR="00911957">
        <w:t xml:space="preserve">den </w:t>
      </w:r>
      <w:r w:rsidRPr="009321CE">
        <w:t xml:space="preserve">1 januari 2015 ansvaret för uppgiften till </w:t>
      </w:r>
      <w:r>
        <w:t>SCB</w:t>
      </w:r>
      <w:r w:rsidRPr="009321CE">
        <w:t>.</w:t>
      </w:r>
    </w:p>
    <w:p w:rsidR="00BC2839" w:rsidRDefault="00BC2839" w:rsidP="00BC2839">
      <w:pPr>
        <w:pStyle w:val="R2"/>
        <w:rPr>
          <w:sz w:val="32"/>
          <w:szCs w:val="32"/>
        </w:rPr>
      </w:pPr>
      <w:r>
        <w:rPr>
          <w:sz w:val="32"/>
          <w:szCs w:val="32"/>
        </w:rPr>
        <w:t>Penningpolitisk analys</w:t>
      </w:r>
    </w:p>
    <w:p w:rsidR="00DA5B8A" w:rsidRDefault="00DA5B8A" w:rsidP="00EF57EC">
      <w:r>
        <w:t xml:space="preserve">Under året fortsatte Riksbanken att utveckla den penningpolitiska analysen. Bland annat analyserades </w:t>
      </w:r>
      <w:r w:rsidR="00B21566">
        <w:t>mer ingående</w:t>
      </w:r>
      <w:r>
        <w:t xml:space="preserve"> sambanden mellan företagens pri</w:t>
      </w:r>
      <w:r>
        <w:t>s</w:t>
      </w:r>
      <w:r>
        <w:t>sättningsbeteende</w:t>
      </w:r>
      <w:r w:rsidRPr="009D6F33">
        <w:t xml:space="preserve"> </w:t>
      </w:r>
      <w:r>
        <w:t>och den låga inflationen samt hur åtgärder inom makrotil</w:t>
      </w:r>
      <w:r>
        <w:t>l</w:t>
      </w:r>
      <w:r>
        <w:t>synen k</w:t>
      </w:r>
      <w:r w:rsidR="000E6102">
        <w:t>an</w:t>
      </w:r>
      <w:r>
        <w:t xml:space="preserve"> påverka makroekonomin.</w:t>
      </w:r>
    </w:p>
    <w:p w:rsidR="00F3692B" w:rsidRDefault="002C32D0" w:rsidP="000346CC">
      <w:pPr>
        <w:pStyle w:val="R3"/>
      </w:pPr>
      <w:r>
        <w:t>F</w:t>
      </w:r>
      <w:r w:rsidR="00F3692B">
        <w:t>öretagens prissättningsbeteende</w:t>
      </w:r>
    </w:p>
    <w:p w:rsidR="00F3692B" w:rsidRDefault="000A3EEF" w:rsidP="000A3EEF">
      <w:r>
        <w:t>Prisökningstakten i ekonomin är i slutänden det sammanlagda resultatet av de prissättningsbeslut som de enskilda företagen fattar. Information om hur företagen resonerar när de sätter sina priser och om de huvudsakliga driv</w:t>
      </w:r>
      <w:r w:rsidR="00EC342F">
        <w:softHyphen/>
      </w:r>
      <w:r>
        <w:t>kra</w:t>
      </w:r>
      <w:r>
        <w:t>f</w:t>
      </w:r>
      <w:r>
        <w:t xml:space="preserve">terna bakom besluten </w:t>
      </w:r>
      <w:r w:rsidR="00A97F3B">
        <w:t xml:space="preserve">är </w:t>
      </w:r>
      <w:r>
        <w:t xml:space="preserve">därför värdefull. Men den aggregerade statistiken ger oftast inte någon sådan information. För att få en bättre bild av vad som styr företagen när de sätter sina priser </w:t>
      </w:r>
      <w:r w:rsidR="00F3692B" w:rsidRPr="00F3692B">
        <w:t xml:space="preserve">har Riksbanken </w:t>
      </w:r>
      <w:r>
        <w:t xml:space="preserve">låtit genomföra </w:t>
      </w:r>
      <w:r w:rsidR="00F3692B" w:rsidRPr="00F3692B">
        <w:t>en omfa</w:t>
      </w:r>
      <w:r w:rsidR="00F3692B" w:rsidRPr="00F3692B">
        <w:t>t</w:t>
      </w:r>
      <w:r w:rsidR="00F3692B" w:rsidRPr="00F3692B">
        <w:t xml:space="preserve">tande enkätundersökning bland svenska företag. </w:t>
      </w:r>
      <w:r w:rsidR="00B21566">
        <w:t xml:space="preserve">Det var </w:t>
      </w:r>
      <w:r w:rsidR="00F3692B" w:rsidRPr="00F3692B">
        <w:t xml:space="preserve">895 företag inom handel, bygg och olika tjänstebranscher som hotell och restaurang </w:t>
      </w:r>
      <w:r w:rsidR="00B21566">
        <w:t xml:space="preserve">som </w:t>
      </w:r>
      <w:r w:rsidR="000E6102">
        <w:t>svarade</w:t>
      </w:r>
      <w:r w:rsidR="00F3692B" w:rsidRPr="00F3692B">
        <w:t xml:space="preserve"> på frågor om priser, kostnader och </w:t>
      </w:r>
      <w:r w:rsidR="00A97F3B">
        <w:t>vinst</w:t>
      </w:r>
      <w:r w:rsidR="00F3692B" w:rsidRPr="00F3692B">
        <w:t>marginaler.</w:t>
      </w:r>
      <w:r w:rsidR="00695B9C">
        <w:t xml:space="preserve"> Enkäten geno</w:t>
      </w:r>
      <w:r w:rsidR="00695B9C">
        <w:t>m</w:t>
      </w:r>
      <w:r w:rsidR="00695B9C">
        <w:t>fördes av Konjunkturinstitutet på uppdrag av Ri</w:t>
      </w:r>
      <w:r w:rsidR="00844BB8">
        <w:t xml:space="preserve">ksbanken under försommaren 2014. Den </w:t>
      </w:r>
      <w:r w:rsidR="00695B9C">
        <w:t xml:space="preserve">är ett komplement till den omfattande analys som Riksbanken kontinuerligt </w:t>
      </w:r>
      <w:r w:rsidR="008E7188">
        <w:t>gör av</w:t>
      </w:r>
      <w:r w:rsidR="00695B9C">
        <w:t xml:space="preserve"> prisutvecklingen.</w:t>
      </w:r>
    </w:p>
    <w:p w:rsidR="00562D77" w:rsidRDefault="00F3692B" w:rsidP="00EC342F">
      <w:pPr>
        <w:pStyle w:val="Normaltindrag"/>
        <w:suppressAutoHyphens/>
      </w:pPr>
      <w:r>
        <w:t>I Riksbankens tidigare interna analyser har det framkommit att</w:t>
      </w:r>
      <w:r w:rsidR="005A402D">
        <w:t xml:space="preserve"> flera faktorer har bidragit till de senaste årens låga inflation</w:t>
      </w:r>
      <w:r w:rsidR="004D0EC8">
        <w:t>, men vid olika tid</w:t>
      </w:r>
      <w:r w:rsidR="00EC342F">
        <w:softHyphen/>
      </w:r>
      <w:r w:rsidR="004D0EC8">
        <w:t>punkter</w:t>
      </w:r>
      <w:r w:rsidR="00DC581A">
        <w:t xml:space="preserve"> (</w:t>
      </w:r>
      <w:r w:rsidR="00DC581A" w:rsidRPr="00562D77">
        <w:t xml:space="preserve">se diagram </w:t>
      </w:r>
      <w:r w:rsidR="00DC581A">
        <w:t>10</w:t>
      </w:r>
      <w:r w:rsidR="00DC581A" w:rsidRPr="00562D77">
        <w:t>)</w:t>
      </w:r>
      <w:r w:rsidR="004D0EC8">
        <w:t>. Lägre ökningstakt i</w:t>
      </w:r>
      <w:r w:rsidR="00A956BD">
        <w:t xml:space="preserve"> energipriser </w:t>
      </w:r>
      <w:r w:rsidR="004D0EC8">
        <w:t>har påverkat infla</w:t>
      </w:r>
      <w:r w:rsidR="00EC342F">
        <w:softHyphen/>
      </w:r>
      <w:r w:rsidR="004D0EC8">
        <w:t>tionen nedåt</w:t>
      </w:r>
      <w:r w:rsidR="00A956BD">
        <w:t xml:space="preserve"> sedan 2012</w:t>
      </w:r>
      <w:r w:rsidR="004D0EC8">
        <w:t>. En starkare växelkurs bidrog till låg inflation under 2011–2012, men inte under 2013, medan en låg ökningstakt i livsmedels</w:t>
      </w:r>
      <w:r w:rsidR="00EC342F">
        <w:softHyphen/>
      </w:r>
      <w:r w:rsidR="004D0EC8">
        <w:t>priserna har bidragit till den låga inflationen sedan 2013.</w:t>
      </w:r>
      <w:r w:rsidR="005A402D">
        <w:t xml:space="preserve"> </w:t>
      </w:r>
      <w:r w:rsidR="00F201AE">
        <w:t>E</w:t>
      </w:r>
      <w:r w:rsidR="004D0EC8">
        <w:t>n viktig delförkla</w:t>
      </w:r>
      <w:r w:rsidR="00EC342F">
        <w:softHyphen/>
      </w:r>
      <w:r w:rsidR="004D0EC8">
        <w:t>ring till den låga inflationen</w:t>
      </w:r>
      <w:r w:rsidR="00A956BD">
        <w:t xml:space="preserve"> under senare år</w:t>
      </w:r>
      <w:r w:rsidR="004D0EC8">
        <w:t xml:space="preserve"> är </w:t>
      </w:r>
      <w:r w:rsidR="00F201AE">
        <w:t xml:space="preserve">också </w:t>
      </w:r>
      <w:r w:rsidR="004D0EC8">
        <w:t>att</w:t>
      </w:r>
      <w:r>
        <w:t xml:space="preserve"> </w:t>
      </w:r>
      <w:r w:rsidRPr="00F3692B">
        <w:t>företagen</w:t>
      </w:r>
      <w:r w:rsidR="004D0EC8">
        <w:t xml:space="preserve"> – på grund av </w:t>
      </w:r>
      <w:r w:rsidR="00A97F3B">
        <w:t xml:space="preserve">bland annat </w:t>
      </w:r>
      <w:r w:rsidR="004D0EC8">
        <w:t>det svaga efterfrågeläget –</w:t>
      </w:r>
      <w:r w:rsidRPr="00F3692B">
        <w:t xml:space="preserve"> </w:t>
      </w:r>
      <w:r w:rsidR="00BC2839">
        <w:t xml:space="preserve">har </w:t>
      </w:r>
      <w:r w:rsidRPr="00F3692B">
        <w:t>haft svårt att föra över sina ökade kos</w:t>
      </w:r>
      <w:r w:rsidRPr="00F3692B">
        <w:t>t</w:t>
      </w:r>
      <w:r w:rsidRPr="00F3692B">
        <w:t xml:space="preserve">nader </w:t>
      </w:r>
      <w:r w:rsidR="00844BB8">
        <w:t>till</w:t>
      </w:r>
      <w:r w:rsidRPr="00F3692B">
        <w:t xml:space="preserve"> konsumenterna och att deras prispåslag därför varit lägre än no</w:t>
      </w:r>
      <w:r w:rsidRPr="00F3692B">
        <w:t>r</w:t>
      </w:r>
      <w:r w:rsidRPr="00F3692B">
        <w:t>malt</w:t>
      </w:r>
      <w:r w:rsidR="00562D77">
        <w:t>.</w:t>
      </w:r>
      <w:r w:rsidR="004D0EC8" w:rsidRPr="005A402D">
        <w:rPr>
          <w:highlight w:val="yellow"/>
        </w:rPr>
        <w:t xml:space="preserve"> </w:t>
      </w:r>
    </w:p>
    <w:p w:rsidR="00562D77" w:rsidRPr="00E22076" w:rsidRDefault="008D427B" w:rsidP="00E22076">
      <w:pPr>
        <w:pStyle w:val="Diagramrubrik"/>
      </w:pPr>
      <w:r>
        <w:t xml:space="preserve">Diagram 10. </w:t>
      </w:r>
      <w:r w:rsidR="00562D77" w:rsidRPr="00E22076">
        <w:t>KPIF och de viktigaste förklaringsfaktorerna till låg infla</w:t>
      </w:r>
      <w:r w:rsidR="00EC342F">
        <w:softHyphen/>
      </w:r>
      <w:r w:rsidR="00562D77" w:rsidRPr="00E22076">
        <w:t>t</w:t>
      </w:r>
      <w:r w:rsidR="00562D77" w:rsidRPr="00E22076">
        <w:t>ion i Sverige, årlig procentuell förändring</w:t>
      </w:r>
    </w:p>
    <w:p w:rsidR="00562D77" w:rsidRPr="0097591A" w:rsidRDefault="00A12E15" w:rsidP="00562D77">
      <w:pPr>
        <w:pStyle w:val="Normaltindrag"/>
        <w:ind w:firstLine="0"/>
      </w:pPr>
      <w:r w:rsidRPr="003927B1">
        <w:rPr>
          <w:noProof/>
        </w:rPr>
        <w:drawing>
          <wp:inline distT="0" distB="0" distL="0" distR="0">
            <wp:extent cx="3771900" cy="24669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562D77" w:rsidRDefault="00562D77" w:rsidP="00F95F29">
      <w:pPr>
        <w:pStyle w:val="Fotnotstext"/>
      </w:pPr>
      <w:r w:rsidRPr="004263A1">
        <w:t xml:space="preserve">Anm. </w:t>
      </w:r>
      <w:r>
        <w:t>KPIF är KPI med fast bostadsränta</w:t>
      </w:r>
      <w:r w:rsidRPr="000A3EEF">
        <w:t xml:space="preserve">. </w:t>
      </w:r>
    </w:p>
    <w:p w:rsidR="00562D77" w:rsidRDefault="00562D77" w:rsidP="00F95F29">
      <w:pPr>
        <w:pStyle w:val="Fotnotstext"/>
      </w:pPr>
      <w:r w:rsidRPr="004263A1">
        <w:rPr>
          <w:lang w:val="x-none"/>
        </w:rPr>
        <w:t>Källor: SCB och Riksbanken.</w:t>
      </w:r>
    </w:p>
    <w:p w:rsidR="001776FE" w:rsidRDefault="001776FE" w:rsidP="001776FE">
      <w:pPr>
        <w:pStyle w:val="Fotnotstextindrag"/>
      </w:pPr>
    </w:p>
    <w:p w:rsidR="00FE3621" w:rsidRDefault="00FE3621" w:rsidP="00F95F29">
      <w:r>
        <w:t xml:space="preserve">Att företagen har haft svårt att föra över kostnadsökningar till konsumenterna i form av prisökningar bekräftas av enkätundersökningen. Enligt företagen berodde svårigheten att </w:t>
      </w:r>
      <w:r w:rsidR="00555498">
        <w:t>hö</w:t>
      </w:r>
      <w:r w:rsidR="00A97F3B">
        <w:t>j</w:t>
      </w:r>
      <w:r w:rsidR="00555498">
        <w:t>a</w:t>
      </w:r>
      <w:r>
        <w:t xml:space="preserve"> priser</w:t>
      </w:r>
      <w:r w:rsidR="00555498">
        <w:t>na</w:t>
      </w:r>
      <w:r>
        <w:t xml:space="preserve"> på att efterfrågan var svag och svår att förutsäga. Det är därmed rimligt att vänta sig att priserna åter ökar sna</w:t>
      </w:r>
      <w:r>
        <w:t>b</w:t>
      </w:r>
      <w:r>
        <w:t>bare när konjunkturen stärks och efterfrågan ökar. Samtidigt uppgav föret</w:t>
      </w:r>
      <w:r>
        <w:t>a</w:t>
      </w:r>
      <w:r>
        <w:t>gen att konkurrensen ökat tydligt under senare år, vilket skulle kunna indikera att de låga prispåslagen till en del har strukturella förklaringar.</w:t>
      </w:r>
    </w:p>
    <w:p w:rsidR="00FE3621" w:rsidRDefault="00FE3621" w:rsidP="00EC342F">
      <w:pPr>
        <w:pStyle w:val="Normaltindrag"/>
        <w:suppressAutoHyphens/>
      </w:pPr>
      <w:r>
        <w:t>Resultaten av enkäten visade också att större företag i högre grad än mindre företag har lyckats pressa sina kostnader och därmed hålla sina marginaler uppe.</w:t>
      </w:r>
    </w:p>
    <w:p w:rsidR="00A901E4" w:rsidRDefault="0008352E" w:rsidP="000346CC">
      <w:pPr>
        <w:pStyle w:val="R3"/>
      </w:pPr>
      <w:r>
        <w:t>Makroekonomiska effekter av makrotillsynsåtgärder</w:t>
      </w:r>
    </w:p>
    <w:p w:rsidR="0003254C" w:rsidRDefault="00AA5F2D" w:rsidP="00F95F29">
      <w:r w:rsidRPr="00AA5F2D">
        <w:t xml:space="preserve">Riksbanken behöver ta hänsyn till </w:t>
      </w:r>
      <w:r>
        <w:t xml:space="preserve">de </w:t>
      </w:r>
      <w:r w:rsidRPr="00AA5F2D">
        <w:t xml:space="preserve">beslut som fattas inom </w:t>
      </w:r>
      <w:r>
        <w:t xml:space="preserve">det svenska ramverket för </w:t>
      </w:r>
      <w:r w:rsidRPr="00AA5F2D">
        <w:t>makrotillsy</w:t>
      </w:r>
      <w:r>
        <w:t>n</w:t>
      </w:r>
      <w:r w:rsidRPr="00AA5F2D">
        <w:t xml:space="preserve"> för att kunna utföra </w:t>
      </w:r>
      <w:r w:rsidR="009C0CC0">
        <w:t>båda sina policyuppdrag:</w:t>
      </w:r>
      <w:r w:rsidRPr="00AA5F2D">
        <w:t xml:space="preserve"> att upprätthålla ett fast penningvärde och att främja ett säkert och effektivt beta</w:t>
      </w:r>
      <w:r w:rsidRPr="00AA5F2D">
        <w:t>l</w:t>
      </w:r>
      <w:r w:rsidRPr="00AA5F2D">
        <w:t xml:space="preserve">ningsväsende. </w:t>
      </w:r>
      <w:r w:rsidR="00533F3D">
        <w:t xml:space="preserve">De inledande diskussionerna i </w:t>
      </w:r>
      <w:r w:rsidR="00670BFF">
        <w:t>det ny</w:t>
      </w:r>
      <w:r w:rsidR="007263BD">
        <w:t>inrättade</w:t>
      </w:r>
      <w:r w:rsidR="00670BFF">
        <w:t xml:space="preserve"> finansiella stab</w:t>
      </w:r>
      <w:r w:rsidR="00670BFF">
        <w:t>i</w:t>
      </w:r>
      <w:r w:rsidR="00670BFF">
        <w:t>litets</w:t>
      </w:r>
      <w:r w:rsidR="0003254C">
        <w:t>rådet handlade framför</w:t>
      </w:r>
      <w:r w:rsidR="00EF2E9B">
        <w:t xml:space="preserve"> </w:t>
      </w:r>
      <w:r w:rsidR="0003254C">
        <w:t>allt om skärpta kapitalkrav för svenska stor</w:t>
      </w:r>
      <w:r w:rsidR="00EC342F">
        <w:softHyphen/>
      </w:r>
      <w:r w:rsidR="0003254C">
        <w:t xml:space="preserve">banker. </w:t>
      </w:r>
      <w:r w:rsidR="00E84572">
        <w:t xml:space="preserve">Under det första halvåret 2014 analyserade </w:t>
      </w:r>
      <w:r w:rsidR="00831B95">
        <w:t xml:space="preserve">Riksbanken vilka effekter </w:t>
      </w:r>
      <w:r w:rsidR="00E527B1">
        <w:t>detta</w:t>
      </w:r>
      <w:r w:rsidR="00831B95">
        <w:t xml:space="preserve"> kan ha på makroekon</w:t>
      </w:r>
      <w:r w:rsidR="00831B95">
        <w:t>o</w:t>
      </w:r>
      <w:r w:rsidR="00F33F50">
        <w:t>min</w:t>
      </w:r>
      <w:r w:rsidR="0003254C">
        <w:t>.</w:t>
      </w:r>
      <w:r w:rsidR="002E7359">
        <w:t xml:space="preserve"> </w:t>
      </w:r>
    </w:p>
    <w:p w:rsidR="007F057E" w:rsidRDefault="00AD3001" w:rsidP="0003254C">
      <w:pPr>
        <w:pStyle w:val="Normaltindrag"/>
      </w:pPr>
      <w:r>
        <w:t>I m</w:t>
      </w:r>
      <w:r w:rsidR="001C6F9E">
        <w:t xml:space="preserve">aj 2014 kom Finansinspektionen </w:t>
      </w:r>
      <w:r>
        <w:t xml:space="preserve">med besked om skärpta kapitalkrav för svenska banker. De innebar </w:t>
      </w:r>
      <w:r w:rsidR="00331C94">
        <w:t>att</w:t>
      </w:r>
      <w:r>
        <w:t xml:space="preserve"> riskviktsgolvet för svenska bolån </w:t>
      </w:r>
      <w:r w:rsidR="00331C94">
        <w:t xml:space="preserve">höjdes </w:t>
      </w:r>
      <w:r>
        <w:t xml:space="preserve">från 15 till 25 procent </w:t>
      </w:r>
      <w:r w:rsidR="00331C94">
        <w:t xml:space="preserve">och </w:t>
      </w:r>
      <w:r>
        <w:t xml:space="preserve">att en kontracyklisk kapitalbuffert på 1 procent </w:t>
      </w:r>
      <w:r w:rsidR="0090379C">
        <w:t xml:space="preserve">av svenska riskvägda tillgångar </w:t>
      </w:r>
      <w:r>
        <w:t xml:space="preserve">införs. </w:t>
      </w:r>
      <w:r w:rsidR="007F057E">
        <w:t>Som ett genomsnitt för de svenska sto</w:t>
      </w:r>
      <w:r w:rsidR="007F057E">
        <w:t>r</w:t>
      </w:r>
      <w:r w:rsidR="007F057E">
        <w:t>bankerna motsvarar höjningen av riskviktsgolvet ett extra kärnprimä</w:t>
      </w:r>
      <w:r w:rsidR="00DF4D82">
        <w:t>rkapita</w:t>
      </w:r>
      <w:r w:rsidR="00DF4D82">
        <w:t>l</w:t>
      </w:r>
      <w:r w:rsidR="00DF4D82">
        <w:t>krav på cirka 1 procent</w:t>
      </w:r>
      <w:r w:rsidR="00D94030">
        <w:t>enhet</w:t>
      </w:r>
      <w:r w:rsidR="0090379C">
        <w:t xml:space="preserve"> av totala riskvägda tillgångar</w:t>
      </w:r>
      <w:r w:rsidR="007F057E">
        <w:t>, medan den kon</w:t>
      </w:r>
      <w:r w:rsidR="007F057E">
        <w:t>t</w:t>
      </w:r>
      <w:r w:rsidR="007F057E">
        <w:t>racykliska kapitalbufferten står för ytterligare 0,5 procent</w:t>
      </w:r>
      <w:r w:rsidR="00D94030">
        <w:t>enheter</w:t>
      </w:r>
      <w:r w:rsidR="00434547">
        <w:t xml:space="preserve">. </w:t>
      </w:r>
    </w:p>
    <w:p w:rsidR="007F057E" w:rsidRDefault="000E6102" w:rsidP="00EC342F">
      <w:pPr>
        <w:pStyle w:val="Normaltindrag"/>
        <w:suppressAutoHyphens/>
      </w:pPr>
      <w:r>
        <w:t>Det</w:t>
      </w:r>
      <w:r w:rsidR="00B8765C">
        <w:t xml:space="preserve"> huvudsakliga </w:t>
      </w:r>
      <w:r>
        <w:t>syftet med</w:t>
      </w:r>
      <w:r w:rsidR="00B8765C">
        <w:t xml:space="preserve"> </w:t>
      </w:r>
      <w:r w:rsidR="005F25B1">
        <w:t>de skärpta kapitalkraven</w:t>
      </w:r>
      <w:r w:rsidR="00B8765C">
        <w:t xml:space="preserve"> är att stärka mot</w:t>
      </w:r>
      <w:r w:rsidR="00EC342F">
        <w:softHyphen/>
      </w:r>
      <w:r w:rsidR="00B8765C">
        <w:t>ståndskraften i banksystemet. På så vis minskar risken att hushållens skuld</w:t>
      </w:r>
      <w:r w:rsidR="00EC342F">
        <w:softHyphen/>
      </w:r>
      <w:r w:rsidR="00E4000C">
        <w:t>sättning i slutände</w:t>
      </w:r>
      <w:r w:rsidR="00B8765C">
        <w:t>n leder till problem i de svenska bankerna med allvarliga effekter på makroekonomin som följd. Men d</w:t>
      </w:r>
      <w:r w:rsidR="007F057E">
        <w:t xml:space="preserve">e högre kapitalkraven innebär </w:t>
      </w:r>
      <w:r w:rsidR="00B8765C">
        <w:t xml:space="preserve">även </w:t>
      </w:r>
      <w:r w:rsidR="007F057E">
        <w:t xml:space="preserve">högre kostnader för bankernas långivning </w:t>
      </w:r>
      <w:r w:rsidR="00B8765C">
        <w:t>som</w:t>
      </w:r>
      <w:r w:rsidR="007F057E">
        <w:t xml:space="preserve"> i förlängningen </w:t>
      </w:r>
      <w:r w:rsidR="00B8765C">
        <w:t xml:space="preserve">kan </w:t>
      </w:r>
      <w:r w:rsidR="007F057E">
        <w:t xml:space="preserve">medföra högre utlåningsräntor, minskade lånevolymer och lägre BNP. </w:t>
      </w:r>
      <w:r w:rsidR="00B8765C">
        <w:t>Effek</w:t>
      </w:r>
      <w:r w:rsidR="00EC342F">
        <w:softHyphen/>
      </w:r>
      <w:r w:rsidR="00B8765C">
        <w:t xml:space="preserve">terna på utlåningen till hushållen kan ses som en positiv bieffekt eftersom de kan bidra till att dämpa hushållens skuldsättning, medan </w:t>
      </w:r>
      <w:r w:rsidR="0034183B">
        <w:t xml:space="preserve">de kortsiktiga </w:t>
      </w:r>
      <w:r w:rsidR="00B8765C">
        <w:t xml:space="preserve">effekterna </w:t>
      </w:r>
      <w:r w:rsidR="0034183B">
        <w:t>i form av lägre</w:t>
      </w:r>
      <w:r w:rsidR="00B8765C">
        <w:t xml:space="preserve"> BNP kan ses som en makroekonomisk kostnad. </w:t>
      </w:r>
      <w:r w:rsidR="007F057E">
        <w:t xml:space="preserve">Därför behöver dessa åtgärder analyseras från såväl </w:t>
      </w:r>
      <w:r w:rsidR="00502E57">
        <w:t xml:space="preserve">ett </w:t>
      </w:r>
      <w:r w:rsidR="007F057E">
        <w:t>finansiell</w:t>
      </w:r>
      <w:r w:rsidR="00502E57">
        <w:t>t</w:t>
      </w:r>
      <w:r w:rsidR="007F057E">
        <w:t xml:space="preserve"> stabilitet</w:t>
      </w:r>
      <w:r w:rsidR="00502E57">
        <w:t>sperspektiv</w:t>
      </w:r>
      <w:r w:rsidR="007F057E">
        <w:t xml:space="preserve"> som </w:t>
      </w:r>
      <w:r w:rsidR="00502E57">
        <w:t xml:space="preserve">ett </w:t>
      </w:r>
      <w:r w:rsidR="007F057E">
        <w:t xml:space="preserve">makroekonomiskt perspektiv. </w:t>
      </w:r>
    </w:p>
    <w:p w:rsidR="00B8765C" w:rsidRDefault="00852CB5" w:rsidP="00EC342F">
      <w:pPr>
        <w:pStyle w:val="Normaltindrag"/>
        <w:suppressAutoHyphens/>
      </w:pPr>
      <w:r>
        <w:t xml:space="preserve">Riksbankens analys visade att </w:t>
      </w:r>
      <w:r w:rsidR="0003254C" w:rsidRPr="0003254C">
        <w:t xml:space="preserve">effekterna på BNP, utlåningsräntor och utlåningsvolymer sammantaget är relativt små. Slutsatsen var att den främsta effekten av de skärpta kapitalkraven som </w:t>
      </w:r>
      <w:r w:rsidR="001C6F9E">
        <w:t>F</w:t>
      </w:r>
      <w:r w:rsidR="001C6F9E">
        <w:t>i</w:t>
      </w:r>
      <w:r w:rsidR="001C6F9E">
        <w:t xml:space="preserve">nansinspektionen </w:t>
      </w:r>
      <w:r>
        <w:t xml:space="preserve">hade </w:t>
      </w:r>
      <w:r w:rsidR="0003254C" w:rsidRPr="0003254C">
        <w:t>presenterat är en stärkt motståndskraft i det svenska banksystemet.</w:t>
      </w:r>
      <w:r w:rsidR="0003254C">
        <w:t xml:space="preserve"> För att på ett mer påtagligt sätt påverka hushållens skuldsät</w:t>
      </w:r>
      <w:r w:rsidR="0003254C">
        <w:t>t</w:t>
      </w:r>
      <w:r w:rsidR="00836B5E">
        <w:t xml:space="preserve">ning behöver </w:t>
      </w:r>
      <w:r w:rsidR="0003254C">
        <w:t>åtgärder</w:t>
      </w:r>
      <w:r w:rsidR="00C554D6">
        <w:t xml:space="preserve"> införas</w:t>
      </w:r>
      <w:r w:rsidR="0003254C">
        <w:t xml:space="preserve"> </w:t>
      </w:r>
      <w:r w:rsidR="00836B5E">
        <w:t xml:space="preserve">som är </w:t>
      </w:r>
      <w:r w:rsidR="0003254C">
        <w:t>riktade direkt mot hushållen</w:t>
      </w:r>
      <w:r>
        <w:t>s</w:t>
      </w:r>
      <w:r w:rsidR="00836B5E">
        <w:t xml:space="preserve"> </w:t>
      </w:r>
      <w:r w:rsidR="0003254C">
        <w:t>efterfrågan</w:t>
      </w:r>
      <w:r w:rsidR="00836B5E">
        <w:t xml:space="preserve"> på lån</w:t>
      </w:r>
      <w:r w:rsidR="0003254C">
        <w:t>.</w:t>
      </w:r>
    </w:p>
    <w:p w:rsidR="0003254C" w:rsidRPr="007F057E" w:rsidRDefault="00533F3D" w:rsidP="00EC342F">
      <w:pPr>
        <w:pStyle w:val="Normaltindrag"/>
        <w:suppressAutoHyphens/>
      </w:pPr>
      <w:r>
        <w:t xml:space="preserve">I det finansiella stabilitetsrådets diskussioner </w:t>
      </w:r>
      <w:r w:rsidR="0003254C">
        <w:t xml:space="preserve">under </w:t>
      </w:r>
      <w:r w:rsidR="00852CB5">
        <w:t xml:space="preserve">det </w:t>
      </w:r>
      <w:r w:rsidR="0003254C">
        <w:t xml:space="preserve">andra halvåret </w:t>
      </w:r>
      <w:r w:rsidR="00836B5E">
        <w:t>fokuserade man</w:t>
      </w:r>
      <w:r w:rsidR="0003254C" w:rsidRPr="0003254C">
        <w:t xml:space="preserve"> </w:t>
      </w:r>
      <w:r w:rsidR="0003254C">
        <w:t>på</w:t>
      </w:r>
      <w:r w:rsidR="0003254C" w:rsidRPr="0003254C">
        <w:t xml:space="preserve"> olika former av lånebegränsningar för hushållen, och i det samman</w:t>
      </w:r>
      <w:r w:rsidR="00AC612C">
        <w:t>hanget var amorteringskrav</w:t>
      </w:r>
      <w:r w:rsidR="0003254C" w:rsidRPr="0003254C">
        <w:t xml:space="preserve"> mest diskuterat</w:t>
      </w:r>
      <w:r w:rsidR="000E6102">
        <w:t xml:space="preserve"> (se även avsnittet Ett säkert och effektivt betalningsväsende)</w:t>
      </w:r>
      <w:r w:rsidR="0003254C" w:rsidRPr="0003254C">
        <w:t xml:space="preserve">. Riksbanken </w:t>
      </w:r>
      <w:r w:rsidR="00AC612C">
        <w:t>analyserade</w:t>
      </w:r>
      <w:r w:rsidR="0003254C" w:rsidRPr="0003254C">
        <w:t xml:space="preserve"> såväl implementeringsfrågor som </w:t>
      </w:r>
      <w:r w:rsidR="00231EF3">
        <w:t xml:space="preserve">de </w:t>
      </w:r>
      <w:r w:rsidR="0003254C" w:rsidRPr="0003254C">
        <w:t>makroekonomiska effekter</w:t>
      </w:r>
      <w:r w:rsidR="00231EF3">
        <w:t>na av</w:t>
      </w:r>
      <w:r w:rsidR="0003254C" w:rsidRPr="0003254C">
        <w:t xml:space="preserve"> </w:t>
      </w:r>
      <w:r w:rsidR="00231EF3">
        <w:t xml:space="preserve">ett </w:t>
      </w:r>
      <w:r w:rsidR="0003254C" w:rsidRPr="0003254C">
        <w:t>amor</w:t>
      </w:r>
      <w:r w:rsidR="00EC342F">
        <w:softHyphen/>
      </w:r>
      <w:r w:rsidR="0003254C" w:rsidRPr="0003254C">
        <w:t>teringskrav</w:t>
      </w:r>
      <w:r w:rsidR="00A1576D">
        <w:t>.</w:t>
      </w:r>
      <w:r w:rsidR="0003254C" w:rsidRPr="0003254C">
        <w:t xml:space="preserve"> </w:t>
      </w:r>
    </w:p>
    <w:p w:rsidR="00471818" w:rsidRDefault="00471818" w:rsidP="00F95F29">
      <w:pPr>
        <w:pStyle w:val="R4"/>
        <w:pBdr>
          <w:top w:val="single" w:sz="4" w:space="1" w:color="auto"/>
          <w:left w:val="single" w:sz="4" w:space="4" w:color="auto"/>
          <w:bottom w:val="single" w:sz="4" w:space="1" w:color="auto"/>
          <w:right w:val="single" w:sz="4" w:space="4" w:color="auto"/>
        </w:pBdr>
        <w:outlineLvl w:val="0"/>
      </w:pPr>
      <w:r>
        <w:t xml:space="preserve">Riksbankens forskning </w:t>
      </w:r>
    </w:p>
    <w:p w:rsidR="00471818" w:rsidRDefault="00471818" w:rsidP="00F95F29">
      <w:pPr>
        <w:pBdr>
          <w:top w:val="single" w:sz="4" w:space="1" w:color="auto"/>
          <w:left w:val="single" w:sz="4" w:space="4" w:color="auto"/>
          <w:bottom w:val="single" w:sz="4" w:space="1" w:color="auto"/>
          <w:right w:val="single" w:sz="4" w:space="4" w:color="auto"/>
        </w:pBdr>
      </w:pPr>
      <w:r>
        <w:t>Riksbankens forskning är främst inriktad på områden som har direkt bety</w:t>
      </w:r>
      <w:r w:rsidR="001C48ED">
        <w:softHyphen/>
      </w:r>
      <w:r>
        <w:t>de</w:t>
      </w:r>
      <w:r>
        <w:t>l</w:t>
      </w:r>
      <w:r>
        <w:t>se för bankens verksamhet, exempelvis penningpolitik, bankväsende och finansiella marknader. Mer specifikt är syftet att ta fram modeller och verktyg att använda i de analyser som direktionen behöver för att kunna fatta sina beslut. De forskare som är anställda på Riksbanken arbetar också som interna rådgivare vid bankens analysarbete. Forskningen ökar därmed Riksbankens möjligheter att möta de utmaningar som uppstår i arbetet med att hålla infla</w:t>
      </w:r>
      <w:r w:rsidR="00EC342F">
        <w:softHyphen/>
      </w:r>
      <w:r>
        <w:t>t</w:t>
      </w:r>
      <w:r>
        <w:t>ionen låg och stabil och att värna om den finansiella stabiliteten.</w:t>
      </w:r>
    </w:p>
    <w:p w:rsidR="0024517C" w:rsidRDefault="00471818" w:rsidP="00F95F29">
      <w:pPr>
        <w:pStyle w:val="Normaltindrag"/>
        <w:pBdr>
          <w:top w:val="single" w:sz="4" w:space="1" w:color="auto"/>
          <w:left w:val="single" w:sz="4" w:space="4" w:color="auto"/>
          <w:bottom w:val="single" w:sz="4" w:space="1" w:color="auto"/>
          <w:right w:val="single" w:sz="4" w:space="4" w:color="auto"/>
        </w:pBdr>
      </w:pPr>
      <w:r>
        <w:t>Resultaten av Riksbankens forskning publiceras i internationella vete</w:t>
      </w:r>
      <w:r>
        <w:t>n</w:t>
      </w:r>
      <w:r>
        <w:t>skapliga tidskrifter. Detta säkrar att forskningens kvalitet blir utvärderad på ett objektivt sätt enligt internationella normer. Forskningens resultat sprids också genom presentationer vid andra centralbanker och vid universitet samt på vetenskapliga konferenser. Insikterna från forskningen sammanfattas när behov finns i bland annat Riksbankens tidskrift Penning- och valutapolitik.</w:t>
      </w:r>
    </w:p>
    <w:p w:rsidR="0024517C" w:rsidRDefault="00471818" w:rsidP="00F95F29">
      <w:pPr>
        <w:pStyle w:val="Normaltindrag"/>
        <w:pBdr>
          <w:top w:val="single" w:sz="4" w:space="1" w:color="auto"/>
          <w:left w:val="single" w:sz="4" w:space="4" w:color="auto"/>
          <w:bottom w:val="single" w:sz="4" w:space="1" w:color="auto"/>
          <w:right w:val="single" w:sz="4" w:space="4" w:color="auto"/>
        </w:pBdr>
      </w:pPr>
      <w:r>
        <w:t>För närvarande bedriver Riksbankens forskare omfattande studier av svenska företag och hushåll i syfte att förstå deras ekonomiska agerande</w:t>
      </w:r>
      <w:r w:rsidR="00EE21A3">
        <w:t>. M</w:t>
      </w:r>
      <w:r>
        <w:t>ålet</w:t>
      </w:r>
      <w:r w:rsidR="00EE21A3">
        <w:t xml:space="preserve"> är</w:t>
      </w:r>
      <w:r>
        <w:t xml:space="preserve"> att tillhandahålla bättre underlag för utformningen av ekonomisk politik. Denna forskning baseras i många fall på insamlade mikrodata från svenska banker och kreditupplysningsföretag, vilket möjliggör djuplodande analyser av områden som på grund av brist på data inte kunnat studeras til</w:t>
      </w:r>
      <w:r>
        <w:t>l</w:t>
      </w:r>
      <w:r>
        <w:t>räckligt i den internationella litteraturen. På så vis utgör forskningsresultaten en grund på vilken stöd och rådgivning t</w:t>
      </w:r>
      <w:r w:rsidR="0024517C">
        <w:t>ill R</w:t>
      </w:r>
      <w:r>
        <w:t>iksbankens policyverksamhet kan vila. I aktuella frågor</w:t>
      </w:r>
      <w:r w:rsidR="0024517C">
        <w:t>,</w:t>
      </w:r>
      <w:r>
        <w:t xml:space="preserve"> som exempelvis hushållens skuldsättning och deras </w:t>
      </w:r>
      <w:r w:rsidR="00CD15F4">
        <w:t xml:space="preserve">vanor att amortera </w:t>
      </w:r>
      <w:r>
        <w:t>bostadslån, kan den empiriska forskningen bidra till bere</w:t>
      </w:r>
      <w:r>
        <w:t>d</w:t>
      </w:r>
      <w:r>
        <w:t>ning</w:t>
      </w:r>
      <w:r w:rsidR="00A63283">
        <w:t>en</w:t>
      </w:r>
      <w:r>
        <w:t xml:space="preserve"> av beslutsunderlag.</w:t>
      </w:r>
    </w:p>
    <w:p w:rsidR="006B04C8" w:rsidRDefault="00471818" w:rsidP="00F95F29">
      <w:pPr>
        <w:pStyle w:val="Normaltindrag"/>
        <w:pBdr>
          <w:top w:val="single" w:sz="4" w:space="1" w:color="auto"/>
          <w:left w:val="single" w:sz="4" w:space="4" w:color="auto"/>
          <w:bottom w:val="single" w:sz="4" w:space="1" w:color="auto"/>
          <w:right w:val="single" w:sz="4" w:space="4" w:color="auto"/>
        </w:pBdr>
      </w:pPr>
      <w:r>
        <w:t>Forskningsenhetens mer makroinriktade forskning ger också tydliga bidrag till Riksbankens tolkning av en komplex omvärld</w:t>
      </w:r>
      <w:r w:rsidRPr="004E1DBA">
        <w:t>. Som exempel kan nämnas en artikel under utgivning i Journal of Monetary Economics som studerar betydelsen av bostadslåneräntors variation för viktiga makroekonomiska variabler som privat konsumtion, BNP, bostadsinvesteringar samt den fram</w:t>
      </w:r>
      <w:r w:rsidR="001C48ED">
        <w:softHyphen/>
      </w:r>
      <w:r w:rsidRPr="004E1DBA">
        <w:t>t</w:t>
      </w:r>
      <w:r w:rsidRPr="004E1DBA">
        <w:t>i</w:t>
      </w:r>
      <w:r w:rsidRPr="004E1DBA">
        <w:t>da husprisutvecklingen. Studien</w:t>
      </w:r>
      <w:r>
        <w:t xml:space="preserve"> visar att betydande effekter finns och pekar därmed på ett behov att förstå penningpolitikens effekter på bostadsräntor.   </w:t>
      </w:r>
    </w:p>
    <w:p w:rsidR="006B04C8" w:rsidRDefault="00471818" w:rsidP="00F95F29">
      <w:pPr>
        <w:pStyle w:val="Normaltindrag"/>
        <w:pBdr>
          <w:top w:val="single" w:sz="4" w:space="1" w:color="auto"/>
          <w:left w:val="single" w:sz="4" w:space="4" w:color="auto"/>
          <w:bottom w:val="single" w:sz="4" w:space="1" w:color="auto"/>
          <w:right w:val="single" w:sz="4" w:space="4" w:color="auto"/>
        </w:pBdr>
      </w:pPr>
      <w:r>
        <w:t xml:space="preserve">Forskningsenheten organiserade i juni 2014 en veckolång kurs i modern monetär ekonomi under ledning av professor Randall Wright från University of Wisconsin-Madison. Randall Wright har </w:t>
      </w:r>
      <w:r w:rsidR="00783828">
        <w:t>bidragit</w:t>
      </w:r>
      <w:r>
        <w:t xml:space="preserve"> på många områden, men är kanske mest känd för sök- och matchningsmodeller i monetär ekonomi. Kursen avhandlade viktiga ämnen inom penningteori, såsom modeller som ämnar förklara varför individer använder pengar, allokeringsmekanismer inom penningteori, samt hur numeriska metoder kan användas i sökmodeller för att belysa inflationens välfärdseffekter. </w:t>
      </w:r>
      <w:r w:rsidR="008111C6">
        <w:t>D</w:t>
      </w:r>
      <w:r>
        <w:t>elta</w:t>
      </w:r>
      <w:r w:rsidR="008111C6">
        <w:t xml:space="preserve">garna kom </w:t>
      </w:r>
      <w:r>
        <w:t>från Riksbanken och forskarutbildningarna vid Upps</w:t>
      </w:r>
      <w:r w:rsidR="006B04C8">
        <w:t xml:space="preserve">ala och Stockholms universitet </w:t>
      </w:r>
      <w:r>
        <w:t>samt vid Handelshögskolan i Stockholm.</w:t>
      </w:r>
    </w:p>
    <w:p w:rsidR="00955D70" w:rsidRDefault="00471818" w:rsidP="00F95F29">
      <w:pPr>
        <w:pStyle w:val="Normaltindrag"/>
        <w:pBdr>
          <w:top w:val="single" w:sz="4" w:space="1" w:color="auto"/>
          <w:left w:val="single" w:sz="4" w:space="4" w:color="auto"/>
          <w:bottom w:val="single" w:sz="4" w:space="1" w:color="auto"/>
          <w:right w:val="single" w:sz="4" w:space="4" w:color="auto"/>
        </w:pBdr>
      </w:pPr>
      <w:r>
        <w:t>Ovanstående initiativ speglar Riksbankens vilja att interagera med den akademiska världen</w:t>
      </w:r>
      <w:r w:rsidR="008111C6">
        <w:t xml:space="preserve"> för att lära och </w:t>
      </w:r>
      <w:r>
        <w:t>för att säkra framtida kompetensför</w:t>
      </w:r>
      <w:r w:rsidR="007F42FF">
        <w:softHyphen/>
      </w:r>
      <w:r>
        <w:t xml:space="preserve">sörjning genom att intressera studenter och forskare för </w:t>
      </w:r>
      <w:r w:rsidR="00E15B01">
        <w:t>Riksbankens</w:t>
      </w:r>
      <w:r>
        <w:t xml:space="preserve"> </w:t>
      </w:r>
      <w:r w:rsidR="008111C6">
        <w:t>polic</w:t>
      </w:r>
      <w:r w:rsidR="008111C6">
        <w:t>y</w:t>
      </w:r>
      <w:r w:rsidR="008111C6">
        <w:t>områden</w:t>
      </w:r>
      <w:r>
        <w:t xml:space="preserve">. Forskningsenheten </w:t>
      </w:r>
      <w:r w:rsidR="00817B4E">
        <w:t xml:space="preserve">är </w:t>
      </w:r>
      <w:r>
        <w:t>på så vis en viktig länk mellan Rik</w:t>
      </w:r>
      <w:r>
        <w:t>s</w:t>
      </w:r>
      <w:r>
        <w:t>banken och</w:t>
      </w:r>
      <w:r w:rsidR="007F42FF">
        <w:t xml:space="preserve"> </w:t>
      </w:r>
      <w:r>
        <w:t>universitetsvärlden.</w:t>
      </w:r>
    </w:p>
    <w:p w:rsidR="007F42FF" w:rsidRPr="00955D70" w:rsidRDefault="007F42FF" w:rsidP="00F95F29">
      <w:pPr>
        <w:pStyle w:val="Normaltindrag"/>
        <w:sectPr w:rsidR="007F42FF" w:rsidRPr="00955D7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96CC8" w:rsidRDefault="00496CC8" w:rsidP="00496CC8">
      <w:pPr>
        <w:pStyle w:val="Rubrik1"/>
      </w:pPr>
      <w:bookmarkStart w:id="26" w:name="_Toc408946420"/>
      <w:r>
        <w:t>Ett säkert och effektivt betalningsväsende</w:t>
      </w:r>
      <w:bookmarkEnd w:id="26"/>
    </w:p>
    <w:p w:rsidR="00C36A98" w:rsidRPr="009B1759" w:rsidRDefault="002229B2" w:rsidP="00C36A98">
      <w:pPr>
        <w:rPr>
          <w:i/>
        </w:rPr>
      </w:pPr>
      <w:r>
        <w:rPr>
          <w:i/>
        </w:rPr>
        <w:t>Det</w:t>
      </w:r>
      <w:r w:rsidR="00D86B41" w:rsidRPr="009B1759">
        <w:rPr>
          <w:i/>
        </w:rPr>
        <w:t xml:space="preserve"> finansiella </w:t>
      </w:r>
      <w:r w:rsidR="000D40BD">
        <w:rPr>
          <w:i/>
        </w:rPr>
        <w:t xml:space="preserve">systemet </w:t>
      </w:r>
      <w:r w:rsidR="00C013B8">
        <w:rPr>
          <w:i/>
        </w:rPr>
        <w:t xml:space="preserve">i Sverige </w:t>
      </w:r>
      <w:r w:rsidR="000D40BD">
        <w:rPr>
          <w:i/>
        </w:rPr>
        <w:t>fungerade väl</w:t>
      </w:r>
      <w:r w:rsidR="00D86B41" w:rsidRPr="009B1759">
        <w:rPr>
          <w:i/>
        </w:rPr>
        <w:t xml:space="preserve"> under </w:t>
      </w:r>
      <w:r w:rsidR="004A0524" w:rsidRPr="009B1759">
        <w:rPr>
          <w:i/>
        </w:rPr>
        <w:t>2014</w:t>
      </w:r>
      <w:r w:rsidR="00D86B41" w:rsidRPr="009B1759">
        <w:rPr>
          <w:i/>
        </w:rPr>
        <w:t xml:space="preserve">. De svenska hushållens skuldsättning </w:t>
      </w:r>
      <w:r w:rsidR="009C24E7">
        <w:rPr>
          <w:i/>
        </w:rPr>
        <w:t xml:space="preserve">och </w:t>
      </w:r>
      <w:r w:rsidR="006A4271">
        <w:rPr>
          <w:i/>
        </w:rPr>
        <w:t xml:space="preserve">den svaga </w:t>
      </w:r>
      <w:r w:rsidR="00D86B41" w:rsidRPr="009B1759">
        <w:rPr>
          <w:i/>
        </w:rPr>
        <w:t xml:space="preserve">utvecklingen i omvärlden var </w:t>
      </w:r>
      <w:r w:rsidR="00715714" w:rsidRPr="009B1759">
        <w:rPr>
          <w:i/>
        </w:rPr>
        <w:t xml:space="preserve">dock </w:t>
      </w:r>
      <w:r w:rsidR="00D86B41" w:rsidRPr="009B1759">
        <w:rPr>
          <w:i/>
        </w:rPr>
        <w:t>alltjämt risker som kunde hota den finansiella stabiliteten. Riksbanken for</w:t>
      </w:r>
      <w:r w:rsidR="00D86B41" w:rsidRPr="009B1759">
        <w:rPr>
          <w:i/>
        </w:rPr>
        <w:t>t</w:t>
      </w:r>
      <w:r w:rsidR="00D86B41" w:rsidRPr="009B1759">
        <w:rPr>
          <w:i/>
        </w:rPr>
        <w:t xml:space="preserve">satte arbetet </w:t>
      </w:r>
      <w:r w:rsidR="000A58F3" w:rsidRPr="009B1759">
        <w:rPr>
          <w:i/>
        </w:rPr>
        <w:t xml:space="preserve">med </w:t>
      </w:r>
      <w:r w:rsidR="00D86B41" w:rsidRPr="009B1759">
        <w:rPr>
          <w:i/>
        </w:rPr>
        <w:t>att i nationella och internationella for</w:t>
      </w:r>
      <w:r w:rsidR="009C24E7">
        <w:rPr>
          <w:i/>
        </w:rPr>
        <w:t>um</w:t>
      </w:r>
      <w:r w:rsidR="00D86B41" w:rsidRPr="009B1759">
        <w:rPr>
          <w:i/>
        </w:rPr>
        <w:t xml:space="preserve"> påverka det fina</w:t>
      </w:r>
      <w:r w:rsidR="00D86B41" w:rsidRPr="009B1759">
        <w:rPr>
          <w:i/>
        </w:rPr>
        <w:t>n</w:t>
      </w:r>
      <w:r w:rsidR="00D86B41" w:rsidRPr="009B1759">
        <w:rPr>
          <w:i/>
        </w:rPr>
        <w:t xml:space="preserve">siella regelverket. Därutöver fortsatte </w:t>
      </w:r>
      <w:r w:rsidR="000A58F3" w:rsidRPr="009B1759">
        <w:rPr>
          <w:i/>
        </w:rPr>
        <w:t xml:space="preserve">Riksbanken </w:t>
      </w:r>
      <w:r w:rsidR="00D86B41" w:rsidRPr="009B1759">
        <w:rPr>
          <w:i/>
        </w:rPr>
        <w:t>att fördjupa analysen av viktiga stabilitetsfrågor.</w:t>
      </w:r>
      <w:r w:rsidR="00C36A98" w:rsidRPr="009B1759">
        <w:rPr>
          <w:i/>
        </w:rPr>
        <w:t xml:space="preserve"> </w:t>
      </w:r>
    </w:p>
    <w:p w:rsidR="00910E7C" w:rsidRDefault="00C36A98" w:rsidP="00C36A98">
      <w:pPr>
        <w:pStyle w:val="Normaltindrag"/>
        <w:rPr>
          <w:i/>
        </w:rPr>
      </w:pPr>
      <w:r w:rsidRPr="009B1759">
        <w:rPr>
          <w:i/>
        </w:rPr>
        <w:t>Den finansiella infrastrukturen i Sverige bedömdes i hög utsträckning vara säker och effektiv</w:t>
      </w:r>
      <w:r w:rsidR="00D56C4A" w:rsidRPr="009B1759">
        <w:rPr>
          <w:i/>
        </w:rPr>
        <w:t xml:space="preserve">. Riksbankens mål för betalningssystemet RIX </w:t>
      </w:r>
      <w:r w:rsidR="00AA222E" w:rsidRPr="009B1759">
        <w:rPr>
          <w:i/>
        </w:rPr>
        <w:t xml:space="preserve">uppfylldes också </w:t>
      </w:r>
      <w:r w:rsidR="00D56C4A" w:rsidRPr="009B1759">
        <w:rPr>
          <w:i/>
        </w:rPr>
        <w:t xml:space="preserve">under </w:t>
      </w:r>
      <w:r w:rsidR="004A0524" w:rsidRPr="009B1759">
        <w:rPr>
          <w:i/>
        </w:rPr>
        <w:t>året</w:t>
      </w:r>
      <w:r w:rsidR="00D56C4A" w:rsidRPr="009B1759">
        <w:rPr>
          <w:i/>
        </w:rPr>
        <w:t xml:space="preserve">. </w:t>
      </w:r>
      <w:r w:rsidR="00910E7C" w:rsidRPr="009B1759">
        <w:rPr>
          <w:i/>
        </w:rPr>
        <w:t>Inom kontantförsörjningen</w:t>
      </w:r>
      <w:r w:rsidRPr="009B1759">
        <w:t xml:space="preserve"> </w:t>
      </w:r>
      <w:r w:rsidRPr="009B1759">
        <w:rPr>
          <w:i/>
        </w:rPr>
        <w:t>fortsatte förberedelserna inför utbytet av sedlar och mynt som kommer att starta under 2015</w:t>
      </w:r>
      <w:r w:rsidR="004A0524" w:rsidRPr="009B1759">
        <w:rPr>
          <w:i/>
        </w:rPr>
        <w:t>.</w:t>
      </w:r>
    </w:p>
    <w:p w:rsidR="00F82501" w:rsidRPr="00C44BA0" w:rsidRDefault="00F82501" w:rsidP="00F82501">
      <w:pPr>
        <w:pStyle w:val="R2"/>
        <w:rPr>
          <w:sz w:val="32"/>
          <w:szCs w:val="32"/>
        </w:rPr>
      </w:pPr>
      <w:r w:rsidRPr="00C44BA0">
        <w:rPr>
          <w:sz w:val="32"/>
          <w:szCs w:val="32"/>
        </w:rPr>
        <w:t>Finansiell stabilitet</w:t>
      </w:r>
    </w:p>
    <w:p w:rsidR="00D86B41" w:rsidRDefault="00D86B41" w:rsidP="007E2512">
      <w:pPr>
        <w:suppressAutoHyphens/>
      </w:pPr>
      <w:r>
        <w:t xml:space="preserve">Riksbankens arbete med finansiell stabilitet bestod under 2014 </w:t>
      </w:r>
      <w:r w:rsidR="00542714">
        <w:t xml:space="preserve">bland annat </w:t>
      </w:r>
      <w:r>
        <w:t xml:space="preserve">av att följa utvecklingen i omvärlden och i Sverige för att analysera risker som kunde byggas upp i det finansiella systemet och hota stabiliteten i detta. Det handlade dels om risker förknippade med de svenska hushållens skuldsättning, dels om </w:t>
      </w:r>
      <w:r w:rsidR="00D17A1E">
        <w:t>risker förknippade med det låga ränteläget</w:t>
      </w:r>
      <w:r w:rsidR="000D40BD">
        <w:t xml:space="preserve"> i Sverige och i o</w:t>
      </w:r>
      <w:r w:rsidR="000D40BD">
        <w:t>m</w:t>
      </w:r>
      <w:r w:rsidR="000D40BD">
        <w:t>världen</w:t>
      </w:r>
      <w:r>
        <w:t>. Riksbanken föreslog också åtgärder för att minska dessa risker. U</w:t>
      </w:r>
      <w:r>
        <w:t>n</w:t>
      </w:r>
      <w:r>
        <w:t xml:space="preserve">der året inrättades </w:t>
      </w:r>
      <w:r w:rsidR="00910E7C">
        <w:t xml:space="preserve">det </w:t>
      </w:r>
      <w:r w:rsidR="006F32EF">
        <w:t>f</w:t>
      </w:r>
      <w:r>
        <w:t>inansiella stabilitet</w:t>
      </w:r>
      <w:r w:rsidR="006E15A9">
        <w:t>srådet, där Riksbanken deltog</w:t>
      </w:r>
      <w:r w:rsidR="00AF7F03">
        <w:t xml:space="preserve"> i diskussion</w:t>
      </w:r>
      <w:r w:rsidR="00825D8C">
        <w:t>e</w:t>
      </w:r>
      <w:r w:rsidR="009E04D6">
        <w:t xml:space="preserve">n om </w:t>
      </w:r>
      <w:r w:rsidR="00825D8C">
        <w:t>frågor kopplade till finansiell stabilitet och makrotillsyn</w:t>
      </w:r>
      <w:r w:rsidR="009C24E7">
        <w:t>.</w:t>
      </w:r>
      <w:r w:rsidR="006E15A9">
        <w:t xml:space="preserve"> </w:t>
      </w:r>
    </w:p>
    <w:p w:rsidR="00226DD9" w:rsidRDefault="00D86B41" w:rsidP="00226DD9">
      <w:pPr>
        <w:pStyle w:val="Normaltindrag"/>
      </w:pPr>
      <w:r>
        <w:t>I övrigt fortsatte arbetet med</w:t>
      </w:r>
      <w:r w:rsidR="003C5F15">
        <w:t xml:space="preserve"> att</w:t>
      </w:r>
      <w:r>
        <w:t xml:space="preserve"> påverka utformningen och </w:t>
      </w:r>
      <w:r w:rsidR="00FB4B85">
        <w:t>genomförande</w:t>
      </w:r>
      <w:r w:rsidR="00FB4B85">
        <w:t>t</w:t>
      </w:r>
      <w:r>
        <w:t xml:space="preserve"> av såväl nationella som internationella finansiella rege</w:t>
      </w:r>
      <w:r>
        <w:t>l</w:t>
      </w:r>
      <w:r>
        <w:t>verk. Riksbanken deltog för detta ändamål i internationellt arbete och lä</w:t>
      </w:r>
      <w:r>
        <w:t>m</w:t>
      </w:r>
      <w:r>
        <w:t xml:space="preserve">nade också under året flera remissyttranden och konsultationssvar, bland annat </w:t>
      </w:r>
      <w:r w:rsidR="009C24E7">
        <w:t>över</w:t>
      </w:r>
      <w:r>
        <w:t xml:space="preserve"> betänkandet </w:t>
      </w:r>
      <w:r w:rsidR="009C24E7">
        <w:t xml:space="preserve">om </w:t>
      </w:r>
      <w:r>
        <w:t>hur banker i kris ska hanteras. Riksbanken fortsat</w:t>
      </w:r>
      <w:r w:rsidR="00910E7C">
        <w:t>t</w:t>
      </w:r>
      <w:r>
        <w:t>e även att ytterligare fö</w:t>
      </w:r>
      <w:r>
        <w:t>r</w:t>
      </w:r>
      <w:r>
        <w:t xml:space="preserve">djupa analysen i viktiga frågor </w:t>
      </w:r>
      <w:r w:rsidR="009C24E7">
        <w:t>och</w:t>
      </w:r>
      <w:r>
        <w:t xml:space="preserve"> att vidareu</w:t>
      </w:r>
      <w:r>
        <w:t>t</w:t>
      </w:r>
      <w:r>
        <w:t>veckla metoder för sitt arbete med finansiell stabilitet.</w:t>
      </w:r>
      <w:r w:rsidR="001A703D">
        <w:t xml:space="preserve"> </w:t>
      </w:r>
    </w:p>
    <w:p w:rsidR="00226DD9" w:rsidRDefault="00B503CD" w:rsidP="00226DD9">
      <w:pPr>
        <w:pStyle w:val="R3"/>
      </w:pPr>
      <w:r>
        <w:t>Bedömning av den finansiella s</w:t>
      </w:r>
      <w:r w:rsidR="00D86B41" w:rsidRPr="00427265">
        <w:t xml:space="preserve">tabiliteten </w:t>
      </w:r>
    </w:p>
    <w:p w:rsidR="00226DD9" w:rsidRPr="00226DD9" w:rsidRDefault="00D86B41" w:rsidP="00DD3537">
      <w:r w:rsidRPr="00226DD9">
        <w:t xml:space="preserve">Riksbanken </w:t>
      </w:r>
      <w:r w:rsidR="009C24E7">
        <w:t xml:space="preserve">bedömde </w:t>
      </w:r>
      <w:r w:rsidRPr="00226DD9">
        <w:t xml:space="preserve">att </w:t>
      </w:r>
      <w:r w:rsidR="009B1759">
        <w:t xml:space="preserve">det svenska finansiella systemet fungerade väl </w:t>
      </w:r>
      <w:r w:rsidR="009C24E7">
        <w:t>under 2014</w:t>
      </w:r>
      <w:r w:rsidR="00147F5F">
        <w:t xml:space="preserve"> </w:t>
      </w:r>
      <w:r w:rsidR="009B1759">
        <w:t>trots att de globala tillväxtutsikterna försämrades och oron på de fina</w:t>
      </w:r>
      <w:r w:rsidR="009B1759">
        <w:t>n</w:t>
      </w:r>
      <w:r w:rsidR="009B1759">
        <w:t xml:space="preserve">siella marknaderna ökade </w:t>
      </w:r>
      <w:r w:rsidR="00417580">
        <w:t xml:space="preserve">något </w:t>
      </w:r>
      <w:r w:rsidR="009B1759">
        <w:t xml:space="preserve">under årets andra </w:t>
      </w:r>
      <w:r w:rsidR="00FB4B85">
        <w:t>hälft</w:t>
      </w:r>
      <w:r w:rsidR="009B1759">
        <w:t xml:space="preserve">. Den finansiella </w:t>
      </w:r>
      <w:r w:rsidRPr="00226DD9">
        <w:t>stab</w:t>
      </w:r>
      <w:r w:rsidRPr="00226DD9">
        <w:t>i</w:t>
      </w:r>
      <w:r w:rsidRPr="00226DD9">
        <w:t>liteten i Sverige</w:t>
      </w:r>
      <w:r w:rsidR="00063A59" w:rsidRPr="00226DD9">
        <w:t xml:space="preserve"> </w:t>
      </w:r>
      <w:r w:rsidR="009B1759">
        <w:t>gynnades bland annat av de svenska bankernas höga lönsa</w:t>
      </w:r>
      <w:r w:rsidR="009B1759">
        <w:t>m</w:t>
      </w:r>
      <w:r w:rsidR="009B1759">
        <w:t>het,</w:t>
      </w:r>
      <w:r w:rsidR="00417580">
        <w:t xml:space="preserve"> låga kreditförluster och</w:t>
      </w:r>
      <w:r w:rsidR="009B1759">
        <w:t xml:space="preserve"> tillgång till billig finansiering</w:t>
      </w:r>
      <w:r w:rsidR="00417580">
        <w:t>.</w:t>
      </w:r>
      <w:r w:rsidR="009B1759">
        <w:t xml:space="preserve"> </w:t>
      </w:r>
      <w:r w:rsidRPr="00226DD9">
        <w:t>Den fina</w:t>
      </w:r>
      <w:r w:rsidRPr="00226DD9">
        <w:t>n</w:t>
      </w:r>
      <w:r w:rsidRPr="00226DD9">
        <w:t xml:space="preserve">siella infrastrukturen i Sverige bedömdes </w:t>
      </w:r>
      <w:r w:rsidR="009C24E7">
        <w:t>också</w:t>
      </w:r>
      <w:r w:rsidRPr="00226DD9">
        <w:t xml:space="preserve"> i hög utsträckning vara säker och effektiv.  </w:t>
      </w:r>
    </w:p>
    <w:p w:rsidR="00F96E28" w:rsidRDefault="00D86B41" w:rsidP="003E6A15">
      <w:pPr>
        <w:pStyle w:val="Normaltindrag"/>
      </w:pPr>
      <w:r w:rsidRPr="00226DD9">
        <w:t>Riksbanken bedömde dock att</w:t>
      </w:r>
      <w:r w:rsidR="00016BFA">
        <w:t xml:space="preserve"> det fanns</w:t>
      </w:r>
      <w:r w:rsidRPr="00226DD9">
        <w:t xml:space="preserve"> sårbarheter i det svenska bank</w:t>
      </w:r>
      <w:r w:rsidR="00F37D11">
        <w:softHyphen/>
      </w:r>
      <w:r w:rsidRPr="00226DD9">
        <w:t>s</w:t>
      </w:r>
      <w:r w:rsidRPr="00226DD9">
        <w:t>y</w:t>
      </w:r>
      <w:r w:rsidRPr="00226DD9">
        <w:t xml:space="preserve">stemets struktur </w:t>
      </w:r>
      <w:r w:rsidR="00016BFA">
        <w:t xml:space="preserve">som </w:t>
      </w:r>
      <w:r w:rsidRPr="00226DD9">
        <w:t>gör det känsligt för störningar</w:t>
      </w:r>
      <w:r w:rsidR="00FB4B85">
        <w:t xml:space="preserve">, till exempel </w:t>
      </w:r>
      <w:r w:rsidRPr="00226DD9">
        <w:t xml:space="preserve">att det svenska banksystemet är stort i </w:t>
      </w:r>
      <w:r w:rsidR="00FB4B85">
        <w:t>förhållande</w:t>
      </w:r>
      <w:r w:rsidRPr="00226DD9">
        <w:t xml:space="preserve"> till den svenska ekonomin (</w:t>
      </w:r>
      <w:r w:rsidR="00063A59" w:rsidRPr="00226DD9">
        <w:t>se</w:t>
      </w:r>
      <w:r w:rsidR="00101F44">
        <w:t> </w:t>
      </w:r>
      <w:r w:rsidR="00063A59" w:rsidRPr="00226DD9">
        <w:t>dia</w:t>
      </w:r>
      <w:r w:rsidR="00101F44">
        <w:t>gram </w:t>
      </w:r>
      <w:r w:rsidR="0013141E">
        <w:t>1</w:t>
      </w:r>
      <w:r w:rsidR="0012144F">
        <w:t>1</w:t>
      </w:r>
      <w:r w:rsidRPr="00226DD9">
        <w:t xml:space="preserve">) </w:t>
      </w:r>
      <w:r w:rsidR="00016BFA">
        <w:t xml:space="preserve">och koncentrerat till ett fåtal aktörer som är </w:t>
      </w:r>
      <w:r w:rsidR="003E6A15">
        <w:t>nära sammanlä</w:t>
      </w:r>
      <w:r w:rsidR="003E6A15">
        <w:t>n</w:t>
      </w:r>
      <w:r w:rsidR="003E6A15">
        <w:t>kade med varandra</w:t>
      </w:r>
      <w:r w:rsidR="00F96E28" w:rsidRPr="00D86B41">
        <w:t>.</w:t>
      </w:r>
    </w:p>
    <w:p w:rsidR="00F32E12" w:rsidRPr="00C01E19" w:rsidRDefault="00F32E12" w:rsidP="00C01E19">
      <w:pPr>
        <w:pStyle w:val="Diagramrubrik"/>
      </w:pPr>
      <w:r w:rsidRPr="00C01E19">
        <w:t xml:space="preserve">Diagram </w:t>
      </w:r>
      <w:r w:rsidR="0013141E" w:rsidRPr="00C01E19">
        <w:t>1</w:t>
      </w:r>
      <w:r w:rsidR="0012144F" w:rsidRPr="00C01E19">
        <w:t>1</w:t>
      </w:r>
      <w:r w:rsidRPr="00C01E19">
        <w:t xml:space="preserve">. Bankernas tillgångar i förhållande till BNP i december 2013, procent </w:t>
      </w:r>
    </w:p>
    <w:p w:rsidR="00F32E12" w:rsidRDefault="00A12E15" w:rsidP="00F32E12">
      <w:r w:rsidRPr="00AB54D8">
        <w:rPr>
          <w:noProof/>
        </w:rPr>
        <w:drawing>
          <wp:inline distT="0" distB="0" distL="0" distR="0">
            <wp:extent cx="3771900" cy="246697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F32E12" w:rsidRPr="00063A59" w:rsidRDefault="00F32E12" w:rsidP="00DD3537">
      <w:pPr>
        <w:pStyle w:val="Fotnotstext"/>
        <w:rPr>
          <w:szCs w:val="17"/>
        </w:rPr>
      </w:pPr>
      <w:r w:rsidRPr="00063A59">
        <w:t xml:space="preserve">Anm. </w:t>
      </w:r>
      <w:r>
        <w:rPr>
          <w:szCs w:val="17"/>
        </w:rPr>
        <w:t xml:space="preserve">Avser samtliga tillgångar i landets bankkoncerner i </w:t>
      </w:r>
      <w:r w:rsidR="005E1819">
        <w:rPr>
          <w:szCs w:val="17"/>
        </w:rPr>
        <w:t>förhållande</w:t>
      </w:r>
      <w:r>
        <w:rPr>
          <w:szCs w:val="17"/>
        </w:rPr>
        <w:t xml:space="preserve"> till la</w:t>
      </w:r>
      <w:r>
        <w:rPr>
          <w:szCs w:val="17"/>
        </w:rPr>
        <w:t>n</w:t>
      </w:r>
      <w:r>
        <w:rPr>
          <w:szCs w:val="17"/>
        </w:rPr>
        <w:t>dets BNP. Den skuggade blå stapeln visar storbankernas tillgångar utomlands i förhå</w:t>
      </w:r>
      <w:r>
        <w:rPr>
          <w:szCs w:val="17"/>
        </w:rPr>
        <w:t>l</w:t>
      </w:r>
      <w:r>
        <w:rPr>
          <w:szCs w:val="17"/>
        </w:rPr>
        <w:t>lande till Sveriges BNP. Data för Schweiz per december 2012.</w:t>
      </w:r>
    </w:p>
    <w:p w:rsidR="00F32E12" w:rsidRPr="00063A59" w:rsidRDefault="00F32E12" w:rsidP="00DD3537">
      <w:pPr>
        <w:pStyle w:val="Fotnotstext"/>
        <w:rPr>
          <w:szCs w:val="17"/>
        </w:rPr>
      </w:pPr>
      <w:r w:rsidRPr="00063A59">
        <w:t>Källor: ECB, EU-kommissionen, Schweiz Nationalbank och Riksbanken</w:t>
      </w:r>
      <w:r>
        <w:rPr>
          <w:szCs w:val="17"/>
        </w:rPr>
        <w:t>.</w:t>
      </w:r>
    </w:p>
    <w:p w:rsidR="003E6A15" w:rsidRDefault="003E6A15" w:rsidP="003E6A15">
      <w:pPr>
        <w:pStyle w:val="Fotnotstextindrag"/>
      </w:pPr>
    </w:p>
    <w:p w:rsidR="003E6A15" w:rsidRDefault="003E6A15" w:rsidP="00301ED4">
      <w:r>
        <w:t>A</w:t>
      </w:r>
      <w:r w:rsidRPr="00226DD9">
        <w:t xml:space="preserve">tt storbankerna </w:t>
      </w:r>
      <w:r>
        <w:t>är beroende av utländsk marknadsfina</w:t>
      </w:r>
      <w:r>
        <w:t>n</w:t>
      </w:r>
      <w:r w:rsidR="0013141E">
        <w:t>siering (se diagram 1</w:t>
      </w:r>
      <w:r w:rsidR="0012144F">
        <w:t>2</w:t>
      </w:r>
      <w:r>
        <w:t>) ökar sårbarheten ytterligare eftersom detta medför att bankerna är käns</w:t>
      </w:r>
      <w:r w:rsidR="001C48ED">
        <w:softHyphen/>
      </w:r>
      <w:r>
        <w:t xml:space="preserve">liga både </w:t>
      </w:r>
      <w:r w:rsidR="00B750F8">
        <w:t xml:space="preserve">för </w:t>
      </w:r>
      <w:r>
        <w:t>störningar på de internationella finansmarknaderna och för fö</w:t>
      </w:r>
      <w:r>
        <w:t>r</w:t>
      </w:r>
      <w:r>
        <w:t>sämrat förtroende för det svenska banksystemet.</w:t>
      </w:r>
    </w:p>
    <w:p w:rsidR="003E6A15" w:rsidRDefault="003E6A15" w:rsidP="003E6A15">
      <w:pPr>
        <w:pStyle w:val="Normaltindrag"/>
      </w:pPr>
      <w:r>
        <w:t>Riksbanken påpekade också att dessa sårbarheter ökade de risker som är förknippade med d</w:t>
      </w:r>
      <w:r w:rsidRPr="00D86B41">
        <w:t>en lång</w:t>
      </w:r>
      <w:r>
        <w:t>a</w:t>
      </w:r>
      <w:r w:rsidRPr="00D86B41">
        <w:t xml:space="preserve"> period</w:t>
      </w:r>
      <w:r>
        <w:t>en</w:t>
      </w:r>
      <w:r w:rsidRPr="00D86B41">
        <w:t xml:space="preserve"> </w:t>
      </w:r>
      <w:r>
        <w:t>med</w:t>
      </w:r>
      <w:r w:rsidRPr="00D86B41">
        <w:t xml:space="preserve"> låga räntor, utvecklingen i Europa </w:t>
      </w:r>
      <w:r>
        <w:t>och</w:t>
      </w:r>
      <w:r w:rsidRPr="00D86B41">
        <w:t xml:space="preserve"> de svenska hushållens höga och växande skuldsättning</w:t>
      </w:r>
      <w:r>
        <w:t>.</w:t>
      </w:r>
    </w:p>
    <w:p w:rsidR="003E6A15" w:rsidRPr="00EC4984" w:rsidRDefault="00A35FDD" w:rsidP="003E6A15">
      <w:pPr>
        <w:pStyle w:val="R4"/>
        <w:outlineLvl w:val="0"/>
        <w:rPr>
          <w:szCs w:val="21"/>
        </w:rPr>
      </w:pPr>
      <w:r>
        <w:rPr>
          <w:szCs w:val="21"/>
        </w:rPr>
        <w:t>En utdragen period med låga räntor kan medföra att risktagandet på de globala finansmarknaderna ö</w:t>
      </w:r>
      <w:r w:rsidR="003E6A15">
        <w:rPr>
          <w:szCs w:val="21"/>
        </w:rPr>
        <w:t>kar</w:t>
      </w:r>
    </w:p>
    <w:p w:rsidR="003E6A15" w:rsidRDefault="003E6A15" w:rsidP="00C96600">
      <w:pPr>
        <w:suppressAutoHyphens/>
      </w:pPr>
      <w:r>
        <w:t>Riksbanken noterade att de senaste årens expansiva penningpolitik på många håll i världen har hjälpt till att stödja de</w:t>
      </w:r>
      <w:r w:rsidR="001C48ED">
        <w:t xml:space="preserve">n realekonomiska utvecklingen. </w:t>
      </w:r>
      <w:r>
        <w:t>Riksbanken varnade dock för att en utdragen period med låga räntor också kan leda till ett överdrivet risktagande bland finansiella aktörer, företag och hushåll, vilket i sin tur skulle kunna leda till att olika typer av tillgångar övervärderas. Eventuella störningar som leder till att efterfrågan på dessa til</w:t>
      </w:r>
      <w:r>
        <w:t>l</w:t>
      </w:r>
      <w:r>
        <w:t xml:space="preserve">gångar plötsligt minskar skulle då kunna medföra stora prisjusteringar och ökad volatilitet och att investerare tvingas att realisera förluster som de inte har möjlighet att hantera. En sådan utveckling i det globala finansiella systemet skulle även kunna påverka den finansiella stabiliteten i Sverige. Det beror framför allt på att både tillgången till och priset på de svenska bankernas marknadsfinansiering skulle kunna påverkas negativt i ett läge med kraftigt ökad stress. </w:t>
      </w:r>
    </w:p>
    <w:p w:rsidR="003E6A15" w:rsidRPr="00C01E19" w:rsidRDefault="0013141E" w:rsidP="00C01E19">
      <w:pPr>
        <w:pStyle w:val="Diagramrubrik"/>
      </w:pPr>
      <w:r w:rsidRPr="00C01E19">
        <w:t>Diagram 1</w:t>
      </w:r>
      <w:r w:rsidR="0012144F" w:rsidRPr="00C01E19">
        <w:t>2</w:t>
      </w:r>
      <w:r w:rsidR="003E6A15" w:rsidRPr="00C01E19">
        <w:t>. De svenska storbankernas marknadsfinansiering via sven</w:t>
      </w:r>
      <w:r w:rsidR="003E6A15" w:rsidRPr="00C01E19">
        <w:t>s</w:t>
      </w:r>
      <w:r w:rsidR="003E6A15" w:rsidRPr="00C01E19">
        <w:t xml:space="preserve">ka moder- och dotterbolag, miljarder kronor </w:t>
      </w:r>
    </w:p>
    <w:p w:rsidR="003E6A15" w:rsidRDefault="00A12E15" w:rsidP="003E6A15">
      <w:pPr>
        <w:pStyle w:val="Normaltindrag"/>
        <w:ind w:firstLine="0"/>
      </w:pPr>
      <w:r w:rsidRPr="00CE59DA">
        <w:rPr>
          <w:noProof/>
        </w:rPr>
        <w:drawing>
          <wp:inline distT="0" distB="0" distL="0" distR="0">
            <wp:extent cx="3771900" cy="2466975"/>
            <wp:effectExtent l="0" t="0" r="0" b="952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3E6A15" w:rsidRPr="0004562C" w:rsidRDefault="003E6A15" w:rsidP="00301ED4">
      <w:pPr>
        <w:pStyle w:val="Fotnotstext"/>
        <w:rPr>
          <w:szCs w:val="17"/>
        </w:rPr>
      </w:pPr>
      <w:r w:rsidRPr="001B1F69">
        <w:t>Källor: SCB och Riksbanken</w:t>
      </w:r>
      <w:r>
        <w:rPr>
          <w:szCs w:val="17"/>
        </w:rPr>
        <w:t>.</w:t>
      </w:r>
    </w:p>
    <w:p w:rsidR="00A7321A" w:rsidRPr="00C521E6" w:rsidRDefault="00A7321A" w:rsidP="00A7321A">
      <w:pPr>
        <w:pStyle w:val="R4"/>
        <w:outlineLvl w:val="0"/>
        <w:rPr>
          <w:szCs w:val="21"/>
        </w:rPr>
      </w:pPr>
      <w:r w:rsidRPr="00C521E6">
        <w:rPr>
          <w:szCs w:val="21"/>
        </w:rPr>
        <w:t>Sämre utveckling i Europa kan påverka den finansiella stabiliteten</w:t>
      </w:r>
    </w:p>
    <w:p w:rsidR="00A7321A" w:rsidRDefault="00A7321A" w:rsidP="00301ED4">
      <w:r>
        <w:t xml:space="preserve">I Europa fanns det i huvudsak två risker som bedömdes kunna påverka den finansiella stabiliteten i </w:t>
      </w:r>
      <w:r w:rsidR="00E76AC7">
        <w:t>regionen</w:t>
      </w:r>
      <w:r>
        <w:t>. Den ena hängde samman med utvecklingen i Ukraina och Ryssland. Även om de svenska bankerna har små direkta exp</w:t>
      </w:r>
      <w:r>
        <w:t>o</w:t>
      </w:r>
      <w:r>
        <w:t>neringar mot dessa länder skulle de kunna påverkas indirekt genom utveck</w:t>
      </w:r>
      <w:r w:rsidR="00F37D11">
        <w:softHyphen/>
      </w:r>
      <w:r>
        <w:t>lingen på de finansiella marknaderna och genom den realekonomiska utveck</w:t>
      </w:r>
      <w:r w:rsidR="00F37D11">
        <w:softHyphen/>
      </w:r>
      <w:r>
        <w:t xml:space="preserve">lingen i euroområdet. Den andra risken </w:t>
      </w:r>
      <w:r w:rsidR="00B750F8">
        <w:t xml:space="preserve">var kopplad </w:t>
      </w:r>
      <w:r>
        <w:t>till den realek</w:t>
      </w:r>
      <w:r>
        <w:t>o</w:t>
      </w:r>
      <w:r>
        <w:t>nomiska utvecklingen i Europa och osäkerheten om hur vissa länder klarar att hantera de strukturella problem som alltjämt kvarstår efter finans- och statsskulds</w:t>
      </w:r>
      <w:r w:rsidR="00F37D11">
        <w:softHyphen/>
      </w:r>
      <w:r>
        <w:t>kr</w:t>
      </w:r>
      <w:r>
        <w:t>i</w:t>
      </w:r>
      <w:r>
        <w:t>serna. Om dessa problem inte hantera</w:t>
      </w:r>
      <w:r w:rsidR="00530808">
        <w:t>de</w:t>
      </w:r>
      <w:r>
        <w:t>s tillräckligt bra f</w:t>
      </w:r>
      <w:r w:rsidR="00530808">
        <w:t>a</w:t>
      </w:r>
      <w:r>
        <w:t>nns det en risk att utvecklingen på de finansiella marknaderna och i realekonomierna skulle kunna bli sådan att också den finansiella stabiliteten i Sverige påverk</w:t>
      </w:r>
      <w:r>
        <w:t>a</w:t>
      </w:r>
      <w:r>
        <w:t>des negativt.</w:t>
      </w:r>
    </w:p>
    <w:p w:rsidR="00D86B41" w:rsidRPr="00C75C86" w:rsidRDefault="00D86B41" w:rsidP="003E6A15">
      <w:pPr>
        <w:pStyle w:val="R4"/>
        <w:outlineLvl w:val="0"/>
      </w:pPr>
      <w:r w:rsidRPr="00C521E6">
        <w:t xml:space="preserve">Den höga skuldsättningen hos svenska hushåll kan </w:t>
      </w:r>
      <w:r w:rsidR="00AC63DF">
        <w:t xml:space="preserve">påverka </w:t>
      </w:r>
      <w:r w:rsidR="000F69F2">
        <w:t>både</w:t>
      </w:r>
      <w:r w:rsidR="00F05121">
        <w:t xml:space="preserve"> </w:t>
      </w:r>
      <w:r w:rsidR="000F69F2">
        <w:t xml:space="preserve">realekonomisk och </w:t>
      </w:r>
      <w:r w:rsidRPr="00C521E6">
        <w:t>finansiell stabilitet</w:t>
      </w:r>
    </w:p>
    <w:p w:rsidR="00346398" w:rsidRDefault="00D86B41" w:rsidP="00301ED4">
      <w:r>
        <w:t xml:space="preserve">Riksbanken bedömde att </w:t>
      </w:r>
      <w:r w:rsidR="000F69F2">
        <w:t xml:space="preserve">den höga och växande skuldsättningen bland de svenska hushållen var en risk </w:t>
      </w:r>
      <w:r>
        <w:t xml:space="preserve">som på sikt kunde hota </w:t>
      </w:r>
      <w:r w:rsidR="00AC63DF">
        <w:t>både</w:t>
      </w:r>
      <w:r w:rsidR="000F69F2">
        <w:t xml:space="preserve"> </w:t>
      </w:r>
      <w:r w:rsidR="00530808">
        <w:t xml:space="preserve">den </w:t>
      </w:r>
      <w:r w:rsidR="000F69F2">
        <w:t>realekono</w:t>
      </w:r>
      <w:r w:rsidR="001C48ED">
        <w:softHyphen/>
      </w:r>
      <w:r w:rsidR="000F69F2">
        <w:t xml:space="preserve">miska och </w:t>
      </w:r>
      <w:r w:rsidR="00530808">
        <w:t xml:space="preserve">den </w:t>
      </w:r>
      <w:r>
        <w:t>finansiella stabiliteten</w:t>
      </w:r>
      <w:r w:rsidR="00AC63DF">
        <w:t xml:space="preserve"> i Sverige</w:t>
      </w:r>
      <w:r>
        <w:t>. Den aggregerade skuld</w:t>
      </w:r>
      <w:r w:rsidR="00F37D11">
        <w:softHyphen/>
      </w:r>
      <w:r>
        <w:t>kv</w:t>
      </w:r>
      <w:r>
        <w:t>o</w:t>
      </w:r>
      <w:r>
        <w:t>ten, det vill säga skulderna i relation till de disponibla inkomsterna</w:t>
      </w:r>
      <w:r w:rsidR="000A1478">
        <w:t>,</w:t>
      </w:r>
      <w:r>
        <w:t xml:space="preserve"> var hög både i ett historiskt </w:t>
      </w:r>
      <w:r w:rsidR="00DC1561" w:rsidRPr="003C0D68">
        <w:t xml:space="preserve">(se diagram </w:t>
      </w:r>
      <w:r w:rsidR="00DC1561">
        <w:t>1</w:t>
      </w:r>
      <w:r w:rsidR="00DC1561" w:rsidRPr="003C0D68">
        <w:t>)</w:t>
      </w:r>
      <w:r w:rsidR="00DC1561">
        <w:t xml:space="preserve"> </w:t>
      </w:r>
      <w:r>
        <w:t>och i ett internationellt perspektiv</w:t>
      </w:r>
      <w:r w:rsidR="00CF774E">
        <w:t xml:space="preserve"> (se diagram 13)</w:t>
      </w:r>
      <w:r w:rsidRPr="003C0D68">
        <w:t>.</w:t>
      </w:r>
      <w:r>
        <w:t xml:space="preserve"> </w:t>
      </w:r>
      <w:r w:rsidR="003C4B70">
        <w:t>Skuldsättningen</w:t>
      </w:r>
      <w:r>
        <w:t xml:space="preserve"> innebar risker både för den reala ekonomin och för det fina</w:t>
      </w:r>
      <w:r>
        <w:t>n</w:t>
      </w:r>
      <w:r>
        <w:t xml:space="preserve">siella systemet. </w:t>
      </w:r>
    </w:p>
    <w:p w:rsidR="00CF774E" w:rsidRPr="00DD55A0" w:rsidRDefault="007B2FE6" w:rsidP="00CF774E">
      <w:pPr>
        <w:pStyle w:val="Normaltindrag"/>
        <w:spacing w:before="250" w:line="240" w:lineRule="exact"/>
        <w:ind w:firstLine="0"/>
        <w:jc w:val="left"/>
        <w:outlineLvl w:val="0"/>
        <w:rPr>
          <w:b/>
        </w:rPr>
      </w:pPr>
      <w:r>
        <w:rPr>
          <w:b/>
        </w:rPr>
        <w:t>Diagram 13</w:t>
      </w:r>
      <w:r w:rsidR="00CF774E" w:rsidRPr="00DD55A0">
        <w:rPr>
          <w:b/>
        </w:rPr>
        <w:t>. Hushållens skuldkvot i olika länder, procent</w:t>
      </w:r>
    </w:p>
    <w:p w:rsidR="00CF774E" w:rsidRDefault="00A12E15" w:rsidP="00CF774E">
      <w:pPr>
        <w:pStyle w:val="Normaltindrag"/>
        <w:spacing w:before="62"/>
        <w:ind w:firstLine="0"/>
      </w:pPr>
      <w:r w:rsidRPr="00986B60">
        <w:rPr>
          <w:noProof/>
        </w:rPr>
        <w:drawing>
          <wp:inline distT="0" distB="0" distL="0" distR="0">
            <wp:extent cx="3771900" cy="2466975"/>
            <wp:effectExtent l="0" t="0" r="0" b="0"/>
            <wp:docPr id="1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CF774E" w:rsidRDefault="00CF774E" w:rsidP="001C48ED">
      <w:pPr>
        <w:pStyle w:val="Normaltindrag"/>
        <w:suppressAutoHyphens/>
        <w:spacing w:before="62" w:line="170" w:lineRule="exact"/>
        <w:ind w:firstLine="0"/>
        <w:rPr>
          <w:sz w:val="17"/>
          <w:szCs w:val="17"/>
        </w:rPr>
      </w:pPr>
      <w:r w:rsidRPr="00DD55A0">
        <w:rPr>
          <w:sz w:val="17"/>
          <w:szCs w:val="17"/>
        </w:rPr>
        <w:t xml:space="preserve">Anm. </w:t>
      </w:r>
      <w:r w:rsidR="00611AAC">
        <w:rPr>
          <w:sz w:val="17"/>
          <w:szCs w:val="17"/>
        </w:rPr>
        <w:t xml:space="preserve">Notera att </w:t>
      </w:r>
      <w:r w:rsidR="00DE1C2E">
        <w:rPr>
          <w:sz w:val="17"/>
          <w:szCs w:val="17"/>
        </w:rPr>
        <w:t xml:space="preserve">data har samlats in under olika år för olika länder. </w:t>
      </w:r>
      <w:r w:rsidRPr="00DD55A0">
        <w:rPr>
          <w:sz w:val="17"/>
          <w:szCs w:val="17"/>
        </w:rPr>
        <w:t>Australien, Danmark, Kanada och euroområdet är från 2013. För Japan och Schweiz från 2011 och för Sverige från andra kvartalet 2014. Data för övriga länder är från 2012. Data för Austr</w:t>
      </w:r>
      <w:r w:rsidRPr="00DD55A0">
        <w:rPr>
          <w:sz w:val="17"/>
          <w:szCs w:val="17"/>
        </w:rPr>
        <w:t>a</w:t>
      </w:r>
      <w:r w:rsidRPr="00DD55A0">
        <w:rPr>
          <w:sz w:val="17"/>
          <w:szCs w:val="17"/>
        </w:rPr>
        <w:t>lien, Japan, Kanada, Schweiz och USA kommer från OECD eller na</w:t>
      </w:r>
      <w:r>
        <w:rPr>
          <w:sz w:val="17"/>
          <w:szCs w:val="17"/>
        </w:rPr>
        <w:t>tionella statisti</w:t>
      </w:r>
      <w:r>
        <w:rPr>
          <w:sz w:val="17"/>
          <w:szCs w:val="17"/>
        </w:rPr>
        <w:t>k</w:t>
      </w:r>
      <w:r>
        <w:rPr>
          <w:sz w:val="17"/>
          <w:szCs w:val="17"/>
        </w:rPr>
        <w:t xml:space="preserve">myndigheter. </w:t>
      </w:r>
      <w:r w:rsidRPr="00DD55A0">
        <w:rPr>
          <w:sz w:val="17"/>
          <w:szCs w:val="17"/>
        </w:rPr>
        <w:t>För övriga länder kommer siffrorna från Eurostat. I Eurostats data up</w:t>
      </w:r>
      <w:r w:rsidRPr="00DD55A0">
        <w:rPr>
          <w:sz w:val="17"/>
          <w:szCs w:val="17"/>
        </w:rPr>
        <w:t>p</w:t>
      </w:r>
      <w:r w:rsidRPr="00DD55A0">
        <w:rPr>
          <w:sz w:val="17"/>
          <w:szCs w:val="17"/>
        </w:rPr>
        <w:t>g</w:t>
      </w:r>
      <w:r>
        <w:rPr>
          <w:sz w:val="17"/>
          <w:szCs w:val="17"/>
        </w:rPr>
        <w:t>ick</w:t>
      </w:r>
      <w:r w:rsidRPr="00DD55A0">
        <w:rPr>
          <w:sz w:val="17"/>
          <w:szCs w:val="17"/>
        </w:rPr>
        <w:t xml:space="preserve"> skuldkvoten i Sverige till 150 procent 2013.</w:t>
      </w:r>
    </w:p>
    <w:p w:rsidR="00CF774E" w:rsidRPr="00DD55A0" w:rsidRDefault="00CF774E" w:rsidP="00CF774E">
      <w:pPr>
        <w:pStyle w:val="Normaltindrag"/>
        <w:spacing w:before="62" w:line="170" w:lineRule="exact"/>
        <w:ind w:firstLine="0"/>
        <w:rPr>
          <w:sz w:val="17"/>
          <w:szCs w:val="17"/>
        </w:rPr>
      </w:pPr>
      <w:r>
        <w:rPr>
          <w:sz w:val="17"/>
          <w:szCs w:val="17"/>
        </w:rPr>
        <w:t>Källor: Eurostat, OECD, Riksbanken och nationella statistikmyndigheter.</w:t>
      </w:r>
    </w:p>
    <w:p w:rsidR="00CF774E" w:rsidRPr="00CF774E" w:rsidRDefault="00CF774E" w:rsidP="00CF774E">
      <w:pPr>
        <w:pStyle w:val="Fotnotstextindrag"/>
      </w:pPr>
    </w:p>
    <w:p w:rsidR="006E15A9" w:rsidRDefault="00182868" w:rsidP="00CF774E">
      <w:pPr>
        <w:pStyle w:val="Normaltindrag"/>
        <w:suppressAutoHyphens/>
        <w:spacing w:before="62"/>
        <w:ind w:firstLine="0"/>
      </w:pPr>
      <w:r>
        <w:t xml:space="preserve">Historiska erfarenheter visar att finansiella kriser ofta har föregåtts av snabb tillväxt i krediter och fastighetspriser. </w:t>
      </w:r>
      <w:r w:rsidR="00D86B41">
        <w:t xml:space="preserve">Om </w:t>
      </w:r>
      <w:r w:rsidR="00A41A92">
        <w:t xml:space="preserve">det uppstår </w:t>
      </w:r>
      <w:r w:rsidR="0015617A">
        <w:t xml:space="preserve">en störning som </w:t>
      </w:r>
      <w:r w:rsidR="00F52F18">
        <w:t>exempelvis</w:t>
      </w:r>
      <w:r w:rsidR="0015617A">
        <w:t xml:space="preserve"> påverkar hushållens inkomster, ränteutgifter eller värdet på deras bostäder, kan deras konsumtion minska till följd av att fler väljer att spara </w:t>
      </w:r>
      <w:r w:rsidR="00D86B41">
        <w:t>och amortera på sina sku</w:t>
      </w:r>
      <w:r w:rsidR="00086791">
        <w:t>lder.</w:t>
      </w:r>
      <w:r w:rsidR="0015617A">
        <w:t xml:space="preserve"> Ju högre skulder</w:t>
      </w:r>
      <w:r w:rsidR="00E76AC7">
        <w:t>na</w:t>
      </w:r>
      <w:r w:rsidR="00733161">
        <w:t xml:space="preserve"> är, desto större kan dessa effek</w:t>
      </w:r>
      <w:r w:rsidR="00C92110">
        <w:softHyphen/>
      </w:r>
      <w:r w:rsidR="00733161">
        <w:t>ter bli.</w:t>
      </w:r>
      <w:r w:rsidR="00D86B41">
        <w:t xml:space="preserve"> Som en följd skulle efterfrågan i ekonomin kunna </w:t>
      </w:r>
      <w:r w:rsidR="0063411C">
        <w:t>försvagas</w:t>
      </w:r>
      <w:r w:rsidR="00953836">
        <w:t>,</w:t>
      </w:r>
      <w:r w:rsidR="001053A9">
        <w:t xml:space="preserve"> vilket i</w:t>
      </w:r>
      <w:r w:rsidR="00D86B41">
        <w:t xml:space="preserve"> sin tur skulle kunna påverka den realekonomiska</w:t>
      </w:r>
      <w:r w:rsidR="00733161">
        <w:t xml:space="preserve"> utvecklingen</w:t>
      </w:r>
      <w:r w:rsidR="00D86B41">
        <w:t xml:space="preserve">. </w:t>
      </w:r>
      <w:r w:rsidR="007547B2">
        <w:t>Det skulle även kunna medföra att</w:t>
      </w:r>
      <w:r w:rsidR="00D86B41">
        <w:t xml:space="preserve"> kreditförlusterna på banke</w:t>
      </w:r>
      <w:r w:rsidR="00D86B41">
        <w:t>r</w:t>
      </w:r>
      <w:r w:rsidR="00D86B41">
        <w:t>nas utlåning till före</w:t>
      </w:r>
      <w:r w:rsidR="007547B2">
        <w:t xml:space="preserve">tag </w:t>
      </w:r>
      <w:r w:rsidR="00D86B41">
        <w:t>öka</w:t>
      </w:r>
      <w:r w:rsidR="007547B2">
        <w:t>de</w:t>
      </w:r>
      <w:r w:rsidR="00D86B41">
        <w:t xml:space="preserve">. Därmed skulle </w:t>
      </w:r>
      <w:r w:rsidR="00733161">
        <w:t>också</w:t>
      </w:r>
      <w:r w:rsidR="00D86B41">
        <w:t xml:space="preserve"> den finansiella stabiliteten</w:t>
      </w:r>
      <w:r w:rsidR="00733161">
        <w:t xml:space="preserve"> kunna påverkas</w:t>
      </w:r>
      <w:r w:rsidR="00D86B41">
        <w:t>. Riksbanken bedömde att de direkta kreditförlusterna på bankernas utlåning till hushållen</w:t>
      </w:r>
      <w:r w:rsidR="00086791">
        <w:t xml:space="preserve"> i sådana fall</w:t>
      </w:r>
      <w:r w:rsidR="007547B2">
        <w:t xml:space="preserve"> sannolikt</w:t>
      </w:r>
      <w:r w:rsidR="00086791">
        <w:t xml:space="preserve"> skulle bli små. D</w:t>
      </w:r>
      <w:r w:rsidR="00D86B41">
        <w:t>äremot kunde</w:t>
      </w:r>
      <w:r w:rsidR="007547B2">
        <w:t xml:space="preserve"> förtroen</w:t>
      </w:r>
      <w:r w:rsidR="00C92110">
        <w:softHyphen/>
      </w:r>
      <w:r w:rsidR="007547B2">
        <w:t>det för det svenska banksystemet försämras om bostad</w:t>
      </w:r>
      <w:r w:rsidR="007547B2">
        <w:t>s</w:t>
      </w:r>
      <w:r w:rsidR="007547B2">
        <w:t xml:space="preserve">priserna föll, vilket skulle kunna medföra </w:t>
      </w:r>
      <w:r w:rsidR="00D86B41">
        <w:t xml:space="preserve">att bankernas finansiering blev både dyrare och mer svårtillgänglig. På så sätt skulle den finansiella stabiliteten </w:t>
      </w:r>
      <w:r w:rsidR="00733161">
        <w:t xml:space="preserve">också </w:t>
      </w:r>
      <w:r w:rsidR="00D86B41">
        <w:t>kunna påverkas direkt.</w:t>
      </w:r>
    </w:p>
    <w:p w:rsidR="00D86B41" w:rsidRPr="00F96E28" w:rsidRDefault="00D86B41" w:rsidP="00F96E28">
      <w:pPr>
        <w:pStyle w:val="R3"/>
        <w:rPr>
          <w:szCs w:val="21"/>
        </w:rPr>
      </w:pPr>
      <w:r w:rsidRPr="007D04F8">
        <w:rPr>
          <w:szCs w:val="21"/>
        </w:rPr>
        <w:t>R</w:t>
      </w:r>
      <w:r w:rsidR="0060086C" w:rsidRPr="007D04F8">
        <w:rPr>
          <w:szCs w:val="21"/>
        </w:rPr>
        <w:t>iksbankens r</w:t>
      </w:r>
      <w:r w:rsidRPr="007D04F8">
        <w:rPr>
          <w:szCs w:val="21"/>
        </w:rPr>
        <w:t>ekommendationer</w:t>
      </w:r>
      <w:r w:rsidR="004F4F54" w:rsidRPr="007D04F8">
        <w:rPr>
          <w:szCs w:val="21"/>
        </w:rPr>
        <w:t xml:space="preserve"> </w:t>
      </w:r>
    </w:p>
    <w:p w:rsidR="00D86B41" w:rsidRDefault="00D86B41" w:rsidP="006464C4">
      <w:r>
        <w:t xml:space="preserve">Under de senaste åren har flera åtgärder vidtagits för att öka motståndskraften i det svenska finansiella systemet och minska riskerna som kan hota den finansiella stabiliteten. </w:t>
      </w:r>
      <w:r w:rsidR="00086791">
        <w:t>Men eftersom åtskilliga</w:t>
      </w:r>
      <w:r>
        <w:t xml:space="preserve"> risker alltjämt kvarstod</w:t>
      </w:r>
      <w:r w:rsidR="003E6AED">
        <w:t xml:space="preserve"> </w:t>
      </w:r>
      <w:r>
        <w:t xml:space="preserve">ansåg Riksbanken att det behövdes ytterligare åtgärder. Riksbanken lämnade därför ett antal nya rekommendationer: </w:t>
      </w:r>
    </w:p>
    <w:p w:rsidR="004859CF" w:rsidRDefault="00D86B41" w:rsidP="004859CF">
      <w:pPr>
        <w:pStyle w:val="Normaltindrag"/>
      </w:pPr>
      <w:r>
        <w:t xml:space="preserve">Riksbanken ansåg </w:t>
      </w:r>
      <w:r w:rsidR="004859CF">
        <w:t xml:space="preserve">under våren 2014 </w:t>
      </w:r>
      <w:r>
        <w:t>att Finansinspektionen borde se till att sunda miniminivåer infördes på de schablonvärden som bankerna använder i sina kvar-att-leva-på-kalkyler, som är en del i deras kreditprövning till hu</w:t>
      </w:r>
      <w:r>
        <w:t>s</w:t>
      </w:r>
      <w:r>
        <w:t xml:space="preserve">håll. </w:t>
      </w:r>
      <w:r w:rsidR="00086791">
        <w:t>Skillnaden mellan bankernas</w:t>
      </w:r>
      <w:r>
        <w:t xml:space="preserve"> schablonvärden </w:t>
      </w:r>
      <w:r w:rsidR="00086791">
        <w:t>är stor</w:t>
      </w:r>
      <w:r>
        <w:t xml:space="preserve">. Detta medför att bankernas bedömningar av låntagarnas ekonomiska marginaler och därmed </w:t>
      </w:r>
      <w:r w:rsidR="00086791">
        <w:t>deras</w:t>
      </w:r>
      <w:r>
        <w:t xml:space="preserve"> förmåga att bära skuld </w:t>
      </w:r>
      <w:r w:rsidR="000B4317">
        <w:t xml:space="preserve">skulle </w:t>
      </w:r>
      <w:r>
        <w:t xml:space="preserve">kunna skilja sig åt mellan bankerna. Att sätta sunda miniminivåer på schablonvärdena </w:t>
      </w:r>
      <w:r w:rsidR="00086791">
        <w:t xml:space="preserve">skulle kunna </w:t>
      </w:r>
      <w:r>
        <w:t>bidra till att man på sikt mot</w:t>
      </w:r>
      <w:r w:rsidR="00086791">
        <w:t xml:space="preserve">verkar de </w:t>
      </w:r>
      <w:r>
        <w:t>risker</w:t>
      </w:r>
      <w:r w:rsidR="00086791">
        <w:t xml:space="preserve"> </w:t>
      </w:r>
      <w:r>
        <w:t>som är relaterade till höga skulder i hushålls</w:t>
      </w:r>
      <w:r w:rsidR="007E2512">
        <w:softHyphen/>
      </w:r>
      <w:r>
        <w:t>se</w:t>
      </w:r>
      <w:r>
        <w:t>k</w:t>
      </w:r>
      <w:r>
        <w:t xml:space="preserve">torn. </w:t>
      </w:r>
    </w:p>
    <w:p w:rsidR="004859CF" w:rsidRDefault="004859CF" w:rsidP="004859CF">
      <w:pPr>
        <w:pStyle w:val="Normaltindrag"/>
      </w:pPr>
      <w:r>
        <w:t>Riksbanken rekommenderade också Finansinspektionen att börja tillämpa den kontracykliska kapitalbufferten så snart som möjligt i syfte att öka ba</w:t>
      </w:r>
      <w:r>
        <w:t>n</w:t>
      </w:r>
      <w:r>
        <w:t xml:space="preserve">kernas motståndskraft och att inledningsvis fastställa buffertvärdet till 2,5 procent. Vidare rekommenderade Riksbanken Finansinspektionen att utöka kraven på likviditetstäckningsgrad </w:t>
      </w:r>
      <w:r w:rsidR="006B4BFF">
        <w:t>(</w:t>
      </w:r>
      <w:r>
        <w:t>Liquidity Coverage Ratio</w:t>
      </w:r>
      <w:r w:rsidR="006B4BFF">
        <w:t xml:space="preserve">, </w:t>
      </w:r>
      <w:r>
        <w:t>LCR) till att också omfatta svenska kronor. Kravet borde ställas till 60 procent.</w:t>
      </w:r>
    </w:p>
    <w:p w:rsidR="005A69DB" w:rsidRDefault="005A69DB" w:rsidP="00C92110">
      <w:pPr>
        <w:pStyle w:val="Normaltindrag"/>
        <w:suppressAutoHyphens/>
      </w:pPr>
      <w:r>
        <w:t xml:space="preserve">Riksbanken </w:t>
      </w:r>
      <w:r w:rsidR="004859CF">
        <w:t xml:space="preserve">rekommenderade under hösten 2014 </w:t>
      </w:r>
      <w:r>
        <w:t xml:space="preserve">Finansinspektionen </w:t>
      </w:r>
      <w:r w:rsidR="004859CF">
        <w:t>att</w:t>
      </w:r>
      <w:r>
        <w:t xml:space="preserve"> införa ett amorteringskrav på nya bolån för att motverka riskerna med de svenska hushållens höga och växande skuldsättning. Riksbanken ansåg att kravet borde införas som ett allmänt råd och att det var viktigt att frekvent utvärdera </w:t>
      </w:r>
      <w:r w:rsidR="00086791">
        <w:t>vilka</w:t>
      </w:r>
      <w:r>
        <w:t xml:space="preserve"> effekter som kravet hade på hushållens skuldsättning. Riksbanken påpekade också att kravet behövde kompletteras med ytterligare å</w:t>
      </w:r>
      <w:r w:rsidR="006B4BFF">
        <w:t>t</w:t>
      </w:r>
      <w:r>
        <w:t xml:space="preserve">gärder för att dämpa hushållens efterfrågan på krediter, då det var sannolikt att kravet </w:t>
      </w:r>
      <w:r w:rsidR="00B037CB">
        <w:t xml:space="preserve">ensamt </w:t>
      </w:r>
      <w:r>
        <w:t xml:space="preserve">inte skulle ge </w:t>
      </w:r>
      <w:r w:rsidR="00B037CB">
        <w:t>tillräcklig</w:t>
      </w:r>
      <w:r>
        <w:t xml:space="preserve"> effekt på hushållens skuldkvot. </w:t>
      </w:r>
      <w:r w:rsidR="004859CF">
        <w:t>Sådana åtgärder</w:t>
      </w:r>
      <w:r w:rsidR="00EC3E05">
        <w:t>,</w:t>
      </w:r>
      <w:r w:rsidR="004859CF">
        <w:t xml:space="preserve"> </w:t>
      </w:r>
      <w:r w:rsidR="00EC3E05">
        <w:t xml:space="preserve">som behöver införas gradvis under en längre tidsperiod, </w:t>
      </w:r>
      <w:r w:rsidR="004859CF">
        <w:t>kan beröra flera politikområden.</w:t>
      </w:r>
    </w:p>
    <w:p w:rsidR="004271BA" w:rsidRPr="00641888" w:rsidRDefault="004271BA" w:rsidP="001C48ED">
      <w:pPr>
        <w:pStyle w:val="Normaltindrag"/>
        <w:suppressAutoHyphens/>
        <w:rPr>
          <w:color w:val="000000"/>
        </w:rPr>
      </w:pPr>
      <w:r w:rsidRPr="00641888">
        <w:rPr>
          <w:color w:val="000000"/>
        </w:rPr>
        <w:t>Riks</w:t>
      </w:r>
      <w:r w:rsidR="004F4F54" w:rsidRPr="00641888">
        <w:rPr>
          <w:color w:val="000000"/>
        </w:rPr>
        <w:t xml:space="preserve">banken rekommenderade också </w:t>
      </w:r>
      <w:r w:rsidRPr="00641888">
        <w:rPr>
          <w:color w:val="000000"/>
        </w:rPr>
        <w:t>Finansinspektionen att införa ett bruttosoliditetskrav för de s</w:t>
      </w:r>
      <w:r w:rsidR="00086791" w:rsidRPr="00641888">
        <w:rPr>
          <w:color w:val="000000"/>
        </w:rPr>
        <w:t>venska storbankerna</w:t>
      </w:r>
      <w:r w:rsidRPr="00641888">
        <w:rPr>
          <w:color w:val="000000"/>
        </w:rPr>
        <w:t>. Riksbanken ansåg att banker</w:t>
      </w:r>
      <w:r w:rsidR="00086791" w:rsidRPr="00641888">
        <w:rPr>
          <w:color w:val="000000"/>
        </w:rPr>
        <w:t>nas bruttosoliditet skulle</w:t>
      </w:r>
      <w:r w:rsidRPr="00641888">
        <w:rPr>
          <w:color w:val="000000"/>
        </w:rPr>
        <w:t xml:space="preserve"> uppgå till 4 procent </w:t>
      </w:r>
      <w:r w:rsidR="004F4F54" w:rsidRPr="00641888">
        <w:rPr>
          <w:color w:val="000000"/>
        </w:rPr>
        <w:t xml:space="preserve">från </w:t>
      </w:r>
      <w:r w:rsidRPr="00641888">
        <w:rPr>
          <w:color w:val="000000"/>
        </w:rPr>
        <w:t xml:space="preserve">januari 2016 och </w:t>
      </w:r>
      <w:r w:rsidR="00B325A7" w:rsidRPr="00641888">
        <w:rPr>
          <w:color w:val="000000"/>
        </w:rPr>
        <w:t xml:space="preserve">till </w:t>
      </w:r>
      <w:r w:rsidRPr="00641888">
        <w:rPr>
          <w:color w:val="000000"/>
        </w:rPr>
        <w:t xml:space="preserve">5 procent från januari 2018. </w:t>
      </w:r>
      <w:r w:rsidR="0086674B" w:rsidRPr="00641888">
        <w:rPr>
          <w:color w:val="000000"/>
        </w:rPr>
        <w:t>En analys av de senaste årens utveckling visar att de sven</w:t>
      </w:r>
      <w:r w:rsidR="0086674B" w:rsidRPr="00641888">
        <w:rPr>
          <w:color w:val="000000"/>
        </w:rPr>
        <w:t>s</w:t>
      </w:r>
      <w:r w:rsidR="0086674B" w:rsidRPr="00641888">
        <w:rPr>
          <w:color w:val="000000"/>
        </w:rPr>
        <w:t xml:space="preserve">ka bankernas </w:t>
      </w:r>
      <w:r w:rsidR="00615237" w:rsidRPr="00641888">
        <w:rPr>
          <w:color w:val="000000"/>
        </w:rPr>
        <w:t>kärnprimär</w:t>
      </w:r>
      <w:r w:rsidR="0086674B" w:rsidRPr="00641888">
        <w:rPr>
          <w:color w:val="000000"/>
        </w:rPr>
        <w:t xml:space="preserve">kapital i förhållande till </w:t>
      </w:r>
      <w:r w:rsidR="00615237" w:rsidRPr="00641888">
        <w:rPr>
          <w:color w:val="000000"/>
        </w:rPr>
        <w:t>riskvägda</w:t>
      </w:r>
      <w:r w:rsidR="0086674B" w:rsidRPr="00641888">
        <w:rPr>
          <w:color w:val="000000"/>
        </w:rPr>
        <w:t xml:space="preserve"> tillgångar har ökat, medan </w:t>
      </w:r>
      <w:r w:rsidR="00615237" w:rsidRPr="00641888">
        <w:rPr>
          <w:color w:val="000000"/>
        </w:rPr>
        <w:t>kärn</w:t>
      </w:r>
      <w:r w:rsidR="00FB6E97" w:rsidRPr="00641888">
        <w:rPr>
          <w:color w:val="000000"/>
        </w:rPr>
        <w:t>primär</w:t>
      </w:r>
      <w:r w:rsidR="00615237" w:rsidRPr="00641888">
        <w:rPr>
          <w:color w:val="000000"/>
        </w:rPr>
        <w:t xml:space="preserve">kapitalet i förhållande till totala tillgångar i stort </w:t>
      </w:r>
      <w:r w:rsidR="0086674B" w:rsidRPr="00641888">
        <w:rPr>
          <w:color w:val="000000"/>
        </w:rPr>
        <w:t>har varit oförändrad (se diagram 1</w:t>
      </w:r>
      <w:r w:rsidR="007B2FE6">
        <w:rPr>
          <w:color w:val="000000"/>
        </w:rPr>
        <w:t>4</w:t>
      </w:r>
      <w:r w:rsidR="0086674B" w:rsidRPr="00641888">
        <w:rPr>
          <w:color w:val="000000"/>
        </w:rPr>
        <w:t>).</w:t>
      </w:r>
      <w:r w:rsidR="00FF2302" w:rsidRPr="00641888">
        <w:rPr>
          <w:color w:val="000000"/>
        </w:rPr>
        <w:t xml:space="preserve"> </w:t>
      </w:r>
      <w:r w:rsidRPr="00641888">
        <w:rPr>
          <w:color w:val="000000"/>
        </w:rPr>
        <w:t>Ett bruttosoliditetskrav hanterar risken att bankernas riskvikter inte speglar den faktiska risken på ett tillfredsställande sätt</w:t>
      </w:r>
      <w:r w:rsidR="0086674B" w:rsidRPr="00641888">
        <w:rPr>
          <w:color w:val="000000"/>
        </w:rPr>
        <w:t>, och är således ett viktigt komplement till de befintliga kapitalkraven</w:t>
      </w:r>
      <w:r w:rsidR="00E04674" w:rsidRPr="00641888">
        <w:rPr>
          <w:color w:val="000000"/>
        </w:rPr>
        <w:t>. Kravet</w:t>
      </w:r>
      <w:r w:rsidRPr="00641888">
        <w:rPr>
          <w:color w:val="000000"/>
        </w:rPr>
        <w:t xml:space="preserve"> kan </w:t>
      </w:r>
      <w:r w:rsidR="00086791" w:rsidRPr="00641888">
        <w:rPr>
          <w:color w:val="000000"/>
        </w:rPr>
        <w:t>också</w:t>
      </w:r>
      <w:r w:rsidRPr="00641888">
        <w:rPr>
          <w:color w:val="000000"/>
        </w:rPr>
        <w:t xml:space="preserve"> minska risken för en osund utlåningstillväxt genom att sätta en gräns för hur mycket bankerna kan expandera sina balansräkningar utan att kapitalet också ökar</w:t>
      </w:r>
      <w:r w:rsidR="00E04674" w:rsidRPr="00641888">
        <w:rPr>
          <w:color w:val="000000"/>
        </w:rPr>
        <w:t>.</w:t>
      </w:r>
      <w:r w:rsidRPr="00641888">
        <w:rPr>
          <w:color w:val="000000"/>
        </w:rPr>
        <w:t xml:space="preserve"> Genom ett bruttosoliditetskrav ökar man </w:t>
      </w:r>
      <w:r w:rsidR="00086791" w:rsidRPr="00641888">
        <w:rPr>
          <w:color w:val="000000"/>
        </w:rPr>
        <w:t xml:space="preserve">därmed </w:t>
      </w:r>
      <w:r w:rsidRPr="00641888">
        <w:rPr>
          <w:color w:val="000000"/>
        </w:rPr>
        <w:t>mo</w:t>
      </w:r>
      <w:r w:rsidRPr="00641888">
        <w:rPr>
          <w:color w:val="000000"/>
        </w:rPr>
        <w:t>t</w:t>
      </w:r>
      <w:r w:rsidRPr="00641888">
        <w:rPr>
          <w:color w:val="000000"/>
        </w:rPr>
        <w:t xml:space="preserve">ståndskraften i det svenska banksystemet. </w:t>
      </w:r>
    </w:p>
    <w:p w:rsidR="0086674B" w:rsidRPr="00641888" w:rsidRDefault="0086674B" w:rsidP="00676B26">
      <w:pPr>
        <w:pStyle w:val="Diagramrubrik"/>
        <w:rPr>
          <w:color w:val="000000"/>
        </w:rPr>
      </w:pPr>
      <w:r w:rsidRPr="00641888">
        <w:rPr>
          <w:color w:val="000000"/>
        </w:rPr>
        <w:t>Diagram 1</w:t>
      </w:r>
      <w:r w:rsidR="007B2FE6">
        <w:rPr>
          <w:color w:val="000000"/>
        </w:rPr>
        <w:t>4</w:t>
      </w:r>
      <w:r w:rsidRPr="00641888">
        <w:rPr>
          <w:color w:val="000000"/>
        </w:rPr>
        <w:t xml:space="preserve">. De svenska storbankernas kärnprimärkapitalrelationer och </w:t>
      </w:r>
      <w:r w:rsidR="00615237" w:rsidRPr="00641888">
        <w:rPr>
          <w:color w:val="000000"/>
        </w:rPr>
        <w:t>kärnprimär</w:t>
      </w:r>
      <w:r w:rsidRPr="00641888">
        <w:rPr>
          <w:color w:val="000000"/>
        </w:rPr>
        <w:t>kapital i förhållande till totala tillgångar, procent</w:t>
      </w:r>
    </w:p>
    <w:p w:rsidR="000A7617" w:rsidRPr="000A7617" w:rsidRDefault="00A12E15" w:rsidP="000A7617">
      <w:pPr>
        <w:pStyle w:val="Normaltindrag"/>
        <w:spacing w:before="62"/>
        <w:ind w:firstLine="0"/>
      </w:pPr>
      <w:r w:rsidRPr="008C311F">
        <w:rPr>
          <w:noProof/>
        </w:rPr>
        <w:drawing>
          <wp:inline distT="0" distB="0" distL="0" distR="0">
            <wp:extent cx="3771900" cy="246697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rsidR="0086674B" w:rsidRPr="0004562C" w:rsidRDefault="0086674B" w:rsidP="006464C4">
      <w:pPr>
        <w:pStyle w:val="Fotnotstext"/>
        <w:rPr>
          <w:szCs w:val="17"/>
        </w:rPr>
      </w:pPr>
      <w:r w:rsidRPr="001B1F69">
        <w:t xml:space="preserve">Källor: </w:t>
      </w:r>
      <w:r>
        <w:rPr>
          <w:szCs w:val="17"/>
        </w:rPr>
        <w:t>Bankernas resultatrapporter.</w:t>
      </w:r>
    </w:p>
    <w:p w:rsidR="00D86B41" w:rsidRPr="000B4317" w:rsidRDefault="00D86B41" w:rsidP="000B4317">
      <w:pPr>
        <w:pStyle w:val="R3"/>
      </w:pPr>
      <w:r w:rsidRPr="000B4317">
        <w:t>Internationellt arbete för att stärka det finansiella systemet</w:t>
      </w:r>
    </w:p>
    <w:p w:rsidR="00D86B41" w:rsidRDefault="00D86B41" w:rsidP="006464C4">
      <w:r>
        <w:t xml:space="preserve">Svenska banker och finansiella institut regleras av lagar som </w:t>
      </w:r>
      <w:r w:rsidR="00CE0991">
        <w:t>bygger på rege</w:t>
      </w:r>
      <w:r w:rsidR="00CE0991">
        <w:t>l</w:t>
      </w:r>
      <w:r w:rsidR="00CE0991">
        <w:t xml:space="preserve">verk som i stor utsträckning </w:t>
      </w:r>
      <w:r>
        <w:t xml:space="preserve">utformas på </w:t>
      </w:r>
      <w:r w:rsidR="00D035FF">
        <w:t>global nivå, i första hand i Base</w:t>
      </w:r>
      <w:r w:rsidR="00D035FF">
        <w:t>l</w:t>
      </w:r>
      <w:r w:rsidR="00D035FF">
        <w:t xml:space="preserve">kommittén och i det globala rådet för finansiell stabilitet (FSB). </w:t>
      </w:r>
      <w:r>
        <w:t>En viktig del av Riksbankens arbete med finansiell stabilitet är därför att i olika interna</w:t>
      </w:r>
      <w:r w:rsidR="00C92110">
        <w:softHyphen/>
      </w:r>
      <w:r>
        <w:t>t</w:t>
      </w:r>
      <w:r>
        <w:t>ionella for</w:t>
      </w:r>
      <w:r w:rsidR="00CB1E95">
        <w:t>um</w:t>
      </w:r>
      <w:r>
        <w:t xml:space="preserve"> påverka utformningen av finansiella regelverk och finansiell tillsyn. Riksbanken deltog i diskussioner </w:t>
      </w:r>
      <w:r w:rsidR="00B40C2B">
        <w:t xml:space="preserve">och beslut </w:t>
      </w:r>
      <w:r w:rsidR="00CB1E95">
        <w:t>om utfor</w:t>
      </w:r>
      <w:r w:rsidR="00CB1E95">
        <w:t>m</w:t>
      </w:r>
      <w:r w:rsidR="00CB1E95">
        <w:t xml:space="preserve">ningen av såväl regelverk som tillsyn </w:t>
      </w:r>
      <w:r>
        <w:t xml:space="preserve">på både EU-nivå och internationell nivå, till exempel i </w:t>
      </w:r>
      <w:r w:rsidR="00D035FF">
        <w:t xml:space="preserve">Baselkommittén, FSB och </w:t>
      </w:r>
      <w:r w:rsidR="00C554D6" w:rsidRPr="004E5825">
        <w:t>Bank for International Settl</w:t>
      </w:r>
      <w:r w:rsidR="00C554D6" w:rsidRPr="004E5825">
        <w:t>e</w:t>
      </w:r>
      <w:r w:rsidR="00C554D6" w:rsidRPr="004E5825">
        <w:t xml:space="preserve">ments </w:t>
      </w:r>
      <w:r w:rsidR="00C554D6">
        <w:t>(</w:t>
      </w:r>
      <w:r>
        <w:t>BIS</w:t>
      </w:r>
      <w:r w:rsidR="00C554D6">
        <w:t>)</w:t>
      </w:r>
      <w:r w:rsidR="00CB1E95">
        <w:t xml:space="preserve">. </w:t>
      </w:r>
    </w:p>
    <w:p w:rsidR="00D86B41" w:rsidRPr="00C521E6" w:rsidRDefault="00D86B41" w:rsidP="00D45F68">
      <w:pPr>
        <w:pStyle w:val="R4"/>
        <w:outlineLvl w:val="0"/>
        <w:rPr>
          <w:szCs w:val="21"/>
        </w:rPr>
      </w:pPr>
      <w:r w:rsidRPr="00C521E6">
        <w:rPr>
          <w:szCs w:val="21"/>
        </w:rPr>
        <w:t xml:space="preserve">Internationellt samarbete </w:t>
      </w:r>
    </w:p>
    <w:p w:rsidR="00D86B41" w:rsidRDefault="00D035FF" w:rsidP="006464C4">
      <w:r w:rsidRPr="00D035FF">
        <w:t>Baselkommittén färdigställde under året huvuddelarna i det så kallade Basel III-paketet av bankregleringar. Riksbanken deltog aktivt i arbete</w:t>
      </w:r>
      <w:r w:rsidR="002E1C31">
        <w:t>t,</w:t>
      </w:r>
      <w:r w:rsidRPr="00D035FF">
        <w:t xml:space="preserve"> inte minst genom att riksbankschefen Stefan Ingves är ordförande i Baselkommittén. Under 2014 nåddes en överenskommelse om de</w:t>
      </w:r>
      <w:r w:rsidR="0047459D">
        <w:t>n</w:t>
      </w:r>
      <w:r w:rsidRPr="00D035FF">
        <w:t xml:space="preserve"> strukturella likviditets</w:t>
      </w:r>
      <w:r w:rsidR="00C92110">
        <w:softHyphen/>
      </w:r>
      <w:r w:rsidR="0047459D">
        <w:t>kvoten</w:t>
      </w:r>
      <w:r w:rsidRPr="00D035FF">
        <w:t xml:space="preserve"> (Net Stable Funding Ratio</w:t>
      </w:r>
      <w:r w:rsidR="00C345ED">
        <w:t>,</w:t>
      </w:r>
      <w:r w:rsidRPr="00D035FF">
        <w:t xml:space="preserve"> NSFR) </w:t>
      </w:r>
      <w:r w:rsidR="00CB1E95">
        <w:t>och</w:t>
      </w:r>
      <w:r w:rsidRPr="00D035FF">
        <w:t xml:space="preserve"> om definitionen av bruttosol</w:t>
      </w:r>
      <w:r w:rsidRPr="00D035FF">
        <w:t>i</w:t>
      </w:r>
      <w:r w:rsidRPr="00D035FF">
        <w:t xml:space="preserve">ditet. Dessutom </w:t>
      </w:r>
      <w:r w:rsidR="00CB1E95">
        <w:t>arbetade</w:t>
      </w:r>
      <w:r w:rsidRPr="00D035FF">
        <w:t xml:space="preserve"> Baselkommittén under året vidare med att ta fram nya </w:t>
      </w:r>
      <w:r w:rsidR="007817B0">
        <w:t>standarder</w:t>
      </w:r>
      <w:r w:rsidR="00F52F18">
        <w:t>,</w:t>
      </w:r>
      <w:r w:rsidRPr="00D035FF">
        <w:t xml:space="preserve"> bland annat för bankers exponeringar i handelslagret, för sta</w:t>
      </w:r>
      <w:r w:rsidRPr="00D035FF">
        <w:t>n</w:t>
      </w:r>
      <w:r w:rsidRPr="00D035FF">
        <w:t>dardmodeller för kreditrisk, för ränterisker i bankboken, för golv för kapita</w:t>
      </w:r>
      <w:r w:rsidRPr="00D035FF">
        <w:t>l</w:t>
      </w:r>
      <w:r w:rsidRPr="00D035FF">
        <w:t>täckningen</w:t>
      </w:r>
      <w:r w:rsidR="007A7303">
        <w:t xml:space="preserve"> och</w:t>
      </w:r>
      <w:r w:rsidRPr="00D035FF">
        <w:t xml:space="preserve"> för </w:t>
      </w:r>
      <w:r w:rsidR="00E03044">
        <w:t>offentliggörande av information</w:t>
      </w:r>
      <w:r w:rsidRPr="00D035FF">
        <w:t xml:space="preserve">. Inom alla dessa områden </w:t>
      </w:r>
      <w:r w:rsidR="00B81034">
        <w:t xml:space="preserve">deltog </w:t>
      </w:r>
      <w:r w:rsidRPr="00D035FF">
        <w:t>Riksbanken aktivt i framtagandet av regler som på sikt ko</w:t>
      </w:r>
      <w:r w:rsidRPr="00D035FF">
        <w:t>m</w:t>
      </w:r>
      <w:r w:rsidRPr="00D035FF">
        <w:t>mer att bli bindande för svenska banker.</w:t>
      </w:r>
    </w:p>
    <w:p w:rsidR="00AC1985" w:rsidRDefault="00D86B41" w:rsidP="00AC1985">
      <w:pPr>
        <w:pStyle w:val="Normaltindrag"/>
      </w:pPr>
      <w:r>
        <w:t>I CPMI (Committee on Payments and Market Infrastructures, tidigare CPSS) fortsatte arbetet med att utvärdera medlemsländerna</w:t>
      </w:r>
      <w:r w:rsidR="00B81034">
        <w:t>s</w:t>
      </w:r>
      <w:r>
        <w:t xml:space="preserve"> </w:t>
      </w:r>
      <w:r w:rsidR="00625F44">
        <w:t xml:space="preserve">genomförande </w:t>
      </w:r>
      <w:r w:rsidR="00B81034">
        <w:t>av</w:t>
      </w:r>
      <w:r>
        <w:t xml:space="preserve"> de nya globala krav</w:t>
      </w:r>
      <w:r w:rsidR="00A56B84">
        <w:t>en</w:t>
      </w:r>
      <w:r>
        <w:t xml:space="preserve"> </w:t>
      </w:r>
      <w:r w:rsidR="00B81034">
        <w:t>på</w:t>
      </w:r>
      <w:r>
        <w:t xml:space="preserve"> företag inom den fi</w:t>
      </w:r>
      <w:r w:rsidR="004578A4">
        <w:t>nansiella infr</w:t>
      </w:r>
      <w:r w:rsidR="004578A4">
        <w:t>a</w:t>
      </w:r>
      <w:r w:rsidR="004578A4">
        <w:t>strukturen, de så kallade</w:t>
      </w:r>
      <w:r>
        <w:t xml:space="preserve"> Principles for Financial Market Infrastructures</w:t>
      </w:r>
      <w:r w:rsidR="00A56B84">
        <w:t xml:space="preserve"> (</w:t>
      </w:r>
      <w:r>
        <w:t>PFMI</w:t>
      </w:r>
      <w:r w:rsidR="00E14C6C">
        <w:t>)</w:t>
      </w:r>
      <w:r>
        <w:t>, som public</w:t>
      </w:r>
      <w:r>
        <w:t>e</w:t>
      </w:r>
      <w:r>
        <w:t>rades i april 2012. Riksbanken deltog aktiv</w:t>
      </w:r>
      <w:r w:rsidR="00B81034">
        <w:t>t i detta a</w:t>
      </w:r>
      <w:r w:rsidR="00B81034">
        <w:t>r</w:t>
      </w:r>
      <w:r w:rsidR="00B81034">
        <w:t>bete</w:t>
      </w:r>
      <w:r>
        <w:t xml:space="preserve">. Utvärderingen görs i flera olika steg och under 2014 </w:t>
      </w:r>
      <w:r w:rsidR="00B81034">
        <w:t>undersöktes</w:t>
      </w:r>
      <w:r>
        <w:t xml:space="preserve"> dels </w:t>
      </w:r>
      <w:r w:rsidR="00E14C6C">
        <w:t>om</w:t>
      </w:r>
      <w:r>
        <w:t xml:space="preserve"> medlemsländerna har </w:t>
      </w:r>
      <w:r w:rsidR="00625F44">
        <w:t xml:space="preserve">genomfört </w:t>
      </w:r>
      <w:r>
        <w:t>P</w:t>
      </w:r>
      <w:r w:rsidR="00A56B84">
        <w:t>FMI</w:t>
      </w:r>
      <w:r>
        <w:t xml:space="preserve"> genom lagstiftning eller </w:t>
      </w:r>
      <w:r w:rsidR="00B81034">
        <w:t>på något</w:t>
      </w:r>
      <w:r>
        <w:t xml:space="preserve"> annat lämpligt sätt, dels </w:t>
      </w:r>
      <w:r w:rsidR="00C64DA5">
        <w:t>om</w:t>
      </w:r>
      <w:r>
        <w:t xml:space="preserve"> </w:t>
      </w:r>
      <w:r w:rsidR="00625F44">
        <w:t xml:space="preserve">genomförandet </w:t>
      </w:r>
      <w:r>
        <w:t xml:space="preserve">är </w:t>
      </w:r>
      <w:r w:rsidR="00625F44">
        <w:t xml:space="preserve">gjort </w:t>
      </w:r>
      <w:r>
        <w:t xml:space="preserve">så att innehållet stämmer överens med </w:t>
      </w:r>
      <w:r w:rsidR="00A56B84">
        <w:t>PFMI</w:t>
      </w:r>
      <w:r w:rsidR="00427265">
        <w:t>.</w:t>
      </w:r>
      <w:r>
        <w:t xml:space="preserve"> </w:t>
      </w:r>
    </w:p>
    <w:p w:rsidR="00D86B41" w:rsidRDefault="00D86B41" w:rsidP="00AC1985">
      <w:pPr>
        <w:pStyle w:val="Normaltindrag"/>
      </w:pPr>
      <w:r>
        <w:t xml:space="preserve">Riksbanken deltog också i arbetet inom </w:t>
      </w:r>
      <w:r w:rsidR="00521519">
        <w:t>FSB</w:t>
      </w:r>
      <w:r>
        <w:t xml:space="preserve">. Sverige är inte medlem i FSB men deltar i </w:t>
      </w:r>
      <w:r w:rsidR="00D035FF">
        <w:t xml:space="preserve">ett antal av FSB:s undergrupper </w:t>
      </w:r>
      <w:r w:rsidR="00625F44">
        <w:t xml:space="preserve">och </w:t>
      </w:r>
      <w:r w:rsidR="00D035FF">
        <w:t xml:space="preserve">i </w:t>
      </w:r>
      <w:r>
        <w:t>FSB:s regionala ko</w:t>
      </w:r>
      <w:r>
        <w:t>n</w:t>
      </w:r>
      <w:r>
        <w:t>sultationsgrupp för Europa. R</w:t>
      </w:r>
      <w:r w:rsidR="00A56B84">
        <w:t>iksbankschef</w:t>
      </w:r>
      <w:r w:rsidR="00953836">
        <w:t>en</w:t>
      </w:r>
      <w:r w:rsidR="00A56B84">
        <w:t xml:space="preserve"> Stefan Ingves deltog</w:t>
      </w:r>
      <w:r>
        <w:t xml:space="preserve"> dock i FSB:s möten i sin roll som ordförande i Baselkommittén. Baserat på FSB:s reko</w:t>
      </w:r>
      <w:r>
        <w:t>m</w:t>
      </w:r>
      <w:r>
        <w:t>mendationer för globalt systemviktiga institut fortsatte arbetet med en krishanteringsplan för bankkoncernen Nordea. Förutom de svenska he</w:t>
      </w:r>
      <w:r>
        <w:t>m</w:t>
      </w:r>
      <w:r>
        <w:t>landsmyndigheterna, det vill säga Finansdepartemente</w:t>
      </w:r>
      <w:r w:rsidR="00DF2986">
        <w:t xml:space="preserve">t, Finansinspektionen, Riksgälden </w:t>
      </w:r>
      <w:r w:rsidR="00FE0D0D">
        <w:t>och Riksbanken, omfattade</w:t>
      </w:r>
      <w:r>
        <w:t xml:space="preserve"> samarbetet även relevanta myndig</w:t>
      </w:r>
      <w:r w:rsidR="00C92110">
        <w:softHyphen/>
      </w:r>
      <w:r>
        <w:t>he</w:t>
      </w:r>
      <w:r>
        <w:t>t</w:t>
      </w:r>
      <w:r>
        <w:t>er från Danmark, Estland, Finland, Lettland, Litauen och Norge.</w:t>
      </w:r>
    </w:p>
    <w:p w:rsidR="00D86B41" w:rsidRPr="00C521E6" w:rsidRDefault="00D86B41" w:rsidP="00521519">
      <w:pPr>
        <w:pStyle w:val="R4"/>
        <w:outlineLvl w:val="0"/>
        <w:rPr>
          <w:szCs w:val="21"/>
        </w:rPr>
      </w:pPr>
      <w:r w:rsidRPr="00C521E6">
        <w:rPr>
          <w:szCs w:val="21"/>
        </w:rPr>
        <w:t>Europeiskt samarbete</w:t>
      </w:r>
    </w:p>
    <w:p w:rsidR="00D86B41" w:rsidRDefault="00D86B41" w:rsidP="0058676E">
      <w:pPr>
        <w:suppressAutoHyphens/>
      </w:pPr>
      <w:r>
        <w:t xml:space="preserve">I EU:s </w:t>
      </w:r>
      <w:r w:rsidR="00E47F9E">
        <w:t>e</w:t>
      </w:r>
      <w:r>
        <w:t xml:space="preserve">konomiska och </w:t>
      </w:r>
      <w:r w:rsidR="00E47F9E">
        <w:t>f</w:t>
      </w:r>
      <w:r>
        <w:t xml:space="preserve">inansiella </w:t>
      </w:r>
      <w:r w:rsidR="00E47F9E">
        <w:t>k</w:t>
      </w:r>
      <w:r>
        <w:t>ommitté (EFK) drev Riksbanken under året linjen att de reformförslag som utformas för att stimulera långsi</w:t>
      </w:r>
      <w:r>
        <w:t>k</w:t>
      </w:r>
      <w:r>
        <w:t>tiga investeringar inom EU ska utformas så att de inte urvattnar regleringar eller har en negativ inverkan på den finan</w:t>
      </w:r>
      <w:r w:rsidR="00C66921">
        <w:t xml:space="preserve">siella stabiliteten. </w:t>
      </w:r>
      <w:r>
        <w:t>Riksbanken bet</w:t>
      </w:r>
      <w:r>
        <w:t>o</w:t>
      </w:r>
      <w:r>
        <w:t xml:space="preserve">nade även vikten av att göra </w:t>
      </w:r>
      <w:r w:rsidR="00235015">
        <w:t xml:space="preserve">en grundlig översyn </w:t>
      </w:r>
      <w:r>
        <w:t xml:space="preserve">av bankernas tillgångar (asset quality review) och </w:t>
      </w:r>
      <w:r w:rsidR="00B81034">
        <w:t xml:space="preserve">ett </w:t>
      </w:r>
      <w:r>
        <w:t>stresstest inom EU. Vad gäller utvärderingen av EU:s tillsynsstruktur lyfte Riksbanken vikten av att behålla en bred representation i styrelsen för Eur</w:t>
      </w:r>
      <w:r>
        <w:t>o</w:t>
      </w:r>
      <w:r>
        <w:t>peiska systemrisknämnden (ESRB). Riksbanken ansåg att den breda represe</w:t>
      </w:r>
      <w:r>
        <w:t>n</w:t>
      </w:r>
      <w:r>
        <w:t xml:space="preserve">tationen </w:t>
      </w:r>
      <w:r w:rsidR="00FE0D0D">
        <w:t>ä</w:t>
      </w:r>
      <w:r>
        <w:t>r en av ESRB:s huvudsakliga styrkor och det som gör ESRB till ett unikt forum. Vidare välkomnade Riksbanken EU</w:t>
      </w:r>
      <w:r w:rsidR="007E2512">
        <w:noBreakHyphen/>
      </w:r>
      <w:r>
        <w:t>kommissionens förslag om dels ett bättre informationsutbyte mellan ESRB och EFK, dels en mer proa</w:t>
      </w:r>
      <w:r>
        <w:t>k</w:t>
      </w:r>
      <w:r>
        <w:t>tiv ESRB-kommunikation</w:t>
      </w:r>
      <w:r w:rsidR="004578A4">
        <w:t>.</w:t>
      </w:r>
    </w:p>
    <w:p w:rsidR="00D86B41" w:rsidRDefault="00D86B41" w:rsidP="00D86B41">
      <w:pPr>
        <w:pStyle w:val="Normaltindrag"/>
      </w:pPr>
      <w:r>
        <w:t>Inom ramen för ESRB bidrog Riksbanken aktivt i arbetet med att iden</w:t>
      </w:r>
      <w:r w:rsidR="0058676E">
        <w:softHyphen/>
      </w:r>
      <w:r>
        <w:t>tif</w:t>
      </w:r>
      <w:r>
        <w:t>i</w:t>
      </w:r>
      <w:r>
        <w:t xml:space="preserve">era systemrisker inom EU och utarbeta rekommendationer för att minska dessa risker. Under året publicerade ESRB en rekommendation </w:t>
      </w:r>
      <w:r w:rsidR="00B81034">
        <w:t>med</w:t>
      </w:r>
      <w:r>
        <w:t xml:space="preserve"> riktlinjer för </w:t>
      </w:r>
      <w:r w:rsidR="00B81034">
        <w:t>hur</w:t>
      </w:r>
      <w:r>
        <w:t xml:space="preserve"> kontracykliska buffertvärden </w:t>
      </w:r>
      <w:r w:rsidR="00B81034">
        <w:t xml:space="preserve">ska fastställas </w:t>
      </w:r>
      <w:r>
        <w:t xml:space="preserve">i EU-länderna. Målet är att skydda banksystemet i EU mot potentiella förluster som är relaterade till </w:t>
      </w:r>
      <w:r w:rsidR="00A51A9A">
        <w:t xml:space="preserve">de </w:t>
      </w:r>
      <w:r>
        <w:t xml:space="preserve">risker som varierar med den finansiella cykeln. </w:t>
      </w:r>
    </w:p>
    <w:p w:rsidR="00B81034" w:rsidRDefault="00D86B41" w:rsidP="007138A9">
      <w:pPr>
        <w:pStyle w:val="Normaltindrag"/>
      </w:pPr>
      <w:r>
        <w:t xml:space="preserve">Riksbanken </w:t>
      </w:r>
      <w:r w:rsidR="00B81034">
        <w:t xml:space="preserve">var </w:t>
      </w:r>
      <w:r>
        <w:t>även drivande i ESRB:s arbete med utformning av makr</w:t>
      </w:r>
      <w:r>
        <w:t>o</w:t>
      </w:r>
      <w:r>
        <w:t>tillsyn på nationell nivå. Bakgrunden</w:t>
      </w:r>
      <w:r w:rsidR="00A51A9A">
        <w:t xml:space="preserve"> till detta</w:t>
      </w:r>
      <w:r>
        <w:t xml:space="preserve"> är EU:s nya kapitaltäckning</w:t>
      </w:r>
      <w:r>
        <w:t>s</w:t>
      </w:r>
      <w:r>
        <w:t>regler (CRD IV/CRR) som trädde i kraft den 1 januari 2014</w:t>
      </w:r>
      <w:r w:rsidR="00A51A9A">
        <w:t>. Reglerna</w:t>
      </w:r>
      <w:r>
        <w:t xml:space="preserve"> ger medlemsländerna möjlighet att börja använda en mängd nya makrotillsyn</w:t>
      </w:r>
      <w:r w:rsidR="007C7E53">
        <w:t>s</w:t>
      </w:r>
      <w:r>
        <w:t>verktyg. Detta arbete har resulterat i två rapporter som publicerades i början av året. Den ena rapporten är en omfattande handbok till nationella makro</w:t>
      </w:r>
      <w:r w:rsidR="0058676E">
        <w:softHyphen/>
      </w:r>
      <w:r>
        <w:t>til</w:t>
      </w:r>
      <w:r>
        <w:t>l</w:t>
      </w:r>
      <w:r>
        <w:t>synsorgan, med konkret vägledning om hur olika makrotillsynsverktyg kan användas. Den andra rapporten ger en mer övergripande beskrivning av hur olika makrotillsynsverktyg kan användas.</w:t>
      </w:r>
    </w:p>
    <w:p w:rsidR="00D86B41" w:rsidRDefault="00D86B41" w:rsidP="007138A9">
      <w:pPr>
        <w:pStyle w:val="Normaltindrag"/>
      </w:pPr>
      <w:r>
        <w:t>Riksbanken deltog också aktivt i utvärderingarna av hur väl regeringar och myndigheter i medlemsländerna följt ESRB:s två första rekommendationer. Rekommendationen om utlåning i utländsk valuta utvärderades i slutet av 2013 och rekommendationen om de nationella myndigheternas mandat för makrotillsyn följdes upp i början av 2014. Vidare bidrog Riksbanken aktivt i ESRB</w:t>
      </w:r>
      <w:r w:rsidR="00632AD3">
        <w:t>:</w:t>
      </w:r>
      <w:r>
        <w:t>s arbete med att kartlägga risker i skuggbanksektorn, och en rapport på området publicerades i september 2014.</w:t>
      </w:r>
    </w:p>
    <w:p w:rsidR="00D86B41" w:rsidRPr="00C521E6" w:rsidRDefault="00D86B41" w:rsidP="007138A9">
      <w:pPr>
        <w:pStyle w:val="R4"/>
        <w:outlineLvl w:val="0"/>
        <w:rPr>
          <w:szCs w:val="21"/>
        </w:rPr>
      </w:pPr>
      <w:r w:rsidRPr="00C521E6">
        <w:rPr>
          <w:szCs w:val="21"/>
        </w:rPr>
        <w:t>Nordiskt-baltiskt samarbete</w:t>
      </w:r>
    </w:p>
    <w:p w:rsidR="00D86B41" w:rsidRDefault="00D86B41" w:rsidP="001C48ED">
      <w:pPr>
        <w:suppressAutoHyphens/>
      </w:pPr>
      <w:r>
        <w:t xml:space="preserve">Under året </w:t>
      </w:r>
      <w:r w:rsidR="00B17F9C">
        <w:t>fortsatte</w:t>
      </w:r>
      <w:r>
        <w:t xml:space="preserve"> Riksbanken </w:t>
      </w:r>
      <w:r w:rsidR="00B17F9C">
        <w:t xml:space="preserve">med det </w:t>
      </w:r>
      <w:r>
        <w:t>nordiska och baltiska samarbetet inom stabilitetsområdet. Under 2014 hölls två möten med Nordic-Baltic Macroprudential Forum (NBMF). NBMF är ett samarbetsforum för central</w:t>
      </w:r>
      <w:r w:rsidR="001C48ED">
        <w:softHyphen/>
      </w:r>
      <w:r>
        <w:t xml:space="preserve">banker och tillsynsmyndigheter i </w:t>
      </w:r>
      <w:r w:rsidR="00E47F9E">
        <w:t>de nordiska och baltiska lände</w:t>
      </w:r>
      <w:r w:rsidR="00E47F9E">
        <w:t>r</w:t>
      </w:r>
      <w:r w:rsidR="00E47F9E">
        <w:t>na</w:t>
      </w:r>
      <w:r>
        <w:t xml:space="preserve"> som ska fokusera på finansiella stabilitetsrisker och gränsöverskridande bankverksam</w:t>
      </w:r>
      <w:r w:rsidR="001C48ED">
        <w:softHyphen/>
      </w:r>
      <w:r>
        <w:t>het i reg</w:t>
      </w:r>
      <w:r>
        <w:t>i</w:t>
      </w:r>
      <w:r>
        <w:t xml:space="preserve">onen. Utöver allmänna risker som kan påverka regionen fortsatte gruppen bland annat att diskutera hur myndigheter kan </w:t>
      </w:r>
      <w:r w:rsidR="004D6D3D">
        <w:t xml:space="preserve">ömsesidigt </w:t>
      </w:r>
      <w:r>
        <w:t>erkänna va</w:t>
      </w:r>
      <w:r w:rsidR="00C345ED">
        <w:t>randras makrotillsynsåtgärder</w:t>
      </w:r>
      <w:r w:rsidR="004D6D3D">
        <w:t xml:space="preserve"> (reciprocitet)</w:t>
      </w:r>
      <w:r w:rsidR="00C345ED">
        <w:t xml:space="preserve">. </w:t>
      </w:r>
      <w:r>
        <w:t xml:space="preserve">Ett möte hölls i Stockholm under hösten där </w:t>
      </w:r>
      <w:r w:rsidR="009D5B98">
        <w:t>ri</w:t>
      </w:r>
      <w:r>
        <w:t>k</w:t>
      </w:r>
      <w:r w:rsidR="009D5B98">
        <w:t>s</w:t>
      </w:r>
      <w:r>
        <w:t>bankschef</w:t>
      </w:r>
      <w:r w:rsidR="008E6BA8">
        <w:t>en</w:t>
      </w:r>
      <w:r>
        <w:t xml:space="preserve"> Stefan Ingves var ordförande. Riksbanken fortsatte även arbetet inom ramen för den nordisk-baltiska stabilitetsgruppen</w:t>
      </w:r>
      <w:r w:rsidR="00A8472F">
        <w:t xml:space="preserve"> (NBSG)</w:t>
      </w:r>
      <w:r>
        <w:t>, som är ett forum för finansministerier, centralbanker och tillsyns</w:t>
      </w:r>
      <w:r w:rsidR="001C48ED">
        <w:softHyphen/>
      </w:r>
      <w:r>
        <w:t>myndigheter i de nordiska och baltiska länderna. Stabilitetsgruppen har till uppgift att stärka beredskapen att hantera gränsöverskridande finansiella stabilitetsfrågor i den nordisk-baltiska regionen.</w:t>
      </w:r>
      <w:r w:rsidR="00A8472F">
        <w:t xml:space="preserve"> </w:t>
      </w:r>
    </w:p>
    <w:p w:rsidR="00FC73C2" w:rsidRDefault="00FC73C2" w:rsidP="007C0087">
      <w:pPr>
        <w:pStyle w:val="R4"/>
        <w:pBdr>
          <w:top w:val="single" w:sz="4" w:space="1" w:color="auto"/>
          <w:left w:val="single" w:sz="4" w:space="4" w:color="auto"/>
          <w:right w:val="single" w:sz="4" w:space="4" w:color="auto"/>
        </w:pBdr>
        <w:outlineLvl w:val="0"/>
      </w:pPr>
      <w:r>
        <w:t xml:space="preserve">Internationella åtaganden </w:t>
      </w:r>
    </w:p>
    <w:p w:rsidR="00791185" w:rsidRPr="00791185" w:rsidRDefault="00FC73C2" w:rsidP="007C0087">
      <w:pPr>
        <w:pBdr>
          <w:left w:val="single" w:sz="4" w:space="4" w:color="auto"/>
          <w:right w:val="single" w:sz="4" w:space="4" w:color="auto"/>
        </w:pBdr>
      </w:pPr>
      <w:r w:rsidRPr="002C6AFD">
        <w:t xml:space="preserve">Utöver det internationella och europeiska samarbetet </w:t>
      </w:r>
      <w:r w:rsidR="00B81034">
        <w:t>i</w:t>
      </w:r>
      <w:r w:rsidRPr="002C6AFD">
        <w:t xml:space="preserve"> olika regleringsfrågor ha</w:t>
      </w:r>
      <w:r w:rsidR="00B81034">
        <w:t>de</w:t>
      </w:r>
      <w:r w:rsidRPr="002C6AFD">
        <w:t xml:space="preserve"> Riksbanken även andra internationella åtaganden.</w:t>
      </w:r>
      <w:r w:rsidRPr="00D86B41">
        <w:t xml:space="preserve"> </w:t>
      </w:r>
    </w:p>
    <w:p w:rsidR="00791185" w:rsidRPr="00B50456" w:rsidRDefault="00FC73C2" w:rsidP="007C0087">
      <w:pPr>
        <w:pBdr>
          <w:left w:val="single" w:sz="4" w:space="4" w:color="auto"/>
          <w:bottom w:val="single" w:sz="4" w:space="1" w:color="auto"/>
          <w:right w:val="single" w:sz="4" w:space="4" w:color="auto"/>
        </w:pBdr>
        <w:spacing w:before="180"/>
        <w:rPr>
          <w:rFonts w:ascii="Calibri" w:hAnsi="Calibri"/>
          <w:sz w:val="20"/>
        </w:rPr>
      </w:pPr>
      <w:r w:rsidRPr="00B50456">
        <w:rPr>
          <w:rFonts w:ascii="Calibri" w:hAnsi="Calibri"/>
          <w:sz w:val="20"/>
        </w:rPr>
        <w:t>Internationella valutafonden</w:t>
      </w:r>
      <w:r w:rsidR="00C932CA" w:rsidRPr="00B50456">
        <w:rPr>
          <w:rFonts w:ascii="Calibri" w:hAnsi="Calibri"/>
          <w:sz w:val="20"/>
        </w:rPr>
        <w:t xml:space="preserve"> (IMF)</w:t>
      </w:r>
    </w:p>
    <w:p w:rsidR="003E4DA0" w:rsidRDefault="00FC73C2" w:rsidP="0058676E">
      <w:pPr>
        <w:pBdr>
          <w:left w:val="single" w:sz="4" w:space="4" w:color="auto"/>
          <w:bottom w:val="single" w:sz="4" w:space="1" w:color="auto"/>
          <w:right w:val="single" w:sz="4" w:space="4" w:color="auto"/>
        </w:pBdr>
        <w:suppressAutoHyphens/>
      </w:pPr>
      <w:r w:rsidRPr="00791185">
        <w:t>Riksbankens IMF-arbete innefattar bland annat att i samarbete med Finansdepartementet ta fram Sveriges position i policyfrågor inför diskus</w:t>
      </w:r>
      <w:r w:rsidR="0058676E">
        <w:softHyphen/>
      </w:r>
      <w:r w:rsidRPr="00791185">
        <w:t xml:space="preserve">sioner och beslut i IMF:s exekutivstyrelse. Under 2014 diskuterades bland annat frågan om hur IMF bedriver övervakning av sina medlemsländer i den översyn som </w:t>
      </w:r>
      <w:r w:rsidR="00D07829">
        <w:t>görs</w:t>
      </w:r>
      <w:r w:rsidRPr="00791185">
        <w:t xml:space="preserve"> var</w:t>
      </w:r>
      <w:r w:rsidR="00953836">
        <w:t>t</w:t>
      </w:r>
      <w:r w:rsidRPr="00791185">
        <w:t xml:space="preserve"> tredje år (Trienn</w:t>
      </w:r>
      <w:r w:rsidR="008E6BA8">
        <w:t>i</w:t>
      </w:r>
      <w:r w:rsidRPr="00791185">
        <w:t>al Surveillance Review). Riksbanken har efterfrågat att IMF ska stärka sin övervakning av den finansiella sektorn, titta mer på gränsöverskridande effekter av länder</w:t>
      </w:r>
      <w:r w:rsidR="00D07829">
        <w:t>na</w:t>
      </w:r>
      <w:r w:rsidRPr="00791185">
        <w:t>s politik samt n</w:t>
      </w:r>
      <w:r w:rsidR="00EA2659">
        <w:t>oga följa upp de råd som getts.</w:t>
      </w:r>
      <w:r w:rsidRPr="00791185">
        <w:t xml:space="preserve"> </w:t>
      </w:r>
    </w:p>
    <w:p w:rsidR="00A9094F" w:rsidRDefault="00FC73C2" w:rsidP="0058676E">
      <w:pPr>
        <w:pStyle w:val="Normaltindrag"/>
        <w:pBdr>
          <w:left w:val="single" w:sz="4" w:space="4" w:color="auto"/>
          <w:bottom w:val="single" w:sz="4" w:space="1" w:color="auto"/>
          <w:right w:val="single" w:sz="4" w:space="4" w:color="auto"/>
        </w:pBdr>
        <w:suppressAutoHyphens/>
      </w:pPr>
      <w:r w:rsidRPr="00D86B41">
        <w:t>Riksbanken bidrar till IMF:s finansiering via insatskapital och låne</w:t>
      </w:r>
      <w:r w:rsidR="0058676E">
        <w:softHyphen/>
      </w:r>
      <w:r w:rsidRPr="00D86B41">
        <w:t>a</w:t>
      </w:r>
      <w:r w:rsidRPr="00D86B41">
        <w:t>r</w:t>
      </w:r>
      <w:r w:rsidRPr="00D86B41">
        <w:t xml:space="preserve">rangemang. Riksbanken deltar bland annat i IMF:s nya lånearrangemang (NAB) som vid behov aktiveras då efterfrågan på utlåning från fonden är så pass stor att insatskapitalet inte bedöms vara tillräckligt. Under 2014 beslutade medlemmarna i NAB att förnya aktiveringen av lånearrangemanget vid två tillfällen. </w:t>
      </w:r>
      <w:r w:rsidR="00B64D61">
        <w:t>Riksbanken</w:t>
      </w:r>
      <w:r w:rsidRPr="00D86B41">
        <w:t xml:space="preserve"> har även utverkat ett temporärt lånelöfte till IMF</w:t>
      </w:r>
      <w:r w:rsidR="008E6BA8">
        <w:t>,</w:t>
      </w:r>
      <w:r w:rsidRPr="00D86B41">
        <w:t xml:space="preserve"> vilket riksdagen godkände 2012. Lånelöftet ger IMF möjlighet att låna motsvarande cirka 70 miljarder kronor från Riksbanken om medlen under fo</w:t>
      </w:r>
      <w:r w:rsidRPr="00D86B41">
        <w:t>n</w:t>
      </w:r>
      <w:r w:rsidRPr="00D86B41">
        <w:t>dens insatskapital och NAB inte skulle räcka. I avtalet f</w:t>
      </w:r>
      <w:r w:rsidR="00B64D61">
        <w:t>inns en</w:t>
      </w:r>
      <w:r w:rsidRPr="00D86B41">
        <w:t xml:space="preserve"> möjlighet att förlänga lånet med ett år</w:t>
      </w:r>
      <w:r w:rsidR="008E6BA8">
        <w:t>,</w:t>
      </w:r>
      <w:r w:rsidRPr="00D86B41">
        <w:t xml:space="preserve"> vilket IMF efterfrågade under sommaren </w:t>
      </w:r>
      <w:r w:rsidR="002A334C">
        <w:t xml:space="preserve">2014 </w:t>
      </w:r>
      <w:r w:rsidRPr="00D86B41">
        <w:t>och Riksbankens direktion tillstyrkte på sitt möte den 21 augusti.</w:t>
      </w:r>
      <w:r w:rsidR="00D03C93">
        <w:t xml:space="preserve"> </w:t>
      </w:r>
      <w:r w:rsidRPr="00DF568E">
        <w:t>Riksbankens transaktioner med IMF beskrivs i avsnittet Tillgångsförvaltning.</w:t>
      </w:r>
    </w:p>
    <w:p w:rsidR="00FC73C2" w:rsidRDefault="00FC73C2" w:rsidP="007C0087">
      <w:pPr>
        <w:pStyle w:val="Normaltindrag"/>
        <w:pBdr>
          <w:left w:val="single" w:sz="4" w:space="4" w:color="auto"/>
          <w:bottom w:val="single" w:sz="4" w:space="1" w:color="auto"/>
          <w:right w:val="single" w:sz="4" w:space="4" w:color="auto"/>
        </w:pBdr>
      </w:pPr>
      <w:r w:rsidRPr="00D86B41">
        <w:t xml:space="preserve">IMF besökte Sverige i maj 2014 för den årliga Artikel IV-konsultationen </w:t>
      </w:r>
      <w:r w:rsidR="00B64D61">
        <w:t xml:space="preserve">då man </w:t>
      </w:r>
      <w:r w:rsidR="00CD464F">
        <w:t>diskutera</w:t>
      </w:r>
      <w:r w:rsidR="00B64D61">
        <w:t>r</w:t>
      </w:r>
      <w:r w:rsidRPr="00D86B41">
        <w:t xml:space="preserve"> den svenska ekonomi</w:t>
      </w:r>
      <w:r w:rsidR="00CD464F">
        <w:t xml:space="preserve">n med </w:t>
      </w:r>
      <w:r w:rsidR="00B64D61">
        <w:t xml:space="preserve">olika </w:t>
      </w:r>
      <w:r w:rsidR="00CD464F">
        <w:t>myndigheter och utvär</w:t>
      </w:r>
      <w:r w:rsidR="0058676E">
        <w:softHyphen/>
      </w:r>
      <w:r w:rsidR="00CD464F">
        <w:t>d</w:t>
      </w:r>
      <w:r w:rsidR="00CD464F">
        <w:t>e</w:t>
      </w:r>
      <w:r w:rsidR="00CD464F">
        <w:t>ra</w:t>
      </w:r>
      <w:r w:rsidR="00B64D61">
        <w:t>r</w:t>
      </w:r>
      <w:r w:rsidRPr="00D86B41">
        <w:t xml:space="preserve"> den politik som förts.</w:t>
      </w:r>
    </w:p>
    <w:p w:rsidR="006460A3" w:rsidRPr="006460A3" w:rsidRDefault="006460A3" w:rsidP="0058676E">
      <w:pPr>
        <w:pStyle w:val="Normaltindrag"/>
        <w:pBdr>
          <w:left w:val="single" w:sz="4" w:space="4" w:color="auto"/>
          <w:bottom w:val="single" w:sz="4" w:space="1" w:color="auto"/>
          <w:right w:val="single" w:sz="4" w:space="4" w:color="auto"/>
        </w:pBdr>
        <w:suppressAutoHyphens/>
      </w:pPr>
      <w:r w:rsidRPr="00391064">
        <w:t>Riksbanken anordnade också tillsammans med IMF en konferens om makrotillsyn i Stockholm den 13–14 november.</w:t>
      </w:r>
      <w:r w:rsidRPr="00C932CA">
        <w:t xml:space="preserve"> Syftet</w:t>
      </w:r>
      <w:r w:rsidRPr="006307A8">
        <w:t xml:space="preserve"> var att utbyta erfarenheter mellan olika länder</w:t>
      </w:r>
      <w:r>
        <w:t xml:space="preserve"> och internationella organisationer</w:t>
      </w:r>
      <w:r w:rsidRPr="006307A8">
        <w:t xml:space="preserve"> när det gäller detta </w:t>
      </w:r>
      <w:r>
        <w:t>framväxande</w:t>
      </w:r>
      <w:r w:rsidRPr="006307A8">
        <w:t xml:space="preserve"> politikområde. </w:t>
      </w:r>
      <w:r>
        <w:t>De frågor som diskuterades var bland annat</w:t>
      </w:r>
      <w:r w:rsidRPr="006307A8">
        <w:t xml:space="preserve"> </w:t>
      </w:r>
      <w:r>
        <w:t xml:space="preserve">vilka </w:t>
      </w:r>
      <w:r w:rsidRPr="006307A8">
        <w:t xml:space="preserve">indikatorer som kan ge varningssignaler </w:t>
      </w:r>
      <w:r w:rsidR="008E6BA8">
        <w:t>om</w:t>
      </w:r>
      <w:r w:rsidR="008E6BA8" w:rsidRPr="006307A8">
        <w:t xml:space="preserve"> </w:t>
      </w:r>
      <w:r w:rsidRPr="006307A8">
        <w:t xml:space="preserve">uppbyggnaden av finansiella obalanser, hur penningpolitik och makrotillsyn ska samverka </w:t>
      </w:r>
      <w:r w:rsidR="008E6BA8">
        <w:t>och</w:t>
      </w:r>
      <w:r w:rsidR="008E6BA8" w:rsidRPr="006307A8">
        <w:t xml:space="preserve"> </w:t>
      </w:r>
      <w:r>
        <w:t xml:space="preserve">hur </w:t>
      </w:r>
      <w:r w:rsidRPr="006307A8">
        <w:t>effe</w:t>
      </w:r>
      <w:r w:rsidRPr="006307A8">
        <w:t>k</w:t>
      </w:r>
      <w:r w:rsidRPr="006307A8">
        <w:t>t</w:t>
      </w:r>
      <w:r>
        <w:t>iva</w:t>
      </w:r>
      <w:r w:rsidRPr="006307A8">
        <w:t xml:space="preserve"> olika makrotillsynsverktyg</w:t>
      </w:r>
      <w:r>
        <w:t xml:space="preserve"> bedöms vara.</w:t>
      </w:r>
    </w:p>
    <w:p w:rsidR="00FC73C2" w:rsidRPr="00B50456" w:rsidRDefault="00FC73C2" w:rsidP="007C0087">
      <w:pPr>
        <w:pBdr>
          <w:left w:val="single" w:sz="4" w:space="4" w:color="auto"/>
          <w:bottom w:val="single" w:sz="4" w:space="1" w:color="auto"/>
          <w:right w:val="single" w:sz="4" w:space="4" w:color="auto"/>
        </w:pBdr>
        <w:spacing w:before="180"/>
        <w:rPr>
          <w:rFonts w:ascii="Calibri" w:hAnsi="Calibri"/>
          <w:sz w:val="20"/>
        </w:rPr>
      </w:pPr>
      <w:r w:rsidRPr="00B50456">
        <w:rPr>
          <w:rFonts w:ascii="Calibri" w:hAnsi="Calibri"/>
          <w:sz w:val="20"/>
        </w:rPr>
        <w:t xml:space="preserve">Teknisk assistans </w:t>
      </w:r>
    </w:p>
    <w:p w:rsidR="00FC73C2" w:rsidRPr="00FC73C2" w:rsidRDefault="00FC73C2" w:rsidP="007C0087">
      <w:pPr>
        <w:pBdr>
          <w:left w:val="single" w:sz="4" w:space="4" w:color="auto"/>
          <w:bottom w:val="single" w:sz="4" w:space="1" w:color="auto"/>
          <w:right w:val="single" w:sz="4" w:space="4" w:color="auto"/>
        </w:pBdr>
        <w:rPr>
          <w:b/>
        </w:rPr>
      </w:pPr>
      <w:r w:rsidRPr="00DA76F4">
        <w:rPr>
          <w:szCs w:val="19"/>
        </w:rPr>
        <w:t xml:space="preserve">Riksbanken bidrar också med experthjälp </w:t>
      </w:r>
      <w:r w:rsidR="002B49C9">
        <w:rPr>
          <w:szCs w:val="19"/>
        </w:rPr>
        <w:t>i centralbanksfrågor</w:t>
      </w:r>
      <w:r w:rsidRPr="00DA76F4">
        <w:rPr>
          <w:szCs w:val="19"/>
        </w:rPr>
        <w:t xml:space="preserve">, så kallad teknisk assistans. Under 2014 omfattade experthjälpen insatser </w:t>
      </w:r>
      <w:r w:rsidR="00516292">
        <w:rPr>
          <w:szCs w:val="19"/>
        </w:rPr>
        <w:t>i</w:t>
      </w:r>
      <w:r w:rsidR="00516292" w:rsidRPr="00DA76F4">
        <w:rPr>
          <w:szCs w:val="19"/>
        </w:rPr>
        <w:t xml:space="preserve"> </w:t>
      </w:r>
      <w:r w:rsidR="003D410D">
        <w:rPr>
          <w:szCs w:val="19"/>
        </w:rPr>
        <w:t xml:space="preserve">Albanien, </w:t>
      </w:r>
      <w:r w:rsidRPr="00DA76F4">
        <w:rPr>
          <w:szCs w:val="19"/>
        </w:rPr>
        <w:t xml:space="preserve">Kenya, </w:t>
      </w:r>
      <w:r w:rsidR="003D410D">
        <w:rPr>
          <w:szCs w:val="19"/>
        </w:rPr>
        <w:t>Malawi, Namibia, Palestina, Uganda</w:t>
      </w:r>
      <w:r w:rsidR="003D410D" w:rsidRPr="00DA76F4">
        <w:rPr>
          <w:szCs w:val="19"/>
        </w:rPr>
        <w:t xml:space="preserve"> </w:t>
      </w:r>
      <w:r w:rsidR="003D410D">
        <w:rPr>
          <w:szCs w:val="19"/>
        </w:rPr>
        <w:t xml:space="preserve">och </w:t>
      </w:r>
      <w:r w:rsidRPr="00DA76F4">
        <w:rPr>
          <w:szCs w:val="19"/>
        </w:rPr>
        <w:t>V</w:t>
      </w:r>
      <w:r w:rsidR="003D410D">
        <w:rPr>
          <w:szCs w:val="19"/>
        </w:rPr>
        <w:t>ietnam</w:t>
      </w:r>
      <w:r w:rsidR="00136CB9">
        <w:rPr>
          <w:szCs w:val="19"/>
        </w:rPr>
        <w:t>.</w:t>
      </w:r>
      <w:r w:rsidRPr="00DA76F4">
        <w:rPr>
          <w:szCs w:val="19"/>
        </w:rPr>
        <w:t xml:space="preserve"> Verksamheten finansierades med medel från Sida. </w:t>
      </w:r>
    </w:p>
    <w:p w:rsidR="00E74671" w:rsidRDefault="00E74671" w:rsidP="00E74671">
      <w:pPr>
        <w:pStyle w:val="R3"/>
      </w:pPr>
      <w:r>
        <w:t>N</w:t>
      </w:r>
      <w:r w:rsidRPr="000B4317">
        <w:t>ationellt arbete för att stärka det finansiella systemet</w:t>
      </w:r>
    </w:p>
    <w:p w:rsidR="00D636A4" w:rsidRPr="00D636A4" w:rsidRDefault="00D636A4" w:rsidP="00A61CF9">
      <w:r>
        <w:t>På nationell nivå deltog Riksbanken i Finansiella stabilitetsrådets diskus</w:t>
      </w:r>
      <w:r w:rsidR="008B19CA">
        <w:softHyphen/>
      </w:r>
      <w:r>
        <w:t>sio</w:t>
      </w:r>
      <w:r w:rsidR="00C44D73">
        <w:t>n</w:t>
      </w:r>
      <w:r>
        <w:t>er. Riksbanken deltog också i tillsynskollegiet för Nasdaq OMX Clearing AB. Därtill lämnade Riksbanken synpunkter på EU-direktivet om hur banker i kris ska hanteras och</w:t>
      </w:r>
      <w:r w:rsidR="00B64D61">
        <w:t xml:space="preserve"> </w:t>
      </w:r>
      <w:r w:rsidR="00830AC3">
        <w:t>hur detta ska genomföras</w:t>
      </w:r>
      <w:r>
        <w:t xml:space="preserve"> i svensk lagstiftning.</w:t>
      </w:r>
    </w:p>
    <w:p w:rsidR="00D86B41" w:rsidRPr="00C521E6" w:rsidRDefault="00D86B41" w:rsidP="00E74671">
      <w:pPr>
        <w:pStyle w:val="R4"/>
        <w:outlineLvl w:val="0"/>
        <w:rPr>
          <w:szCs w:val="21"/>
        </w:rPr>
      </w:pPr>
      <w:r w:rsidRPr="00C521E6">
        <w:rPr>
          <w:szCs w:val="21"/>
        </w:rPr>
        <w:t>Finansiella stabilitetsrådet</w:t>
      </w:r>
    </w:p>
    <w:p w:rsidR="00D86B41" w:rsidRDefault="00D86B41" w:rsidP="0058676E">
      <w:pPr>
        <w:suppressAutoHyphens/>
      </w:pPr>
      <w:r>
        <w:t xml:space="preserve">Under 2014 träffades Finansiella stabilitetsrådet tre gånger. Vid rådets första möte </w:t>
      </w:r>
      <w:r w:rsidR="004312F5">
        <w:t xml:space="preserve">i februari </w:t>
      </w:r>
      <w:r>
        <w:t xml:space="preserve">konstaterade </w:t>
      </w:r>
      <w:r w:rsidR="00525F49">
        <w:t>Finansdepartementet, Finansinspektionen, Riks</w:t>
      </w:r>
      <w:r w:rsidR="00DF2986">
        <w:t>gälden</w:t>
      </w:r>
      <w:r w:rsidR="00525F49">
        <w:t xml:space="preserve"> och Riksbanken</w:t>
      </w:r>
      <w:r>
        <w:t xml:space="preserve"> att det fanns ett behov </w:t>
      </w:r>
      <w:r w:rsidR="00C15C4F">
        <w:t xml:space="preserve">av </w:t>
      </w:r>
      <w:r>
        <w:t>att vidta ytterligare åtgärder för att stär</w:t>
      </w:r>
      <w:r w:rsidR="00525F49">
        <w:t>ka den finansiella stabiliteten. D</w:t>
      </w:r>
      <w:r>
        <w:t>essa åtgärder kan riktas mot ba</w:t>
      </w:r>
      <w:r>
        <w:t>n</w:t>
      </w:r>
      <w:r>
        <w:t xml:space="preserve">kernas beroende av marknadsfinansiering i utländsk valuta, deras relativt låga bruttosoliditet och hushållens skuldsättning som fortsätter att öka. </w:t>
      </w:r>
    </w:p>
    <w:p w:rsidR="00D86B41" w:rsidRDefault="00D86B41" w:rsidP="00327C4A">
      <w:pPr>
        <w:pStyle w:val="Normaltindrag"/>
        <w:suppressAutoHyphens/>
      </w:pPr>
      <w:r>
        <w:t xml:space="preserve">Vid rådets andra möte </w:t>
      </w:r>
      <w:r w:rsidR="004312F5">
        <w:t xml:space="preserve">i maj </w:t>
      </w:r>
      <w:r w:rsidR="00B5524B">
        <w:t xml:space="preserve">fortsatte diskussionerna om </w:t>
      </w:r>
      <w:r>
        <w:t xml:space="preserve">det aktuella stabilitetsläget och de risker som hotar den finansiella stabiliteten. Vid mötet konstaterade Riksbanken </w:t>
      </w:r>
      <w:r w:rsidRPr="00064AE2">
        <w:t xml:space="preserve">att </w:t>
      </w:r>
      <w:r w:rsidR="00F104C7">
        <w:t>ökningen i bankernas kapital var ett</w:t>
      </w:r>
      <w:r w:rsidR="00814BAE" w:rsidRPr="00064AE2">
        <w:t xml:space="preserve"> </w:t>
      </w:r>
      <w:r w:rsidRPr="00064AE2">
        <w:t>steg</w:t>
      </w:r>
      <w:r w:rsidR="00F104C7">
        <w:t xml:space="preserve"> i rätt riktning</w:t>
      </w:r>
      <w:r w:rsidR="00193A38">
        <w:t>,</w:t>
      </w:r>
      <w:r w:rsidRPr="00064AE2">
        <w:t xml:space="preserve"> men att kapitalnivåerna</w:t>
      </w:r>
      <w:r>
        <w:t xml:space="preserve"> i det svenska banksystemet borde ökas ytterligare. Riksbanken ville därför utreda om det fanns behov av att </w:t>
      </w:r>
      <w:r w:rsidR="00064AE2">
        <w:t>tidigare</w:t>
      </w:r>
      <w:r w:rsidR="00327C4A">
        <w:softHyphen/>
      </w:r>
      <w:r w:rsidR="00064AE2">
        <w:t xml:space="preserve">lägga </w:t>
      </w:r>
      <w:r>
        <w:t>inför</w:t>
      </w:r>
      <w:r w:rsidR="00064AE2">
        <w:t xml:space="preserve">andet </w:t>
      </w:r>
      <w:r>
        <w:t>a</w:t>
      </w:r>
      <w:r w:rsidR="00064AE2">
        <w:t>v</w:t>
      </w:r>
      <w:r>
        <w:t xml:space="preserve"> ett bruttosoliditetskrav för </w:t>
      </w:r>
      <w:r w:rsidR="00064AE2">
        <w:t xml:space="preserve">de </w:t>
      </w:r>
      <w:r>
        <w:t>svenska banker</w:t>
      </w:r>
      <w:r w:rsidR="00064AE2">
        <w:t>na</w:t>
      </w:r>
      <w:r>
        <w:t xml:space="preserve"> som ett ko</w:t>
      </w:r>
      <w:r>
        <w:t>m</w:t>
      </w:r>
      <w:r>
        <w:t>plement till de riskviktade kapitalkraven. Riksbanken ville även se en större kontracyklisk kapitalbuffert än Finansinspektionen för att stärka bankernas motståndskraft mot de obalanser som byggts upp till följd av hushållens skuldsättning. Utöver detta ansåg Riksbanken att ytterligare åtgärder behö</w:t>
      </w:r>
      <w:r>
        <w:t>v</w:t>
      </w:r>
      <w:r>
        <w:t>des för att hantera hushållens höga och växande skuldsättning såsom en fö</w:t>
      </w:r>
      <w:r>
        <w:t>r</w:t>
      </w:r>
      <w:r>
        <w:t>bättrad amorteringskultur</w:t>
      </w:r>
      <w:r w:rsidR="00D035FF">
        <w:t xml:space="preserve">. </w:t>
      </w:r>
      <w:r w:rsidR="006A4271">
        <w:t xml:space="preserve">Riksbanken uttryckte också </w:t>
      </w:r>
      <w:r w:rsidR="009A7235">
        <w:t>oro över att bedömningen av en låntagares ekonomiska u</w:t>
      </w:r>
      <w:r w:rsidR="009A7235">
        <w:t>t</w:t>
      </w:r>
      <w:r w:rsidR="009A7235">
        <w:t xml:space="preserve">rymme i KALP-kalkylerna </w:t>
      </w:r>
      <w:r w:rsidR="00DC14F8">
        <w:t>(kvar-att-leva-på) skiljer sig åt mellan bankerna. O</w:t>
      </w:r>
      <w:r w:rsidR="009A7235">
        <w:t xml:space="preserve">m schablonerna sätts för lågt kan </w:t>
      </w:r>
      <w:r w:rsidR="00DC14F8">
        <w:t xml:space="preserve">dessutom </w:t>
      </w:r>
      <w:r w:rsidR="009A7235">
        <w:t>ett bo</w:t>
      </w:r>
      <w:r w:rsidR="00DC14F8">
        <w:t>lån</w:t>
      </w:r>
      <w:r w:rsidR="009A7235">
        <w:t xml:space="preserve"> vid en störning bli en större belastning för hushållet än vad kalkylerna visar. </w:t>
      </w:r>
      <w:r w:rsidR="00D035FF">
        <w:t xml:space="preserve">Riksbanken förespråkade också ett </w:t>
      </w:r>
      <w:r w:rsidR="00854816">
        <w:t>sär</w:t>
      </w:r>
      <w:r w:rsidR="00D035FF">
        <w:t xml:space="preserve">skilt </w:t>
      </w:r>
      <w:r w:rsidR="00CD464F">
        <w:t xml:space="preserve">krav på </w:t>
      </w:r>
      <w:r w:rsidR="00D035FF">
        <w:t>likvid</w:t>
      </w:r>
      <w:r w:rsidR="00D035FF">
        <w:t>i</w:t>
      </w:r>
      <w:r w:rsidR="00D035FF">
        <w:t>tetstäcknings</w:t>
      </w:r>
      <w:r w:rsidR="00CD464F">
        <w:t>grad</w:t>
      </w:r>
      <w:r w:rsidR="00064AE2">
        <w:t xml:space="preserve"> (LCR) för svenska kronor</w:t>
      </w:r>
      <w:r w:rsidR="009A7235">
        <w:t xml:space="preserve"> för de svenska bankerna</w:t>
      </w:r>
      <w:r w:rsidR="00064AE2">
        <w:t xml:space="preserve">. </w:t>
      </w:r>
    </w:p>
    <w:p w:rsidR="0079700C" w:rsidRDefault="00D86B41" w:rsidP="0058676E">
      <w:pPr>
        <w:pStyle w:val="Normaltindrag"/>
        <w:suppressAutoHyphens/>
      </w:pPr>
      <w:r w:rsidRPr="00383A05">
        <w:t>Vid rådets</w:t>
      </w:r>
      <w:r w:rsidRPr="0086418C">
        <w:t xml:space="preserve"> tredje möte </w:t>
      </w:r>
      <w:r w:rsidR="00345DD5">
        <w:t xml:space="preserve">i </w:t>
      </w:r>
      <w:r w:rsidR="007B5B71">
        <w:t>november</w:t>
      </w:r>
      <w:r w:rsidR="007B5B71" w:rsidRPr="007B5B71">
        <w:t xml:space="preserve"> konstaterade rådets medlemmar att även om motståndskraften i den svenska finansiella sektorn bedömdes som god fanns en gemensam oro – om än i något olika grad – för den höga och stigande skuldsättningen i hushållssektorn. </w:t>
      </w:r>
      <w:r w:rsidR="005F3D48" w:rsidRPr="005F3D48">
        <w:t>Till mötet bidrog Riksbanken med ett</w:t>
      </w:r>
      <w:r w:rsidR="005A7986">
        <w:t xml:space="preserve"> </w:t>
      </w:r>
      <w:r w:rsidR="005F3D48" w:rsidRPr="005F3D48">
        <w:t>analysunderlag</w:t>
      </w:r>
      <w:r w:rsidR="005A7986">
        <w:t>, som också publicerades,</w:t>
      </w:r>
      <w:r w:rsidR="005F3D48" w:rsidRPr="005F3D48">
        <w:t xml:space="preserve"> om de makroekonomiska effekterna av ett amorteringskrav</w:t>
      </w:r>
      <w:r w:rsidR="005A7986">
        <w:t xml:space="preserve">. </w:t>
      </w:r>
      <w:r w:rsidR="009A7235">
        <w:t>Analysen</w:t>
      </w:r>
      <w:r w:rsidR="005F3D48" w:rsidRPr="005F3D48">
        <w:t xml:space="preserve"> </w:t>
      </w:r>
      <w:r w:rsidR="005A7986">
        <w:t>togs</w:t>
      </w:r>
      <w:r w:rsidR="005F3D48" w:rsidRPr="005F3D48">
        <w:t xml:space="preserve"> fram av avdelningen för finansiell stabilitet och avdelningen för penningpolitik (se </w:t>
      </w:r>
      <w:r w:rsidR="00F96F91">
        <w:t xml:space="preserve">även </w:t>
      </w:r>
      <w:r w:rsidR="005F3D48" w:rsidRPr="005F3D48">
        <w:t>avsnittet Ett fast pe</w:t>
      </w:r>
      <w:r w:rsidR="005F3D48" w:rsidRPr="005F3D48">
        <w:t>n</w:t>
      </w:r>
      <w:r w:rsidR="00A86225">
        <w:t>ningvärde</w:t>
      </w:r>
      <w:r w:rsidR="00F96F91">
        <w:t xml:space="preserve"> </w:t>
      </w:r>
      <w:r w:rsidR="00A86225">
        <w:t>–</w:t>
      </w:r>
      <w:r w:rsidR="00F96F91">
        <w:t xml:space="preserve"> </w:t>
      </w:r>
      <w:r w:rsidR="005F3D48" w:rsidRPr="005F3D48">
        <w:t>prisstabilitet). Vid mötet</w:t>
      </w:r>
      <w:r w:rsidR="00A86225">
        <w:t xml:space="preserve"> presenterade Finansinspektionen</w:t>
      </w:r>
      <w:r w:rsidR="005F3D48">
        <w:t xml:space="preserve"> ett förslag till amorteringskrav. </w:t>
      </w:r>
      <w:r w:rsidR="007B5B71" w:rsidRPr="007B5B71">
        <w:t>Riksbanken ansåg att Finansinspektionens fö</w:t>
      </w:r>
      <w:r w:rsidR="007B5B71" w:rsidRPr="007B5B71">
        <w:t>r</w:t>
      </w:r>
      <w:r w:rsidR="007B5B71" w:rsidRPr="007B5B71">
        <w:t xml:space="preserve">slag kring hur hushållens amorteringsbeteenden skulle kunna förstärkas var ett steg i rätt riktning men </w:t>
      </w:r>
      <w:r w:rsidR="00B5524B">
        <w:t>att fler åtgärder var nödvändiga</w:t>
      </w:r>
      <w:r w:rsidR="00B5524B" w:rsidRPr="007B5B71">
        <w:t xml:space="preserve"> </w:t>
      </w:r>
      <w:r w:rsidR="007B5B71" w:rsidRPr="007B5B71">
        <w:t xml:space="preserve">för att hantera problemen med skuldsättningen. </w:t>
      </w:r>
      <w:r w:rsidR="007B5B71">
        <w:t>Riks</w:t>
      </w:r>
      <w:r w:rsidR="00917FAF">
        <w:t>banken</w:t>
      </w:r>
      <w:r w:rsidR="007B5B71">
        <w:t xml:space="preserve"> påpekade också att de svenska bankernas bruttosoliditet är, </w:t>
      </w:r>
      <w:r w:rsidR="007B5B71" w:rsidRPr="007B5B71">
        <w:t>trots hög riskvägd kapitaltäckning, låg i ett historiskt och europeiskt perspektiv</w:t>
      </w:r>
      <w:r w:rsidR="007B5B71">
        <w:t xml:space="preserve">. </w:t>
      </w:r>
      <w:r w:rsidR="007B5B71" w:rsidRPr="007B5B71">
        <w:t xml:space="preserve">Riksbanken ansåg </w:t>
      </w:r>
      <w:r w:rsidR="007B5B71">
        <w:t>därför</w:t>
      </w:r>
      <w:r w:rsidR="007B5B71" w:rsidRPr="007B5B71">
        <w:t xml:space="preserve"> att de svenska ba</w:t>
      </w:r>
      <w:r w:rsidR="007B5B71" w:rsidRPr="007B5B71">
        <w:t>n</w:t>
      </w:r>
      <w:r w:rsidR="007B5B71" w:rsidRPr="007B5B71">
        <w:t>kernas bör åläggas ett bruttosoliditetskrav på 5 procent, vilket är högre än minimikravet på 3 procent. Riksbanken ansåg att kravet skulle införas</w:t>
      </w:r>
      <w:r w:rsidR="007B5B71">
        <w:t xml:space="preserve"> gradvis mellan 2016 och 2018. </w:t>
      </w:r>
    </w:p>
    <w:p w:rsidR="00D86B41" w:rsidRDefault="00D86B41" w:rsidP="00F03D5A">
      <w:pPr>
        <w:pStyle w:val="R4"/>
        <w:outlineLvl w:val="0"/>
        <w:rPr>
          <w:szCs w:val="21"/>
        </w:rPr>
      </w:pPr>
      <w:r w:rsidRPr="00C521E6">
        <w:rPr>
          <w:szCs w:val="21"/>
        </w:rPr>
        <w:t>Riksbanken deltar i tillsynskollegi</w:t>
      </w:r>
      <w:r w:rsidR="00231F46">
        <w:rPr>
          <w:szCs w:val="21"/>
        </w:rPr>
        <w:t>um</w:t>
      </w:r>
    </w:p>
    <w:p w:rsidR="00D86B41" w:rsidRDefault="00D86B41" w:rsidP="00A61CF9">
      <w:r>
        <w:t xml:space="preserve">Riksbanken </w:t>
      </w:r>
      <w:r w:rsidR="00432BA2">
        <w:t xml:space="preserve">deltar </w:t>
      </w:r>
      <w:r>
        <w:t>sedan 20</w:t>
      </w:r>
      <w:r w:rsidR="00B64D61">
        <w:t>14 i tillsynskollegiet</w:t>
      </w:r>
      <w:r>
        <w:t xml:space="preserve"> </w:t>
      </w:r>
      <w:r w:rsidR="00064AE2">
        <w:t>för</w:t>
      </w:r>
      <w:r>
        <w:t xml:space="preserve"> Nasdaq OMX Clearing AB, den svenska centrala motparten för derivat. Att det ska finnas ett tillsyn</w:t>
      </w:r>
      <w:r>
        <w:t>s</w:t>
      </w:r>
      <w:r>
        <w:t xml:space="preserve">kollegium för Nasdaq OMX Clearing AB är reglerat genom </w:t>
      </w:r>
      <w:r w:rsidR="00C61D16">
        <w:t>Emir</w:t>
      </w:r>
      <w:r>
        <w:t>, den</w:t>
      </w:r>
      <w:r w:rsidR="00F104C7">
        <w:t xml:space="preserve"> eur</w:t>
      </w:r>
      <w:r w:rsidR="00F104C7">
        <w:t>o</w:t>
      </w:r>
      <w:r w:rsidR="00F104C7">
        <w:t xml:space="preserve">peiska </w:t>
      </w:r>
      <w:r>
        <w:t>lagstiftning som bland annat reglerar centrala motparter inom EU. Tillsynskollegiet har till uppgift att lämna yttrande</w:t>
      </w:r>
      <w:r w:rsidR="00B64D61">
        <w:t>n</w:t>
      </w:r>
      <w:r>
        <w:t xml:space="preserve"> i auktorisationsför</w:t>
      </w:r>
      <w:r w:rsidR="0058676E">
        <w:softHyphen/>
      </w:r>
      <w:r>
        <w:t>faranden, men har också löpande tillsynsuppgifter så</w:t>
      </w:r>
      <w:r w:rsidR="001E7B04">
        <w:t xml:space="preserve"> </w:t>
      </w:r>
      <w:r>
        <w:t>som utbyte av informa</w:t>
      </w:r>
      <w:r w:rsidR="0058676E">
        <w:softHyphen/>
      </w:r>
      <w:r>
        <w:t>t</w:t>
      </w:r>
      <w:r>
        <w:t>ion, samordning av tillsynsgranskning och fastställande av beredskapsplaner för krissituationer. Riksbankens deltagande i tillsynskoll</w:t>
      </w:r>
      <w:r>
        <w:t>e</w:t>
      </w:r>
      <w:r>
        <w:t xml:space="preserve">giet för Nasdaq OMX Clearing AB är en lagstadgad skyldighet enligt </w:t>
      </w:r>
      <w:r w:rsidR="00C61D16">
        <w:t>Emir</w:t>
      </w:r>
      <w:r>
        <w:t>.</w:t>
      </w:r>
    </w:p>
    <w:p w:rsidR="004A4517" w:rsidRDefault="00D86B41" w:rsidP="00C521E6">
      <w:pPr>
        <w:pStyle w:val="R4"/>
        <w:outlineLvl w:val="0"/>
        <w:rPr>
          <w:szCs w:val="21"/>
        </w:rPr>
      </w:pPr>
      <w:r w:rsidRPr="00CD464F">
        <w:rPr>
          <w:szCs w:val="21"/>
        </w:rPr>
        <w:t>Riksbankens remiss</w:t>
      </w:r>
      <w:r w:rsidR="004A4517" w:rsidRPr="00CD464F">
        <w:rPr>
          <w:szCs w:val="21"/>
        </w:rPr>
        <w:t>var till Finanskriskommittén</w:t>
      </w:r>
      <w:r w:rsidRPr="00CD464F">
        <w:rPr>
          <w:szCs w:val="21"/>
        </w:rPr>
        <w:t xml:space="preserve"> </w:t>
      </w:r>
    </w:p>
    <w:p w:rsidR="00D86B41" w:rsidRPr="004A4517" w:rsidRDefault="004A4517" w:rsidP="0058676E">
      <w:pPr>
        <w:suppressAutoHyphens/>
        <w:rPr>
          <w:i/>
          <w:szCs w:val="19"/>
        </w:rPr>
      </w:pPr>
      <w:r w:rsidRPr="004A4517">
        <w:t xml:space="preserve">Riksbanken lämnade i ett remissyttrande synpunkter </w:t>
      </w:r>
      <w:r w:rsidRPr="009B1DA8">
        <w:t>på</w:t>
      </w:r>
      <w:r w:rsidR="00D86B41" w:rsidRPr="009B1DA8">
        <w:rPr>
          <w:szCs w:val="19"/>
        </w:rPr>
        <w:t xml:space="preserve"> Finanskriskommitténs </w:t>
      </w:r>
      <w:r w:rsidR="00532A84" w:rsidRPr="009B1DA8">
        <w:rPr>
          <w:szCs w:val="19"/>
        </w:rPr>
        <w:t xml:space="preserve">(FKK) </w:t>
      </w:r>
      <w:r w:rsidR="00D86B41" w:rsidRPr="009B1DA8">
        <w:rPr>
          <w:szCs w:val="19"/>
        </w:rPr>
        <w:t>slutbetänkande Resolution – en ny metod för att hantera banker i kris (SOU 2014:52)</w:t>
      </w:r>
      <w:r w:rsidRPr="009B1DA8">
        <w:rPr>
          <w:szCs w:val="19"/>
        </w:rPr>
        <w:t>.</w:t>
      </w:r>
      <w:r w:rsidR="004203D0" w:rsidRPr="009B1DA8">
        <w:rPr>
          <w:szCs w:val="19"/>
        </w:rPr>
        <w:t xml:space="preserve"> Slutbetänkandet var en utveckling av det delbetänkande som kommittén lämnade 2013, vilket Riksbanken också kommenterade i ett remissyttrande </w:t>
      </w:r>
      <w:r w:rsidR="00115181" w:rsidRPr="009B1DA8">
        <w:rPr>
          <w:szCs w:val="19"/>
        </w:rPr>
        <w:t>samma år</w:t>
      </w:r>
      <w:r w:rsidR="004203D0" w:rsidRPr="009B1DA8">
        <w:rPr>
          <w:szCs w:val="19"/>
        </w:rPr>
        <w:t>.</w:t>
      </w:r>
      <w:r w:rsidR="00391D43" w:rsidRPr="009B1DA8">
        <w:rPr>
          <w:szCs w:val="19"/>
        </w:rPr>
        <w:t xml:space="preserve"> </w:t>
      </w:r>
      <w:r w:rsidR="00901CAD" w:rsidRPr="009B1DA8">
        <w:rPr>
          <w:szCs w:val="19"/>
        </w:rPr>
        <w:t xml:space="preserve">Riksbanken välkomnade </w:t>
      </w:r>
      <w:r w:rsidR="00532A84" w:rsidRPr="009B1DA8">
        <w:rPr>
          <w:szCs w:val="19"/>
        </w:rPr>
        <w:t xml:space="preserve">FKK:s </w:t>
      </w:r>
      <w:r w:rsidR="00901CAD" w:rsidRPr="009B1DA8">
        <w:rPr>
          <w:szCs w:val="19"/>
        </w:rPr>
        <w:t>förslag</w:t>
      </w:r>
      <w:r w:rsidR="004203D0" w:rsidRPr="009B1DA8">
        <w:rPr>
          <w:szCs w:val="19"/>
        </w:rPr>
        <w:t xml:space="preserve"> i slutbetän</w:t>
      </w:r>
      <w:r w:rsidR="0058676E">
        <w:rPr>
          <w:szCs w:val="19"/>
        </w:rPr>
        <w:softHyphen/>
      </w:r>
      <w:r w:rsidR="004203D0" w:rsidRPr="009B1DA8">
        <w:rPr>
          <w:szCs w:val="19"/>
        </w:rPr>
        <w:t>kandet</w:t>
      </w:r>
      <w:r w:rsidR="00901CAD" w:rsidRPr="009B1DA8">
        <w:rPr>
          <w:szCs w:val="19"/>
        </w:rPr>
        <w:t>. Kommitténs bedömningar delades i stora drag av Riksbanken</w:t>
      </w:r>
      <w:r w:rsidR="00E032BD" w:rsidRPr="009B1DA8">
        <w:rPr>
          <w:szCs w:val="19"/>
        </w:rPr>
        <w:t xml:space="preserve"> (för samtliga ståndpunkter i remissyttrandet, se www.riksbank.se)</w:t>
      </w:r>
      <w:r w:rsidR="00901CAD" w:rsidRPr="009B1DA8">
        <w:rPr>
          <w:szCs w:val="19"/>
        </w:rPr>
        <w:t>. I delar av FKK:s förslag föreslog dock Riksbanken förtydliganden eller alternativa lösningar.</w:t>
      </w:r>
      <w:r w:rsidR="00961C2B" w:rsidRPr="009B1DA8">
        <w:rPr>
          <w:szCs w:val="19"/>
        </w:rPr>
        <w:t xml:space="preserve"> Ett exempel på</w:t>
      </w:r>
      <w:r w:rsidR="001E510D" w:rsidRPr="009B1DA8">
        <w:rPr>
          <w:szCs w:val="19"/>
        </w:rPr>
        <w:t xml:space="preserve"> en</w:t>
      </w:r>
      <w:r w:rsidR="00961C2B" w:rsidRPr="009B1DA8">
        <w:rPr>
          <w:szCs w:val="19"/>
        </w:rPr>
        <w:t xml:space="preserve"> alternativ lösning som</w:t>
      </w:r>
      <w:r w:rsidR="001E510D" w:rsidRPr="009B1DA8">
        <w:rPr>
          <w:szCs w:val="19"/>
        </w:rPr>
        <w:t xml:space="preserve"> Riksbanken lyfte fram</w:t>
      </w:r>
      <w:r w:rsidR="00961C2B" w:rsidRPr="009B1DA8">
        <w:rPr>
          <w:szCs w:val="19"/>
        </w:rPr>
        <w:t xml:space="preserve"> var att Riksbanken ska involveras i et</w:t>
      </w:r>
      <w:r w:rsidR="001E510D" w:rsidRPr="009B1DA8">
        <w:rPr>
          <w:szCs w:val="19"/>
        </w:rPr>
        <w:t xml:space="preserve">t tidigt skede </w:t>
      </w:r>
      <w:r w:rsidR="0050278A" w:rsidRPr="009B1DA8">
        <w:rPr>
          <w:szCs w:val="19"/>
        </w:rPr>
        <w:t>när</w:t>
      </w:r>
      <w:r w:rsidR="001E510D" w:rsidRPr="009B1DA8">
        <w:rPr>
          <w:szCs w:val="19"/>
        </w:rPr>
        <w:t xml:space="preserve"> en resolution</w:t>
      </w:r>
      <w:r w:rsidR="0050278A" w:rsidRPr="009B1DA8">
        <w:rPr>
          <w:szCs w:val="19"/>
        </w:rPr>
        <w:t xml:space="preserve"> upprättas</w:t>
      </w:r>
      <w:r w:rsidR="00961C2B" w:rsidRPr="009B1DA8">
        <w:rPr>
          <w:szCs w:val="19"/>
        </w:rPr>
        <w:t xml:space="preserve">. </w:t>
      </w:r>
      <w:r w:rsidR="00901CAD" w:rsidRPr="009B1DA8">
        <w:rPr>
          <w:szCs w:val="19"/>
        </w:rPr>
        <w:t>Riksbanken föreslog också att vissa frågor skulle utredas i särskild ordning</w:t>
      </w:r>
      <w:r w:rsidR="006545F9" w:rsidRPr="009B1DA8">
        <w:rPr>
          <w:szCs w:val="19"/>
        </w:rPr>
        <w:t>, exempelvis förutsättningarna för resolution av finansiell infrastruktur</w:t>
      </w:r>
      <w:r w:rsidR="001E510D" w:rsidRPr="009B1DA8">
        <w:rPr>
          <w:szCs w:val="19"/>
        </w:rPr>
        <w:t>.</w:t>
      </w:r>
      <w:r w:rsidR="00E032BD">
        <w:rPr>
          <w:i/>
          <w:szCs w:val="19"/>
        </w:rPr>
        <w:t xml:space="preserve"> </w:t>
      </w:r>
    </w:p>
    <w:p w:rsidR="00730ED1" w:rsidRDefault="00422992" w:rsidP="00730ED1">
      <w:pPr>
        <w:pStyle w:val="R3"/>
      </w:pPr>
      <w:r>
        <w:t xml:space="preserve">Fördjupad analys av </w:t>
      </w:r>
      <w:r w:rsidR="00F104C7">
        <w:t>det finansiella systemet</w:t>
      </w:r>
    </w:p>
    <w:p w:rsidR="00422992" w:rsidRDefault="00422992" w:rsidP="0058676E">
      <w:pPr>
        <w:suppressAutoHyphens/>
      </w:pPr>
      <w:r w:rsidRPr="00422992">
        <w:t xml:space="preserve">Utöver att delta i det löpande internationella och nationella arbetet med utformningen av finansiella regelverk fortsatte Riksbanken att fördjupa analysen av det finansiella systemet i Sverige. Det handlade under året bland annat om att få en bättre bild av de svenska hushållens skulder, studera utvecklingen på betalningsmarknaden </w:t>
      </w:r>
      <w:r w:rsidR="00F949BB">
        <w:t>och</w:t>
      </w:r>
      <w:r w:rsidR="00F949BB" w:rsidRPr="00422992">
        <w:t xml:space="preserve"> </w:t>
      </w:r>
      <w:r w:rsidRPr="00422992">
        <w:t>att analysera effekterna och kon</w:t>
      </w:r>
      <w:r w:rsidR="00784EB6">
        <w:softHyphen/>
      </w:r>
      <w:r w:rsidRPr="00422992">
        <w:t>sekvenserna av de nya regleringa</w:t>
      </w:r>
      <w:r w:rsidR="00064AE2">
        <w:t>r</w:t>
      </w:r>
      <w:r w:rsidRPr="00422992">
        <w:t xml:space="preserve"> som har </w:t>
      </w:r>
      <w:r w:rsidR="00F949BB">
        <w:t>genomförts</w:t>
      </w:r>
      <w:r w:rsidR="00F949BB" w:rsidRPr="00422992">
        <w:t xml:space="preserve"> </w:t>
      </w:r>
      <w:r w:rsidRPr="00422992">
        <w:t xml:space="preserve">eller kommer att </w:t>
      </w:r>
      <w:r w:rsidR="00F949BB">
        <w:t>genomföras</w:t>
      </w:r>
      <w:r w:rsidR="00F949BB" w:rsidRPr="00422992">
        <w:t xml:space="preserve"> </w:t>
      </w:r>
      <w:r w:rsidRPr="00422992">
        <w:t>i svensk lagsti</w:t>
      </w:r>
      <w:r>
        <w:t xml:space="preserve">ftning som </w:t>
      </w:r>
      <w:r w:rsidR="00F949BB">
        <w:t xml:space="preserve">en </w:t>
      </w:r>
      <w:r>
        <w:t xml:space="preserve">följd av den </w:t>
      </w:r>
      <w:r w:rsidR="00D14BE2">
        <w:t>internationella finan</w:t>
      </w:r>
      <w:r w:rsidR="0058676E">
        <w:softHyphen/>
      </w:r>
      <w:r w:rsidR="00D14BE2">
        <w:t xml:space="preserve">siella </w:t>
      </w:r>
      <w:r w:rsidRPr="00422992">
        <w:t>kri</w:t>
      </w:r>
      <w:r>
        <w:t xml:space="preserve">sen. </w:t>
      </w:r>
    </w:p>
    <w:p w:rsidR="00422992" w:rsidRPr="007A63B2" w:rsidRDefault="00422992" w:rsidP="007A63B2">
      <w:pPr>
        <w:pStyle w:val="R4"/>
        <w:outlineLvl w:val="0"/>
      </w:pPr>
      <w:r w:rsidRPr="007A63B2">
        <w:t>Strukturomvandling i det finansiella systemet</w:t>
      </w:r>
    </w:p>
    <w:p w:rsidR="00D035FF" w:rsidRDefault="00422992" w:rsidP="0058676E">
      <w:pPr>
        <w:suppressAutoHyphens/>
      </w:pPr>
      <w:r>
        <w:t>Riksbanken fortsatte under året att studera vilka strukturella förändringar det svenska finansiella systemet står inför till följd av nya och kommande regle</w:t>
      </w:r>
      <w:r w:rsidR="0058676E">
        <w:softHyphen/>
      </w:r>
      <w:r>
        <w:t xml:space="preserve">ringar </w:t>
      </w:r>
      <w:r w:rsidR="00F949BB">
        <w:t xml:space="preserve">och </w:t>
      </w:r>
      <w:r>
        <w:t xml:space="preserve">hur den finansiella stabiliteten kan komma att påverkas av dessa förändringar. Inom ramen för detta projekt publicerade Riksbanken </w:t>
      </w:r>
      <w:r w:rsidR="00F52F18">
        <w:t>ett antal</w:t>
      </w:r>
      <w:r>
        <w:t xml:space="preserve"> delstudier under 2014. Dessa delstudier behandlade frågor kopplade till värdepapperisering, </w:t>
      </w:r>
      <w:r w:rsidR="007A63B2">
        <w:t>instrument för skuldnedskrivning</w:t>
      </w:r>
      <w:r>
        <w:t xml:space="preserve">, skuggbanksektorn </w:t>
      </w:r>
      <w:r w:rsidR="002D4171">
        <w:t>och</w:t>
      </w:r>
      <w:r w:rsidR="00F949BB">
        <w:t xml:space="preserve"> </w:t>
      </w:r>
      <w:r w:rsidR="007A63B2">
        <w:t xml:space="preserve">finansieringen av </w:t>
      </w:r>
      <w:r>
        <w:t>icke-finansiella före</w:t>
      </w:r>
      <w:r w:rsidR="00D035FF">
        <w:t>tag.</w:t>
      </w:r>
      <w:r w:rsidR="007A63B2">
        <w:t xml:space="preserve"> </w:t>
      </w:r>
    </w:p>
    <w:p w:rsidR="00422992" w:rsidRPr="00226453" w:rsidRDefault="00422992" w:rsidP="00226453">
      <w:pPr>
        <w:pStyle w:val="R4"/>
        <w:outlineLvl w:val="0"/>
      </w:pPr>
      <w:r w:rsidRPr="00226453">
        <w:t>Riksbanken samlar in nytt datamaterial för att få en bättre bild av hushållens skulder</w:t>
      </w:r>
    </w:p>
    <w:p w:rsidR="00B85FD9" w:rsidRDefault="00422992" w:rsidP="0058676E">
      <w:pPr>
        <w:suppressAutoHyphens/>
      </w:pPr>
      <w:r>
        <w:t xml:space="preserve">För att få en mer fullständig bild av hushållens skuldsättning samlade Riksbanken under </w:t>
      </w:r>
      <w:smartTag w:uri="urn:schemas-microsoft-com:office:smarttags" w:element="metricconverter">
        <w:smartTagPr>
          <w:attr w:name="ProductID" w:val="2013 in"/>
        </w:smartTagPr>
        <w:r>
          <w:t>2013 in</w:t>
        </w:r>
      </w:smartTag>
      <w:r>
        <w:t xml:space="preserve"> uppgifter om hushållens krediter från de åtta största kreditinstituten. Under 2</w:t>
      </w:r>
      <w:r w:rsidR="00061FCA">
        <w:t xml:space="preserve">014 </w:t>
      </w:r>
      <w:r w:rsidR="009A7235">
        <w:t xml:space="preserve">uppdaterades </w:t>
      </w:r>
      <w:r w:rsidR="00B85FD9">
        <w:t>uppgifterna</w:t>
      </w:r>
      <w:r w:rsidR="009A7235">
        <w:t xml:space="preserve">. </w:t>
      </w:r>
      <w:r w:rsidR="004B3750" w:rsidRPr="003C4FC6">
        <w:t>Analyser</w:t>
      </w:r>
      <w:r w:rsidR="00842EA1" w:rsidRPr="003C4FC6">
        <w:t>na</w:t>
      </w:r>
      <w:r w:rsidR="004B3750" w:rsidRPr="003C4FC6">
        <w:t xml:space="preserve"> </w:t>
      </w:r>
      <w:r w:rsidR="00842EA1" w:rsidRPr="003C4FC6">
        <w:t>av datamaterialet, som bland annat presenterades i den ekonomiska kommen</w:t>
      </w:r>
      <w:r w:rsidR="0058676E">
        <w:softHyphen/>
      </w:r>
      <w:r w:rsidR="00842EA1" w:rsidRPr="003C4FC6">
        <w:t xml:space="preserve">taren Hur skuldsatta är de svenska hushållen?, </w:t>
      </w:r>
      <w:r w:rsidRPr="003C4FC6">
        <w:t>visade att oavsett om man ser till skuldsatta individer, skuldsatta hushåll eller individer och hushåll med bolån är skuldkvoten</w:t>
      </w:r>
      <w:r w:rsidR="006342B2" w:rsidRPr="003C4FC6">
        <w:t xml:space="preserve"> hög.</w:t>
      </w:r>
      <w:r w:rsidR="006342B2">
        <w:t xml:space="preserve"> Exempelvis var skuldkvoten</w:t>
      </w:r>
      <w:r>
        <w:t xml:space="preserve"> i genomsnitt</w:t>
      </w:r>
      <w:r w:rsidR="006342B2">
        <w:t xml:space="preserve"> under juli 201</w:t>
      </w:r>
      <w:r w:rsidR="00CC6E3E">
        <w:t>4</w:t>
      </w:r>
      <w:r w:rsidR="006342B2">
        <w:t xml:space="preserve"> </w:t>
      </w:r>
      <w:r w:rsidR="00CC6E3E">
        <w:t>över</w:t>
      </w:r>
      <w:r w:rsidR="006342B2">
        <w:t xml:space="preserve"> 300 procent för skuldsatta </w:t>
      </w:r>
      <w:r w:rsidR="00CC6E3E">
        <w:t>hushåll med bolån.</w:t>
      </w:r>
      <w:r w:rsidR="006342B2">
        <w:t xml:space="preserve"> </w:t>
      </w:r>
      <w:r w:rsidR="00CC6E3E">
        <w:t xml:space="preserve">För nya bolånetagare var skuldkvoten över 350 procent. </w:t>
      </w:r>
      <w:r w:rsidR="0024259B">
        <w:t>Den</w:t>
      </w:r>
      <w:r w:rsidR="00CC6E3E">
        <w:t xml:space="preserve"> genomsnittliga skuldkvoten för hushåll med bolån steg dessutom mellan 2013 och 2014. </w:t>
      </w:r>
    </w:p>
    <w:p w:rsidR="00422992" w:rsidRDefault="00422992" w:rsidP="006342B2">
      <w:pPr>
        <w:pStyle w:val="Normaltindrag"/>
      </w:pPr>
      <w:r>
        <w:t xml:space="preserve">För hushåll med bolån visade analysen också att skuldkvoten i genomsnitt var högre än 400 procent i de tre storstadskommunerna och drygt 300 procent i övriga landet. Statistiken visade även att </w:t>
      </w:r>
      <w:r w:rsidR="00814BAE">
        <w:t xml:space="preserve">fyra av </w:t>
      </w:r>
      <w:r w:rsidR="008B42D4">
        <w:t>tio</w:t>
      </w:r>
      <w:r w:rsidR="00814BAE">
        <w:t xml:space="preserve"> låntagare inte minskar sin skuld och </w:t>
      </w:r>
      <w:r w:rsidR="00B64D61">
        <w:t xml:space="preserve">att </w:t>
      </w:r>
      <w:r w:rsidR="00814BAE">
        <w:t>de som gör det minskar den mycket långsamt</w:t>
      </w:r>
      <w:r>
        <w:t xml:space="preserve">. </w:t>
      </w:r>
    </w:p>
    <w:p w:rsidR="00422992" w:rsidRPr="00562DE8" w:rsidRDefault="00422992" w:rsidP="00562DE8">
      <w:pPr>
        <w:pStyle w:val="R4"/>
        <w:outlineLvl w:val="0"/>
      </w:pPr>
      <w:r w:rsidRPr="00562DE8">
        <w:t>Riksban</w:t>
      </w:r>
      <w:r w:rsidR="00B40C2B" w:rsidRPr="00562DE8">
        <w:t>ken analyserar riskerna med vir</w:t>
      </w:r>
      <w:r w:rsidRPr="00562DE8">
        <w:t>tuella valutor</w:t>
      </w:r>
    </w:p>
    <w:p w:rsidR="00422992" w:rsidRDefault="00422992" w:rsidP="004F1746">
      <w:r>
        <w:t>Riksbanken följde och analyserade under året utveckling</w:t>
      </w:r>
      <w:r w:rsidR="00B40C2B">
        <w:t>en kring virtuella valutor. Vir</w:t>
      </w:r>
      <w:r>
        <w:t>tuella valutor finns i många former och är oftast avsedda för att användas för betalningar på Internet. Ett ex</w:t>
      </w:r>
      <w:r w:rsidR="00B40C2B">
        <w:t>empel på en vir</w:t>
      </w:r>
      <w:r>
        <w:t>tuell valuta är Bitcoin. De övergripande slutsatserna från</w:t>
      </w:r>
      <w:r w:rsidR="00B40C2B">
        <w:t xml:space="preserve"> Riksbankens analys var att vir</w:t>
      </w:r>
      <w:r>
        <w:t>tu</w:t>
      </w:r>
      <w:r w:rsidR="001C48ED">
        <w:softHyphen/>
      </w:r>
      <w:r>
        <w:t>e</w:t>
      </w:r>
      <w:r>
        <w:t>l</w:t>
      </w:r>
      <w:r>
        <w:t>la valutor endas</w:t>
      </w:r>
      <w:r w:rsidR="00064AE2">
        <w:t>t</w:t>
      </w:r>
      <w:r>
        <w:t xml:space="preserve"> används i </w:t>
      </w:r>
      <w:r w:rsidR="006922BE">
        <w:t xml:space="preserve">begränsad </w:t>
      </w:r>
      <w:r>
        <w:t>utsträckning och att de inte hade haft någon inverkan på det svenska betalningssystemets effektivitet och s</w:t>
      </w:r>
      <w:r>
        <w:t>ä</w:t>
      </w:r>
      <w:r>
        <w:t xml:space="preserve">kerhet. </w:t>
      </w:r>
    </w:p>
    <w:p w:rsidR="00422992" w:rsidRDefault="00422992" w:rsidP="006606DF">
      <w:pPr>
        <w:pStyle w:val="R4"/>
        <w:outlineLvl w:val="0"/>
      </w:pPr>
      <w:r w:rsidRPr="009F48D9">
        <w:t xml:space="preserve">Riksbankens arbete med betalningsmarknaden </w:t>
      </w:r>
    </w:p>
    <w:p w:rsidR="00422992" w:rsidRDefault="00422992" w:rsidP="004F1746">
      <w:r>
        <w:t>Som en del av arbetet med finansiell stabilitet kartlägger Riksbanken löpande trender och innovationer på b</w:t>
      </w:r>
      <w:r w:rsidR="00B27D6D">
        <w:t>etalningsmarknaden. Riksbanken genomförde</w:t>
      </w:r>
      <w:r>
        <w:t xml:space="preserve"> under året två studier i syfte att</w:t>
      </w:r>
      <w:r w:rsidR="00291698" w:rsidRPr="00291698">
        <w:t xml:space="preserve"> få bättre kunskap om och förståelse för hur betal</w:t>
      </w:r>
      <w:r w:rsidR="00CB0AE8">
        <w:t>nings</w:t>
      </w:r>
      <w:r w:rsidR="00291698" w:rsidRPr="00291698">
        <w:t xml:space="preserve">marknaden ser ut. Den ena studien </w:t>
      </w:r>
      <w:r w:rsidR="00B27D6D">
        <w:t>var</w:t>
      </w:r>
      <w:r w:rsidR="00291698" w:rsidRPr="00291698">
        <w:t xml:space="preserve"> en enkätundersökning om </w:t>
      </w:r>
      <w:r w:rsidR="003815FE">
        <w:t>svenska folkets betalningsvanor. D</w:t>
      </w:r>
      <w:r w:rsidR="00291698" w:rsidRPr="00291698">
        <w:t xml:space="preserve">en andra studien </w:t>
      </w:r>
      <w:r w:rsidR="003815FE">
        <w:t>var</w:t>
      </w:r>
      <w:r w:rsidR="00291698" w:rsidRPr="00291698">
        <w:t xml:space="preserve"> en kartläggning av marknaden för betalningar</w:t>
      </w:r>
      <w:r w:rsidR="00B27D6D">
        <w:t>,</w:t>
      </w:r>
      <w:r w:rsidR="00291698" w:rsidRPr="00291698">
        <w:t xml:space="preserve"> tillgång</w:t>
      </w:r>
      <w:r w:rsidR="00B27D6D">
        <w:t>en</w:t>
      </w:r>
      <w:r w:rsidR="00291698" w:rsidRPr="00291698">
        <w:t xml:space="preserve"> till betaltjänster </w:t>
      </w:r>
      <w:r w:rsidR="00B27D6D">
        <w:t>och</w:t>
      </w:r>
      <w:r w:rsidR="00291698" w:rsidRPr="00291698">
        <w:t xml:space="preserve"> vilka brister som finns med den nuvarande marknaden. Resultaten från båda studi</w:t>
      </w:r>
      <w:r w:rsidR="006D5633">
        <w:t>erna visade</w:t>
      </w:r>
      <w:r w:rsidR="00291698" w:rsidRPr="00291698">
        <w:t xml:space="preserve"> att tillgången till betaltjänster generellt är god. En av studierna visa</w:t>
      </w:r>
      <w:r w:rsidR="00B27D6D">
        <w:t>de</w:t>
      </w:r>
      <w:r w:rsidR="00291698" w:rsidRPr="00291698">
        <w:t xml:space="preserve"> dock att det finns utsatta grupper som behöver hjälp och utbildning </w:t>
      </w:r>
      <w:r w:rsidR="001947F3">
        <w:t>och</w:t>
      </w:r>
      <w:r w:rsidR="001947F3" w:rsidRPr="00291698">
        <w:t xml:space="preserve"> </w:t>
      </w:r>
      <w:r w:rsidR="00291698" w:rsidRPr="00291698">
        <w:t>att vissa funk</w:t>
      </w:r>
      <w:r w:rsidR="0058676E">
        <w:softHyphen/>
      </w:r>
      <w:r w:rsidR="00291698" w:rsidRPr="00291698">
        <w:t xml:space="preserve">tioner och standarder för betalningar behöver förbättras. </w:t>
      </w:r>
      <w:r w:rsidR="00802E7C">
        <w:t>Den snabba utveck</w:t>
      </w:r>
      <w:r w:rsidR="00802E7C">
        <w:softHyphen/>
        <w:t>lingen på betalningsmarknaden motiverar också en tydligare ansvarsförde</w:t>
      </w:r>
      <w:r w:rsidR="00802E7C">
        <w:t>l</w:t>
      </w:r>
      <w:r w:rsidR="00802E7C">
        <w:t>ning mellan olika myndigheter</w:t>
      </w:r>
      <w:r w:rsidR="00D07829">
        <w:t xml:space="preserve">. </w:t>
      </w:r>
    </w:p>
    <w:p w:rsidR="00422992" w:rsidRPr="004E0CF7" w:rsidRDefault="00422992" w:rsidP="004E0CF7">
      <w:pPr>
        <w:pStyle w:val="R4"/>
        <w:outlineLvl w:val="0"/>
        <w:rPr>
          <w:highlight w:val="yellow"/>
        </w:rPr>
      </w:pPr>
      <w:r w:rsidRPr="009F48D9">
        <w:t>Riksbanken följer upp hur ramverket kring Stibor fungerar</w:t>
      </w:r>
    </w:p>
    <w:p w:rsidR="00745660" w:rsidRDefault="00422992" w:rsidP="0058676E">
      <w:pPr>
        <w:suppressAutoHyphens/>
      </w:pPr>
      <w:r>
        <w:t xml:space="preserve">Under 2011 och 2012 genomförde Riksbanken en </w:t>
      </w:r>
      <w:r w:rsidR="00C95C19">
        <w:t xml:space="preserve">omfattande utredning av </w:t>
      </w:r>
      <w:r w:rsidR="008D03B7">
        <w:t xml:space="preserve">referensräntan </w:t>
      </w:r>
      <w:r w:rsidR="00C95C19">
        <w:t>Stibor.</w:t>
      </w:r>
      <w:r>
        <w:t xml:space="preserve"> Denna utredning visade på ett antal brister i ramverket kring Stibor och Riksbanken </w:t>
      </w:r>
      <w:r w:rsidR="00C95C19">
        <w:t>utfärdade</w:t>
      </w:r>
      <w:r>
        <w:t xml:space="preserve"> därför i november 2012 rekommenda</w:t>
      </w:r>
      <w:r w:rsidR="0058676E">
        <w:softHyphen/>
      </w:r>
      <w:r>
        <w:t>tioner om Stibor till bankerna i det svenska banksystemet. De rekommen</w:t>
      </w:r>
      <w:r w:rsidR="0058676E">
        <w:softHyphen/>
      </w:r>
      <w:r>
        <w:t>derade åtgärderna har sedan dess vidtagits. I samband med rekommenda</w:t>
      </w:r>
      <w:r w:rsidR="0058676E">
        <w:softHyphen/>
      </w:r>
      <w:r>
        <w:t>tionerna 2012 åtog sig Riksbanken att under 2014 återkomma med en ny utvärdering av Stibor för att följa upp reformarbetet och se över hur ram</w:t>
      </w:r>
      <w:r w:rsidR="0058676E">
        <w:softHyphen/>
      </w:r>
      <w:r>
        <w:t>verket kring Stibor fungerar. Riksbankens uppföljning visade bland annat att Stibor</w:t>
      </w:r>
      <w:r w:rsidR="00EB38D7">
        <w:t xml:space="preserve"> har varit rättvisande</w:t>
      </w:r>
      <w:r w:rsidR="00C95C19">
        <w:t xml:space="preserve"> </w:t>
      </w:r>
      <w:r>
        <w:t>sedan d</w:t>
      </w:r>
      <w:r w:rsidR="00EB38D7">
        <w:t>et nya ramverket trädde i kraft. Det innebär att ref</w:t>
      </w:r>
      <w:r w:rsidR="00EB38D7">
        <w:t>e</w:t>
      </w:r>
      <w:r w:rsidR="00EB38D7">
        <w:t>rensräntan</w:t>
      </w:r>
      <w:r>
        <w:t xml:space="preserve"> i genomsnitt har stämt </w:t>
      </w:r>
      <w:r w:rsidR="0024259B">
        <w:t>över</w:t>
      </w:r>
      <w:r>
        <w:t>ens med de räntor som används i faktiska transaktioner för de löptider som har varit möjlig</w:t>
      </w:r>
      <w:r w:rsidR="00CB19EA">
        <w:t>a</w:t>
      </w:r>
      <w:r>
        <w:t xml:space="preserve"> att göra</w:t>
      </w:r>
      <w:r w:rsidR="008D03B7" w:rsidRPr="008D03B7">
        <w:t xml:space="preserve"> </w:t>
      </w:r>
      <w:r w:rsidR="008D03B7">
        <w:t>jäm</w:t>
      </w:r>
      <w:r w:rsidR="0058676E">
        <w:softHyphen/>
      </w:r>
      <w:r w:rsidR="008D03B7">
        <w:t>förelser på</w:t>
      </w:r>
      <w:r>
        <w:t xml:space="preserve">. </w:t>
      </w:r>
    </w:p>
    <w:p w:rsidR="00AB52A1" w:rsidRPr="00043B0D" w:rsidRDefault="00AB52A1" w:rsidP="004F1746">
      <w:pPr>
        <w:pStyle w:val="R4"/>
        <w:pBdr>
          <w:top w:val="single" w:sz="4" w:space="1" w:color="auto"/>
          <w:left w:val="single" w:sz="4" w:space="4" w:color="auto"/>
          <w:bottom w:val="single" w:sz="4" w:space="1" w:color="auto"/>
          <w:right w:val="single" w:sz="4" w:space="4" w:color="auto"/>
        </w:pBdr>
        <w:rPr>
          <w:b/>
          <w:i w:val="0"/>
          <w:szCs w:val="21"/>
        </w:rPr>
      </w:pPr>
      <w:r w:rsidRPr="00043B0D">
        <w:t xml:space="preserve">Extern utvärdering av avdelningen </w:t>
      </w:r>
      <w:r w:rsidRPr="009945A2">
        <w:t xml:space="preserve">för </w:t>
      </w:r>
      <w:r w:rsidRPr="009945A2">
        <w:rPr>
          <w:szCs w:val="21"/>
        </w:rPr>
        <w:t>finansiell stabilitet</w:t>
      </w:r>
    </w:p>
    <w:p w:rsidR="00AB52A1" w:rsidRDefault="00AB52A1" w:rsidP="001E3231">
      <w:pPr>
        <w:pBdr>
          <w:top w:val="single" w:sz="4" w:space="1" w:color="auto"/>
          <w:left w:val="single" w:sz="4" w:space="4" w:color="auto"/>
          <w:bottom w:val="single" w:sz="4" w:space="1" w:color="auto"/>
          <w:right w:val="single" w:sz="4" w:space="4" w:color="auto"/>
        </w:pBdr>
        <w:suppressAutoHyphens/>
        <w:rPr>
          <w:b/>
        </w:rPr>
      </w:pPr>
      <w:r>
        <w:t xml:space="preserve">Mot bakgrund av </w:t>
      </w:r>
      <w:r w:rsidR="00292BDB">
        <w:t xml:space="preserve">Riksbankens </w:t>
      </w:r>
      <w:r>
        <w:t>organisationsförändring</w:t>
      </w:r>
      <w:r w:rsidR="00292BDB">
        <w:t xml:space="preserve"> </w:t>
      </w:r>
      <w:r>
        <w:t>och det faktum att Finansinspektionen under 2013 utså</w:t>
      </w:r>
      <w:r w:rsidR="00B01F28">
        <w:t>gs till makrotillsynsmyndighet</w:t>
      </w:r>
      <w:r>
        <w:t xml:space="preserve"> tillsattes under året en extern kommitté som hade i uppdrag att utvärdera Riksbankens avdelning för finansiell stabilitet. Gruppen bestod </w:t>
      </w:r>
      <w:r w:rsidR="00CF6C16">
        <w:t xml:space="preserve">av </w:t>
      </w:r>
      <w:r w:rsidR="00F52F18">
        <w:t>forskare</w:t>
      </w:r>
      <w:r>
        <w:t xml:space="preserve"> från utländska universitet och </w:t>
      </w:r>
      <w:r w:rsidR="00F52F18">
        <w:t>före detta centralbanksforskare</w:t>
      </w:r>
      <w:r>
        <w:t xml:space="preserve">. Kommittén hade i mandat att reflektera över Riksbankens roll i arbetet med finansiell stabilitet </w:t>
      </w:r>
      <w:r w:rsidR="00EB38D7">
        <w:t>och</w:t>
      </w:r>
      <w:r>
        <w:t xml:space="preserve"> att utvärdera </w:t>
      </w:r>
      <w:r w:rsidR="0047459D">
        <w:t xml:space="preserve">kvaliteten </w:t>
      </w:r>
      <w:r>
        <w:t>på arbetet som avdelningen bedriver. Kommittén ansåg att avdel</w:t>
      </w:r>
      <w:r w:rsidR="00B01F28">
        <w:t xml:space="preserve">ningens arbete är av god </w:t>
      </w:r>
      <w:r w:rsidR="0047459D">
        <w:t>kvalitet</w:t>
      </w:r>
      <w:r w:rsidR="00D46643">
        <w:t>. Den</w:t>
      </w:r>
      <w:r>
        <w:t xml:space="preserve"> gav också r</w:t>
      </w:r>
      <w:r>
        <w:t>e</w:t>
      </w:r>
      <w:r>
        <w:t>kommendationer för</w:t>
      </w:r>
      <w:r w:rsidR="00EB38D7">
        <w:t xml:space="preserve"> hur arbetet kunde förbättra</w:t>
      </w:r>
      <w:r w:rsidR="00D46643">
        <w:t xml:space="preserve">s; </w:t>
      </w:r>
      <w:r w:rsidR="00F52F18">
        <w:t xml:space="preserve">bland annat skulle </w:t>
      </w:r>
      <w:r w:rsidR="00D46643">
        <w:t>m</w:t>
      </w:r>
      <w:r>
        <w:t xml:space="preserve">er </w:t>
      </w:r>
      <w:r w:rsidR="00D46643">
        <w:t xml:space="preserve">resurser läggas på </w:t>
      </w:r>
      <w:r>
        <w:t>analys till policyarbetet</w:t>
      </w:r>
      <w:r w:rsidR="0047459D">
        <w:t>,</w:t>
      </w:r>
      <w:r>
        <w:t xml:space="preserve"> och samarbetet mellan avdelnin</w:t>
      </w:r>
      <w:r>
        <w:t>g</w:t>
      </w:r>
      <w:r>
        <w:t>en för finansiell stabilitet och avdelningen för penningpolitik</w:t>
      </w:r>
      <w:r w:rsidR="00EB38D7" w:rsidRPr="00EB38D7">
        <w:t xml:space="preserve"> </w:t>
      </w:r>
      <w:r w:rsidR="00EB38D7">
        <w:t>borde stärkas</w:t>
      </w:r>
      <w:r w:rsidR="00436A81">
        <w:t xml:space="preserve">. </w:t>
      </w:r>
      <w:r>
        <w:t xml:space="preserve">Vidare rekommenderade </w:t>
      </w:r>
      <w:r w:rsidR="003D4F40">
        <w:t>kommittén</w:t>
      </w:r>
      <w:r>
        <w:t xml:space="preserve"> att en central databas skapas på Riksbanken där data lagras oberoende av var </w:t>
      </w:r>
      <w:r w:rsidR="00EB38D7">
        <w:t xml:space="preserve">i banken </w:t>
      </w:r>
      <w:r>
        <w:t xml:space="preserve">den används, </w:t>
      </w:r>
      <w:r w:rsidR="003815FE">
        <w:t>och</w:t>
      </w:r>
      <w:r>
        <w:t xml:space="preserve"> att arbetet med finansiell infrast</w:t>
      </w:r>
      <w:r w:rsidR="00B01F28">
        <w:t>r</w:t>
      </w:r>
      <w:r>
        <w:t>uktur införlivas mer i avdelningens övriga ver</w:t>
      </w:r>
      <w:r>
        <w:t>k</w:t>
      </w:r>
      <w:r>
        <w:t>samhet.</w:t>
      </w:r>
      <w:r w:rsidRPr="00DA76F4">
        <w:rPr>
          <w:szCs w:val="19"/>
        </w:rPr>
        <w:t xml:space="preserve"> </w:t>
      </w:r>
    </w:p>
    <w:p w:rsidR="00AB52A1" w:rsidRPr="00546DCA" w:rsidRDefault="00BA3C0A" w:rsidP="00D1003B">
      <w:pPr>
        <w:pStyle w:val="R2"/>
        <w:rPr>
          <w:szCs w:val="27"/>
        </w:rPr>
      </w:pPr>
      <w:r w:rsidRPr="00546DCA">
        <w:rPr>
          <w:szCs w:val="27"/>
        </w:rPr>
        <w:t>Uppföljning</w:t>
      </w:r>
    </w:p>
    <w:p w:rsidR="00AB52A1" w:rsidRDefault="00422992" w:rsidP="00441B57">
      <w:r w:rsidRPr="00422992">
        <w:t xml:space="preserve">Det svenska finansiella systemet fungerade väl under </w:t>
      </w:r>
      <w:r w:rsidR="004C1B12">
        <w:t>2014</w:t>
      </w:r>
      <w:r w:rsidRPr="00422992">
        <w:t xml:space="preserve"> och kunde up</w:t>
      </w:r>
      <w:r w:rsidRPr="00422992">
        <w:t>p</w:t>
      </w:r>
      <w:r w:rsidRPr="00422992">
        <w:t>rätthålla sina funktioner.</w:t>
      </w:r>
      <w:r w:rsidR="002000B5">
        <w:t xml:space="preserve"> </w:t>
      </w:r>
      <w:r>
        <w:t>D</w:t>
      </w:r>
      <w:r w:rsidRPr="00422992">
        <w:t xml:space="preserve">e finansiella marknaderna i Sverige </w:t>
      </w:r>
      <w:r w:rsidR="00436A81">
        <w:t>och</w:t>
      </w:r>
      <w:r w:rsidR="001B5C55">
        <w:t xml:space="preserve"> </w:t>
      </w:r>
      <w:r w:rsidR="00576C42">
        <w:t xml:space="preserve">i </w:t>
      </w:r>
      <w:r w:rsidRPr="00422992">
        <w:t>omvär</w:t>
      </w:r>
      <w:r w:rsidRPr="00422992">
        <w:t>l</w:t>
      </w:r>
      <w:r w:rsidR="00436A81">
        <w:t>den uppvisade</w:t>
      </w:r>
      <w:r w:rsidRPr="00422992">
        <w:t xml:space="preserve"> låga nivåer av finansiell stress. Riskpremierna på flera mar</w:t>
      </w:r>
      <w:r w:rsidRPr="00422992">
        <w:t>k</w:t>
      </w:r>
      <w:r w:rsidRPr="00422992">
        <w:t xml:space="preserve">nader var historiskt låga trots </w:t>
      </w:r>
      <w:r w:rsidR="006307A8">
        <w:t>d</w:t>
      </w:r>
      <w:r w:rsidRPr="00422992">
        <w:t>en ökad</w:t>
      </w:r>
      <w:r w:rsidR="006307A8">
        <w:t>e</w:t>
      </w:r>
      <w:r w:rsidRPr="00422992">
        <w:t xml:space="preserve"> geopolitisk</w:t>
      </w:r>
      <w:r w:rsidR="006307A8">
        <w:t>a</w:t>
      </w:r>
      <w:r w:rsidRPr="00422992">
        <w:t xml:space="preserve"> oro</w:t>
      </w:r>
      <w:r w:rsidR="006307A8">
        <w:t>n</w:t>
      </w:r>
      <w:r w:rsidRPr="00422992">
        <w:t xml:space="preserve"> och </w:t>
      </w:r>
      <w:r w:rsidR="006307A8">
        <w:t xml:space="preserve">den </w:t>
      </w:r>
      <w:r w:rsidRPr="00422992">
        <w:t>dämpad</w:t>
      </w:r>
      <w:r w:rsidR="006307A8">
        <w:t>e</w:t>
      </w:r>
      <w:r w:rsidR="004B31C9">
        <w:t xml:space="preserve"> </w:t>
      </w:r>
      <w:r w:rsidRPr="00422992">
        <w:t>ekonomisk</w:t>
      </w:r>
      <w:r w:rsidR="006307A8">
        <w:t>a</w:t>
      </w:r>
      <w:r w:rsidRPr="00422992">
        <w:t xml:space="preserve"> återhä</w:t>
      </w:r>
      <w:r w:rsidR="001B5C55">
        <w:t>mtning</w:t>
      </w:r>
      <w:r w:rsidR="006307A8">
        <w:t>en</w:t>
      </w:r>
      <w:r w:rsidR="001B5C55">
        <w:t xml:space="preserve"> i både euroområdet och </w:t>
      </w:r>
      <w:r w:rsidRPr="00422992">
        <w:t xml:space="preserve">Sverige. </w:t>
      </w:r>
    </w:p>
    <w:p w:rsidR="00636FF9" w:rsidRDefault="00422992" w:rsidP="00636FF9">
      <w:pPr>
        <w:pStyle w:val="Normaltindrag"/>
      </w:pPr>
      <w:r w:rsidRPr="00422992">
        <w:t>De svenska bankernas goda lönsamhet, låga kreditförluster och relativt höga kärnprimärkapitalrelationer medförde att de hade god tillgång till mar</w:t>
      </w:r>
      <w:r w:rsidRPr="00422992">
        <w:t>k</w:t>
      </w:r>
      <w:r w:rsidRPr="00422992">
        <w:t xml:space="preserve">nadsfinansiering till låga kostnader. De svenska bankerna hade </w:t>
      </w:r>
      <w:r w:rsidR="006307A8">
        <w:t>därmed</w:t>
      </w:r>
      <w:r w:rsidRPr="00422992">
        <w:t xml:space="preserve"> inte några problem att förse hushåll och företag med krediter. Utlåningen till hushåll fortsatte att öka under året, i synnerhet utlåning</w:t>
      </w:r>
      <w:r w:rsidR="006307A8">
        <w:t>en</w:t>
      </w:r>
      <w:r w:rsidRPr="00422992">
        <w:t xml:space="preserve"> till bostadsköp. Utlåningen till företag ökade också men i lägre takt. Den finansiella infr</w:t>
      </w:r>
      <w:r w:rsidRPr="00422992">
        <w:t>a</w:t>
      </w:r>
      <w:r w:rsidRPr="00422992">
        <w:t xml:space="preserve">strukturen var </w:t>
      </w:r>
      <w:r w:rsidR="004C1B12">
        <w:t xml:space="preserve">säker och effektiv, men </w:t>
      </w:r>
      <w:r w:rsidRPr="00422992">
        <w:t xml:space="preserve">effektiviteten </w:t>
      </w:r>
      <w:r w:rsidR="006307A8">
        <w:t>skulle kunna</w:t>
      </w:r>
      <w:r w:rsidRPr="00422992">
        <w:t xml:space="preserve"> stärkas ytterligare genom förbättringar såväl</w:t>
      </w:r>
      <w:r w:rsidR="006307A8">
        <w:t xml:space="preserve"> i</w:t>
      </w:r>
      <w:r w:rsidRPr="00422992">
        <w:t xml:space="preserve"> enskilda systems verksamhet so</w:t>
      </w:r>
      <w:r w:rsidR="002000B5">
        <w:t>m i den svenska lagstiftningen.</w:t>
      </w:r>
      <w:r w:rsidRPr="00422992">
        <w:t xml:space="preserve"> </w:t>
      </w:r>
    </w:p>
    <w:p w:rsidR="00821732" w:rsidRPr="00FC73C2" w:rsidRDefault="00422992" w:rsidP="00636FF9">
      <w:pPr>
        <w:pStyle w:val="Normaltindrag"/>
      </w:pPr>
      <w:r w:rsidRPr="00422992">
        <w:t>Under året höjde Finansinspektionen riskviktsgolvet för svenska bolån till 25 procent, vilket Riksbanken också hade rekommenderat. De svenska sto</w:t>
      </w:r>
      <w:r w:rsidRPr="00422992">
        <w:t>r</w:t>
      </w:r>
      <w:r w:rsidRPr="00422992">
        <w:t>bankerna uppfyllde också rekommendationen om en kärnprimärkapital</w:t>
      </w:r>
      <w:r w:rsidR="00E01EB3">
        <w:softHyphen/>
      </w:r>
      <w:r w:rsidRPr="00422992">
        <w:t xml:space="preserve">relation på minst 12 procent. </w:t>
      </w:r>
      <w:r w:rsidR="004C1B12">
        <w:t>Riksbanken bedömde liksom tidigare att l</w:t>
      </w:r>
      <w:r w:rsidRPr="00422992">
        <w:t>ikvid</w:t>
      </w:r>
      <w:r w:rsidRPr="00422992">
        <w:t>i</w:t>
      </w:r>
      <w:r w:rsidRPr="00422992">
        <w:t>tetsriskerna i storbanker</w:t>
      </w:r>
      <w:r w:rsidR="004C1B12">
        <w:t>na alltjämt</w:t>
      </w:r>
      <w:r w:rsidRPr="00422992">
        <w:t xml:space="preserve"> </w:t>
      </w:r>
      <w:r w:rsidR="004C1B12">
        <w:t xml:space="preserve">var </w:t>
      </w:r>
      <w:r w:rsidRPr="00422992">
        <w:t>stora, de</w:t>
      </w:r>
      <w:r w:rsidR="0047459D">
        <w:t>n</w:t>
      </w:r>
      <w:r w:rsidRPr="00422992">
        <w:t xml:space="preserve"> strukturella likviditets</w:t>
      </w:r>
      <w:r w:rsidR="0047459D">
        <w:t>kvote</w:t>
      </w:r>
      <w:r w:rsidR="0047459D">
        <w:t>n</w:t>
      </w:r>
      <w:r w:rsidRPr="00422992">
        <w:t xml:space="preserve"> (NSFR) var fortfarande under 100 procent. Därtill hade storbankernas offen</w:t>
      </w:r>
      <w:r w:rsidRPr="00422992">
        <w:t>t</w:t>
      </w:r>
      <w:r w:rsidRPr="00422992">
        <w:t>liga rapportering inte förbättrats i den utsträckning som Riksbanken reko</w:t>
      </w:r>
      <w:r w:rsidRPr="00422992">
        <w:t>m</w:t>
      </w:r>
      <w:r w:rsidRPr="00422992">
        <w:t>mendera</w:t>
      </w:r>
      <w:r w:rsidR="006307A8">
        <w:t>t</w:t>
      </w:r>
      <w:r w:rsidRPr="00422992">
        <w:t>. En av fyra banker redovisade inte sin bruttosoliditet, två av fyra storbanker redovisade inte sin NSFR och tre av fyra storbanker redov</w:t>
      </w:r>
      <w:r w:rsidRPr="00422992">
        <w:t>i</w:t>
      </w:r>
      <w:r w:rsidRPr="00422992">
        <w:t xml:space="preserve">sade inte sina </w:t>
      </w:r>
      <w:r w:rsidR="00807840">
        <w:t xml:space="preserve">likviditetstäckningsgrader </w:t>
      </w:r>
      <w:r w:rsidRPr="00422992">
        <w:t xml:space="preserve">(LCR). </w:t>
      </w:r>
    </w:p>
    <w:p w:rsidR="00BD609B" w:rsidRPr="00805193" w:rsidRDefault="00BD609B" w:rsidP="00422992">
      <w:pPr>
        <w:pStyle w:val="R2"/>
        <w:rPr>
          <w:sz w:val="32"/>
          <w:szCs w:val="32"/>
        </w:rPr>
      </w:pPr>
      <w:r w:rsidRPr="00805193">
        <w:rPr>
          <w:sz w:val="32"/>
          <w:szCs w:val="32"/>
        </w:rPr>
        <w:t>Betalningssystemet RIX</w:t>
      </w:r>
    </w:p>
    <w:p w:rsidR="00B55632" w:rsidRDefault="00A747B8" w:rsidP="00441B57">
      <w:r>
        <w:t>Betalningssystemet RIX</w:t>
      </w:r>
      <w:r w:rsidR="00CD20DD">
        <w:t xml:space="preserve"> </w:t>
      </w:r>
      <w:r>
        <w:t>är</w:t>
      </w:r>
      <w:r w:rsidR="00CD20DD">
        <w:t xml:space="preserve"> </w:t>
      </w:r>
      <w:r w:rsidR="000E6070">
        <w:t xml:space="preserve">ett </w:t>
      </w:r>
      <w:r w:rsidR="00CD20DD">
        <w:t>system för stora betalningar</w:t>
      </w:r>
      <w:r>
        <w:t xml:space="preserve"> </w:t>
      </w:r>
      <w:r w:rsidR="00CD20DD">
        <w:t>i svenska kr</w:t>
      </w:r>
      <w:r w:rsidR="00CD20DD">
        <w:t>o</w:t>
      </w:r>
      <w:r w:rsidR="00CD20DD">
        <w:t>nor</w:t>
      </w:r>
      <w:r>
        <w:t xml:space="preserve">. </w:t>
      </w:r>
      <w:r w:rsidR="00CD20DD">
        <w:t>Betalningarna genomförs i form av överföringar mellan konton som de olika deltagarna – banker, clearingorganisationer med flera – håller i Rik</w:t>
      </w:r>
      <w:r w:rsidR="00CD20DD">
        <w:t>s</w:t>
      </w:r>
      <w:r w:rsidR="00CD20DD">
        <w:t>banken.</w:t>
      </w:r>
      <w:r w:rsidR="0068107F">
        <w:t xml:space="preserve"> </w:t>
      </w:r>
      <w:r w:rsidR="00267F86">
        <w:t>För att RIX ska fungera på ett säkert och effektivt sätt krävs bland annat att deltagarna har tillräckligt med kreditutrymme</w:t>
      </w:r>
      <w:r w:rsidR="000E6070">
        <w:t>,</w:t>
      </w:r>
      <w:r w:rsidR="00267F86">
        <w:t xml:space="preserve"> </w:t>
      </w:r>
      <w:r w:rsidR="000E6070">
        <w:t>en</w:t>
      </w:r>
      <w:r w:rsidR="00267F86">
        <w:t xml:space="preserve"> väl fungerande säkerhet</w:t>
      </w:r>
      <w:r w:rsidR="00267F86">
        <w:t>s</w:t>
      </w:r>
      <w:r w:rsidR="00267F86">
        <w:t xml:space="preserve">hantering och </w:t>
      </w:r>
      <w:r w:rsidR="000E6070">
        <w:t xml:space="preserve">väl fungerande </w:t>
      </w:r>
      <w:r w:rsidR="00267F86">
        <w:t xml:space="preserve">tekniska system. </w:t>
      </w:r>
    </w:p>
    <w:p w:rsidR="00B55632" w:rsidRDefault="00B55632" w:rsidP="00787B75">
      <w:pPr>
        <w:pStyle w:val="R3"/>
      </w:pPr>
      <w:r>
        <w:t xml:space="preserve">RIX-deltagare, </w:t>
      </w:r>
      <w:r w:rsidR="00787B75">
        <w:t>transaktioner och omsättning</w:t>
      </w:r>
    </w:p>
    <w:p w:rsidR="00604A77" w:rsidRPr="00573D40" w:rsidRDefault="00604A77" w:rsidP="009B4A48">
      <w:pPr>
        <w:suppressAutoHyphens/>
      </w:pPr>
      <w:r>
        <w:t>Under 2014 tillkom</w:t>
      </w:r>
      <w:r w:rsidR="00AC2601">
        <w:t xml:space="preserve"> två nya deltagare</w:t>
      </w:r>
      <w:r>
        <w:t xml:space="preserve"> i RIX, vilket innebär att det v</w:t>
      </w:r>
      <w:r w:rsidRPr="00573D40">
        <w:t>id utgången av året fanns totalt</w:t>
      </w:r>
      <w:r w:rsidR="00AC2601">
        <w:t xml:space="preserve"> 27</w:t>
      </w:r>
      <w:r w:rsidRPr="00573D40">
        <w:t xml:space="preserve"> deltagare i systemet. </w:t>
      </w:r>
    </w:p>
    <w:p w:rsidR="00604A77" w:rsidRPr="00573D40" w:rsidRDefault="00604A77" w:rsidP="00604A77">
      <w:pPr>
        <w:pStyle w:val="Normaltindrag"/>
      </w:pPr>
      <w:r w:rsidRPr="003A7743">
        <w:t xml:space="preserve">RIX hanterade i genomsnitt </w:t>
      </w:r>
      <w:r w:rsidR="007C4153">
        <w:t>16 362</w:t>
      </w:r>
      <w:r w:rsidRPr="00573D40">
        <w:t> transaktioner per dag under 201</w:t>
      </w:r>
      <w:r>
        <w:t>4</w:t>
      </w:r>
      <w:r w:rsidRPr="00573D40">
        <w:t>. De</w:t>
      </w:r>
      <w:r w:rsidRPr="00573D40">
        <w:t>t</w:t>
      </w:r>
      <w:r w:rsidRPr="00573D40">
        <w:t xml:space="preserve">ta är en ökning med </w:t>
      </w:r>
      <w:r w:rsidR="007C4153">
        <w:t>7</w:t>
      </w:r>
      <w:r w:rsidRPr="00573D40">
        <w:t xml:space="preserve"> procent jämfört med året innan. Den genomsnittliga transaktionen uppgick till cirka </w:t>
      </w:r>
      <w:r w:rsidR="007C4153">
        <w:t>29</w:t>
      </w:r>
      <w:r w:rsidRPr="00573D40">
        <w:t xml:space="preserve"> miljoner kronor. </w:t>
      </w:r>
    </w:p>
    <w:p w:rsidR="00604A77" w:rsidRDefault="00604A77" w:rsidP="00604A77">
      <w:pPr>
        <w:pStyle w:val="Normaltindrag"/>
      </w:pPr>
      <w:r w:rsidRPr="00912915">
        <w:t xml:space="preserve">Den dagliga omsättningen var cirka </w:t>
      </w:r>
      <w:r w:rsidR="007C4153">
        <w:t>432</w:t>
      </w:r>
      <w:r w:rsidRPr="003B6739">
        <w:t xml:space="preserve"> miljarder kronor i genomsnitt. Detta inn</w:t>
      </w:r>
      <w:r w:rsidRPr="007723ED">
        <w:t>ebär en</w:t>
      </w:r>
      <w:r w:rsidR="00AC2601">
        <w:t xml:space="preserve"> ökning</w:t>
      </w:r>
      <w:r w:rsidRPr="00912915">
        <w:t xml:space="preserve"> med </w:t>
      </w:r>
      <w:r w:rsidR="007C4153">
        <w:t>6</w:t>
      </w:r>
      <w:r w:rsidRPr="00912915">
        <w:t xml:space="preserve"> </w:t>
      </w:r>
      <w:r w:rsidRPr="003B6739">
        <w:t>procent jämfört med före</w:t>
      </w:r>
      <w:r w:rsidRPr="007723ED">
        <w:t>gående år.</w:t>
      </w:r>
    </w:p>
    <w:p w:rsidR="00604A77" w:rsidRDefault="00604A77" w:rsidP="00604A77">
      <w:pPr>
        <w:pStyle w:val="R3"/>
      </w:pPr>
      <w:r>
        <w:t>Kreditutrymme och säkerhetshantering</w:t>
      </w:r>
    </w:p>
    <w:p w:rsidR="007A269B" w:rsidRDefault="001B7A48" w:rsidP="00441B57">
      <w:r>
        <w:t>För att minska risken för att överföringar i RIX inte kan utföras till följd av att deltagare saknar likviditet tillför Riksbanken likviditet under dagen genom att lämna kredit till RIX-deltagarna mot säkerheter. Detta innebär att över</w:t>
      </w:r>
      <w:r w:rsidR="001C48ED">
        <w:softHyphen/>
      </w:r>
      <w:r>
        <w:t>föringar kan utföras snabbare och att effektiviteten i betalningssystemet dä</w:t>
      </w:r>
      <w:r>
        <w:t>r</w:t>
      </w:r>
      <w:r>
        <w:t>med ökar. Säkerhe</w:t>
      </w:r>
      <w:r>
        <w:softHyphen/>
        <w:t xml:space="preserve">terna utgörs främst av svenska och utländska värdepapper, men kan även vara utländsk valuta. </w:t>
      </w:r>
    </w:p>
    <w:p w:rsidR="00604A77" w:rsidRDefault="007A269B" w:rsidP="009B4A48">
      <w:pPr>
        <w:pStyle w:val="Normaltindrag"/>
        <w:suppressAutoHyphens/>
      </w:pPr>
      <w:r>
        <w:t xml:space="preserve">Svenska värdepappersaffärer avvecklas på </w:t>
      </w:r>
      <w:r w:rsidR="007A6D8B">
        <w:t xml:space="preserve">särskilda konton </w:t>
      </w:r>
      <w:r>
        <w:t xml:space="preserve">som </w:t>
      </w:r>
      <w:r w:rsidR="007A6D8B">
        <w:t xml:space="preserve">Riksbanken </w:t>
      </w:r>
      <w:r>
        <w:t>tillhandahåller. För</w:t>
      </w:r>
      <w:r w:rsidR="007A6D8B">
        <w:t xml:space="preserve"> att underlätta avvecklingen av värdepappers</w:t>
      </w:r>
      <w:r w:rsidR="009B4A48">
        <w:softHyphen/>
      </w:r>
      <w:r w:rsidR="007A6D8B">
        <w:t>affärer</w:t>
      </w:r>
      <w:r>
        <w:t xml:space="preserve"> lämnar Riksbanken </w:t>
      </w:r>
      <w:r w:rsidR="007A6D8B">
        <w:t>även krediter under dagen</w:t>
      </w:r>
      <w:r>
        <w:t>.</w:t>
      </w:r>
      <w:r w:rsidR="007A6D8B">
        <w:t xml:space="preserve"> Euroclear Sweden, den svenska centrala värdepappersförvararen, hanterar dessa konton och krediter på uppdrag av Riksbanken.</w:t>
      </w:r>
    </w:p>
    <w:p w:rsidR="005752C2" w:rsidRDefault="00604A77" w:rsidP="009B4A48">
      <w:pPr>
        <w:pStyle w:val="Normaltindrag"/>
        <w:suppressAutoHyphens/>
      </w:pPr>
      <w:r w:rsidRPr="00573D40">
        <w:t xml:space="preserve">I genomsnitt hade deltagarna i RIX ett kreditutrymme på cirka </w:t>
      </w:r>
      <w:r w:rsidR="007C4153">
        <w:t>161</w:t>
      </w:r>
      <w:r w:rsidRPr="00573D40">
        <w:t xml:space="preserve"> miljar</w:t>
      </w:r>
      <w:r w:rsidR="009B4A48">
        <w:softHyphen/>
      </w:r>
      <w:r w:rsidRPr="00573D40">
        <w:t>der kronor under året, vilket är en</w:t>
      </w:r>
      <w:r w:rsidR="00BB3ED3">
        <w:t xml:space="preserve"> ökning</w:t>
      </w:r>
      <w:r w:rsidRPr="00573D40">
        <w:t xml:space="preserve"> med cirka </w:t>
      </w:r>
      <w:r w:rsidR="007C4153">
        <w:t>18</w:t>
      </w:r>
      <w:r w:rsidRPr="00573D40">
        <w:t xml:space="preserve"> </w:t>
      </w:r>
      <w:r w:rsidRPr="003A7743">
        <w:t>miljarder kr</w:t>
      </w:r>
      <w:r w:rsidRPr="00501CD1">
        <w:t>o</w:t>
      </w:r>
      <w:r w:rsidRPr="00912915">
        <w:t>nor jämfört med föregående å</w:t>
      </w:r>
      <w:r w:rsidR="00E51713">
        <w:t>r. Detta kreditutrymme motsvarade</w:t>
      </w:r>
      <w:r w:rsidRPr="00912915">
        <w:t xml:space="preserve"> värdet av de säke</w:t>
      </w:r>
      <w:r w:rsidRPr="003B6739">
        <w:t>r</w:t>
      </w:r>
      <w:r w:rsidRPr="003B6739">
        <w:t xml:space="preserve">heter som deltagarna </w:t>
      </w:r>
      <w:r w:rsidR="00E51713">
        <w:t>hade</w:t>
      </w:r>
      <w:r w:rsidR="00CF6C16">
        <w:t xml:space="preserve"> </w:t>
      </w:r>
      <w:r w:rsidRPr="003B6739">
        <w:t>ställt till R</w:t>
      </w:r>
      <w:r w:rsidR="00E51713">
        <w:t>iksbanken och som inte utnyttjade</w:t>
      </w:r>
      <w:r w:rsidRPr="003B6739">
        <w:t>s som säkerhet för andra krediter som Riksbanken lämnat. Summan av de kr</w:t>
      </w:r>
      <w:r w:rsidRPr="007723ED">
        <w:t>e</w:t>
      </w:r>
      <w:r w:rsidRPr="004936FF">
        <w:t>diter som samtliga deltagare maximalt utnyttjade per dag motsvarade i g</w:t>
      </w:r>
      <w:r w:rsidRPr="00C6788A">
        <w:t>e</w:t>
      </w:r>
      <w:r w:rsidRPr="007521F7">
        <w:t xml:space="preserve">nomsnitt </w:t>
      </w:r>
      <w:r w:rsidR="00B42AAD">
        <w:t>65</w:t>
      </w:r>
      <w:r w:rsidRPr="00573D40">
        <w:t xml:space="preserve"> procent av detta kreditutrymme.</w:t>
      </w:r>
      <w:r w:rsidRPr="003A7743">
        <w:t xml:space="preserve"> Vid utgången av 201</w:t>
      </w:r>
      <w:r>
        <w:t>4</w:t>
      </w:r>
      <w:r w:rsidRPr="003A7743">
        <w:t xml:space="preserve"> utgjorde säke</w:t>
      </w:r>
      <w:r w:rsidRPr="003A7743">
        <w:t>r</w:t>
      </w:r>
      <w:r w:rsidRPr="003A7743">
        <w:t xml:space="preserve">ställda obligationer </w:t>
      </w:r>
      <w:r w:rsidR="00B42AAD">
        <w:t>76</w:t>
      </w:r>
      <w:r w:rsidRPr="00573D40">
        <w:t xml:space="preserve"> procent av värdet av samtliga säke</w:t>
      </w:r>
      <w:r w:rsidRPr="003A7743">
        <w:t>rheter som ställts till Rik</w:t>
      </w:r>
      <w:r w:rsidRPr="003A7743">
        <w:t>s</w:t>
      </w:r>
      <w:r w:rsidRPr="00501CD1">
        <w:t>banken</w:t>
      </w:r>
      <w:r w:rsidRPr="00912915">
        <w:t xml:space="preserve"> (se diagram </w:t>
      </w:r>
      <w:r w:rsidR="007C04C6">
        <w:t>1</w:t>
      </w:r>
      <w:r w:rsidR="007B2FE6">
        <w:t>5</w:t>
      </w:r>
      <w:r w:rsidRPr="00912915">
        <w:t>)</w:t>
      </w:r>
      <w:r w:rsidRPr="003B6739">
        <w:t>.</w:t>
      </w:r>
    </w:p>
    <w:p w:rsidR="005752C2" w:rsidRDefault="005752C2" w:rsidP="00745660">
      <w:pPr>
        <w:pStyle w:val="Normaltindrag"/>
      </w:pPr>
      <w:r>
        <w:t>Under hösten 2012 fattade Riksbanken beslut om nya principer för säke</w:t>
      </w:r>
      <w:r>
        <w:t>r</w:t>
      </w:r>
      <w:r>
        <w:t>heter för krediter i Riksbanken. De nya principerna började träda i kraft i april 2013 med vissa övergångsregler</w:t>
      </w:r>
      <w:r w:rsidR="00876254">
        <w:t xml:space="preserve"> och kom</w:t>
      </w:r>
      <w:r>
        <w:t xml:space="preserve"> att gälla fullt ut under 2014. Från och med 2014 accepteras inte längre så kallade Asset-Backed Securities. Dessutom har möjligheten att använda egna säkerställda obligationer och värdepapper med något lägre kreditvärdighet</w:t>
      </w:r>
      <w:r w:rsidRPr="001B7A48">
        <w:t xml:space="preserve"> </w:t>
      </w:r>
      <w:r>
        <w:t>begränsats så att dessa från och med juli 2014 får uppgå till högst 40 pro</w:t>
      </w:r>
      <w:r w:rsidR="00745660">
        <w:t>cent av de totala säkerheterna.</w:t>
      </w:r>
    </w:p>
    <w:p w:rsidR="00157F07" w:rsidRPr="000C6DF0" w:rsidRDefault="00E90E07" w:rsidP="00001C4F">
      <w:pPr>
        <w:pStyle w:val="Diagramrubrik"/>
        <w:suppressAutoHyphens/>
      </w:pPr>
      <w:r>
        <w:rPr>
          <w:color w:val="000000"/>
        </w:rPr>
        <w:t>Diagram 1</w:t>
      </w:r>
      <w:r w:rsidR="007B2FE6">
        <w:rPr>
          <w:color w:val="000000"/>
        </w:rPr>
        <w:t>5</w:t>
      </w:r>
      <w:r w:rsidR="00BB3ED3" w:rsidRPr="00641888">
        <w:rPr>
          <w:color w:val="000000"/>
        </w:rPr>
        <w:t>.</w:t>
      </w:r>
      <w:r w:rsidR="00BB3ED3">
        <w:rPr>
          <w:color w:val="000000"/>
        </w:rPr>
        <w:t xml:space="preserve"> Säkerheter pantsatta för kredit i RIX i slutet av 2014, fördelning på värdepappersslag</w:t>
      </w:r>
    </w:p>
    <w:p w:rsidR="00157F07" w:rsidRDefault="00A12E15" w:rsidP="00157F07">
      <w:pPr>
        <w:pStyle w:val="Normaltindrag"/>
      </w:pPr>
      <w:r w:rsidRPr="00986B60">
        <w:rPr>
          <w:noProof/>
        </w:rPr>
        <w:drawing>
          <wp:inline distT="0" distB="0" distL="0" distR="0">
            <wp:extent cx="3648075" cy="2381250"/>
            <wp:effectExtent l="0" t="0" r="9525" b="0"/>
            <wp:docPr id="1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48075" cy="2381250"/>
                    </a:xfrm>
                    <a:prstGeom prst="rect">
                      <a:avLst/>
                    </a:prstGeom>
                    <a:noFill/>
                    <a:ln>
                      <a:noFill/>
                    </a:ln>
                  </pic:spPr>
                </pic:pic>
              </a:graphicData>
            </a:graphic>
          </wp:inline>
        </w:drawing>
      </w:r>
    </w:p>
    <w:p w:rsidR="00157F07" w:rsidRDefault="00157F07" w:rsidP="00157F07">
      <w:pPr>
        <w:pStyle w:val="Fotnotstext"/>
      </w:pPr>
      <w:r>
        <w:t xml:space="preserve">Anm. Det totala värdet av säkerheter pantsatta för kredit i RIX uppgick till </w:t>
      </w:r>
      <w:r w:rsidR="00B42AAD">
        <w:t>143</w:t>
      </w:r>
      <w:r>
        <w:t xml:space="preserve"> milja</w:t>
      </w:r>
      <w:r>
        <w:t>r</w:t>
      </w:r>
      <w:r>
        <w:t>der kronor den 31 december 2014.</w:t>
      </w:r>
    </w:p>
    <w:p w:rsidR="006922E2" w:rsidRDefault="00157F07" w:rsidP="005307C5">
      <w:pPr>
        <w:pStyle w:val="Fotnotstext"/>
      </w:pPr>
      <w:r>
        <w:t>Källa: Riksbanken.</w:t>
      </w:r>
    </w:p>
    <w:p w:rsidR="00604A77" w:rsidRDefault="00604A77" w:rsidP="006922E2">
      <w:pPr>
        <w:pStyle w:val="R3"/>
      </w:pPr>
      <w:r>
        <w:t xml:space="preserve">Uppgraderingar </w:t>
      </w:r>
      <w:r w:rsidR="00157F07">
        <w:t>i och förbättringar av</w:t>
      </w:r>
      <w:r>
        <w:t xml:space="preserve"> tekniska system</w:t>
      </w:r>
    </w:p>
    <w:p w:rsidR="009D34D2" w:rsidRDefault="002A0519" w:rsidP="00441B57">
      <w:r>
        <w:t xml:space="preserve">Våren 2014 beslutade </w:t>
      </w:r>
      <w:r w:rsidR="009D34D2">
        <w:t>Riksbanken</w:t>
      </w:r>
      <w:r w:rsidR="00DB47D2">
        <w:t xml:space="preserve"> att</w:t>
      </w:r>
      <w:r w:rsidR="009D34D2">
        <w:t xml:space="preserve"> </w:t>
      </w:r>
      <w:r>
        <w:t xml:space="preserve">tilldela det indiska företaget Polaris Financial Technology </w:t>
      </w:r>
      <w:r w:rsidR="00486060">
        <w:t xml:space="preserve">Limited </w:t>
      </w:r>
      <w:r>
        <w:t>kontraktet att leverera Riksbankens nya system</w:t>
      </w:r>
      <w:r w:rsidR="009D34D2">
        <w:t xml:space="preserve"> för säkerhetshantering. </w:t>
      </w:r>
      <w:r>
        <w:t xml:space="preserve">Arbetet med att införa det nya systemet har påbörjats, och det förväntas tas i bruk under </w:t>
      </w:r>
      <w:r w:rsidR="007A269B">
        <w:t>första</w:t>
      </w:r>
      <w:r w:rsidR="001B7A48">
        <w:t xml:space="preserve"> kvartalet</w:t>
      </w:r>
      <w:r>
        <w:t xml:space="preserve"> 201</w:t>
      </w:r>
      <w:r w:rsidR="007A269B">
        <w:t>6</w:t>
      </w:r>
      <w:r>
        <w:t>.</w:t>
      </w:r>
    </w:p>
    <w:p w:rsidR="00F257EA" w:rsidRDefault="00F257EA" w:rsidP="009D34D2">
      <w:pPr>
        <w:pStyle w:val="Normaltindrag"/>
      </w:pPr>
      <w:r>
        <w:t xml:space="preserve">Under 2014 påbörjades arbetet med att uppgradera RIX tekniska system. Uppgraderingen </w:t>
      </w:r>
      <w:r w:rsidR="00CA2122">
        <w:t>förväntas</w:t>
      </w:r>
      <w:r>
        <w:t xml:space="preserve"> </w:t>
      </w:r>
      <w:r w:rsidR="004D0BFF">
        <w:t xml:space="preserve">tas </w:t>
      </w:r>
      <w:r>
        <w:t xml:space="preserve">i drift under </w:t>
      </w:r>
      <w:r w:rsidR="003737A1" w:rsidRPr="00441B57">
        <w:t>andra</w:t>
      </w:r>
      <w:r w:rsidRPr="00441B57">
        <w:t xml:space="preserve"> kvartalet 201</w:t>
      </w:r>
      <w:r w:rsidR="00655834" w:rsidRPr="00441B57">
        <w:t>5</w:t>
      </w:r>
      <w:r>
        <w:t>.</w:t>
      </w:r>
    </w:p>
    <w:p w:rsidR="001B7A48" w:rsidRDefault="001B7A48" w:rsidP="0089019B">
      <w:pPr>
        <w:pStyle w:val="Normaltindrag"/>
        <w:suppressAutoHyphens/>
      </w:pPr>
      <w:r>
        <w:t>För att säkerställa att RIX kan fortsätta att fylla sin roll även om det tekniska systemet skulle fallera, krävs att det finns</w:t>
      </w:r>
      <w:r w:rsidR="00CC55CB">
        <w:t xml:space="preserve"> väl fungerande reserv</w:t>
      </w:r>
      <w:r w:rsidR="0089019B">
        <w:softHyphen/>
      </w:r>
      <w:r w:rsidR="00CC55CB">
        <w:t xml:space="preserve">rutiner. </w:t>
      </w:r>
      <w:r>
        <w:t xml:space="preserve">Under 2014 genomförde Riksbanken flera </w:t>
      </w:r>
      <w:r w:rsidR="007A269B">
        <w:t>reservrutins</w:t>
      </w:r>
      <w:r>
        <w:t>övningar, både själ</w:t>
      </w:r>
      <w:r>
        <w:t>v</w:t>
      </w:r>
      <w:r>
        <w:t xml:space="preserve">ständigt och tillsammans med deltagarna. Riksbanken deltog även aktivt i den samverkan kring kontinuitetsfrågor som finns i den finansiella sektorn inom ramen för </w:t>
      </w:r>
      <w:r w:rsidR="00B2794B">
        <w:t>den finansiella sektorns pr</w:t>
      </w:r>
      <w:r w:rsidR="00250A18">
        <w:t>ivat-offentliga samverkansgrupp (FSPOS)</w:t>
      </w:r>
      <w:r w:rsidR="00B2794B">
        <w:t xml:space="preserve"> </w:t>
      </w:r>
      <w:r>
        <w:t xml:space="preserve">samt i en övning i FSPOS regi. </w:t>
      </w:r>
      <w:r w:rsidRPr="00047A88">
        <w:t xml:space="preserve">Riksbanken </w:t>
      </w:r>
      <w:r>
        <w:t xml:space="preserve">har </w:t>
      </w:r>
      <w:r w:rsidR="007A269B">
        <w:t xml:space="preserve">dessutom </w:t>
      </w:r>
      <w:r>
        <w:t>under några år</w:t>
      </w:r>
      <w:r w:rsidRPr="00047A88">
        <w:t xml:space="preserve"> ut</w:t>
      </w:r>
      <w:r>
        <w:t>rett</w:t>
      </w:r>
      <w:r w:rsidRPr="00047A88">
        <w:t xml:space="preserve"> behovet av och alternativen för </w:t>
      </w:r>
      <w:r w:rsidR="007A269B">
        <w:t>mer omfattande</w:t>
      </w:r>
      <w:r w:rsidRPr="00047A88">
        <w:t xml:space="preserve"> lösning</w:t>
      </w:r>
      <w:r w:rsidR="007A269B">
        <w:t>ar</w:t>
      </w:r>
      <w:r w:rsidRPr="00047A88">
        <w:t xml:space="preserve"> </w:t>
      </w:r>
      <w:r w:rsidR="007A269B">
        <w:t>för att ge</w:t>
      </w:r>
      <w:r w:rsidRPr="00047A88">
        <w:t xml:space="preserve"> RIX-deltagarna tillgång till ett fungerande betalnings</w:t>
      </w:r>
      <w:r>
        <w:t>system även om driften vid Riksb</w:t>
      </w:r>
      <w:r w:rsidRPr="00047A88">
        <w:t xml:space="preserve">ankens ordinarie driftställen skulle upphöra. </w:t>
      </w:r>
      <w:r w:rsidR="00B96758" w:rsidRPr="00DE0E68">
        <w:t>Denna utre</w:t>
      </w:r>
      <w:r w:rsidR="00B96758" w:rsidRPr="00F83D9B">
        <w:t>d</w:t>
      </w:r>
      <w:r w:rsidR="0089019B">
        <w:softHyphen/>
      </w:r>
      <w:r w:rsidR="00B96758" w:rsidRPr="000230EE">
        <w:t>ning beräknas bli slutförd under 2015</w:t>
      </w:r>
      <w:r w:rsidRPr="00AF2BD5">
        <w:t>.</w:t>
      </w:r>
    </w:p>
    <w:p w:rsidR="007B2FE6" w:rsidRDefault="007B2FE6" w:rsidP="001B7A48">
      <w:pPr>
        <w:pStyle w:val="Normaltindrag"/>
      </w:pPr>
    </w:p>
    <w:p w:rsidR="005C200D" w:rsidRPr="00805193" w:rsidRDefault="005C200D" w:rsidP="00805193">
      <w:pPr>
        <w:pStyle w:val="R2"/>
        <w:rPr>
          <w:szCs w:val="27"/>
        </w:rPr>
      </w:pPr>
      <w:r w:rsidRPr="00805193">
        <w:rPr>
          <w:szCs w:val="27"/>
        </w:rPr>
        <w:t>Uppföljning</w:t>
      </w:r>
    </w:p>
    <w:p w:rsidR="00730EB3" w:rsidRDefault="00BE675F" w:rsidP="00BE675F">
      <w:r>
        <w:t xml:space="preserve">Eftersom RIX är en kritisk del av det svenska finansiella systemet är kraven på </w:t>
      </w:r>
      <w:r w:rsidR="00BA1E22">
        <w:t>systemet</w:t>
      </w:r>
      <w:r>
        <w:t xml:space="preserve"> höga. Riksbankens mål för RIX</w:t>
      </w:r>
      <w:r w:rsidR="00730EB3">
        <w:t xml:space="preserve"> bedöms </w:t>
      </w:r>
      <w:r w:rsidR="00730EB3" w:rsidRPr="00F83D9B">
        <w:t>ha uppfyllts</w:t>
      </w:r>
      <w:r w:rsidR="00730EB3">
        <w:t xml:space="preserve"> under 2014.</w:t>
      </w:r>
    </w:p>
    <w:p w:rsidR="00E51713" w:rsidRDefault="00730EB3" w:rsidP="003F2C91">
      <w:pPr>
        <w:pStyle w:val="Normaltindrag"/>
      </w:pPr>
      <w:r>
        <w:t xml:space="preserve">Ett av målen är att det tekniska systemet </w:t>
      </w:r>
      <w:r w:rsidR="00DB327D">
        <w:t>ska vara tillgängligt 99,85 procent av tiden då det är öp</w:t>
      </w:r>
      <w:r>
        <w:t>pet.</w:t>
      </w:r>
      <w:r w:rsidR="00DB327D">
        <w:t xml:space="preserve"> </w:t>
      </w:r>
      <w:r w:rsidR="00E51713">
        <w:t>Störningar är viktiga att undvika eftersom de kan få svåra konsekvenser för deltagarna. Hur svåra de blir beror på när stö</w:t>
      </w:r>
      <w:r w:rsidR="00E51713">
        <w:t>r</w:t>
      </w:r>
      <w:r w:rsidR="00E51713">
        <w:t xml:space="preserve">ningen inträffar och hur långvarig den är. </w:t>
      </w:r>
    </w:p>
    <w:p w:rsidR="00BE675F" w:rsidRDefault="00BE675F" w:rsidP="00E51713">
      <w:pPr>
        <w:pStyle w:val="Normaltindrag"/>
      </w:pPr>
      <w:r>
        <w:t xml:space="preserve">Under året inträffade </w:t>
      </w:r>
      <w:r w:rsidR="00E51713">
        <w:t>1</w:t>
      </w:r>
      <w:r>
        <w:t xml:space="preserve"> störning som påverkade tillgängligheten. </w:t>
      </w:r>
      <w:r w:rsidR="00730DF5">
        <w:t>Denna störning</w:t>
      </w:r>
      <w:r>
        <w:t xml:space="preserve"> innebar att RIX </w:t>
      </w:r>
      <w:r w:rsidR="00CC6FE0">
        <w:t xml:space="preserve">under 40 minuter </w:t>
      </w:r>
      <w:r>
        <w:t xml:space="preserve">inte </w:t>
      </w:r>
      <w:r w:rsidR="000314B7">
        <w:t>avvecklade transak</w:t>
      </w:r>
      <w:r w:rsidR="000314B7">
        <w:t>t</w:t>
      </w:r>
      <w:r w:rsidR="000314B7">
        <w:t>ioner</w:t>
      </w:r>
      <w:r>
        <w:t xml:space="preserve">. Den orsakades av </w:t>
      </w:r>
      <w:r w:rsidR="000314B7">
        <w:t>ett</w:t>
      </w:r>
      <w:r>
        <w:t xml:space="preserve"> fel i </w:t>
      </w:r>
      <w:r w:rsidR="000314B7">
        <w:t xml:space="preserve">inloggningen till </w:t>
      </w:r>
      <w:r w:rsidR="00BA1E22">
        <w:t xml:space="preserve">systemet för </w:t>
      </w:r>
      <w:r w:rsidR="000314B7">
        <w:t>meddeland</w:t>
      </w:r>
      <w:r w:rsidR="00BA1E22">
        <w:t>e</w:t>
      </w:r>
      <w:r w:rsidR="00BA1E22">
        <w:t>hantering,</w:t>
      </w:r>
      <w:r w:rsidR="000314B7">
        <w:t xml:space="preserve"> SWIFT</w:t>
      </w:r>
      <w:r w:rsidR="00BA1E22">
        <w:t>,</w:t>
      </w:r>
      <w:r w:rsidR="000314B7">
        <w:t xml:space="preserve"> som RIX använder</w:t>
      </w:r>
      <w:r>
        <w:t>. De</w:t>
      </w:r>
      <w:r w:rsidR="000314B7">
        <w:t>tt</w:t>
      </w:r>
      <w:r>
        <w:t xml:space="preserve">a fel har åtgärdats. </w:t>
      </w:r>
    </w:p>
    <w:p w:rsidR="00BE675F" w:rsidRDefault="00BE675F" w:rsidP="00BE675F">
      <w:pPr>
        <w:pStyle w:val="Normaltindrag"/>
      </w:pPr>
      <w:r>
        <w:t>Sammantaget medförde</w:t>
      </w:r>
      <w:r w:rsidR="003F2C91">
        <w:t xml:space="preserve"> störningen</w:t>
      </w:r>
      <w:r w:rsidR="000314B7">
        <w:t xml:space="preserve"> </w:t>
      </w:r>
      <w:r>
        <w:t>att RIX var tillgängligt under 99,</w:t>
      </w:r>
      <w:r w:rsidR="00F30033">
        <w:t>97</w:t>
      </w:r>
      <w:r>
        <w:t xml:space="preserve"> procent av tiden då betalningar hanteras, vilket innebär att målet om tillgän</w:t>
      </w:r>
      <w:r>
        <w:t>g</w:t>
      </w:r>
      <w:r>
        <w:t xml:space="preserve">lighet uppfylldes. Under året inträffade dessutom </w:t>
      </w:r>
      <w:r w:rsidR="00814770">
        <w:t>15</w:t>
      </w:r>
      <w:r w:rsidR="00F30033">
        <w:t xml:space="preserve"> </w:t>
      </w:r>
      <w:r>
        <w:t>mindre incidenter i RIX som hade begränsade konsekvenser för deltaga</w:t>
      </w:r>
      <w:r>
        <w:t>r</w:t>
      </w:r>
      <w:r>
        <w:t xml:space="preserve">na. </w:t>
      </w:r>
    </w:p>
    <w:p w:rsidR="00BE675F" w:rsidRDefault="000314B7" w:rsidP="00BE675F">
      <w:pPr>
        <w:pStyle w:val="Normaltindrag"/>
      </w:pPr>
      <w:r>
        <w:t>Riksbanken tillhandahåller RIX e</w:t>
      </w:r>
      <w:r w:rsidR="00CA2122">
        <w:t>nligt</w:t>
      </w:r>
      <w:r>
        <w:t xml:space="preserve"> principen att användarna ska stå för alla de kostnader som Riksbanken har för systemet</w:t>
      </w:r>
      <w:r w:rsidR="00E1681A">
        <w:t>.</w:t>
      </w:r>
      <w:r>
        <w:t xml:space="preserve"> I detta sammanhang är Riksbanken också en användare o</w:t>
      </w:r>
      <w:r w:rsidR="000E70DE">
        <w:t xml:space="preserve">ch ska stå för sina kostnader. </w:t>
      </w:r>
      <w:r>
        <w:t xml:space="preserve">Kravet på full kostnadstäckning </w:t>
      </w:r>
      <w:r w:rsidR="006B3302">
        <w:t>mäts över en treårsperiod, där intäkterna ska vara 100 pr</w:t>
      </w:r>
      <w:r w:rsidR="006B3302">
        <w:t>o</w:t>
      </w:r>
      <w:r w:rsidR="00267F86">
        <w:t>cent av kostnaderna +/</w:t>
      </w:r>
      <w:r w:rsidR="00D2706B">
        <w:t>–</w:t>
      </w:r>
      <w:r w:rsidR="006B3302">
        <w:t xml:space="preserve"> 10 procent. </w:t>
      </w:r>
      <w:r w:rsidR="00CC6FE0">
        <w:t>Årets k</w:t>
      </w:r>
      <w:r w:rsidR="00BE675F">
        <w:t>o</w:t>
      </w:r>
      <w:r w:rsidR="00CC6FE0">
        <w:t>stnader</w:t>
      </w:r>
      <w:r w:rsidR="00BE675F">
        <w:t xml:space="preserve"> för verksamheten up</w:t>
      </w:r>
      <w:r w:rsidR="00BE675F">
        <w:t>p</w:t>
      </w:r>
      <w:r w:rsidR="00BE675F">
        <w:t xml:space="preserve">gick till </w:t>
      </w:r>
      <w:r w:rsidR="00F30033">
        <w:t>57</w:t>
      </w:r>
      <w:r w:rsidR="00BE675F">
        <w:t xml:space="preserve"> miljoner kronor och täcktes till </w:t>
      </w:r>
      <w:r w:rsidR="00F30033">
        <w:t>112</w:t>
      </w:r>
      <w:r w:rsidR="00BE675F">
        <w:t xml:space="preserve"> procent av avgifter. Detta innebär att verksamheten under 201</w:t>
      </w:r>
      <w:r w:rsidR="006B3302">
        <w:t>4</w:t>
      </w:r>
      <w:r w:rsidR="00BE675F">
        <w:t xml:space="preserve"> fullt ut täckte sina kostnader. Sett över treårsperioden 201</w:t>
      </w:r>
      <w:r w:rsidR="006B3302">
        <w:t>2</w:t>
      </w:r>
      <w:r w:rsidR="00BE675F">
        <w:t>–201</w:t>
      </w:r>
      <w:r w:rsidR="006B3302">
        <w:t>4</w:t>
      </w:r>
      <w:r w:rsidR="00BE675F">
        <w:t xml:space="preserve"> var kostnadstäckningen </w:t>
      </w:r>
      <w:r w:rsidR="00F30033">
        <w:t>114</w:t>
      </w:r>
      <w:r w:rsidR="00BE675F">
        <w:t xml:space="preserve"> procent. </w:t>
      </w:r>
    </w:p>
    <w:p w:rsidR="00BE675F" w:rsidRDefault="006B3302" w:rsidP="00BE675F">
      <w:pPr>
        <w:pStyle w:val="Normaltindrag"/>
      </w:pPr>
      <w:r>
        <w:t>Riksbanken har även som mål för R</w:t>
      </w:r>
      <w:r w:rsidR="000E70DE">
        <w:t xml:space="preserve">IX att kunderna ska vara nöjda. </w:t>
      </w:r>
      <w:r>
        <w:t xml:space="preserve">Kravet på kundnöjdhet innebär att minst 80 procent av kunderna, representerande minst 70 procent av betalningsvolymen, ska vara nöjda. Under 2014 </w:t>
      </w:r>
      <w:r w:rsidR="00CC6FE0">
        <w:t>gjordes ingen</w:t>
      </w:r>
      <w:r>
        <w:t xml:space="preserve"> kundundersökning</w:t>
      </w:r>
      <w:r w:rsidR="00CC6FE0">
        <w:t xml:space="preserve"> eftersom</w:t>
      </w:r>
      <w:r>
        <w:t xml:space="preserve"> </w:t>
      </w:r>
      <w:r w:rsidR="00CC6FE0">
        <w:t>de</w:t>
      </w:r>
      <w:r w:rsidR="00250A18">
        <w:t xml:space="preserve"> normalt </w:t>
      </w:r>
      <w:r w:rsidR="00CC6FE0">
        <w:t xml:space="preserve">görs </w:t>
      </w:r>
      <w:r w:rsidR="00250A18">
        <w:t xml:space="preserve">vartannat år. </w:t>
      </w:r>
    </w:p>
    <w:p w:rsidR="00776D63" w:rsidRDefault="00776D63" w:rsidP="00776D63">
      <w:pPr>
        <w:pStyle w:val="R2"/>
        <w:rPr>
          <w:sz w:val="32"/>
          <w:szCs w:val="32"/>
        </w:rPr>
      </w:pPr>
      <w:r w:rsidRPr="00405FE8">
        <w:rPr>
          <w:sz w:val="32"/>
          <w:szCs w:val="32"/>
        </w:rPr>
        <w:t>Kontantförsörjning</w:t>
      </w:r>
      <w:r w:rsidR="00A172B2" w:rsidRPr="00405FE8">
        <w:rPr>
          <w:sz w:val="32"/>
          <w:szCs w:val="32"/>
        </w:rPr>
        <w:t xml:space="preserve"> </w:t>
      </w:r>
    </w:p>
    <w:p w:rsidR="000C564E" w:rsidRPr="000C564E" w:rsidRDefault="00163ECC" w:rsidP="0088639E">
      <w:pPr>
        <w:suppressAutoHyphens/>
        <w:rPr>
          <w:lang w:eastAsia="x-none"/>
        </w:rPr>
      </w:pPr>
      <w:r w:rsidRPr="00E21002">
        <w:rPr>
          <w:lang w:eastAsia="x-none"/>
        </w:rPr>
        <w:t xml:space="preserve">Under </w:t>
      </w:r>
      <w:r>
        <w:rPr>
          <w:lang w:eastAsia="x-none"/>
        </w:rPr>
        <w:t xml:space="preserve">2014 </w:t>
      </w:r>
      <w:r w:rsidRPr="00E21002">
        <w:rPr>
          <w:lang w:eastAsia="x-none"/>
        </w:rPr>
        <w:t xml:space="preserve">fortsatte Riksbanken att </w:t>
      </w:r>
      <w:r>
        <w:rPr>
          <w:lang w:eastAsia="x-none"/>
        </w:rPr>
        <w:t xml:space="preserve">tillhandahålla sedlar och mynt till bankerna och </w:t>
      </w:r>
      <w:r w:rsidR="00F34765">
        <w:rPr>
          <w:lang w:eastAsia="x-none"/>
        </w:rPr>
        <w:t>att</w:t>
      </w:r>
      <w:r>
        <w:rPr>
          <w:lang w:eastAsia="x-none"/>
        </w:rPr>
        <w:t xml:space="preserve"> följa utvecklingen av värdet av kontanterna i cirkulation</w:t>
      </w:r>
      <w:r w:rsidR="00B6677C">
        <w:rPr>
          <w:lang w:eastAsia="x-none"/>
        </w:rPr>
        <w:t xml:space="preserve"> (utel</w:t>
      </w:r>
      <w:r w:rsidR="00B6677C">
        <w:rPr>
          <w:lang w:eastAsia="x-none"/>
        </w:rPr>
        <w:t>ö</w:t>
      </w:r>
      <w:r w:rsidR="00B6677C">
        <w:rPr>
          <w:lang w:eastAsia="x-none"/>
        </w:rPr>
        <w:t>pande sedlar och mynt)</w:t>
      </w:r>
      <w:r>
        <w:rPr>
          <w:lang w:eastAsia="x-none"/>
        </w:rPr>
        <w:t xml:space="preserve">. Riksbanken </w:t>
      </w:r>
      <w:r w:rsidR="00F34765">
        <w:rPr>
          <w:lang w:eastAsia="x-none"/>
        </w:rPr>
        <w:t xml:space="preserve">förberedde </w:t>
      </w:r>
      <w:r>
        <w:rPr>
          <w:lang w:eastAsia="x-none"/>
        </w:rPr>
        <w:t>också det kommande sedel- och myntutbytet som startar 2015 och pågår fram till 2017.</w:t>
      </w:r>
    </w:p>
    <w:p w:rsidR="006E52F1" w:rsidRDefault="006E52F1" w:rsidP="00163ECC">
      <w:pPr>
        <w:pStyle w:val="R3"/>
      </w:pPr>
      <w:r>
        <w:t>Utveckling</w:t>
      </w:r>
      <w:r w:rsidR="00F34765">
        <w:t>en</w:t>
      </w:r>
      <w:r>
        <w:t xml:space="preserve"> av värdet av kontanter i cirkulation</w:t>
      </w:r>
    </w:p>
    <w:p w:rsidR="00F126A4" w:rsidRPr="002943DA" w:rsidRDefault="00B6677C" w:rsidP="00A17B94">
      <w:r>
        <w:t>D</w:t>
      </w:r>
      <w:r w:rsidR="00DE7FDD" w:rsidRPr="002943DA">
        <w:t xml:space="preserve">et totala värdet av </w:t>
      </w:r>
      <w:r>
        <w:t xml:space="preserve">kontanter i cirkulation </w:t>
      </w:r>
      <w:r w:rsidR="00DE7FDD" w:rsidRPr="002943DA">
        <w:t xml:space="preserve">uppgick till 83 miljarder kronor vid utgången av 2014 (se tabell 2). Värdet av </w:t>
      </w:r>
      <w:r>
        <w:t>kontanter i cirkulation</w:t>
      </w:r>
      <w:r w:rsidR="00DE7FDD" w:rsidRPr="002943DA">
        <w:t xml:space="preserve"> styrs av efterfrågan på sedlar och mynt, vilke</w:t>
      </w:r>
      <w:r w:rsidR="00E07C40">
        <w:t>n</w:t>
      </w:r>
      <w:r w:rsidR="00DE7FDD" w:rsidRPr="002943DA">
        <w:t xml:space="preserve"> varierar under året. Därför kan man med större precision beskriva hur mycket </w:t>
      </w:r>
      <w:r>
        <w:t xml:space="preserve">kontanter </w:t>
      </w:r>
      <w:r w:rsidR="00DE7FDD" w:rsidRPr="002943DA">
        <w:t>som finns</w:t>
      </w:r>
      <w:r>
        <w:t xml:space="preserve"> i cirkulation</w:t>
      </w:r>
      <w:r w:rsidR="00DE7FDD" w:rsidRPr="002943DA">
        <w:t xml:space="preserve"> under hela året genom att </w:t>
      </w:r>
      <w:r w:rsidR="00036D28">
        <w:t>beräkna</w:t>
      </w:r>
      <w:r w:rsidR="00DE7FDD" w:rsidRPr="002943DA">
        <w:t xml:space="preserve"> ett genomsnitt av kontanternas värde den sista dagen per månad </w:t>
      </w:r>
      <w:r w:rsidR="00036D28">
        <w:t>för</w:t>
      </w:r>
      <w:r w:rsidR="00DE7FDD" w:rsidRPr="002943DA">
        <w:t xml:space="preserve"> årets tolv månader. Detta genomsnittliga värde uppgick till 80 miljarder </w:t>
      </w:r>
      <w:r w:rsidR="00B82404">
        <w:t xml:space="preserve">kronor </w:t>
      </w:r>
      <w:r w:rsidR="00DE7FDD" w:rsidRPr="002943DA">
        <w:t>under 2014</w:t>
      </w:r>
      <w:r w:rsidR="00F126A4" w:rsidRPr="002943DA">
        <w:t>.</w:t>
      </w:r>
    </w:p>
    <w:p w:rsidR="00C36555" w:rsidRPr="002943DA" w:rsidRDefault="00B6677C" w:rsidP="00A17B94">
      <w:pPr>
        <w:pStyle w:val="Normaltindrag"/>
      </w:pPr>
      <w:r>
        <w:t>M</w:t>
      </w:r>
      <w:r w:rsidR="00F126A4" w:rsidRPr="002943DA">
        <w:t>inskningen mellan 2013 och 2014 utgörs till största delen av 1</w:t>
      </w:r>
      <w:r w:rsidR="00F81018" w:rsidRPr="002943DA">
        <w:t> </w:t>
      </w:r>
      <w:r w:rsidR="00F126A4" w:rsidRPr="002943DA">
        <w:t>000-kronorssedlar.</w:t>
      </w:r>
      <w:r w:rsidR="00C36555" w:rsidRPr="002943DA">
        <w:t xml:space="preserve"> </w:t>
      </w:r>
      <w:r w:rsidR="00F81018" w:rsidRPr="002943DA">
        <w:t>Mängden sedlar av övriga valörer har däremot legat på en relativt kon</w:t>
      </w:r>
      <w:r w:rsidR="00D81530">
        <w:t>s</w:t>
      </w:r>
      <w:r w:rsidR="00F81018" w:rsidRPr="002943DA">
        <w:t xml:space="preserve">tant nivå de senaste tre åren (se diagram </w:t>
      </w:r>
      <w:r w:rsidR="00BB26E3" w:rsidRPr="002943DA">
        <w:t>1</w:t>
      </w:r>
      <w:r w:rsidR="007B2FE6">
        <w:t>6</w:t>
      </w:r>
      <w:r w:rsidR="00F81018" w:rsidRPr="002943DA">
        <w:t>).</w:t>
      </w:r>
      <w:r w:rsidR="00C36555" w:rsidRPr="002943DA">
        <w:t xml:space="preserve"> </w:t>
      </w:r>
    </w:p>
    <w:p w:rsidR="006656D2" w:rsidRPr="002943DA" w:rsidRDefault="00B6677C" w:rsidP="009B4A48">
      <w:pPr>
        <w:pStyle w:val="Normaltindrag"/>
        <w:suppressAutoHyphens/>
      </w:pPr>
      <w:r>
        <w:t>D</w:t>
      </w:r>
      <w:r w:rsidR="00C36555" w:rsidRPr="002943DA">
        <w:t>en vanligaste sedelvalören är 500-kronorssedeln. Den utgjorde 34 pro</w:t>
      </w:r>
      <w:r w:rsidR="009B4A48">
        <w:softHyphen/>
      </w:r>
      <w:r w:rsidR="00C36555" w:rsidRPr="002943DA">
        <w:t>cent a</w:t>
      </w:r>
      <w:r w:rsidR="006656D2" w:rsidRPr="002943DA">
        <w:t xml:space="preserve">v det totala antalet sedlar och stod för 73 procent av det genomsnittliga värdet av </w:t>
      </w:r>
      <w:r>
        <w:t>sedlarna i cirkulation</w:t>
      </w:r>
      <w:r w:rsidR="006656D2" w:rsidRPr="002943DA">
        <w:t>,</w:t>
      </w:r>
      <w:r w:rsidR="009B4A48">
        <w:t xml:space="preserve"> som under 2014 uppgick till 75 </w:t>
      </w:r>
      <w:r w:rsidR="006656D2" w:rsidRPr="002943DA">
        <w:t>miljarder kronor (se diagram 1</w:t>
      </w:r>
      <w:r w:rsidR="007B2FE6">
        <w:t>7</w:t>
      </w:r>
      <w:r w:rsidR="006656D2" w:rsidRPr="002943DA">
        <w:t>). I slutet</w:t>
      </w:r>
      <w:r w:rsidR="009B4A48">
        <w:t xml:space="preserve"> av året var sedlarnas värde 78 </w:t>
      </w:r>
      <w:r w:rsidR="006656D2" w:rsidRPr="002943DA">
        <w:t xml:space="preserve">miljarder kronor (se tabell 2). </w:t>
      </w:r>
    </w:p>
    <w:p w:rsidR="006656D2" w:rsidRPr="002943DA" w:rsidRDefault="007F398C" w:rsidP="00A17B94">
      <w:pPr>
        <w:pStyle w:val="Normaltindrag"/>
      </w:pPr>
      <w:r>
        <w:t>D</w:t>
      </w:r>
      <w:r w:rsidR="006656D2" w:rsidRPr="002943DA">
        <w:t xml:space="preserve">et genomsnittliga värdet av </w:t>
      </w:r>
      <w:r w:rsidR="00B6677C">
        <w:t>mynten i cirkulation</w:t>
      </w:r>
      <w:r w:rsidR="009B4A48">
        <w:t xml:space="preserve"> under året uppgick till 5 </w:t>
      </w:r>
      <w:r w:rsidR="006656D2" w:rsidRPr="002943DA">
        <w:t>miljarder kronor (se diagram 1</w:t>
      </w:r>
      <w:r w:rsidR="007B2FE6">
        <w:t>8</w:t>
      </w:r>
      <w:r w:rsidR="006656D2" w:rsidRPr="002943DA">
        <w:t>). Även i slu</w:t>
      </w:r>
      <w:r w:rsidR="009B4A48">
        <w:t>tet av året var myntens värde 5 </w:t>
      </w:r>
      <w:r w:rsidR="006656D2" w:rsidRPr="002943DA">
        <w:t>miljarder kronor (se tabell 2). Den vanligaste myntvalören var 1-kronan. Detta mynt utgjorde 73 procent av det totala antalet mynt</w:t>
      </w:r>
      <w:r w:rsidR="00B6677C">
        <w:t xml:space="preserve"> i cirkulation</w:t>
      </w:r>
      <w:r w:rsidR="006656D2" w:rsidRPr="002943DA">
        <w:t xml:space="preserve"> och stod för 27 procent av det genomsnittliga värdet av </w:t>
      </w:r>
      <w:r w:rsidR="00B6677C">
        <w:t>mynten i cirkulation</w:t>
      </w:r>
      <w:r w:rsidR="006656D2" w:rsidRPr="002943DA">
        <w:t xml:space="preserve"> under året.</w:t>
      </w:r>
    </w:p>
    <w:p w:rsidR="00B73CD5" w:rsidRPr="009D00A0" w:rsidRDefault="00B73CD5" w:rsidP="00A17B94">
      <w:pPr>
        <w:pStyle w:val="Diagramrubrik"/>
      </w:pPr>
      <w:r w:rsidRPr="002943DA">
        <w:t>Tabell 2. Värdet av sedlar och mynt</w:t>
      </w:r>
      <w:r w:rsidR="00B6677C">
        <w:t xml:space="preserve"> i cirkulation</w:t>
      </w:r>
      <w:r w:rsidRPr="002943DA">
        <w:t>, miljarder kronor</w:t>
      </w:r>
    </w:p>
    <w:tbl>
      <w:tblPr>
        <w:tblW w:w="6096" w:type="dxa"/>
        <w:tblInd w:w="108" w:type="dxa"/>
        <w:tblBorders>
          <w:top w:val="single" w:sz="4" w:space="0" w:color="auto"/>
          <w:bottom w:val="single" w:sz="4" w:space="0" w:color="auto"/>
        </w:tblBorders>
        <w:tblLayout w:type="fixed"/>
        <w:tblLook w:val="01E0" w:firstRow="1" w:lastRow="1" w:firstColumn="1" w:lastColumn="1" w:noHBand="0" w:noVBand="0"/>
      </w:tblPr>
      <w:tblGrid>
        <w:gridCol w:w="2410"/>
        <w:gridCol w:w="619"/>
        <w:gridCol w:w="577"/>
        <w:gridCol w:w="660"/>
        <w:gridCol w:w="619"/>
        <w:gridCol w:w="619"/>
        <w:gridCol w:w="592"/>
      </w:tblGrid>
      <w:tr w:rsidR="00B73CD5" w:rsidRPr="009D00A0" w:rsidTr="00B23277">
        <w:tc>
          <w:tcPr>
            <w:tcW w:w="2410" w:type="dxa"/>
            <w:tcBorders>
              <w:top w:val="single" w:sz="4" w:space="0" w:color="auto"/>
              <w:bottom w:val="single" w:sz="4" w:space="0" w:color="auto"/>
            </w:tcBorders>
            <w:shd w:val="clear" w:color="auto" w:fill="auto"/>
          </w:tcPr>
          <w:p w:rsidR="00B73CD5" w:rsidRPr="009D00A0" w:rsidRDefault="00B73CD5" w:rsidP="00B23277">
            <w:pPr>
              <w:spacing w:before="60" w:line="200" w:lineRule="exact"/>
              <w:rPr>
                <w:sz w:val="16"/>
                <w:szCs w:val="16"/>
              </w:rPr>
            </w:pPr>
          </w:p>
        </w:tc>
        <w:tc>
          <w:tcPr>
            <w:tcW w:w="619" w:type="dxa"/>
            <w:tcBorders>
              <w:top w:val="single" w:sz="4" w:space="0" w:color="auto"/>
              <w:bottom w:val="single" w:sz="4" w:space="0" w:color="auto"/>
            </w:tcBorders>
            <w:shd w:val="clear" w:color="auto" w:fill="auto"/>
          </w:tcPr>
          <w:p w:rsidR="00B73CD5" w:rsidRPr="009D00A0" w:rsidRDefault="00B73CD5" w:rsidP="00B23277">
            <w:pPr>
              <w:spacing w:before="60" w:line="200" w:lineRule="exact"/>
              <w:ind w:right="-62"/>
              <w:jc w:val="center"/>
              <w:rPr>
                <w:b/>
                <w:sz w:val="16"/>
                <w:szCs w:val="16"/>
              </w:rPr>
            </w:pPr>
          </w:p>
        </w:tc>
        <w:tc>
          <w:tcPr>
            <w:tcW w:w="577" w:type="dxa"/>
            <w:tcBorders>
              <w:top w:val="single" w:sz="4" w:space="0" w:color="auto"/>
              <w:bottom w:val="single" w:sz="4" w:space="0" w:color="auto"/>
            </w:tcBorders>
            <w:shd w:val="clear" w:color="auto" w:fill="auto"/>
          </w:tcPr>
          <w:p w:rsidR="00B73CD5" w:rsidRPr="009D00A0" w:rsidRDefault="00B73CD5" w:rsidP="004820CA">
            <w:pPr>
              <w:spacing w:before="60" w:line="200" w:lineRule="exact"/>
              <w:ind w:right="-62"/>
              <w:jc w:val="center"/>
              <w:rPr>
                <w:b/>
                <w:sz w:val="16"/>
                <w:szCs w:val="16"/>
              </w:rPr>
            </w:pPr>
            <w:r w:rsidRPr="009D00A0">
              <w:rPr>
                <w:b/>
                <w:sz w:val="16"/>
                <w:szCs w:val="16"/>
              </w:rPr>
              <w:t>20</w:t>
            </w:r>
            <w:r w:rsidR="004820CA">
              <w:rPr>
                <w:b/>
                <w:sz w:val="16"/>
                <w:szCs w:val="16"/>
              </w:rPr>
              <w:t>10</w:t>
            </w:r>
          </w:p>
        </w:tc>
        <w:tc>
          <w:tcPr>
            <w:tcW w:w="660" w:type="dxa"/>
            <w:tcBorders>
              <w:top w:val="single" w:sz="4" w:space="0" w:color="auto"/>
              <w:bottom w:val="single" w:sz="4" w:space="0" w:color="auto"/>
            </w:tcBorders>
            <w:shd w:val="clear" w:color="auto" w:fill="auto"/>
          </w:tcPr>
          <w:p w:rsidR="00B73CD5" w:rsidRPr="009D00A0" w:rsidRDefault="00B73CD5" w:rsidP="004820CA">
            <w:pPr>
              <w:spacing w:before="60" w:line="200" w:lineRule="exact"/>
              <w:ind w:right="-62"/>
              <w:jc w:val="center"/>
              <w:rPr>
                <w:b/>
                <w:sz w:val="16"/>
                <w:szCs w:val="16"/>
              </w:rPr>
            </w:pPr>
            <w:r w:rsidRPr="009D00A0">
              <w:rPr>
                <w:b/>
                <w:sz w:val="16"/>
                <w:szCs w:val="16"/>
              </w:rPr>
              <w:t>201</w:t>
            </w:r>
            <w:r w:rsidR="004820CA">
              <w:rPr>
                <w:b/>
                <w:sz w:val="16"/>
                <w:szCs w:val="16"/>
              </w:rPr>
              <w:t>1</w:t>
            </w:r>
          </w:p>
        </w:tc>
        <w:tc>
          <w:tcPr>
            <w:tcW w:w="619" w:type="dxa"/>
            <w:tcBorders>
              <w:top w:val="single" w:sz="4" w:space="0" w:color="auto"/>
              <w:bottom w:val="single" w:sz="4" w:space="0" w:color="auto"/>
            </w:tcBorders>
            <w:shd w:val="clear" w:color="auto" w:fill="auto"/>
          </w:tcPr>
          <w:p w:rsidR="00B73CD5" w:rsidRPr="009D00A0" w:rsidRDefault="00B73CD5" w:rsidP="004820CA">
            <w:pPr>
              <w:spacing w:before="60" w:line="200" w:lineRule="exact"/>
              <w:ind w:right="-62"/>
              <w:jc w:val="center"/>
              <w:rPr>
                <w:b/>
                <w:sz w:val="16"/>
                <w:szCs w:val="16"/>
              </w:rPr>
            </w:pPr>
            <w:r w:rsidRPr="009D00A0">
              <w:rPr>
                <w:b/>
                <w:sz w:val="16"/>
                <w:szCs w:val="16"/>
              </w:rPr>
              <w:t>201</w:t>
            </w:r>
            <w:r w:rsidR="004820CA">
              <w:rPr>
                <w:b/>
                <w:sz w:val="16"/>
                <w:szCs w:val="16"/>
              </w:rPr>
              <w:t>2</w:t>
            </w:r>
          </w:p>
        </w:tc>
        <w:tc>
          <w:tcPr>
            <w:tcW w:w="619" w:type="dxa"/>
            <w:tcBorders>
              <w:top w:val="single" w:sz="4" w:space="0" w:color="auto"/>
              <w:bottom w:val="single" w:sz="4" w:space="0" w:color="auto"/>
            </w:tcBorders>
            <w:shd w:val="clear" w:color="auto" w:fill="auto"/>
          </w:tcPr>
          <w:p w:rsidR="00B73CD5" w:rsidRPr="009D00A0" w:rsidRDefault="00B73CD5" w:rsidP="004820CA">
            <w:pPr>
              <w:spacing w:before="60" w:line="200" w:lineRule="exact"/>
              <w:ind w:right="-62"/>
              <w:jc w:val="center"/>
              <w:rPr>
                <w:b/>
                <w:sz w:val="16"/>
                <w:szCs w:val="16"/>
              </w:rPr>
            </w:pPr>
            <w:r w:rsidRPr="009D00A0">
              <w:rPr>
                <w:b/>
                <w:sz w:val="16"/>
                <w:szCs w:val="16"/>
              </w:rPr>
              <w:t>201</w:t>
            </w:r>
            <w:r w:rsidR="004820CA">
              <w:rPr>
                <w:b/>
                <w:sz w:val="16"/>
                <w:szCs w:val="16"/>
              </w:rPr>
              <w:t>3</w:t>
            </w:r>
          </w:p>
        </w:tc>
        <w:tc>
          <w:tcPr>
            <w:tcW w:w="592" w:type="dxa"/>
            <w:tcBorders>
              <w:top w:val="single" w:sz="4" w:space="0" w:color="auto"/>
              <w:bottom w:val="single" w:sz="4" w:space="0" w:color="auto"/>
            </w:tcBorders>
          </w:tcPr>
          <w:p w:rsidR="00B73CD5" w:rsidRPr="003819D5" w:rsidRDefault="00B73CD5" w:rsidP="004820CA">
            <w:pPr>
              <w:spacing w:before="60" w:line="200" w:lineRule="exact"/>
              <w:ind w:right="-62"/>
              <w:jc w:val="center"/>
              <w:rPr>
                <w:b/>
                <w:sz w:val="16"/>
                <w:szCs w:val="16"/>
                <w:highlight w:val="yellow"/>
              </w:rPr>
            </w:pPr>
            <w:r w:rsidRPr="00C55D2C">
              <w:rPr>
                <w:b/>
                <w:sz w:val="16"/>
                <w:szCs w:val="16"/>
              </w:rPr>
              <w:t>201</w:t>
            </w:r>
            <w:r w:rsidR="004820CA" w:rsidRPr="00C55D2C">
              <w:rPr>
                <w:b/>
                <w:sz w:val="16"/>
                <w:szCs w:val="16"/>
              </w:rPr>
              <w:t>4</w:t>
            </w:r>
          </w:p>
        </w:tc>
      </w:tr>
      <w:tr w:rsidR="00B73CD5" w:rsidRPr="009D00A0" w:rsidTr="00B23277">
        <w:tc>
          <w:tcPr>
            <w:tcW w:w="2410" w:type="dxa"/>
            <w:tcBorders>
              <w:top w:val="single" w:sz="4" w:space="0" w:color="auto"/>
            </w:tcBorders>
            <w:shd w:val="clear" w:color="auto" w:fill="auto"/>
            <w:vAlign w:val="bottom"/>
          </w:tcPr>
          <w:p w:rsidR="00B73CD5" w:rsidRPr="009D00A0" w:rsidRDefault="00B73CD5" w:rsidP="00B23277">
            <w:pPr>
              <w:spacing w:before="60" w:line="200" w:lineRule="exact"/>
              <w:rPr>
                <w:sz w:val="16"/>
                <w:szCs w:val="16"/>
              </w:rPr>
            </w:pPr>
            <w:r w:rsidRPr="009D00A0">
              <w:rPr>
                <w:sz w:val="16"/>
                <w:szCs w:val="16"/>
              </w:rPr>
              <w:t xml:space="preserve">Totalt värde den 31 december </w:t>
            </w:r>
          </w:p>
        </w:tc>
        <w:tc>
          <w:tcPr>
            <w:tcW w:w="619" w:type="dxa"/>
            <w:tcBorders>
              <w:top w:val="single" w:sz="4" w:space="0" w:color="auto"/>
            </w:tcBorders>
            <w:shd w:val="clear" w:color="auto" w:fill="auto"/>
            <w:vAlign w:val="bottom"/>
          </w:tcPr>
          <w:p w:rsidR="00B73CD5" w:rsidRPr="009D00A0" w:rsidRDefault="00B73CD5" w:rsidP="00B23277">
            <w:pPr>
              <w:spacing w:before="60" w:line="200" w:lineRule="exact"/>
              <w:jc w:val="right"/>
              <w:rPr>
                <w:sz w:val="16"/>
                <w:szCs w:val="16"/>
              </w:rPr>
            </w:pPr>
          </w:p>
        </w:tc>
        <w:tc>
          <w:tcPr>
            <w:tcW w:w="577" w:type="dxa"/>
            <w:tcBorders>
              <w:top w:val="single" w:sz="4" w:space="0" w:color="auto"/>
            </w:tcBorders>
            <w:shd w:val="clear" w:color="auto" w:fill="auto"/>
            <w:vAlign w:val="bottom"/>
          </w:tcPr>
          <w:p w:rsidR="00B73CD5" w:rsidRPr="009D00A0" w:rsidRDefault="004820CA" w:rsidP="004820CA">
            <w:pPr>
              <w:spacing w:before="60" w:line="200" w:lineRule="exact"/>
              <w:jc w:val="right"/>
              <w:rPr>
                <w:sz w:val="16"/>
                <w:szCs w:val="16"/>
              </w:rPr>
            </w:pPr>
            <w:r>
              <w:rPr>
                <w:sz w:val="16"/>
                <w:szCs w:val="16"/>
              </w:rPr>
              <w:t>105</w:t>
            </w:r>
          </w:p>
        </w:tc>
        <w:tc>
          <w:tcPr>
            <w:tcW w:w="660" w:type="dxa"/>
            <w:tcBorders>
              <w:top w:val="single" w:sz="4" w:space="0" w:color="auto"/>
            </w:tcBorders>
            <w:shd w:val="clear" w:color="auto" w:fill="auto"/>
            <w:vAlign w:val="bottom"/>
          </w:tcPr>
          <w:p w:rsidR="00B73CD5" w:rsidRPr="009D00A0" w:rsidRDefault="00B73CD5" w:rsidP="004820CA">
            <w:pPr>
              <w:spacing w:before="60" w:line="200" w:lineRule="exact"/>
              <w:jc w:val="right"/>
              <w:rPr>
                <w:sz w:val="16"/>
                <w:szCs w:val="16"/>
              </w:rPr>
            </w:pPr>
            <w:r w:rsidRPr="009D00A0">
              <w:rPr>
                <w:sz w:val="16"/>
                <w:szCs w:val="16"/>
              </w:rPr>
              <w:t>10</w:t>
            </w:r>
            <w:r w:rsidR="004820CA">
              <w:rPr>
                <w:sz w:val="16"/>
                <w:szCs w:val="16"/>
              </w:rPr>
              <w:t>0</w:t>
            </w:r>
          </w:p>
        </w:tc>
        <w:tc>
          <w:tcPr>
            <w:tcW w:w="619" w:type="dxa"/>
            <w:tcBorders>
              <w:top w:val="single" w:sz="4" w:space="0" w:color="auto"/>
            </w:tcBorders>
            <w:shd w:val="clear" w:color="auto" w:fill="auto"/>
            <w:vAlign w:val="bottom"/>
          </w:tcPr>
          <w:p w:rsidR="00B73CD5" w:rsidRPr="009D00A0" w:rsidRDefault="004820CA" w:rsidP="00B23277">
            <w:pPr>
              <w:spacing w:before="60" w:line="200" w:lineRule="exact"/>
              <w:jc w:val="right"/>
              <w:rPr>
                <w:sz w:val="16"/>
                <w:szCs w:val="16"/>
              </w:rPr>
            </w:pPr>
            <w:r>
              <w:rPr>
                <w:sz w:val="16"/>
                <w:szCs w:val="16"/>
              </w:rPr>
              <w:t>96</w:t>
            </w:r>
          </w:p>
        </w:tc>
        <w:tc>
          <w:tcPr>
            <w:tcW w:w="619" w:type="dxa"/>
            <w:tcBorders>
              <w:top w:val="single" w:sz="4" w:space="0" w:color="auto"/>
            </w:tcBorders>
            <w:shd w:val="clear" w:color="auto" w:fill="auto"/>
          </w:tcPr>
          <w:p w:rsidR="00B73CD5" w:rsidRPr="009D00A0" w:rsidRDefault="004820CA" w:rsidP="00B23277">
            <w:pPr>
              <w:spacing w:before="60" w:line="200" w:lineRule="exact"/>
              <w:jc w:val="right"/>
              <w:rPr>
                <w:sz w:val="16"/>
                <w:szCs w:val="16"/>
              </w:rPr>
            </w:pPr>
            <w:r>
              <w:rPr>
                <w:sz w:val="16"/>
                <w:szCs w:val="16"/>
              </w:rPr>
              <w:t>8</w:t>
            </w:r>
            <w:r w:rsidR="00B73CD5" w:rsidRPr="009D00A0">
              <w:rPr>
                <w:sz w:val="16"/>
                <w:szCs w:val="16"/>
              </w:rPr>
              <w:t>6</w:t>
            </w:r>
          </w:p>
        </w:tc>
        <w:tc>
          <w:tcPr>
            <w:tcW w:w="592" w:type="dxa"/>
            <w:tcBorders>
              <w:top w:val="single" w:sz="4" w:space="0" w:color="auto"/>
            </w:tcBorders>
          </w:tcPr>
          <w:p w:rsidR="00B73CD5" w:rsidRPr="002943DA" w:rsidRDefault="00A8457A" w:rsidP="004820CA">
            <w:pPr>
              <w:spacing w:before="60" w:line="200" w:lineRule="exact"/>
              <w:jc w:val="right"/>
              <w:rPr>
                <w:sz w:val="16"/>
                <w:szCs w:val="16"/>
              </w:rPr>
            </w:pPr>
            <w:r w:rsidRPr="002943DA">
              <w:rPr>
                <w:sz w:val="16"/>
                <w:szCs w:val="16"/>
              </w:rPr>
              <w:t>83</w:t>
            </w:r>
          </w:p>
        </w:tc>
      </w:tr>
      <w:tr w:rsidR="00B73CD5" w:rsidRPr="009D00A0" w:rsidTr="00B23277">
        <w:tc>
          <w:tcPr>
            <w:tcW w:w="2410" w:type="dxa"/>
            <w:shd w:val="clear" w:color="auto" w:fill="auto"/>
            <w:vAlign w:val="bottom"/>
          </w:tcPr>
          <w:p w:rsidR="00B73CD5" w:rsidRPr="009D00A0" w:rsidRDefault="00B73CD5" w:rsidP="00B23277">
            <w:pPr>
              <w:spacing w:before="60" w:line="200" w:lineRule="exact"/>
              <w:ind w:left="176"/>
              <w:jc w:val="left"/>
              <w:rPr>
                <w:sz w:val="16"/>
                <w:szCs w:val="16"/>
              </w:rPr>
            </w:pPr>
            <w:r w:rsidRPr="009D00A0">
              <w:rPr>
                <w:sz w:val="16"/>
                <w:szCs w:val="16"/>
              </w:rPr>
              <w:t xml:space="preserve">Sedlar </w:t>
            </w:r>
          </w:p>
        </w:tc>
        <w:tc>
          <w:tcPr>
            <w:tcW w:w="619" w:type="dxa"/>
            <w:shd w:val="clear" w:color="auto" w:fill="auto"/>
            <w:vAlign w:val="bottom"/>
          </w:tcPr>
          <w:p w:rsidR="00B73CD5" w:rsidRPr="009D00A0" w:rsidRDefault="00B73CD5" w:rsidP="00B23277">
            <w:pPr>
              <w:spacing w:before="60" w:line="200" w:lineRule="exact"/>
              <w:jc w:val="right"/>
              <w:rPr>
                <w:sz w:val="16"/>
                <w:szCs w:val="16"/>
              </w:rPr>
            </w:pPr>
          </w:p>
        </w:tc>
        <w:tc>
          <w:tcPr>
            <w:tcW w:w="577" w:type="dxa"/>
            <w:shd w:val="clear" w:color="auto" w:fill="auto"/>
            <w:vAlign w:val="bottom"/>
          </w:tcPr>
          <w:p w:rsidR="00B73CD5" w:rsidRPr="009D00A0" w:rsidRDefault="00B73CD5" w:rsidP="004820CA">
            <w:pPr>
              <w:spacing w:before="60" w:line="200" w:lineRule="exact"/>
              <w:jc w:val="right"/>
              <w:rPr>
                <w:sz w:val="16"/>
                <w:szCs w:val="16"/>
              </w:rPr>
            </w:pPr>
            <w:r w:rsidRPr="009D00A0">
              <w:rPr>
                <w:sz w:val="16"/>
                <w:szCs w:val="16"/>
              </w:rPr>
              <w:t>10</w:t>
            </w:r>
            <w:r w:rsidR="004820CA">
              <w:rPr>
                <w:sz w:val="16"/>
                <w:szCs w:val="16"/>
              </w:rPr>
              <w:t>0</w:t>
            </w:r>
          </w:p>
        </w:tc>
        <w:tc>
          <w:tcPr>
            <w:tcW w:w="660" w:type="dxa"/>
            <w:shd w:val="clear" w:color="auto" w:fill="auto"/>
            <w:vAlign w:val="bottom"/>
          </w:tcPr>
          <w:p w:rsidR="00B73CD5" w:rsidRPr="009D00A0" w:rsidRDefault="004820CA" w:rsidP="00B23277">
            <w:pPr>
              <w:spacing w:before="60" w:line="200" w:lineRule="exact"/>
              <w:jc w:val="right"/>
              <w:rPr>
                <w:sz w:val="16"/>
                <w:szCs w:val="16"/>
              </w:rPr>
            </w:pPr>
            <w:r>
              <w:rPr>
                <w:sz w:val="16"/>
                <w:szCs w:val="16"/>
              </w:rPr>
              <w:t>95</w:t>
            </w:r>
          </w:p>
        </w:tc>
        <w:tc>
          <w:tcPr>
            <w:tcW w:w="619" w:type="dxa"/>
            <w:shd w:val="clear" w:color="auto" w:fill="auto"/>
            <w:vAlign w:val="bottom"/>
          </w:tcPr>
          <w:p w:rsidR="00B73CD5" w:rsidRPr="009D00A0" w:rsidRDefault="00B73CD5" w:rsidP="004820CA">
            <w:pPr>
              <w:spacing w:before="60" w:line="200" w:lineRule="exact"/>
              <w:jc w:val="right"/>
              <w:rPr>
                <w:sz w:val="16"/>
                <w:szCs w:val="16"/>
              </w:rPr>
            </w:pPr>
            <w:r w:rsidRPr="009D00A0">
              <w:rPr>
                <w:sz w:val="16"/>
                <w:szCs w:val="16"/>
              </w:rPr>
              <w:t>9</w:t>
            </w:r>
            <w:r w:rsidR="004820CA">
              <w:rPr>
                <w:sz w:val="16"/>
                <w:szCs w:val="16"/>
              </w:rPr>
              <w:t>1</w:t>
            </w:r>
          </w:p>
        </w:tc>
        <w:tc>
          <w:tcPr>
            <w:tcW w:w="619" w:type="dxa"/>
            <w:shd w:val="clear" w:color="auto" w:fill="auto"/>
          </w:tcPr>
          <w:p w:rsidR="00B73CD5" w:rsidRPr="009D00A0" w:rsidRDefault="004820CA" w:rsidP="004820CA">
            <w:pPr>
              <w:spacing w:before="60" w:line="200" w:lineRule="exact"/>
              <w:jc w:val="right"/>
              <w:rPr>
                <w:sz w:val="16"/>
                <w:szCs w:val="16"/>
              </w:rPr>
            </w:pPr>
            <w:r>
              <w:rPr>
                <w:sz w:val="16"/>
                <w:szCs w:val="16"/>
              </w:rPr>
              <w:t>80</w:t>
            </w:r>
          </w:p>
        </w:tc>
        <w:tc>
          <w:tcPr>
            <w:tcW w:w="592" w:type="dxa"/>
          </w:tcPr>
          <w:p w:rsidR="00B73CD5" w:rsidRPr="002943DA" w:rsidRDefault="00A8457A" w:rsidP="004820CA">
            <w:pPr>
              <w:spacing w:before="60" w:line="200" w:lineRule="exact"/>
              <w:jc w:val="right"/>
              <w:rPr>
                <w:sz w:val="16"/>
                <w:szCs w:val="16"/>
              </w:rPr>
            </w:pPr>
            <w:r w:rsidRPr="002943DA">
              <w:rPr>
                <w:sz w:val="16"/>
                <w:szCs w:val="16"/>
              </w:rPr>
              <w:t>78</w:t>
            </w:r>
          </w:p>
        </w:tc>
      </w:tr>
      <w:tr w:rsidR="00B73CD5" w:rsidRPr="009D00A0" w:rsidTr="00B23277">
        <w:tc>
          <w:tcPr>
            <w:tcW w:w="2410" w:type="dxa"/>
            <w:shd w:val="clear" w:color="auto" w:fill="auto"/>
            <w:vAlign w:val="bottom"/>
          </w:tcPr>
          <w:p w:rsidR="00B73CD5" w:rsidRPr="009D00A0" w:rsidRDefault="00B73CD5" w:rsidP="00B23277">
            <w:pPr>
              <w:spacing w:before="60" w:line="200" w:lineRule="exact"/>
              <w:ind w:left="176"/>
              <w:jc w:val="left"/>
              <w:rPr>
                <w:sz w:val="16"/>
                <w:szCs w:val="16"/>
              </w:rPr>
            </w:pPr>
            <w:r w:rsidRPr="009D00A0">
              <w:rPr>
                <w:sz w:val="16"/>
                <w:szCs w:val="16"/>
              </w:rPr>
              <w:t xml:space="preserve">Mynt </w:t>
            </w:r>
          </w:p>
        </w:tc>
        <w:tc>
          <w:tcPr>
            <w:tcW w:w="619" w:type="dxa"/>
            <w:shd w:val="clear" w:color="auto" w:fill="auto"/>
            <w:vAlign w:val="bottom"/>
          </w:tcPr>
          <w:p w:rsidR="00B73CD5" w:rsidRPr="009D00A0" w:rsidRDefault="00B73CD5" w:rsidP="00B23277">
            <w:pPr>
              <w:spacing w:before="60" w:line="200" w:lineRule="exact"/>
              <w:jc w:val="right"/>
              <w:rPr>
                <w:sz w:val="16"/>
                <w:szCs w:val="16"/>
              </w:rPr>
            </w:pPr>
          </w:p>
        </w:tc>
        <w:tc>
          <w:tcPr>
            <w:tcW w:w="577" w:type="dxa"/>
            <w:shd w:val="clear" w:color="auto" w:fill="auto"/>
            <w:vAlign w:val="bottom"/>
          </w:tcPr>
          <w:p w:rsidR="00B73CD5" w:rsidRPr="009D00A0" w:rsidRDefault="004820CA" w:rsidP="00B23277">
            <w:pPr>
              <w:spacing w:before="60" w:line="200" w:lineRule="exact"/>
              <w:jc w:val="right"/>
              <w:rPr>
                <w:sz w:val="16"/>
                <w:szCs w:val="16"/>
              </w:rPr>
            </w:pPr>
            <w:r>
              <w:rPr>
                <w:sz w:val="16"/>
                <w:szCs w:val="16"/>
              </w:rPr>
              <w:t>5</w:t>
            </w:r>
          </w:p>
        </w:tc>
        <w:tc>
          <w:tcPr>
            <w:tcW w:w="660" w:type="dxa"/>
            <w:shd w:val="clear" w:color="auto" w:fill="auto"/>
            <w:vAlign w:val="bottom"/>
          </w:tcPr>
          <w:p w:rsidR="00B73CD5" w:rsidRPr="009D00A0" w:rsidRDefault="00B73CD5" w:rsidP="00B23277">
            <w:pPr>
              <w:spacing w:before="60" w:line="200" w:lineRule="exact"/>
              <w:jc w:val="right"/>
              <w:rPr>
                <w:sz w:val="16"/>
                <w:szCs w:val="16"/>
              </w:rPr>
            </w:pPr>
            <w:r w:rsidRPr="009D00A0">
              <w:rPr>
                <w:sz w:val="16"/>
                <w:szCs w:val="16"/>
              </w:rPr>
              <w:t>5</w:t>
            </w:r>
          </w:p>
        </w:tc>
        <w:tc>
          <w:tcPr>
            <w:tcW w:w="619" w:type="dxa"/>
            <w:shd w:val="clear" w:color="auto" w:fill="auto"/>
            <w:vAlign w:val="bottom"/>
          </w:tcPr>
          <w:p w:rsidR="00B73CD5" w:rsidRPr="009D00A0" w:rsidRDefault="00B73CD5" w:rsidP="00B23277">
            <w:pPr>
              <w:spacing w:before="60" w:line="200" w:lineRule="exact"/>
              <w:jc w:val="right"/>
              <w:rPr>
                <w:sz w:val="16"/>
                <w:szCs w:val="16"/>
              </w:rPr>
            </w:pPr>
            <w:r w:rsidRPr="009D00A0">
              <w:rPr>
                <w:sz w:val="16"/>
                <w:szCs w:val="16"/>
              </w:rPr>
              <w:t>5</w:t>
            </w:r>
          </w:p>
        </w:tc>
        <w:tc>
          <w:tcPr>
            <w:tcW w:w="619"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5</w:t>
            </w:r>
          </w:p>
        </w:tc>
        <w:tc>
          <w:tcPr>
            <w:tcW w:w="592" w:type="dxa"/>
          </w:tcPr>
          <w:p w:rsidR="00B73CD5" w:rsidRPr="002943DA" w:rsidRDefault="00A8457A" w:rsidP="00B23277">
            <w:pPr>
              <w:spacing w:before="60" w:line="200" w:lineRule="exact"/>
              <w:jc w:val="right"/>
              <w:rPr>
                <w:sz w:val="16"/>
                <w:szCs w:val="16"/>
              </w:rPr>
            </w:pPr>
            <w:r w:rsidRPr="002943DA">
              <w:rPr>
                <w:sz w:val="16"/>
                <w:szCs w:val="16"/>
              </w:rPr>
              <w:t>5</w:t>
            </w:r>
          </w:p>
        </w:tc>
      </w:tr>
      <w:tr w:rsidR="00B73CD5" w:rsidRPr="009D00A0" w:rsidTr="00B23277">
        <w:tc>
          <w:tcPr>
            <w:tcW w:w="2410" w:type="dxa"/>
            <w:shd w:val="clear" w:color="auto" w:fill="auto"/>
            <w:vAlign w:val="bottom"/>
          </w:tcPr>
          <w:p w:rsidR="00B73CD5" w:rsidRPr="009D00A0" w:rsidRDefault="00B73CD5" w:rsidP="00B23277">
            <w:pPr>
              <w:spacing w:before="60" w:line="200" w:lineRule="exact"/>
              <w:ind w:right="-108"/>
              <w:jc w:val="left"/>
              <w:rPr>
                <w:sz w:val="16"/>
                <w:szCs w:val="16"/>
              </w:rPr>
            </w:pPr>
            <w:r w:rsidRPr="009D00A0">
              <w:rPr>
                <w:sz w:val="16"/>
                <w:szCs w:val="16"/>
              </w:rPr>
              <w:t>Totalt värde, genomsnitt under året</w:t>
            </w:r>
          </w:p>
        </w:tc>
        <w:tc>
          <w:tcPr>
            <w:tcW w:w="619" w:type="dxa"/>
            <w:shd w:val="clear" w:color="auto" w:fill="auto"/>
            <w:vAlign w:val="bottom"/>
          </w:tcPr>
          <w:p w:rsidR="00B73CD5" w:rsidRPr="009D00A0" w:rsidRDefault="00B73CD5" w:rsidP="00B23277">
            <w:pPr>
              <w:spacing w:before="60" w:line="200" w:lineRule="exact"/>
              <w:jc w:val="right"/>
              <w:rPr>
                <w:sz w:val="16"/>
                <w:szCs w:val="16"/>
              </w:rPr>
            </w:pPr>
          </w:p>
        </w:tc>
        <w:tc>
          <w:tcPr>
            <w:tcW w:w="577" w:type="dxa"/>
            <w:shd w:val="clear" w:color="auto" w:fill="auto"/>
            <w:vAlign w:val="bottom"/>
          </w:tcPr>
          <w:p w:rsidR="00B73CD5" w:rsidRPr="009D00A0" w:rsidRDefault="00B73CD5" w:rsidP="004820CA">
            <w:pPr>
              <w:spacing w:before="60" w:line="200" w:lineRule="exact"/>
              <w:jc w:val="right"/>
              <w:rPr>
                <w:sz w:val="16"/>
                <w:szCs w:val="16"/>
              </w:rPr>
            </w:pPr>
            <w:r w:rsidRPr="009D00A0">
              <w:rPr>
                <w:sz w:val="16"/>
                <w:szCs w:val="16"/>
              </w:rPr>
              <w:t>10</w:t>
            </w:r>
            <w:r w:rsidR="004820CA">
              <w:rPr>
                <w:sz w:val="16"/>
                <w:szCs w:val="16"/>
              </w:rPr>
              <w:t>3</w:t>
            </w:r>
          </w:p>
        </w:tc>
        <w:tc>
          <w:tcPr>
            <w:tcW w:w="660" w:type="dxa"/>
            <w:shd w:val="clear" w:color="auto" w:fill="auto"/>
          </w:tcPr>
          <w:p w:rsidR="00B73CD5" w:rsidRPr="009D00A0" w:rsidRDefault="004820CA" w:rsidP="00B23277">
            <w:pPr>
              <w:spacing w:before="60" w:line="200" w:lineRule="exact"/>
              <w:jc w:val="right"/>
              <w:rPr>
                <w:sz w:val="16"/>
                <w:szCs w:val="16"/>
              </w:rPr>
            </w:pPr>
            <w:r>
              <w:rPr>
                <w:sz w:val="16"/>
                <w:szCs w:val="16"/>
              </w:rPr>
              <w:t>99</w:t>
            </w:r>
          </w:p>
        </w:tc>
        <w:tc>
          <w:tcPr>
            <w:tcW w:w="619"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9</w:t>
            </w:r>
            <w:r w:rsidR="004820CA">
              <w:rPr>
                <w:sz w:val="16"/>
                <w:szCs w:val="16"/>
              </w:rPr>
              <w:t>4</w:t>
            </w:r>
          </w:p>
        </w:tc>
        <w:tc>
          <w:tcPr>
            <w:tcW w:w="619" w:type="dxa"/>
            <w:shd w:val="clear" w:color="auto" w:fill="auto"/>
          </w:tcPr>
          <w:p w:rsidR="00B73CD5" w:rsidRPr="009D00A0" w:rsidRDefault="004820CA" w:rsidP="00B23277">
            <w:pPr>
              <w:spacing w:before="60" w:line="200" w:lineRule="exact"/>
              <w:jc w:val="right"/>
              <w:rPr>
                <w:sz w:val="16"/>
                <w:szCs w:val="16"/>
              </w:rPr>
            </w:pPr>
            <w:r>
              <w:rPr>
                <w:sz w:val="16"/>
                <w:szCs w:val="16"/>
              </w:rPr>
              <w:t>88</w:t>
            </w:r>
          </w:p>
        </w:tc>
        <w:tc>
          <w:tcPr>
            <w:tcW w:w="592" w:type="dxa"/>
          </w:tcPr>
          <w:p w:rsidR="00B73CD5" w:rsidRPr="002943DA" w:rsidRDefault="00B816BD" w:rsidP="004820CA">
            <w:pPr>
              <w:spacing w:before="60" w:line="200" w:lineRule="exact"/>
              <w:jc w:val="right"/>
              <w:rPr>
                <w:sz w:val="16"/>
                <w:szCs w:val="16"/>
              </w:rPr>
            </w:pPr>
            <w:r w:rsidRPr="002943DA">
              <w:rPr>
                <w:sz w:val="16"/>
                <w:szCs w:val="16"/>
              </w:rPr>
              <w:t>80</w:t>
            </w:r>
          </w:p>
        </w:tc>
      </w:tr>
      <w:tr w:rsidR="00B73CD5" w:rsidRPr="009D00A0" w:rsidTr="00B23277">
        <w:tc>
          <w:tcPr>
            <w:tcW w:w="2410" w:type="dxa"/>
            <w:shd w:val="clear" w:color="auto" w:fill="auto"/>
            <w:vAlign w:val="bottom"/>
          </w:tcPr>
          <w:p w:rsidR="00B73CD5" w:rsidRPr="009D00A0" w:rsidRDefault="00B73CD5" w:rsidP="00B23277">
            <w:pPr>
              <w:spacing w:before="60" w:line="200" w:lineRule="exact"/>
              <w:ind w:left="176"/>
              <w:jc w:val="left"/>
              <w:rPr>
                <w:sz w:val="16"/>
                <w:szCs w:val="16"/>
              </w:rPr>
            </w:pPr>
            <w:r w:rsidRPr="009D00A0">
              <w:rPr>
                <w:sz w:val="16"/>
                <w:szCs w:val="16"/>
              </w:rPr>
              <w:t xml:space="preserve">Sedlar </w:t>
            </w:r>
          </w:p>
        </w:tc>
        <w:tc>
          <w:tcPr>
            <w:tcW w:w="619" w:type="dxa"/>
            <w:shd w:val="clear" w:color="auto" w:fill="auto"/>
            <w:vAlign w:val="bottom"/>
          </w:tcPr>
          <w:p w:rsidR="00B73CD5" w:rsidRPr="009D00A0" w:rsidRDefault="00B73CD5" w:rsidP="00B23277">
            <w:pPr>
              <w:spacing w:before="60" w:line="200" w:lineRule="exact"/>
              <w:jc w:val="right"/>
              <w:rPr>
                <w:sz w:val="16"/>
                <w:szCs w:val="16"/>
              </w:rPr>
            </w:pPr>
          </w:p>
        </w:tc>
        <w:tc>
          <w:tcPr>
            <w:tcW w:w="577" w:type="dxa"/>
            <w:shd w:val="clear" w:color="auto" w:fill="auto"/>
            <w:vAlign w:val="bottom"/>
          </w:tcPr>
          <w:p w:rsidR="00B73CD5" w:rsidRPr="009D00A0" w:rsidRDefault="004820CA" w:rsidP="00B23277">
            <w:pPr>
              <w:spacing w:before="60" w:line="200" w:lineRule="exact"/>
              <w:jc w:val="right"/>
              <w:rPr>
                <w:sz w:val="16"/>
                <w:szCs w:val="16"/>
              </w:rPr>
            </w:pPr>
            <w:r>
              <w:rPr>
                <w:sz w:val="16"/>
                <w:szCs w:val="16"/>
              </w:rPr>
              <w:t>98</w:t>
            </w:r>
          </w:p>
        </w:tc>
        <w:tc>
          <w:tcPr>
            <w:tcW w:w="660"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9</w:t>
            </w:r>
            <w:r w:rsidR="004820CA">
              <w:rPr>
                <w:sz w:val="16"/>
                <w:szCs w:val="16"/>
              </w:rPr>
              <w:t>4</w:t>
            </w:r>
          </w:p>
        </w:tc>
        <w:tc>
          <w:tcPr>
            <w:tcW w:w="619" w:type="dxa"/>
            <w:shd w:val="clear" w:color="auto" w:fill="auto"/>
          </w:tcPr>
          <w:p w:rsidR="00B73CD5" w:rsidRPr="009D00A0" w:rsidRDefault="004820CA" w:rsidP="00B23277">
            <w:pPr>
              <w:spacing w:before="60" w:line="200" w:lineRule="exact"/>
              <w:jc w:val="right"/>
              <w:rPr>
                <w:sz w:val="16"/>
                <w:szCs w:val="16"/>
              </w:rPr>
            </w:pPr>
            <w:r>
              <w:rPr>
                <w:sz w:val="16"/>
                <w:szCs w:val="16"/>
              </w:rPr>
              <w:t>89</w:t>
            </w:r>
          </w:p>
        </w:tc>
        <w:tc>
          <w:tcPr>
            <w:tcW w:w="619"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8</w:t>
            </w:r>
            <w:r w:rsidR="004820CA">
              <w:rPr>
                <w:sz w:val="16"/>
                <w:szCs w:val="16"/>
              </w:rPr>
              <w:t>3</w:t>
            </w:r>
          </w:p>
        </w:tc>
        <w:tc>
          <w:tcPr>
            <w:tcW w:w="592" w:type="dxa"/>
          </w:tcPr>
          <w:p w:rsidR="00B73CD5" w:rsidRPr="002943DA" w:rsidRDefault="00B816BD" w:rsidP="00B23277">
            <w:pPr>
              <w:spacing w:before="60" w:line="200" w:lineRule="exact"/>
              <w:jc w:val="right"/>
              <w:rPr>
                <w:sz w:val="16"/>
                <w:szCs w:val="16"/>
              </w:rPr>
            </w:pPr>
            <w:r w:rsidRPr="002943DA">
              <w:rPr>
                <w:sz w:val="16"/>
                <w:szCs w:val="16"/>
              </w:rPr>
              <w:t>75</w:t>
            </w:r>
          </w:p>
        </w:tc>
      </w:tr>
      <w:tr w:rsidR="00B73CD5" w:rsidRPr="009D00A0" w:rsidTr="00B23277">
        <w:tc>
          <w:tcPr>
            <w:tcW w:w="2410" w:type="dxa"/>
            <w:shd w:val="clear" w:color="auto" w:fill="auto"/>
            <w:vAlign w:val="bottom"/>
          </w:tcPr>
          <w:p w:rsidR="00B73CD5" w:rsidRPr="009D00A0" w:rsidRDefault="00B73CD5" w:rsidP="00B23277">
            <w:pPr>
              <w:spacing w:before="60" w:line="200" w:lineRule="exact"/>
              <w:ind w:left="176"/>
              <w:jc w:val="left"/>
              <w:rPr>
                <w:sz w:val="16"/>
                <w:szCs w:val="16"/>
              </w:rPr>
            </w:pPr>
            <w:r w:rsidRPr="009D00A0">
              <w:rPr>
                <w:sz w:val="16"/>
                <w:szCs w:val="16"/>
              </w:rPr>
              <w:t>Mynt (exklusive minnesmynt)</w:t>
            </w:r>
          </w:p>
        </w:tc>
        <w:tc>
          <w:tcPr>
            <w:tcW w:w="619" w:type="dxa"/>
            <w:shd w:val="clear" w:color="auto" w:fill="auto"/>
            <w:vAlign w:val="bottom"/>
          </w:tcPr>
          <w:p w:rsidR="00B73CD5" w:rsidRPr="009D00A0" w:rsidRDefault="00B73CD5" w:rsidP="00B23277">
            <w:pPr>
              <w:spacing w:before="60" w:line="200" w:lineRule="exact"/>
              <w:jc w:val="right"/>
              <w:rPr>
                <w:sz w:val="16"/>
                <w:szCs w:val="16"/>
              </w:rPr>
            </w:pPr>
          </w:p>
        </w:tc>
        <w:tc>
          <w:tcPr>
            <w:tcW w:w="577" w:type="dxa"/>
            <w:shd w:val="clear" w:color="auto" w:fill="auto"/>
            <w:vAlign w:val="bottom"/>
          </w:tcPr>
          <w:p w:rsidR="00B73CD5" w:rsidRPr="009D00A0" w:rsidRDefault="00B73CD5" w:rsidP="00B23277">
            <w:pPr>
              <w:spacing w:before="60" w:line="200" w:lineRule="exact"/>
              <w:jc w:val="right"/>
              <w:rPr>
                <w:sz w:val="16"/>
                <w:szCs w:val="16"/>
              </w:rPr>
            </w:pPr>
            <w:r w:rsidRPr="009D00A0">
              <w:rPr>
                <w:sz w:val="16"/>
                <w:szCs w:val="16"/>
              </w:rPr>
              <w:t>5</w:t>
            </w:r>
          </w:p>
        </w:tc>
        <w:tc>
          <w:tcPr>
            <w:tcW w:w="660"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5</w:t>
            </w:r>
          </w:p>
        </w:tc>
        <w:tc>
          <w:tcPr>
            <w:tcW w:w="619"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5</w:t>
            </w:r>
          </w:p>
        </w:tc>
        <w:tc>
          <w:tcPr>
            <w:tcW w:w="619" w:type="dxa"/>
            <w:shd w:val="clear" w:color="auto" w:fill="auto"/>
          </w:tcPr>
          <w:p w:rsidR="00B73CD5" w:rsidRPr="009D00A0" w:rsidRDefault="00B73CD5" w:rsidP="00B23277">
            <w:pPr>
              <w:spacing w:before="60" w:line="200" w:lineRule="exact"/>
              <w:jc w:val="right"/>
              <w:rPr>
                <w:sz w:val="16"/>
                <w:szCs w:val="16"/>
              </w:rPr>
            </w:pPr>
            <w:r w:rsidRPr="009D00A0">
              <w:rPr>
                <w:sz w:val="16"/>
                <w:szCs w:val="16"/>
              </w:rPr>
              <w:t>5</w:t>
            </w:r>
          </w:p>
        </w:tc>
        <w:tc>
          <w:tcPr>
            <w:tcW w:w="592" w:type="dxa"/>
          </w:tcPr>
          <w:p w:rsidR="00B73CD5" w:rsidRPr="002943DA" w:rsidRDefault="00B816BD" w:rsidP="00B23277">
            <w:pPr>
              <w:spacing w:before="60" w:line="200" w:lineRule="exact"/>
              <w:jc w:val="right"/>
              <w:rPr>
                <w:sz w:val="16"/>
                <w:szCs w:val="16"/>
              </w:rPr>
            </w:pPr>
            <w:r w:rsidRPr="002943DA">
              <w:rPr>
                <w:sz w:val="16"/>
                <w:szCs w:val="16"/>
              </w:rPr>
              <w:t>5</w:t>
            </w:r>
          </w:p>
        </w:tc>
      </w:tr>
    </w:tbl>
    <w:p w:rsidR="00B73CD5" w:rsidRPr="009D00A0" w:rsidRDefault="00B73CD5" w:rsidP="003004AE">
      <w:pPr>
        <w:pStyle w:val="Fotnotstext"/>
      </w:pPr>
      <w:r w:rsidRPr="009D00A0">
        <w:t xml:space="preserve">Anm. Uppgifterna i tabellen är avrundade. </w:t>
      </w:r>
    </w:p>
    <w:p w:rsidR="00B73CD5" w:rsidRDefault="00B73CD5" w:rsidP="003004AE">
      <w:pPr>
        <w:pStyle w:val="Fotnotstext"/>
      </w:pPr>
      <w:r w:rsidRPr="009D00A0">
        <w:t>Källa: Riksbanken.</w:t>
      </w:r>
    </w:p>
    <w:p w:rsidR="0017146A" w:rsidRDefault="003F2C91" w:rsidP="00A17B94">
      <w:pPr>
        <w:pStyle w:val="Diagramrubrik"/>
        <w:rPr>
          <w:szCs w:val="19"/>
        </w:rPr>
      </w:pPr>
      <w:r w:rsidRPr="00336970">
        <w:t>Diagram</w:t>
      </w:r>
      <w:r w:rsidRPr="00336970">
        <w:rPr>
          <w:szCs w:val="19"/>
        </w:rPr>
        <w:t xml:space="preserve"> 1</w:t>
      </w:r>
      <w:r w:rsidR="007B2FE6">
        <w:rPr>
          <w:szCs w:val="19"/>
        </w:rPr>
        <w:t>6</w:t>
      </w:r>
      <w:r>
        <w:rPr>
          <w:szCs w:val="19"/>
        </w:rPr>
        <w:t>. Genomsnittligt värde av sedlar i cirkulation 2012</w:t>
      </w:r>
      <w:r w:rsidRPr="004936FF">
        <w:t>–</w:t>
      </w:r>
      <w:r>
        <w:t>2014, miljarder kronor</w:t>
      </w:r>
    </w:p>
    <w:p w:rsidR="0017146A" w:rsidRPr="009902CF" w:rsidRDefault="00A12E15" w:rsidP="0017146A">
      <w:r w:rsidRPr="00986B60">
        <w:rPr>
          <w:noProof/>
        </w:rPr>
        <w:drawing>
          <wp:inline distT="0" distB="0" distL="0" distR="0">
            <wp:extent cx="3781425" cy="2476500"/>
            <wp:effectExtent l="0" t="0" r="9525" b="0"/>
            <wp:docPr id="18"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81425" cy="2476500"/>
                    </a:xfrm>
                    <a:prstGeom prst="rect">
                      <a:avLst/>
                    </a:prstGeom>
                    <a:noFill/>
                    <a:ln>
                      <a:noFill/>
                    </a:ln>
                  </pic:spPr>
                </pic:pic>
              </a:graphicData>
            </a:graphic>
          </wp:inline>
        </w:drawing>
      </w:r>
    </w:p>
    <w:p w:rsidR="0017146A" w:rsidRPr="005574D5" w:rsidRDefault="0017146A" w:rsidP="0017146A">
      <w:pPr>
        <w:pStyle w:val="Fotnotstext"/>
      </w:pPr>
      <w:r w:rsidRPr="005574D5">
        <w:t>Källa: Riksbanken.</w:t>
      </w:r>
    </w:p>
    <w:p w:rsidR="00B73CD5" w:rsidRDefault="00B73CD5" w:rsidP="00A17B94">
      <w:pPr>
        <w:pStyle w:val="Diagramrubrik"/>
        <w:rPr>
          <w:szCs w:val="19"/>
        </w:rPr>
      </w:pPr>
      <w:r w:rsidRPr="00336970">
        <w:t>Diagram</w:t>
      </w:r>
      <w:r w:rsidRPr="00336970">
        <w:rPr>
          <w:szCs w:val="19"/>
        </w:rPr>
        <w:t xml:space="preserve"> </w:t>
      </w:r>
      <w:r w:rsidR="00AD0B19" w:rsidRPr="00336970">
        <w:rPr>
          <w:szCs w:val="19"/>
        </w:rPr>
        <w:t>1</w:t>
      </w:r>
      <w:r w:rsidR="007B2FE6">
        <w:rPr>
          <w:szCs w:val="19"/>
        </w:rPr>
        <w:t>7</w:t>
      </w:r>
      <w:r w:rsidRPr="00336970">
        <w:rPr>
          <w:szCs w:val="19"/>
        </w:rPr>
        <w:t xml:space="preserve">. Genomsnittligt värde av sedlar i cirkulation, </w:t>
      </w:r>
      <w:r w:rsidR="00DD608A">
        <w:rPr>
          <w:szCs w:val="19"/>
        </w:rPr>
        <w:br/>
      </w:r>
      <w:r w:rsidRPr="00336970">
        <w:rPr>
          <w:szCs w:val="19"/>
        </w:rPr>
        <w:t>miljarder kr</w:t>
      </w:r>
      <w:r w:rsidRPr="00336970">
        <w:rPr>
          <w:szCs w:val="19"/>
        </w:rPr>
        <w:t>o</w:t>
      </w:r>
      <w:r w:rsidRPr="00336970">
        <w:rPr>
          <w:szCs w:val="19"/>
        </w:rPr>
        <w:t xml:space="preserve">nor </w:t>
      </w:r>
    </w:p>
    <w:p w:rsidR="00336970" w:rsidRPr="00336970" w:rsidRDefault="00A12E15" w:rsidP="00336970">
      <w:r w:rsidRPr="00986B60">
        <w:rPr>
          <w:noProof/>
        </w:rPr>
        <w:drawing>
          <wp:inline distT="0" distB="0" distL="0" distR="0">
            <wp:extent cx="3771900" cy="2476500"/>
            <wp:effectExtent l="0" t="0" r="0" b="0"/>
            <wp:docPr id="19"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1900" cy="2476500"/>
                    </a:xfrm>
                    <a:prstGeom prst="rect">
                      <a:avLst/>
                    </a:prstGeom>
                    <a:noFill/>
                    <a:ln>
                      <a:noFill/>
                    </a:ln>
                  </pic:spPr>
                </pic:pic>
              </a:graphicData>
            </a:graphic>
          </wp:inline>
        </w:drawing>
      </w:r>
    </w:p>
    <w:p w:rsidR="002C0236" w:rsidRPr="00D00CE1" w:rsidRDefault="00B73CD5" w:rsidP="00336970">
      <w:pPr>
        <w:pStyle w:val="Fotnotstext"/>
      </w:pPr>
      <w:r w:rsidRPr="005574D5">
        <w:t>Källa: Riksbanken.</w:t>
      </w:r>
    </w:p>
    <w:p w:rsidR="00A17B94" w:rsidRPr="00A17B94" w:rsidRDefault="00A17B94" w:rsidP="00A17B94">
      <w:pPr>
        <w:pStyle w:val="Fotnotstextindrag"/>
      </w:pPr>
    </w:p>
    <w:p w:rsidR="00B73CD5" w:rsidRDefault="00B73CD5" w:rsidP="00A17B94">
      <w:pPr>
        <w:pStyle w:val="Diagramrubrik"/>
      </w:pPr>
      <w:r w:rsidRPr="009902CF">
        <w:t xml:space="preserve">Diagram </w:t>
      </w:r>
      <w:r w:rsidR="00AD0B19" w:rsidRPr="009902CF">
        <w:t>1</w:t>
      </w:r>
      <w:r w:rsidR="007B2FE6">
        <w:t>8</w:t>
      </w:r>
      <w:r w:rsidRPr="009902CF">
        <w:t>. Genomsnittligt värde av</w:t>
      </w:r>
      <w:r w:rsidR="00DD608A">
        <w:t xml:space="preserve"> mynt i cirkulation, </w:t>
      </w:r>
      <w:r w:rsidR="00DD608A">
        <w:br/>
        <w:t xml:space="preserve">miljarder </w:t>
      </w:r>
      <w:r w:rsidRPr="009902CF">
        <w:t>kr</w:t>
      </w:r>
      <w:r w:rsidRPr="009902CF">
        <w:t>o</w:t>
      </w:r>
      <w:r w:rsidRPr="009902CF">
        <w:t>nor</w:t>
      </w:r>
      <w:r w:rsidRPr="005574D5">
        <w:t xml:space="preserve"> </w:t>
      </w:r>
    </w:p>
    <w:p w:rsidR="009902CF" w:rsidRPr="009902CF" w:rsidRDefault="00A12E15" w:rsidP="00030216">
      <w:pPr>
        <w:pStyle w:val="Normaltindrag"/>
        <w:ind w:firstLine="0"/>
      </w:pPr>
      <w:r w:rsidRPr="00986B60">
        <w:rPr>
          <w:noProof/>
        </w:rPr>
        <w:drawing>
          <wp:inline distT="0" distB="0" distL="0" distR="0">
            <wp:extent cx="3771900" cy="2476500"/>
            <wp:effectExtent l="0" t="0" r="0" b="0"/>
            <wp:docPr id="20"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71900" cy="2476500"/>
                    </a:xfrm>
                    <a:prstGeom prst="rect">
                      <a:avLst/>
                    </a:prstGeom>
                    <a:noFill/>
                    <a:ln>
                      <a:noFill/>
                    </a:ln>
                  </pic:spPr>
                </pic:pic>
              </a:graphicData>
            </a:graphic>
          </wp:inline>
        </w:drawing>
      </w:r>
    </w:p>
    <w:p w:rsidR="00B73CD5" w:rsidRPr="005574D5" w:rsidRDefault="00B73CD5" w:rsidP="00B73CD5">
      <w:pPr>
        <w:pStyle w:val="Fotnotstext"/>
      </w:pPr>
      <w:r w:rsidRPr="005574D5">
        <w:t>Anm. Uppgifterna i diagrammet inkluderar inte värdet av minnesmynt.</w:t>
      </w:r>
    </w:p>
    <w:p w:rsidR="009A75DD" w:rsidRDefault="00B73CD5" w:rsidP="009A75DD">
      <w:pPr>
        <w:pStyle w:val="Fotnotstext"/>
      </w:pPr>
      <w:r w:rsidRPr="005574D5">
        <w:t>Källa: Riksbanken.</w:t>
      </w:r>
    </w:p>
    <w:p w:rsidR="009A75DD" w:rsidRDefault="0089019B" w:rsidP="0089019B">
      <w:pPr>
        <w:pStyle w:val="R3"/>
        <w:spacing w:before="0"/>
      </w:pPr>
      <w:r>
        <w:br w:type="page"/>
      </w:r>
      <w:r w:rsidR="009A75DD">
        <w:t>Fortsatt arbete med nya sedlar och mynt</w:t>
      </w:r>
    </w:p>
    <w:p w:rsidR="009A75DD" w:rsidRDefault="009A75DD" w:rsidP="00982888">
      <w:pPr>
        <w:suppressAutoHyphens/>
      </w:pPr>
      <w:r>
        <w:t xml:space="preserve">Under 2014 fortsatte Riksbanken arbetet med </w:t>
      </w:r>
      <w:r w:rsidR="00F34765">
        <w:t>att förbereda</w:t>
      </w:r>
      <w:r>
        <w:t xml:space="preserve"> utbytet av sedlar och mynt som kommer att starta under 2015. Sedlarna och mynten kommer att bytas ut i två etapper så</w:t>
      </w:r>
      <w:r w:rsidR="00F34765">
        <w:t xml:space="preserve"> </w:t>
      </w:r>
      <w:r>
        <w:t>som rekommenderats av kontantmarknadens akt</w:t>
      </w:r>
      <w:r w:rsidR="00982888">
        <w:t>ö</w:t>
      </w:r>
      <w:r>
        <w:t>rer. Det nuvarande 10-kronorsmyntet kommer dock inte att bytas ut.</w:t>
      </w:r>
    </w:p>
    <w:p w:rsidR="009A75DD" w:rsidRDefault="009A75DD" w:rsidP="00030216">
      <w:pPr>
        <w:pStyle w:val="Normaltindrag"/>
      </w:pPr>
      <w:r>
        <w:t xml:space="preserve">I juni beslutade riksdagen, efter en framställning från Riksbanken, att </w:t>
      </w:r>
      <w:r w:rsidR="00BB199F">
        <w:t>de nuvarande</w:t>
      </w:r>
      <w:r>
        <w:t xml:space="preserve"> 20-, 50- och 1</w:t>
      </w:r>
      <w:r w:rsidR="005571D1">
        <w:t> </w:t>
      </w:r>
      <w:r>
        <w:t>000-kronorssedlarna ska upphöra att vara laglig</w:t>
      </w:r>
      <w:r w:rsidR="000B75F7">
        <w:t>a</w:t>
      </w:r>
      <w:r>
        <w:t xml:space="preserve"> betalningsmedel vid utgången av juni 2016. Riksdagen beslutade även att </w:t>
      </w:r>
      <w:r w:rsidR="00BB199F">
        <w:t>de nuvarande</w:t>
      </w:r>
      <w:r>
        <w:t xml:space="preserve"> 100- och 500-kronorssedlarna och 1-, 2- och 5-kronorsmynten ska upphöra att vara lagliga betalningsmedel vid utgången av juni 2017. </w:t>
      </w:r>
    </w:p>
    <w:p w:rsidR="009A75DD" w:rsidRPr="009A75DD" w:rsidRDefault="009A75DD" w:rsidP="00030216">
      <w:pPr>
        <w:pStyle w:val="Normaltindrag"/>
      </w:pPr>
      <w:r>
        <w:t xml:space="preserve">Riksbanken </w:t>
      </w:r>
      <w:r w:rsidR="00885295">
        <w:t>tog</w:t>
      </w:r>
      <w:r>
        <w:t xml:space="preserve"> under 2014 det nya kontoret för sedelhantering i drift. Kontoret, som ligger i Sigtuna kommun, har därmed ersatt Riksbankens tid</w:t>
      </w:r>
      <w:r>
        <w:t>i</w:t>
      </w:r>
      <w:r>
        <w:t>gare kontor i Mölndal och Tumba. På det nya kontoret är den övervägande delen av s</w:t>
      </w:r>
      <w:r>
        <w:t>e</w:t>
      </w:r>
      <w:r>
        <w:t>delhanteringen automatiserad.</w:t>
      </w:r>
    </w:p>
    <w:p w:rsidR="007162F0" w:rsidRPr="00546DCA" w:rsidRDefault="007162F0" w:rsidP="00546DCA">
      <w:pPr>
        <w:pStyle w:val="R2"/>
        <w:rPr>
          <w:szCs w:val="27"/>
        </w:rPr>
      </w:pPr>
      <w:r w:rsidRPr="00546DCA">
        <w:rPr>
          <w:szCs w:val="27"/>
        </w:rPr>
        <w:t>Uppföljning</w:t>
      </w:r>
    </w:p>
    <w:p w:rsidR="005D79D4" w:rsidRDefault="005D79D4" w:rsidP="005D79D4">
      <w:pPr>
        <w:rPr>
          <w:szCs w:val="19"/>
        </w:rPr>
      </w:pPr>
      <w:r w:rsidRPr="005574D5">
        <w:rPr>
          <w:szCs w:val="19"/>
        </w:rPr>
        <w:t xml:space="preserve">De svenska sedlarna förfalskades i </w:t>
      </w:r>
      <w:r w:rsidR="00326D41">
        <w:rPr>
          <w:szCs w:val="19"/>
        </w:rPr>
        <w:t>liten</w:t>
      </w:r>
      <w:r w:rsidRPr="005574D5">
        <w:rPr>
          <w:szCs w:val="19"/>
        </w:rPr>
        <w:t xml:space="preserve"> omfattning under 201</w:t>
      </w:r>
      <w:r>
        <w:rPr>
          <w:szCs w:val="19"/>
        </w:rPr>
        <w:t>4</w:t>
      </w:r>
      <w:r w:rsidRPr="005574D5">
        <w:rPr>
          <w:szCs w:val="19"/>
        </w:rPr>
        <w:t xml:space="preserve"> (se tabell </w:t>
      </w:r>
      <w:r w:rsidR="00564EF9">
        <w:rPr>
          <w:szCs w:val="19"/>
        </w:rPr>
        <w:t>3</w:t>
      </w:r>
      <w:r w:rsidRPr="005574D5">
        <w:rPr>
          <w:szCs w:val="19"/>
        </w:rPr>
        <w:t xml:space="preserve">). Värdet av de falska sedlar som togs ur cirkulation uppgick till </w:t>
      </w:r>
      <w:r w:rsidR="00326D41">
        <w:rPr>
          <w:szCs w:val="19"/>
        </w:rPr>
        <w:t>68 700</w:t>
      </w:r>
      <w:r w:rsidRPr="005574D5">
        <w:rPr>
          <w:szCs w:val="19"/>
        </w:rPr>
        <w:t xml:space="preserve"> kro</w:t>
      </w:r>
      <w:r>
        <w:rPr>
          <w:szCs w:val="19"/>
        </w:rPr>
        <w:t xml:space="preserve">nor, vilket </w:t>
      </w:r>
      <w:r w:rsidRPr="005574D5">
        <w:rPr>
          <w:szCs w:val="19"/>
        </w:rPr>
        <w:t xml:space="preserve">är en </w:t>
      </w:r>
      <w:r w:rsidR="00326D41">
        <w:rPr>
          <w:szCs w:val="19"/>
        </w:rPr>
        <w:t xml:space="preserve">minskning </w:t>
      </w:r>
      <w:r w:rsidRPr="005574D5">
        <w:rPr>
          <w:szCs w:val="19"/>
        </w:rPr>
        <w:t>jämfört med 201</w:t>
      </w:r>
      <w:r w:rsidR="00D30B81">
        <w:rPr>
          <w:szCs w:val="19"/>
        </w:rPr>
        <w:t>3</w:t>
      </w:r>
      <w:r w:rsidRPr="005574D5">
        <w:rPr>
          <w:szCs w:val="19"/>
        </w:rPr>
        <w:t xml:space="preserve">. Antalet falska sedlar som togs ur cirkulation uppgick till </w:t>
      </w:r>
      <w:r w:rsidR="00326D41">
        <w:rPr>
          <w:szCs w:val="19"/>
        </w:rPr>
        <w:t xml:space="preserve">246 </w:t>
      </w:r>
      <w:r w:rsidRPr="005574D5">
        <w:rPr>
          <w:szCs w:val="19"/>
        </w:rPr>
        <w:t xml:space="preserve">stycken, vilket är </w:t>
      </w:r>
      <w:r w:rsidR="00326D41">
        <w:rPr>
          <w:szCs w:val="19"/>
        </w:rPr>
        <w:t xml:space="preserve">färre </w:t>
      </w:r>
      <w:r w:rsidR="00885295">
        <w:rPr>
          <w:szCs w:val="19"/>
        </w:rPr>
        <w:t>än</w:t>
      </w:r>
      <w:r>
        <w:rPr>
          <w:szCs w:val="19"/>
        </w:rPr>
        <w:t xml:space="preserve"> </w:t>
      </w:r>
      <w:r w:rsidR="005571D1">
        <w:rPr>
          <w:szCs w:val="19"/>
        </w:rPr>
        <w:t xml:space="preserve">under </w:t>
      </w:r>
      <w:r w:rsidRPr="005574D5">
        <w:rPr>
          <w:szCs w:val="19"/>
        </w:rPr>
        <w:t>201</w:t>
      </w:r>
      <w:r>
        <w:rPr>
          <w:szCs w:val="19"/>
        </w:rPr>
        <w:t>3</w:t>
      </w:r>
      <w:r w:rsidRPr="005574D5">
        <w:rPr>
          <w:szCs w:val="19"/>
        </w:rPr>
        <w:t xml:space="preserve">. </w:t>
      </w:r>
      <w:r w:rsidR="00326D41">
        <w:rPr>
          <w:szCs w:val="19"/>
        </w:rPr>
        <w:t>Ung</w:t>
      </w:r>
      <w:r w:rsidR="00326D41">
        <w:rPr>
          <w:szCs w:val="19"/>
        </w:rPr>
        <w:t>e</w:t>
      </w:r>
      <w:r w:rsidR="00326D41">
        <w:rPr>
          <w:szCs w:val="19"/>
        </w:rPr>
        <w:t>fär hälften av förfalskningarna utgjordes av 20-kronorssedlar</w:t>
      </w:r>
      <w:r w:rsidR="00D30B81">
        <w:rPr>
          <w:szCs w:val="19"/>
        </w:rPr>
        <w:t>.</w:t>
      </w:r>
    </w:p>
    <w:p w:rsidR="005D79D4" w:rsidRDefault="005D79D4" w:rsidP="009B4A48">
      <w:pPr>
        <w:pStyle w:val="Normaltindrag"/>
        <w:suppressAutoHyphens/>
        <w:rPr>
          <w:szCs w:val="19"/>
        </w:rPr>
      </w:pPr>
      <w:r w:rsidRPr="00DB4093">
        <w:rPr>
          <w:szCs w:val="19"/>
        </w:rPr>
        <w:t xml:space="preserve">Riksbanken </w:t>
      </w:r>
      <w:r>
        <w:rPr>
          <w:szCs w:val="19"/>
        </w:rPr>
        <w:t>få</w:t>
      </w:r>
      <w:r w:rsidRPr="00DB4093">
        <w:rPr>
          <w:szCs w:val="19"/>
        </w:rPr>
        <w:t>r löpande information om hur kontantförsörjningen i samhället fungerar genom Riksbankens kontanthanteringsråd och de arbetsgru</w:t>
      </w:r>
      <w:r w:rsidRPr="00DB4093">
        <w:rPr>
          <w:szCs w:val="19"/>
        </w:rPr>
        <w:t>p</w:t>
      </w:r>
      <w:r w:rsidRPr="00DB4093">
        <w:rPr>
          <w:szCs w:val="19"/>
        </w:rPr>
        <w:t>per som är knutna till rådet. I rådet deltar representanter för banker, bankägda bolag, värdebolag, detaljhandel, fackföreningar och berörda myndigheter. Kontanthanteringsrådet hade ett sammanträde under 201</w:t>
      </w:r>
      <w:r w:rsidR="00C21DF4">
        <w:rPr>
          <w:szCs w:val="19"/>
        </w:rPr>
        <w:t>4</w:t>
      </w:r>
      <w:r w:rsidRPr="00DB4093">
        <w:rPr>
          <w:szCs w:val="19"/>
        </w:rPr>
        <w:t>.</w:t>
      </w:r>
      <w:r>
        <w:rPr>
          <w:szCs w:val="19"/>
        </w:rPr>
        <w:t xml:space="preserve"> En fråga som togs upp i rådet var regeringens kontanthanteringsutredning som </w:t>
      </w:r>
      <w:r w:rsidR="00F57FAE">
        <w:rPr>
          <w:szCs w:val="19"/>
        </w:rPr>
        <w:t>under hösten</w:t>
      </w:r>
      <w:r>
        <w:rPr>
          <w:szCs w:val="19"/>
        </w:rPr>
        <w:t xml:space="preserve"> </w:t>
      </w:r>
      <w:r w:rsidR="00C1444D">
        <w:rPr>
          <w:szCs w:val="19"/>
        </w:rPr>
        <w:t>lämna</w:t>
      </w:r>
      <w:r w:rsidR="00F57FAE">
        <w:rPr>
          <w:szCs w:val="19"/>
        </w:rPr>
        <w:t>de</w:t>
      </w:r>
      <w:r w:rsidR="00C1444D">
        <w:rPr>
          <w:szCs w:val="19"/>
        </w:rPr>
        <w:t xml:space="preserve"> sitt betänkande. Utredningen</w:t>
      </w:r>
      <w:r w:rsidR="002917C9">
        <w:rPr>
          <w:szCs w:val="19"/>
        </w:rPr>
        <w:t>s uppgift</w:t>
      </w:r>
      <w:r w:rsidR="00C1444D">
        <w:rPr>
          <w:szCs w:val="19"/>
        </w:rPr>
        <w:t xml:space="preserve"> </w:t>
      </w:r>
      <w:r w:rsidR="002917C9">
        <w:rPr>
          <w:szCs w:val="19"/>
        </w:rPr>
        <w:t>var</w:t>
      </w:r>
      <w:r w:rsidR="00C1444D">
        <w:rPr>
          <w:szCs w:val="19"/>
        </w:rPr>
        <w:t xml:space="preserve"> att se över regelverket för kontanthanteringen i Sverige och</w:t>
      </w:r>
      <w:r w:rsidR="00B21337">
        <w:rPr>
          <w:szCs w:val="19"/>
        </w:rPr>
        <w:t xml:space="preserve"> kartlägga och</w:t>
      </w:r>
      <w:r w:rsidR="00C1444D">
        <w:rPr>
          <w:szCs w:val="19"/>
        </w:rPr>
        <w:t xml:space="preserve"> identifiera eventuella brister i kontanthanteringsprocessen</w:t>
      </w:r>
      <w:r w:rsidR="00344653">
        <w:rPr>
          <w:szCs w:val="19"/>
        </w:rPr>
        <w:t xml:space="preserve">. </w:t>
      </w:r>
      <w:r w:rsidR="006A4418">
        <w:rPr>
          <w:szCs w:val="19"/>
        </w:rPr>
        <w:t>Utredningen</w:t>
      </w:r>
      <w:r w:rsidR="00344653">
        <w:rPr>
          <w:szCs w:val="19"/>
        </w:rPr>
        <w:t xml:space="preserve"> föreslog</w:t>
      </w:r>
      <w:r w:rsidR="00C21DF4">
        <w:rPr>
          <w:szCs w:val="19"/>
        </w:rPr>
        <w:t xml:space="preserve"> dels att Riksbanken får det övergripande ansvaret för kontanthanteringen i Sverige, dels </w:t>
      </w:r>
      <w:r w:rsidR="00885295">
        <w:rPr>
          <w:szCs w:val="19"/>
        </w:rPr>
        <w:t>att en</w:t>
      </w:r>
      <w:r w:rsidR="00C21DF4">
        <w:rPr>
          <w:szCs w:val="19"/>
        </w:rPr>
        <w:t xml:space="preserve"> ny la</w:t>
      </w:r>
      <w:r w:rsidR="00C21DF4">
        <w:rPr>
          <w:szCs w:val="19"/>
        </w:rPr>
        <w:t>g</w:t>
      </w:r>
      <w:r w:rsidR="00C21DF4">
        <w:rPr>
          <w:szCs w:val="19"/>
        </w:rPr>
        <w:t xml:space="preserve">stiftning </w:t>
      </w:r>
      <w:r w:rsidR="00885295">
        <w:rPr>
          <w:szCs w:val="19"/>
        </w:rPr>
        <w:t>utformas</w:t>
      </w:r>
      <w:r w:rsidR="00C21DF4">
        <w:rPr>
          <w:szCs w:val="19"/>
        </w:rPr>
        <w:t xml:space="preserve"> för att reglera uppräkningsverksamheten</w:t>
      </w:r>
      <w:r w:rsidR="00C1444D">
        <w:rPr>
          <w:szCs w:val="19"/>
        </w:rPr>
        <w:t>.</w:t>
      </w:r>
      <w:r w:rsidR="00C21DF4">
        <w:rPr>
          <w:szCs w:val="19"/>
        </w:rPr>
        <w:t xml:space="preserve"> </w:t>
      </w:r>
      <w:r>
        <w:rPr>
          <w:szCs w:val="19"/>
        </w:rPr>
        <w:t>En annan fråga som diskuterades i Kontanthanteringsrådet var utbytet av sedlar och mynt.</w:t>
      </w:r>
    </w:p>
    <w:p w:rsidR="00A3307A" w:rsidRDefault="005D79D4" w:rsidP="005D79D4">
      <w:pPr>
        <w:pStyle w:val="Normaltindrag"/>
      </w:pPr>
      <w:r>
        <w:rPr>
          <w:szCs w:val="19"/>
        </w:rPr>
        <w:t>Riksbanken</w:t>
      </w:r>
      <w:r w:rsidR="00885295">
        <w:rPr>
          <w:szCs w:val="19"/>
        </w:rPr>
        <w:t xml:space="preserve"> bedömer</w:t>
      </w:r>
      <w:r>
        <w:rPr>
          <w:szCs w:val="19"/>
        </w:rPr>
        <w:t xml:space="preserve"> att kontantförsörjningen fungerade väl under 201</w:t>
      </w:r>
      <w:r w:rsidR="00C21DF4">
        <w:rPr>
          <w:szCs w:val="19"/>
        </w:rPr>
        <w:t>4</w:t>
      </w:r>
      <w:r>
        <w:rPr>
          <w:szCs w:val="19"/>
        </w:rPr>
        <w:t>, att kvaliteten på sedlarna var god och att det finns ett stort förtroende för sedlar och mynt</w:t>
      </w:r>
      <w:r w:rsidR="00F57FAE">
        <w:rPr>
          <w:szCs w:val="19"/>
        </w:rPr>
        <w:t xml:space="preserve"> i Sverige</w:t>
      </w:r>
      <w:r>
        <w:rPr>
          <w:szCs w:val="19"/>
        </w:rPr>
        <w:t>.</w:t>
      </w:r>
      <w:r>
        <w:t xml:space="preserve"> </w:t>
      </w:r>
      <w:r w:rsidR="00B21337">
        <w:t>En undersökning om svenska folkets betalnings</w:t>
      </w:r>
      <w:r w:rsidR="007B2FE6">
        <w:softHyphen/>
      </w:r>
      <w:r w:rsidR="00B21337">
        <w:t>vanor, som genomfördes under 2014, visar att 95 procent av de tillfrågade kä</w:t>
      </w:r>
      <w:r w:rsidR="00B21337">
        <w:t>n</w:t>
      </w:r>
      <w:r w:rsidR="00B21337">
        <w:t>ner sig trygga när de använder kontanter. Ungefär lika många, 94 procent, anser att det går snabbt och e</w:t>
      </w:r>
      <w:r w:rsidR="0089019B">
        <w:t>nkelt att betala med kontanter.</w:t>
      </w:r>
    </w:p>
    <w:p w:rsidR="00E53F97" w:rsidRDefault="00E53F97" w:rsidP="0089019B">
      <w:pPr>
        <w:pStyle w:val="Diagramrubrik"/>
        <w:pageBreakBefore/>
        <w:spacing w:before="0"/>
        <w:rPr>
          <w:b w:val="0"/>
        </w:rPr>
      </w:pPr>
      <w:r w:rsidRPr="001E7D74">
        <w:t>Tabell 3. Antalet sedlar och mynt</w:t>
      </w:r>
    </w:p>
    <w:p w:rsidR="00E53F97" w:rsidRPr="008605BC" w:rsidRDefault="00E53F97" w:rsidP="00E53F97">
      <w:pPr>
        <w:pStyle w:val="Normaltindrag"/>
        <w:spacing w:line="240" w:lineRule="auto"/>
        <w:rPr>
          <w:sz w:val="12"/>
          <w:szCs w:val="12"/>
        </w:rPr>
      </w:pPr>
    </w:p>
    <w:tbl>
      <w:tblPr>
        <w:tblW w:w="5982" w:type="dxa"/>
        <w:tblInd w:w="108" w:type="dxa"/>
        <w:tblBorders>
          <w:top w:val="single" w:sz="4" w:space="0" w:color="auto"/>
          <w:bottom w:val="single" w:sz="4" w:space="0" w:color="auto"/>
        </w:tblBorders>
        <w:tblLayout w:type="fixed"/>
        <w:tblLook w:val="01E0" w:firstRow="1" w:lastRow="1" w:firstColumn="1" w:lastColumn="1" w:noHBand="0" w:noVBand="0"/>
      </w:tblPr>
      <w:tblGrid>
        <w:gridCol w:w="2268"/>
        <w:gridCol w:w="619"/>
        <w:gridCol w:w="619"/>
        <w:gridCol w:w="619"/>
        <w:gridCol w:w="619"/>
        <w:gridCol w:w="619"/>
        <w:gridCol w:w="619"/>
      </w:tblGrid>
      <w:tr w:rsidR="00E53F97" w:rsidRPr="00305329" w:rsidTr="00B23277">
        <w:tc>
          <w:tcPr>
            <w:tcW w:w="2268" w:type="dxa"/>
            <w:tcBorders>
              <w:top w:val="single" w:sz="4" w:space="0" w:color="auto"/>
              <w:bottom w:val="single" w:sz="4" w:space="0" w:color="auto"/>
            </w:tcBorders>
            <w:shd w:val="clear" w:color="auto" w:fill="auto"/>
          </w:tcPr>
          <w:p w:rsidR="00E53F97" w:rsidRPr="00305329" w:rsidRDefault="00E53F97" w:rsidP="00B23277">
            <w:pPr>
              <w:spacing w:before="60" w:line="200" w:lineRule="exact"/>
              <w:rPr>
                <w:sz w:val="16"/>
                <w:szCs w:val="16"/>
              </w:rPr>
            </w:pPr>
          </w:p>
        </w:tc>
        <w:tc>
          <w:tcPr>
            <w:tcW w:w="619" w:type="dxa"/>
            <w:tcBorders>
              <w:top w:val="single" w:sz="4" w:space="0" w:color="auto"/>
              <w:bottom w:val="single" w:sz="4" w:space="0" w:color="auto"/>
            </w:tcBorders>
          </w:tcPr>
          <w:p w:rsidR="00E53F97" w:rsidRPr="00305329" w:rsidRDefault="00E53F97" w:rsidP="00B23277">
            <w:pPr>
              <w:spacing w:before="60" w:line="200" w:lineRule="exact"/>
              <w:ind w:right="-62"/>
              <w:jc w:val="center"/>
              <w:rPr>
                <w:b/>
                <w:sz w:val="16"/>
                <w:szCs w:val="16"/>
              </w:rPr>
            </w:pPr>
          </w:p>
        </w:tc>
        <w:tc>
          <w:tcPr>
            <w:tcW w:w="619" w:type="dxa"/>
            <w:tcBorders>
              <w:top w:val="single" w:sz="4" w:space="0" w:color="auto"/>
              <w:bottom w:val="single" w:sz="4" w:space="0" w:color="auto"/>
            </w:tcBorders>
          </w:tcPr>
          <w:p w:rsidR="00E53F97" w:rsidRPr="00305329" w:rsidRDefault="00E53F97" w:rsidP="00B23277">
            <w:pPr>
              <w:spacing w:before="60" w:line="200" w:lineRule="exact"/>
              <w:ind w:right="-62"/>
              <w:jc w:val="center"/>
              <w:rPr>
                <w:b/>
                <w:sz w:val="16"/>
                <w:szCs w:val="16"/>
              </w:rPr>
            </w:pPr>
            <w:r w:rsidRPr="00305329">
              <w:rPr>
                <w:b/>
                <w:sz w:val="16"/>
                <w:szCs w:val="16"/>
              </w:rPr>
              <w:t>20</w:t>
            </w:r>
            <w:r w:rsidR="0003023B">
              <w:rPr>
                <w:b/>
                <w:sz w:val="16"/>
                <w:szCs w:val="16"/>
              </w:rPr>
              <w:t>10</w:t>
            </w:r>
          </w:p>
        </w:tc>
        <w:tc>
          <w:tcPr>
            <w:tcW w:w="619" w:type="dxa"/>
            <w:tcBorders>
              <w:top w:val="single" w:sz="4" w:space="0" w:color="auto"/>
              <w:bottom w:val="single" w:sz="4" w:space="0" w:color="auto"/>
            </w:tcBorders>
          </w:tcPr>
          <w:p w:rsidR="00E53F97" w:rsidRPr="00305329" w:rsidRDefault="00E53F97" w:rsidP="00B23277">
            <w:pPr>
              <w:spacing w:before="60" w:line="200" w:lineRule="exact"/>
              <w:ind w:right="-62"/>
              <w:jc w:val="center"/>
              <w:rPr>
                <w:b/>
                <w:sz w:val="16"/>
                <w:szCs w:val="16"/>
              </w:rPr>
            </w:pPr>
            <w:r w:rsidRPr="00892882">
              <w:rPr>
                <w:b/>
                <w:sz w:val="16"/>
                <w:szCs w:val="16"/>
              </w:rPr>
              <w:t>201</w:t>
            </w:r>
            <w:r w:rsidR="0003023B">
              <w:rPr>
                <w:b/>
                <w:sz w:val="16"/>
                <w:szCs w:val="16"/>
              </w:rPr>
              <w:t>1</w:t>
            </w:r>
          </w:p>
        </w:tc>
        <w:tc>
          <w:tcPr>
            <w:tcW w:w="619" w:type="dxa"/>
            <w:tcBorders>
              <w:top w:val="single" w:sz="4" w:space="0" w:color="auto"/>
              <w:bottom w:val="single" w:sz="4" w:space="0" w:color="auto"/>
            </w:tcBorders>
          </w:tcPr>
          <w:p w:rsidR="00E53F97" w:rsidRPr="00305329" w:rsidRDefault="00E53F97" w:rsidP="00B23277">
            <w:pPr>
              <w:spacing w:before="60" w:line="200" w:lineRule="exact"/>
              <w:ind w:right="-62"/>
              <w:jc w:val="center"/>
              <w:rPr>
                <w:b/>
                <w:sz w:val="16"/>
                <w:szCs w:val="16"/>
              </w:rPr>
            </w:pPr>
            <w:r w:rsidRPr="00172B8C">
              <w:rPr>
                <w:b/>
                <w:sz w:val="16"/>
                <w:szCs w:val="16"/>
              </w:rPr>
              <w:t>201</w:t>
            </w:r>
            <w:r w:rsidR="0003023B">
              <w:rPr>
                <w:b/>
                <w:sz w:val="16"/>
                <w:szCs w:val="16"/>
              </w:rPr>
              <w:t>2</w:t>
            </w:r>
          </w:p>
        </w:tc>
        <w:tc>
          <w:tcPr>
            <w:tcW w:w="619" w:type="dxa"/>
            <w:tcBorders>
              <w:top w:val="single" w:sz="4" w:space="0" w:color="auto"/>
              <w:bottom w:val="single" w:sz="4" w:space="0" w:color="auto"/>
            </w:tcBorders>
            <w:shd w:val="clear" w:color="auto" w:fill="auto"/>
          </w:tcPr>
          <w:p w:rsidR="00E53F97" w:rsidRPr="00172B8C" w:rsidRDefault="00E53F97" w:rsidP="00B23277">
            <w:pPr>
              <w:spacing w:before="60" w:line="200" w:lineRule="exact"/>
              <w:ind w:right="-62"/>
              <w:jc w:val="center"/>
              <w:rPr>
                <w:b/>
                <w:sz w:val="16"/>
                <w:szCs w:val="16"/>
              </w:rPr>
            </w:pPr>
            <w:r w:rsidRPr="00E55C11">
              <w:rPr>
                <w:b/>
                <w:sz w:val="16"/>
                <w:szCs w:val="16"/>
              </w:rPr>
              <w:t>201</w:t>
            </w:r>
            <w:r w:rsidR="0003023B">
              <w:rPr>
                <w:b/>
                <w:sz w:val="16"/>
                <w:szCs w:val="16"/>
              </w:rPr>
              <w:t>3</w:t>
            </w:r>
          </w:p>
        </w:tc>
        <w:tc>
          <w:tcPr>
            <w:tcW w:w="619" w:type="dxa"/>
            <w:tcBorders>
              <w:top w:val="single" w:sz="4" w:space="0" w:color="auto"/>
              <w:bottom w:val="single" w:sz="4" w:space="0" w:color="auto"/>
            </w:tcBorders>
          </w:tcPr>
          <w:p w:rsidR="00E53F97" w:rsidRPr="005574D5" w:rsidRDefault="00E53F97" w:rsidP="00B23277">
            <w:pPr>
              <w:spacing w:before="60" w:line="200" w:lineRule="exact"/>
              <w:ind w:right="-62"/>
              <w:jc w:val="center"/>
              <w:rPr>
                <w:b/>
                <w:sz w:val="16"/>
                <w:szCs w:val="16"/>
              </w:rPr>
            </w:pPr>
            <w:r w:rsidRPr="005574D5">
              <w:rPr>
                <w:b/>
                <w:sz w:val="16"/>
                <w:szCs w:val="16"/>
              </w:rPr>
              <w:t>201</w:t>
            </w:r>
            <w:r w:rsidR="0003023B">
              <w:rPr>
                <w:b/>
                <w:sz w:val="16"/>
                <w:szCs w:val="16"/>
              </w:rPr>
              <w:t>4</w:t>
            </w:r>
          </w:p>
        </w:tc>
      </w:tr>
      <w:tr w:rsidR="00E53F97" w:rsidRPr="001E7D74" w:rsidTr="00B23277">
        <w:tc>
          <w:tcPr>
            <w:tcW w:w="2268" w:type="dxa"/>
            <w:shd w:val="clear" w:color="auto" w:fill="auto"/>
            <w:vAlign w:val="bottom"/>
          </w:tcPr>
          <w:p w:rsidR="00E53F97" w:rsidRPr="00305329" w:rsidRDefault="00E53F97" w:rsidP="00B23277">
            <w:pPr>
              <w:spacing w:before="60" w:line="200" w:lineRule="exact"/>
              <w:jc w:val="left"/>
              <w:rPr>
                <w:sz w:val="16"/>
                <w:szCs w:val="16"/>
              </w:rPr>
            </w:pPr>
            <w:r w:rsidRPr="00305329">
              <w:rPr>
                <w:sz w:val="16"/>
                <w:szCs w:val="16"/>
              </w:rPr>
              <w:t xml:space="preserve">Antal sedlar i cirkulation </w:t>
            </w:r>
            <w:r>
              <w:rPr>
                <w:sz w:val="16"/>
                <w:szCs w:val="16"/>
              </w:rPr>
              <w:t xml:space="preserve"> </w:t>
            </w:r>
            <w:r>
              <w:br/>
            </w:r>
            <w:r w:rsidRPr="00305329">
              <w:rPr>
                <w:sz w:val="16"/>
                <w:szCs w:val="16"/>
              </w:rPr>
              <w:t>(miljoner stycken)</w:t>
            </w:r>
          </w:p>
        </w:tc>
        <w:tc>
          <w:tcPr>
            <w:tcW w:w="619" w:type="dxa"/>
            <w:vAlign w:val="bottom"/>
          </w:tcPr>
          <w:p w:rsidR="00E53F97" w:rsidRPr="00305329" w:rsidRDefault="00E53F97" w:rsidP="00B23277">
            <w:pPr>
              <w:spacing w:before="60" w:line="200" w:lineRule="exact"/>
              <w:jc w:val="right"/>
              <w:rPr>
                <w:sz w:val="16"/>
                <w:szCs w:val="16"/>
              </w:rPr>
            </w:pPr>
          </w:p>
        </w:tc>
        <w:tc>
          <w:tcPr>
            <w:tcW w:w="619" w:type="dxa"/>
            <w:vAlign w:val="bottom"/>
          </w:tcPr>
          <w:p w:rsidR="00E53F97" w:rsidRPr="00305329" w:rsidRDefault="00E53F97" w:rsidP="00B23277">
            <w:pPr>
              <w:spacing w:before="60" w:line="200" w:lineRule="exact"/>
              <w:jc w:val="right"/>
              <w:rPr>
                <w:sz w:val="16"/>
                <w:szCs w:val="16"/>
              </w:rPr>
            </w:pPr>
            <w:r w:rsidRPr="00305329">
              <w:rPr>
                <w:sz w:val="16"/>
                <w:szCs w:val="16"/>
              </w:rPr>
              <w:t>35</w:t>
            </w:r>
            <w:r w:rsidR="0003023B">
              <w:rPr>
                <w:sz w:val="16"/>
                <w:szCs w:val="16"/>
              </w:rPr>
              <w:t>1</w:t>
            </w:r>
          </w:p>
        </w:tc>
        <w:tc>
          <w:tcPr>
            <w:tcW w:w="619" w:type="dxa"/>
          </w:tcPr>
          <w:p w:rsidR="00E53F97" w:rsidRDefault="00E53F97" w:rsidP="00B23277">
            <w:pPr>
              <w:spacing w:before="60" w:line="200" w:lineRule="exact"/>
              <w:jc w:val="right"/>
              <w:rPr>
                <w:sz w:val="16"/>
                <w:szCs w:val="16"/>
              </w:rPr>
            </w:pPr>
          </w:p>
          <w:p w:rsidR="00E53F97" w:rsidRPr="00305329" w:rsidRDefault="00E53F97" w:rsidP="00B23277">
            <w:pPr>
              <w:spacing w:before="60" w:line="200" w:lineRule="exact"/>
              <w:jc w:val="right"/>
              <w:rPr>
                <w:sz w:val="16"/>
                <w:szCs w:val="16"/>
              </w:rPr>
            </w:pPr>
            <w:r>
              <w:rPr>
                <w:sz w:val="16"/>
                <w:szCs w:val="16"/>
              </w:rPr>
              <w:t>3</w:t>
            </w:r>
            <w:r w:rsidR="0003023B">
              <w:rPr>
                <w:sz w:val="16"/>
                <w:szCs w:val="16"/>
              </w:rPr>
              <w:t>43</w:t>
            </w:r>
          </w:p>
        </w:tc>
        <w:tc>
          <w:tcPr>
            <w:tcW w:w="619" w:type="dxa"/>
            <w:vAlign w:val="bottom"/>
          </w:tcPr>
          <w:p w:rsidR="00E53F97" w:rsidRPr="00305329" w:rsidRDefault="00E53F97" w:rsidP="00B23277">
            <w:pPr>
              <w:spacing w:before="60" w:line="200" w:lineRule="exact"/>
              <w:jc w:val="right"/>
              <w:rPr>
                <w:sz w:val="16"/>
                <w:szCs w:val="16"/>
              </w:rPr>
            </w:pPr>
            <w:r>
              <w:rPr>
                <w:sz w:val="16"/>
                <w:szCs w:val="16"/>
              </w:rPr>
              <w:t>3</w:t>
            </w:r>
            <w:r w:rsidR="0003023B">
              <w:rPr>
                <w:sz w:val="16"/>
                <w:szCs w:val="16"/>
              </w:rPr>
              <w:t>36</w:t>
            </w:r>
          </w:p>
        </w:tc>
        <w:tc>
          <w:tcPr>
            <w:tcW w:w="619" w:type="dxa"/>
            <w:shd w:val="clear" w:color="auto" w:fill="auto"/>
          </w:tcPr>
          <w:p w:rsidR="00E53F97" w:rsidRDefault="00E53F97" w:rsidP="00B23277">
            <w:pPr>
              <w:spacing w:before="60" w:line="200" w:lineRule="exact"/>
              <w:jc w:val="right"/>
              <w:rPr>
                <w:sz w:val="16"/>
                <w:szCs w:val="16"/>
              </w:rPr>
            </w:pPr>
          </w:p>
          <w:p w:rsidR="00E53F97" w:rsidRDefault="0003023B" w:rsidP="00B23277">
            <w:pPr>
              <w:spacing w:before="60" w:line="200" w:lineRule="exact"/>
              <w:jc w:val="right"/>
              <w:rPr>
                <w:sz w:val="16"/>
                <w:szCs w:val="16"/>
              </w:rPr>
            </w:pPr>
            <w:r>
              <w:rPr>
                <w:sz w:val="16"/>
                <w:szCs w:val="16"/>
              </w:rPr>
              <w:t>334</w:t>
            </w:r>
          </w:p>
        </w:tc>
        <w:tc>
          <w:tcPr>
            <w:tcW w:w="619" w:type="dxa"/>
          </w:tcPr>
          <w:p w:rsidR="00E53F97" w:rsidRPr="001E7D74" w:rsidRDefault="00E53F97" w:rsidP="00B23277">
            <w:pPr>
              <w:spacing w:before="60" w:line="200" w:lineRule="exact"/>
              <w:jc w:val="right"/>
              <w:rPr>
                <w:sz w:val="16"/>
                <w:szCs w:val="16"/>
              </w:rPr>
            </w:pPr>
          </w:p>
          <w:p w:rsidR="00E53F97" w:rsidRPr="001E7D74" w:rsidRDefault="00B816BD" w:rsidP="00B23277">
            <w:pPr>
              <w:spacing w:before="60" w:line="200" w:lineRule="exact"/>
              <w:jc w:val="right"/>
              <w:rPr>
                <w:sz w:val="16"/>
                <w:szCs w:val="16"/>
              </w:rPr>
            </w:pPr>
            <w:r w:rsidRPr="001E7D74">
              <w:rPr>
                <w:sz w:val="16"/>
                <w:szCs w:val="16"/>
              </w:rPr>
              <w:t>325</w:t>
            </w:r>
          </w:p>
        </w:tc>
      </w:tr>
      <w:tr w:rsidR="00E53F97" w:rsidRPr="00305329" w:rsidTr="00B23277">
        <w:tc>
          <w:tcPr>
            <w:tcW w:w="2268" w:type="dxa"/>
            <w:shd w:val="clear" w:color="auto" w:fill="auto"/>
            <w:vAlign w:val="bottom"/>
          </w:tcPr>
          <w:p w:rsidR="00E53F97" w:rsidRPr="00305329" w:rsidRDefault="00E53F97" w:rsidP="00B23277">
            <w:pPr>
              <w:spacing w:before="60" w:line="200" w:lineRule="exact"/>
              <w:jc w:val="left"/>
              <w:rPr>
                <w:sz w:val="16"/>
                <w:szCs w:val="16"/>
              </w:rPr>
            </w:pPr>
            <w:r w:rsidRPr="00305329">
              <w:rPr>
                <w:sz w:val="16"/>
                <w:szCs w:val="16"/>
              </w:rPr>
              <w:t xml:space="preserve">Antal mynt i cirkulation </w:t>
            </w:r>
          </w:p>
          <w:p w:rsidR="00E53F97" w:rsidRPr="00305329" w:rsidRDefault="00E53F97" w:rsidP="00B23277">
            <w:pPr>
              <w:spacing w:before="0" w:line="200" w:lineRule="exact"/>
              <w:jc w:val="left"/>
              <w:rPr>
                <w:sz w:val="16"/>
                <w:szCs w:val="16"/>
              </w:rPr>
            </w:pPr>
            <w:r w:rsidRPr="00305329">
              <w:rPr>
                <w:sz w:val="16"/>
                <w:szCs w:val="16"/>
              </w:rPr>
              <w:t>(miljoner stycken)</w:t>
            </w:r>
          </w:p>
        </w:tc>
        <w:tc>
          <w:tcPr>
            <w:tcW w:w="619" w:type="dxa"/>
            <w:vAlign w:val="bottom"/>
          </w:tcPr>
          <w:p w:rsidR="00E53F97" w:rsidRPr="00305329" w:rsidRDefault="00E53F97" w:rsidP="00B23277">
            <w:pPr>
              <w:spacing w:before="60" w:line="200" w:lineRule="exact"/>
              <w:jc w:val="right"/>
              <w:rPr>
                <w:sz w:val="16"/>
                <w:szCs w:val="16"/>
              </w:rPr>
            </w:pPr>
          </w:p>
        </w:tc>
        <w:tc>
          <w:tcPr>
            <w:tcW w:w="619" w:type="dxa"/>
            <w:vAlign w:val="bottom"/>
          </w:tcPr>
          <w:p w:rsidR="00E53F97" w:rsidRPr="00305329" w:rsidRDefault="00E53F97" w:rsidP="00B23277">
            <w:pPr>
              <w:spacing w:before="60" w:line="200" w:lineRule="exact"/>
              <w:jc w:val="right"/>
              <w:rPr>
                <w:sz w:val="16"/>
                <w:szCs w:val="16"/>
              </w:rPr>
            </w:pPr>
            <w:r w:rsidRPr="00305329">
              <w:rPr>
                <w:sz w:val="16"/>
                <w:szCs w:val="16"/>
              </w:rPr>
              <w:t>2</w:t>
            </w:r>
            <w:r>
              <w:rPr>
                <w:sz w:val="16"/>
                <w:szCs w:val="16"/>
              </w:rPr>
              <w:t> </w:t>
            </w:r>
            <w:r w:rsidRPr="00305329">
              <w:rPr>
                <w:sz w:val="16"/>
                <w:szCs w:val="16"/>
              </w:rPr>
              <w:t>2</w:t>
            </w:r>
            <w:r w:rsidR="0003023B">
              <w:rPr>
                <w:sz w:val="16"/>
                <w:szCs w:val="16"/>
              </w:rPr>
              <w:t>48</w:t>
            </w:r>
          </w:p>
        </w:tc>
        <w:tc>
          <w:tcPr>
            <w:tcW w:w="619" w:type="dxa"/>
          </w:tcPr>
          <w:p w:rsidR="00E53F97" w:rsidRDefault="00E53F97" w:rsidP="00B23277">
            <w:pPr>
              <w:spacing w:before="60" w:line="200" w:lineRule="exact"/>
              <w:jc w:val="right"/>
              <w:rPr>
                <w:sz w:val="16"/>
                <w:szCs w:val="16"/>
              </w:rPr>
            </w:pPr>
          </w:p>
          <w:p w:rsidR="00E53F97" w:rsidRPr="00305329" w:rsidRDefault="0003023B" w:rsidP="00B23277">
            <w:pPr>
              <w:spacing w:before="60" w:line="200" w:lineRule="exact"/>
              <w:jc w:val="right"/>
              <w:rPr>
                <w:sz w:val="16"/>
                <w:szCs w:val="16"/>
              </w:rPr>
            </w:pPr>
            <w:r>
              <w:rPr>
                <w:sz w:val="16"/>
                <w:szCs w:val="16"/>
              </w:rPr>
              <w:t>1</w:t>
            </w:r>
            <w:r w:rsidR="00E53F97">
              <w:rPr>
                <w:sz w:val="16"/>
                <w:szCs w:val="16"/>
              </w:rPr>
              <w:t xml:space="preserve"> </w:t>
            </w:r>
            <w:r>
              <w:rPr>
                <w:sz w:val="16"/>
                <w:szCs w:val="16"/>
              </w:rPr>
              <w:t>989</w:t>
            </w:r>
          </w:p>
        </w:tc>
        <w:tc>
          <w:tcPr>
            <w:tcW w:w="619" w:type="dxa"/>
            <w:vAlign w:val="bottom"/>
          </w:tcPr>
          <w:p w:rsidR="00E53F97" w:rsidRPr="00305329" w:rsidRDefault="00E53F97" w:rsidP="00B23277">
            <w:pPr>
              <w:spacing w:before="60" w:line="200" w:lineRule="exact"/>
              <w:jc w:val="right"/>
              <w:rPr>
                <w:sz w:val="16"/>
                <w:szCs w:val="16"/>
              </w:rPr>
            </w:pPr>
            <w:r>
              <w:rPr>
                <w:sz w:val="16"/>
                <w:szCs w:val="16"/>
              </w:rPr>
              <w:t>1 </w:t>
            </w:r>
            <w:r w:rsidR="0003023B">
              <w:rPr>
                <w:sz w:val="16"/>
                <w:szCs w:val="16"/>
              </w:rPr>
              <w:t>8</w:t>
            </w:r>
            <w:r>
              <w:rPr>
                <w:sz w:val="16"/>
                <w:szCs w:val="16"/>
              </w:rPr>
              <w:t>89</w:t>
            </w:r>
          </w:p>
        </w:tc>
        <w:tc>
          <w:tcPr>
            <w:tcW w:w="619" w:type="dxa"/>
            <w:shd w:val="clear" w:color="auto" w:fill="auto"/>
          </w:tcPr>
          <w:p w:rsidR="00E53F97" w:rsidRDefault="00E53F97" w:rsidP="00B23277">
            <w:pPr>
              <w:spacing w:before="60" w:line="200" w:lineRule="exact"/>
              <w:jc w:val="right"/>
              <w:rPr>
                <w:sz w:val="16"/>
                <w:szCs w:val="16"/>
              </w:rPr>
            </w:pPr>
          </w:p>
          <w:p w:rsidR="00E53F97" w:rsidRDefault="00E53F97" w:rsidP="00B23277">
            <w:pPr>
              <w:spacing w:before="60" w:line="200" w:lineRule="exact"/>
              <w:jc w:val="right"/>
              <w:rPr>
                <w:sz w:val="16"/>
                <w:szCs w:val="16"/>
              </w:rPr>
            </w:pPr>
            <w:r>
              <w:rPr>
                <w:sz w:val="16"/>
                <w:szCs w:val="16"/>
              </w:rPr>
              <w:t>1 9</w:t>
            </w:r>
            <w:r w:rsidR="0003023B">
              <w:rPr>
                <w:sz w:val="16"/>
                <w:szCs w:val="16"/>
              </w:rPr>
              <w:t>11</w:t>
            </w:r>
          </w:p>
        </w:tc>
        <w:tc>
          <w:tcPr>
            <w:tcW w:w="619" w:type="dxa"/>
          </w:tcPr>
          <w:p w:rsidR="00E53F97" w:rsidRPr="00C55D2C" w:rsidRDefault="00E53F97" w:rsidP="00B23277">
            <w:pPr>
              <w:spacing w:before="60" w:line="200" w:lineRule="exact"/>
              <w:jc w:val="right"/>
              <w:rPr>
                <w:sz w:val="16"/>
                <w:szCs w:val="16"/>
                <w:highlight w:val="yellow"/>
              </w:rPr>
            </w:pPr>
          </w:p>
          <w:p w:rsidR="00E53F97" w:rsidRPr="00C55D2C" w:rsidRDefault="00B816BD" w:rsidP="00B23277">
            <w:pPr>
              <w:spacing w:before="60" w:line="200" w:lineRule="exact"/>
              <w:jc w:val="right"/>
              <w:rPr>
                <w:sz w:val="16"/>
                <w:szCs w:val="16"/>
                <w:highlight w:val="yellow"/>
              </w:rPr>
            </w:pPr>
            <w:r w:rsidRPr="001E7D74">
              <w:rPr>
                <w:sz w:val="16"/>
                <w:szCs w:val="16"/>
              </w:rPr>
              <w:t>1</w:t>
            </w:r>
            <w:r w:rsidR="00814770">
              <w:rPr>
                <w:sz w:val="16"/>
                <w:szCs w:val="16"/>
              </w:rPr>
              <w:t xml:space="preserve"> </w:t>
            </w:r>
            <w:r w:rsidRPr="001E7D74">
              <w:rPr>
                <w:sz w:val="16"/>
                <w:szCs w:val="16"/>
              </w:rPr>
              <w:t>918</w:t>
            </w:r>
          </w:p>
        </w:tc>
      </w:tr>
      <w:tr w:rsidR="00E53F97" w:rsidRPr="00305329" w:rsidTr="00B23277">
        <w:tc>
          <w:tcPr>
            <w:tcW w:w="2268" w:type="dxa"/>
            <w:shd w:val="clear" w:color="auto" w:fill="auto"/>
            <w:vAlign w:val="bottom"/>
          </w:tcPr>
          <w:p w:rsidR="00E53F97" w:rsidRPr="00305329" w:rsidRDefault="00E53F97" w:rsidP="00B23277">
            <w:pPr>
              <w:spacing w:before="60" w:line="200" w:lineRule="exact"/>
              <w:jc w:val="left"/>
              <w:rPr>
                <w:sz w:val="16"/>
                <w:szCs w:val="16"/>
              </w:rPr>
            </w:pPr>
            <w:r>
              <w:rPr>
                <w:sz w:val="16"/>
                <w:szCs w:val="16"/>
              </w:rPr>
              <w:t xml:space="preserve">Antal förfalskade sedlar </w:t>
            </w:r>
            <w:r>
              <w:rPr>
                <w:sz w:val="16"/>
                <w:szCs w:val="16"/>
              </w:rPr>
              <w:br/>
            </w:r>
            <w:r w:rsidRPr="00305329">
              <w:rPr>
                <w:sz w:val="16"/>
                <w:szCs w:val="16"/>
              </w:rPr>
              <w:t>(stycken)</w:t>
            </w:r>
          </w:p>
        </w:tc>
        <w:tc>
          <w:tcPr>
            <w:tcW w:w="619" w:type="dxa"/>
            <w:vAlign w:val="bottom"/>
          </w:tcPr>
          <w:p w:rsidR="00E53F97" w:rsidRPr="00305329" w:rsidRDefault="00E53F97" w:rsidP="00B23277">
            <w:pPr>
              <w:spacing w:before="60" w:line="200" w:lineRule="exact"/>
              <w:jc w:val="right"/>
              <w:rPr>
                <w:sz w:val="16"/>
                <w:szCs w:val="16"/>
              </w:rPr>
            </w:pPr>
          </w:p>
        </w:tc>
        <w:tc>
          <w:tcPr>
            <w:tcW w:w="619" w:type="dxa"/>
            <w:vAlign w:val="bottom"/>
          </w:tcPr>
          <w:p w:rsidR="00E53F97" w:rsidRPr="00305329" w:rsidRDefault="00E53F97" w:rsidP="00B23277">
            <w:pPr>
              <w:spacing w:before="60" w:line="200" w:lineRule="exact"/>
              <w:jc w:val="right"/>
              <w:rPr>
                <w:sz w:val="16"/>
                <w:szCs w:val="16"/>
              </w:rPr>
            </w:pPr>
            <w:r w:rsidRPr="00305329">
              <w:rPr>
                <w:sz w:val="16"/>
                <w:szCs w:val="16"/>
              </w:rPr>
              <w:t>1</w:t>
            </w:r>
            <w:r>
              <w:rPr>
                <w:sz w:val="16"/>
                <w:szCs w:val="16"/>
              </w:rPr>
              <w:t> </w:t>
            </w:r>
            <w:r w:rsidR="0003023B">
              <w:rPr>
                <w:sz w:val="16"/>
                <w:szCs w:val="16"/>
              </w:rPr>
              <w:t>503</w:t>
            </w:r>
          </w:p>
        </w:tc>
        <w:tc>
          <w:tcPr>
            <w:tcW w:w="619" w:type="dxa"/>
          </w:tcPr>
          <w:p w:rsidR="00E53F97" w:rsidRDefault="00E53F97" w:rsidP="00B23277">
            <w:pPr>
              <w:spacing w:before="60" w:line="200" w:lineRule="exact"/>
              <w:jc w:val="right"/>
              <w:rPr>
                <w:sz w:val="16"/>
                <w:szCs w:val="16"/>
              </w:rPr>
            </w:pPr>
          </w:p>
          <w:p w:rsidR="00E53F97" w:rsidRPr="00305329" w:rsidRDefault="00E53F97" w:rsidP="00B23277">
            <w:pPr>
              <w:spacing w:before="60" w:line="200" w:lineRule="exact"/>
              <w:jc w:val="right"/>
              <w:rPr>
                <w:sz w:val="16"/>
                <w:szCs w:val="16"/>
              </w:rPr>
            </w:pPr>
            <w:r>
              <w:rPr>
                <w:sz w:val="16"/>
                <w:szCs w:val="16"/>
              </w:rPr>
              <w:t xml:space="preserve"> 5</w:t>
            </w:r>
            <w:r w:rsidR="0003023B">
              <w:rPr>
                <w:sz w:val="16"/>
                <w:szCs w:val="16"/>
              </w:rPr>
              <w:t>62</w:t>
            </w:r>
          </w:p>
        </w:tc>
        <w:tc>
          <w:tcPr>
            <w:tcW w:w="619" w:type="dxa"/>
            <w:vAlign w:val="bottom"/>
          </w:tcPr>
          <w:p w:rsidR="00E53F97" w:rsidRPr="00305329" w:rsidRDefault="00E53F97" w:rsidP="00B23277">
            <w:pPr>
              <w:spacing w:before="60" w:line="200" w:lineRule="exact"/>
              <w:jc w:val="right"/>
              <w:rPr>
                <w:sz w:val="16"/>
                <w:szCs w:val="16"/>
              </w:rPr>
            </w:pPr>
            <w:r>
              <w:rPr>
                <w:sz w:val="16"/>
                <w:szCs w:val="16"/>
              </w:rPr>
              <w:t>5</w:t>
            </w:r>
            <w:r w:rsidR="0003023B">
              <w:rPr>
                <w:sz w:val="16"/>
                <w:szCs w:val="16"/>
              </w:rPr>
              <w:t>33</w:t>
            </w:r>
          </w:p>
        </w:tc>
        <w:tc>
          <w:tcPr>
            <w:tcW w:w="619" w:type="dxa"/>
            <w:shd w:val="clear" w:color="auto" w:fill="auto"/>
          </w:tcPr>
          <w:p w:rsidR="00E53F97" w:rsidRDefault="00E53F97" w:rsidP="00B23277">
            <w:pPr>
              <w:spacing w:before="60" w:line="200" w:lineRule="exact"/>
              <w:jc w:val="right"/>
              <w:rPr>
                <w:sz w:val="16"/>
                <w:szCs w:val="16"/>
              </w:rPr>
            </w:pPr>
          </w:p>
          <w:p w:rsidR="00E53F97" w:rsidRDefault="0003023B" w:rsidP="00B23277">
            <w:pPr>
              <w:spacing w:before="60" w:line="200" w:lineRule="exact"/>
              <w:jc w:val="right"/>
              <w:rPr>
                <w:sz w:val="16"/>
                <w:szCs w:val="16"/>
              </w:rPr>
            </w:pPr>
            <w:r>
              <w:rPr>
                <w:sz w:val="16"/>
                <w:szCs w:val="16"/>
              </w:rPr>
              <w:t>1 048</w:t>
            </w:r>
          </w:p>
        </w:tc>
        <w:tc>
          <w:tcPr>
            <w:tcW w:w="619" w:type="dxa"/>
          </w:tcPr>
          <w:p w:rsidR="00E53F97" w:rsidRPr="00C55D2C" w:rsidRDefault="00E53F97" w:rsidP="00B23277">
            <w:pPr>
              <w:spacing w:before="60" w:line="200" w:lineRule="exact"/>
              <w:jc w:val="right"/>
              <w:rPr>
                <w:sz w:val="16"/>
                <w:szCs w:val="16"/>
                <w:highlight w:val="yellow"/>
              </w:rPr>
            </w:pPr>
          </w:p>
          <w:p w:rsidR="00E53F97" w:rsidRPr="00C55D2C" w:rsidRDefault="00D30B81" w:rsidP="00B23277">
            <w:pPr>
              <w:spacing w:before="60" w:line="200" w:lineRule="exact"/>
              <w:jc w:val="right"/>
              <w:rPr>
                <w:sz w:val="16"/>
                <w:szCs w:val="16"/>
                <w:highlight w:val="yellow"/>
              </w:rPr>
            </w:pPr>
            <w:r w:rsidRPr="001E7D74">
              <w:rPr>
                <w:sz w:val="16"/>
                <w:szCs w:val="16"/>
              </w:rPr>
              <w:t>246</w:t>
            </w:r>
          </w:p>
        </w:tc>
      </w:tr>
    </w:tbl>
    <w:p w:rsidR="00E53F97" w:rsidRDefault="00E53F97" w:rsidP="00030216">
      <w:pPr>
        <w:pStyle w:val="Fotnotstext"/>
      </w:pPr>
      <w:r w:rsidRPr="00892882">
        <w:t xml:space="preserve">Anm. Uppgifterna om antalet sedlar och mynt </w:t>
      </w:r>
      <w:r>
        <w:t xml:space="preserve">i cirkulation avser </w:t>
      </w:r>
      <w:r w:rsidR="00564EF9">
        <w:t xml:space="preserve">ett </w:t>
      </w:r>
      <w:r>
        <w:t xml:space="preserve">genomsnitt under året och </w:t>
      </w:r>
      <w:r w:rsidRPr="00892882">
        <w:t xml:space="preserve">är avrundade. I </w:t>
      </w:r>
      <w:r>
        <w:t>uppgiften</w:t>
      </w:r>
      <w:r w:rsidRPr="00892882">
        <w:t xml:space="preserve"> </w:t>
      </w:r>
      <w:r>
        <w:t>om</w:t>
      </w:r>
      <w:r w:rsidRPr="00892882">
        <w:t xml:space="preserve"> antal</w:t>
      </w:r>
      <w:r>
        <w:t>et</w:t>
      </w:r>
      <w:r w:rsidRPr="00892882">
        <w:t xml:space="preserve"> mynt i cirkulation ingår </w:t>
      </w:r>
      <w:r>
        <w:t>inte</w:t>
      </w:r>
      <w:r w:rsidRPr="00892882">
        <w:t xml:space="preserve"> minnesmynt.</w:t>
      </w:r>
      <w:r>
        <w:t xml:space="preserve"> </w:t>
      </w:r>
    </w:p>
    <w:p w:rsidR="00E53F97" w:rsidRDefault="00E53F97" w:rsidP="00E53F97">
      <w:pPr>
        <w:pStyle w:val="Fotnotstext"/>
      </w:pPr>
      <w:r>
        <w:t>Källa: Riksbanken.</w:t>
      </w:r>
    </w:p>
    <w:p w:rsidR="007162F0" w:rsidRPr="00776D63" w:rsidRDefault="007162F0" w:rsidP="00030216">
      <w:pPr>
        <w:pStyle w:val="Fotnotstextindrag"/>
      </w:pPr>
    </w:p>
    <w:p w:rsidR="00BD609B" w:rsidRPr="00776D63" w:rsidRDefault="00BD609B" w:rsidP="00776D63">
      <w:pPr>
        <w:pStyle w:val="Normaltindrag"/>
        <w:spacing w:beforeLines="62" w:before="148"/>
      </w:pPr>
    </w:p>
    <w:p w:rsidR="00BD609B" w:rsidRPr="00C228B1" w:rsidRDefault="00BD609B" w:rsidP="004930A1">
      <w:pPr>
        <w:pStyle w:val="Normaltindrag"/>
        <w:ind w:firstLine="0"/>
        <w:sectPr w:rsidR="00BD609B" w:rsidRPr="00C228B1" w:rsidSect="00496CC8">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7" w:left="1304" w:header="340" w:footer="227" w:gutter="0"/>
          <w:cols w:space="720"/>
          <w:titlePg/>
          <w:docGrid w:linePitch="258"/>
        </w:sectPr>
      </w:pPr>
    </w:p>
    <w:p w:rsidR="00496CC8" w:rsidRDefault="00496CC8" w:rsidP="00496CC8">
      <w:pPr>
        <w:pStyle w:val="Rubrik1"/>
      </w:pPr>
      <w:bookmarkStart w:id="27" w:name="_Toc408946421"/>
      <w:r>
        <w:t>Tillgångsförvaltning</w:t>
      </w:r>
      <w:bookmarkEnd w:id="27"/>
    </w:p>
    <w:p w:rsidR="008C4499" w:rsidRPr="00620C1E" w:rsidRDefault="00F71A96" w:rsidP="009B4A48">
      <w:pPr>
        <w:suppressAutoHyphens/>
        <w:rPr>
          <w:i/>
        </w:rPr>
      </w:pPr>
      <w:r w:rsidRPr="00DB6A36">
        <w:rPr>
          <w:i/>
        </w:rPr>
        <w:t>Under året föll marknadsräntorna på statspapper i flera länder</w:t>
      </w:r>
      <w:r w:rsidR="005571D1">
        <w:rPr>
          <w:i/>
        </w:rPr>
        <w:t>,</w:t>
      </w:r>
      <w:r w:rsidRPr="00DB6A36">
        <w:rPr>
          <w:i/>
        </w:rPr>
        <w:t xml:space="preserve"> vilket med</w:t>
      </w:r>
      <w:r w:rsidR="009B4A48">
        <w:rPr>
          <w:i/>
        </w:rPr>
        <w:softHyphen/>
      </w:r>
      <w:r w:rsidRPr="00DB6A36">
        <w:rPr>
          <w:i/>
        </w:rPr>
        <w:t xml:space="preserve">förde att värdet på det samlade obligationsinnehavet i valutareserven ökade. Dessutom försvagades den svenska kronan i genomsnitt mot de valutor som valutareserven var exponerad mot. Detta medförde att värdet på guld- och valutareserven ökade ytterligare uttryckt i kronor. Marknadsvärdet på Riksbankens finansiella tillgångar uppgick till </w:t>
      </w:r>
      <w:r w:rsidR="008705A2">
        <w:rPr>
          <w:i/>
        </w:rPr>
        <w:t>500,8</w:t>
      </w:r>
      <w:r w:rsidRPr="00DB6A36">
        <w:rPr>
          <w:i/>
        </w:rPr>
        <w:t xml:space="preserve"> miljarder kronor vid slutet av 2014. Den totala avkastningen var </w:t>
      </w:r>
      <w:r w:rsidR="008705A2">
        <w:rPr>
          <w:i/>
        </w:rPr>
        <w:t>31,5</w:t>
      </w:r>
      <w:r w:rsidRPr="00DB6A36">
        <w:rPr>
          <w:i/>
        </w:rPr>
        <w:t xml:space="preserve"> miljarder kronor, medan avkas</w:t>
      </w:r>
      <w:r w:rsidRPr="00DB6A36">
        <w:rPr>
          <w:i/>
        </w:rPr>
        <w:t>t</w:t>
      </w:r>
      <w:r w:rsidRPr="00DB6A36">
        <w:rPr>
          <w:i/>
        </w:rPr>
        <w:t xml:space="preserve">ningen exklusive valutakurseffekter uppgick till </w:t>
      </w:r>
      <w:r w:rsidR="008705A2">
        <w:rPr>
          <w:i/>
        </w:rPr>
        <w:t>9,8</w:t>
      </w:r>
      <w:r w:rsidRPr="00DB6A36">
        <w:rPr>
          <w:i/>
        </w:rPr>
        <w:t xml:space="preserve"> miljarder kronor.</w:t>
      </w:r>
    </w:p>
    <w:p w:rsidR="00E0138A" w:rsidRPr="00DB6A36" w:rsidRDefault="00E0138A" w:rsidP="004B2FF9">
      <w:pPr>
        <w:pStyle w:val="Normaltindrag"/>
        <w:suppressAutoHyphens/>
        <w:rPr>
          <w:i/>
        </w:rPr>
      </w:pPr>
      <w:r w:rsidRPr="00DB6A36">
        <w:rPr>
          <w:i/>
        </w:rPr>
        <w:t xml:space="preserve">Balansomslutningen ökade under året med </w:t>
      </w:r>
      <w:r w:rsidR="00C86774">
        <w:rPr>
          <w:i/>
        </w:rPr>
        <w:t>70,8</w:t>
      </w:r>
      <w:r w:rsidRPr="00DB6A36">
        <w:rPr>
          <w:i/>
        </w:rPr>
        <w:t xml:space="preserve"> miljarder kronor till </w:t>
      </w:r>
      <w:r w:rsidR="00C86774">
        <w:rPr>
          <w:i/>
        </w:rPr>
        <w:t>502,4</w:t>
      </w:r>
      <w:r w:rsidRPr="00DB6A36">
        <w:rPr>
          <w:i/>
        </w:rPr>
        <w:t xml:space="preserve"> miljarder kronor. Vid årets slut </w:t>
      </w:r>
      <w:r w:rsidR="00486398" w:rsidRPr="00DB6A36">
        <w:rPr>
          <w:i/>
        </w:rPr>
        <w:t xml:space="preserve">utgjordes den övervägande delen av Riksbankens tillgångar, </w:t>
      </w:r>
      <w:r w:rsidR="003B3EC5">
        <w:rPr>
          <w:i/>
        </w:rPr>
        <w:t>97</w:t>
      </w:r>
      <w:r w:rsidR="003B3EC5" w:rsidRPr="00DB6A36">
        <w:rPr>
          <w:i/>
        </w:rPr>
        <w:t xml:space="preserve"> </w:t>
      </w:r>
      <w:r w:rsidR="00486398" w:rsidRPr="00DB6A36">
        <w:rPr>
          <w:i/>
        </w:rPr>
        <w:t>procent, av guld- och valutareserven</w:t>
      </w:r>
      <w:r w:rsidR="00B65C4D">
        <w:rPr>
          <w:i/>
        </w:rPr>
        <w:t xml:space="preserve"> (inklusive fordringar på IMF)</w:t>
      </w:r>
      <w:r w:rsidR="00486398" w:rsidRPr="00DB6A36">
        <w:rPr>
          <w:i/>
        </w:rPr>
        <w:t xml:space="preserve">. Den största delen på balansräkningens skuldsida, </w:t>
      </w:r>
      <w:r w:rsidR="003B3EC5">
        <w:rPr>
          <w:i/>
        </w:rPr>
        <w:t>45</w:t>
      </w:r>
      <w:r w:rsidR="004B2FF9">
        <w:rPr>
          <w:i/>
        </w:rPr>
        <w:t> </w:t>
      </w:r>
      <w:r w:rsidR="00486398" w:rsidRPr="00DB6A36">
        <w:rPr>
          <w:i/>
        </w:rPr>
        <w:t>procent, u</w:t>
      </w:r>
      <w:r w:rsidR="00486398" w:rsidRPr="00DB6A36">
        <w:rPr>
          <w:i/>
        </w:rPr>
        <w:t>t</w:t>
      </w:r>
      <w:r w:rsidR="00486398" w:rsidRPr="00DB6A36">
        <w:rPr>
          <w:i/>
        </w:rPr>
        <w:t>gjordes av upplåning till valutareserven från Riksgälden.</w:t>
      </w:r>
    </w:p>
    <w:p w:rsidR="006004F5" w:rsidRPr="00405FE8" w:rsidRDefault="00C139BD" w:rsidP="00753138">
      <w:pPr>
        <w:pStyle w:val="R2"/>
        <w:rPr>
          <w:sz w:val="32"/>
          <w:szCs w:val="32"/>
        </w:rPr>
      </w:pPr>
      <w:r>
        <w:rPr>
          <w:sz w:val="32"/>
          <w:szCs w:val="32"/>
        </w:rPr>
        <w:t>Finansiella tillgångar och skulder</w:t>
      </w:r>
      <w:r w:rsidR="00973472">
        <w:rPr>
          <w:sz w:val="32"/>
          <w:szCs w:val="32"/>
        </w:rPr>
        <w:t xml:space="preserve"> </w:t>
      </w:r>
    </w:p>
    <w:p w:rsidR="00620C1E" w:rsidRPr="009C62FC" w:rsidRDefault="00620C1E" w:rsidP="00620C1E">
      <w:r w:rsidRPr="00B15336">
        <w:t xml:space="preserve">Riksbankens </w:t>
      </w:r>
      <w:r>
        <w:t>finansiella tillgångar</w:t>
      </w:r>
      <w:r w:rsidRPr="00B15336">
        <w:t xml:space="preserve"> </w:t>
      </w:r>
      <w:r>
        <w:t xml:space="preserve">består </w:t>
      </w:r>
      <w:r w:rsidRPr="00B15336">
        <w:t>av guld- och valutareserven</w:t>
      </w:r>
      <w:r>
        <w:t xml:space="preserve"> inklu</w:t>
      </w:r>
      <w:r w:rsidR="0089019B">
        <w:softHyphen/>
      </w:r>
      <w:r>
        <w:t>s</w:t>
      </w:r>
      <w:r>
        <w:t>i</w:t>
      </w:r>
      <w:r>
        <w:t>ve fordringar på Internationella valutafonden (IMF), tillgångar knutna till Riksbankens penningpolitiska verksamhet, värdepapper utgivna i svenska kronor</w:t>
      </w:r>
      <w:r w:rsidRPr="00B15336">
        <w:t xml:space="preserve"> </w:t>
      </w:r>
      <w:r w:rsidR="005571D1">
        <w:t>och</w:t>
      </w:r>
      <w:r w:rsidR="005571D1" w:rsidRPr="00B15336">
        <w:t xml:space="preserve"> </w:t>
      </w:r>
      <w:r>
        <w:t>derivatinstrument</w:t>
      </w:r>
      <w:r w:rsidR="00D57810">
        <w:t xml:space="preserve"> (se d</w:t>
      </w:r>
      <w:r w:rsidR="00AD0B19">
        <w:t xml:space="preserve">iagram </w:t>
      </w:r>
      <w:r w:rsidR="004C0376">
        <w:t>19</w:t>
      </w:r>
      <w:r w:rsidR="00D57810">
        <w:t>)</w:t>
      </w:r>
      <w:r w:rsidR="00D57810" w:rsidRPr="00D57810">
        <w:t>.</w:t>
      </w:r>
    </w:p>
    <w:p w:rsidR="00620C1E" w:rsidRPr="002A5466" w:rsidRDefault="00620C1E" w:rsidP="00620C1E">
      <w:pPr>
        <w:pStyle w:val="Normaltindrag"/>
      </w:pPr>
      <w:r w:rsidRPr="00B15336">
        <w:t xml:space="preserve">I likhet med </w:t>
      </w:r>
      <w:r>
        <w:t xml:space="preserve">många andra </w:t>
      </w:r>
      <w:r w:rsidRPr="00B15336">
        <w:t>centralbanker har Rik</w:t>
      </w:r>
      <w:r>
        <w:t>s</w:t>
      </w:r>
      <w:r w:rsidRPr="00B15336">
        <w:t xml:space="preserve">banken en </w:t>
      </w:r>
      <w:r w:rsidRPr="004C7FD7">
        <w:t>guldreserv</w:t>
      </w:r>
      <w:r w:rsidRPr="00B15336">
        <w:t xml:space="preserve">. Den </w:t>
      </w:r>
      <w:r>
        <w:t xml:space="preserve">är i viss mån </w:t>
      </w:r>
      <w:r w:rsidRPr="00B15336">
        <w:t>en kvarleva från tide</w:t>
      </w:r>
      <w:r>
        <w:t>n</w:t>
      </w:r>
      <w:r w:rsidRPr="00B15336">
        <w:t xml:space="preserve"> </w:t>
      </w:r>
      <w:r w:rsidR="00DB75EE">
        <w:t xml:space="preserve">med guldmyntfot, </w:t>
      </w:r>
      <w:r w:rsidRPr="00B15336">
        <w:t xml:space="preserve">då sedlar och mynt </w:t>
      </w:r>
      <w:r w:rsidR="00DB75EE">
        <w:t>kunde lösas in mot en viss mängd guld</w:t>
      </w:r>
      <w:r>
        <w:t>.</w:t>
      </w:r>
      <w:r w:rsidR="00DB75EE">
        <w:t xml:space="preserve"> I</w:t>
      </w:r>
      <w:r w:rsidR="005571D1">
        <w:t xml:space="preserve"> </w:t>
      </w:r>
      <w:r w:rsidR="00DB75EE">
        <w:t>dag finns ingen sådan koppling utan guldet är en finansiell tillgång som i likhet med valutareserven syftar till att säkerställa att Riksbanken kan uppfylla sina uppdrag.</w:t>
      </w:r>
      <w:r>
        <w:t xml:space="preserve"> Guldreserven bidrar till att motverka svängningarna i värdet på valutareserven eftersom</w:t>
      </w:r>
      <w:r w:rsidRPr="00B15336">
        <w:t xml:space="preserve"> </w:t>
      </w:r>
      <w:r>
        <w:t>p</w:t>
      </w:r>
      <w:r w:rsidRPr="00B15336">
        <w:t xml:space="preserve">riset på guld inte brukar följa </w:t>
      </w:r>
      <w:r>
        <w:t xml:space="preserve">samma mönster som </w:t>
      </w:r>
      <w:r w:rsidRPr="000E07AC">
        <w:t xml:space="preserve">värdet </w:t>
      </w:r>
      <w:r>
        <w:t>på</w:t>
      </w:r>
      <w:r w:rsidRPr="000E07AC">
        <w:t xml:space="preserve"> </w:t>
      </w:r>
      <w:r w:rsidRPr="00B15336">
        <w:t xml:space="preserve">valutareserven. </w:t>
      </w:r>
      <w:r>
        <w:t>Guldreserven redovisas under en egen rubrik i Riksbankens balansräkning.</w:t>
      </w:r>
    </w:p>
    <w:p w:rsidR="00620C1E" w:rsidRDefault="00620C1E" w:rsidP="00620C1E">
      <w:pPr>
        <w:pStyle w:val="Normaltindrag"/>
      </w:pPr>
      <w:r w:rsidRPr="004C7FD7">
        <w:t xml:space="preserve">Valutareserven </w:t>
      </w:r>
      <w:r w:rsidRPr="00F92C23">
        <w:t xml:space="preserve">består av räntebärande värdepapper i utländsk valuta med hög likviditet och låg </w:t>
      </w:r>
      <w:r>
        <w:t>kredit</w:t>
      </w:r>
      <w:r w:rsidRPr="00F92C23">
        <w:t xml:space="preserve">risk, i huvudsak statsobligationer. </w:t>
      </w:r>
      <w:r>
        <w:t>För att minska marknadsrisken i valutareserven investerar Riksbanken reserven i</w:t>
      </w:r>
      <w:r w:rsidRPr="00F92C23">
        <w:t xml:space="preserve"> </w:t>
      </w:r>
      <w:r>
        <w:t>flera</w:t>
      </w:r>
      <w:r w:rsidRPr="00F92C23">
        <w:t xml:space="preserve"> val</w:t>
      </w:r>
      <w:r w:rsidRPr="00F92C23">
        <w:t>u</w:t>
      </w:r>
      <w:r w:rsidRPr="00F92C23">
        <w:t>tor</w:t>
      </w:r>
      <w:r>
        <w:t>, även sådana</w:t>
      </w:r>
      <w:r w:rsidRPr="00F92C23">
        <w:t xml:space="preserve"> som normalt </w:t>
      </w:r>
      <w:r>
        <w:t xml:space="preserve">inte </w:t>
      </w:r>
      <w:r w:rsidRPr="00F92C23">
        <w:t xml:space="preserve">används för </w:t>
      </w:r>
      <w:r>
        <w:t xml:space="preserve">att </w:t>
      </w:r>
      <w:r w:rsidRPr="00F92C23">
        <w:t>interven</w:t>
      </w:r>
      <w:r>
        <w:t>era</w:t>
      </w:r>
      <w:r w:rsidRPr="00F92C23">
        <w:t xml:space="preserve"> på valutamar</w:t>
      </w:r>
      <w:r w:rsidRPr="00F92C23">
        <w:t>k</w:t>
      </w:r>
      <w:r w:rsidRPr="00F92C23">
        <w:t xml:space="preserve">naden eller för </w:t>
      </w:r>
      <w:r>
        <w:t xml:space="preserve">att ge </w:t>
      </w:r>
      <w:r w:rsidRPr="00F92C23">
        <w:t>likviditetsstöd.</w:t>
      </w:r>
    </w:p>
    <w:p w:rsidR="00620C1E" w:rsidRPr="006E5A4E" w:rsidRDefault="00620C1E" w:rsidP="004B2FF9">
      <w:pPr>
        <w:pStyle w:val="Normaltindrag"/>
        <w:suppressAutoHyphens/>
      </w:pPr>
      <w:r>
        <w:t xml:space="preserve">Bland </w:t>
      </w:r>
      <w:r w:rsidRPr="00F92C23">
        <w:t>Riksbankens tillgångar finns även fordringar på IMF</w:t>
      </w:r>
      <w:r w:rsidRPr="002969AF">
        <w:t xml:space="preserve"> </w:t>
      </w:r>
      <w:r>
        <w:t>eftersom Riksbanken ansvarar för de skyldigheter som följer av Sveriges deltagande i fo</w:t>
      </w:r>
      <w:r>
        <w:t>n</w:t>
      </w:r>
      <w:r>
        <w:t>den</w:t>
      </w:r>
      <w:r w:rsidRPr="00F92C23">
        <w:t>.</w:t>
      </w:r>
      <w:r>
        <w:t xml:space="preserve"> Riksbanken lånar ut pengar till IMF som i sin tur lånar ut pengar till länder med betalningsbalansproblem.</w:t>
      </w:r>
    </w:p>
    <w:p w:rsidR="00620C1E" w:rsidRDefault="00620C1E" w:rsidP="00620C1E">
      <w:pPr>
        <w:pStyle w:val="Normaltindrag"/>
      </w:pPr>
      <w:r>
        <w:t>V</w:t>
      </w:r>
      <w:r w:rsidRPr="00B15336">
        <w:t>alutareserven</w:t>
      </w:r>
      <w:r>
        <w:t xml:space="preserve"> och fordringarna på IMF redovisas i balansräkningen under rubriken Fordringar i utländsk valuta på hemmahörande utanför Sverige.</w:t>
      </w:r>
      <w:r w:rsidRPr="002A1E2F">
        <w:t xml:space="preserve"> </w:t>
      </w:r>
    </w:p>
    <w:p w:rsidR="00D57810" w:rsidRDefault="00D57810" w:rsidP="004B2FF9">
      <w:pPr>
        <w:pStyle w:val="Normaltindrag"/>
        <w:suppressAutoHyphens/>
      </w:pPr>
      <w:r w:rsidRPr="005E0EC5">
        <w:t>Sedan andra halvåret 2012 håller Riksbanken även tillgångar i form av värdepapper utgivna i svenska kronor</w:t>
      </w:r>
      <w:r w:rsidRPr="004C37BB">
        <w:t>.</w:t>
      </w:r>
      <w:r w:rsidRPr="005E0EC5">
        <w:t xml:space="preserve"> Dessa tillgångar redovisas i balansräkningen under rubriken Värdepapper i svenska kronor utgivna av hemmah</w:t>
      </w:r>
      <w:r w:rsidRPr="005E0EC5">
        <w:t>ö</w:t>
      </w:r>
      <w:r w:rsidRPr="005E0EC5">
        <w:t>rande i Sverige.</w:t>
      </w:r>
    </w:p>
    <w:p w:rsidR="00EA112E" w:rsidRDefault="00EA112E" w:rsidP="00EA112E">
      <w:pPr>
        <w:pStyle w:val="Diagramrubrik"/>
      </w:pPr>
      <w:r>
        <w:t xml:space="preserve">Diagram </w:t>
      </w:r>
      <w:r w:rsidR="004C0376">
        <w:t>19</w:t>
      </w:r>
      <w:r>
        <w:t xml:space="preserve">. Riksbankens finansiella tillgångar i slutet av 2014, </w:t>
      </w:r>
      <w:r w:rsidR="00DD608A">
        <w:br/>
      </w:r>
      <w:r>
        <w:t>miljarder kronor</w:t>
      </w:r>
    </w:p>
    <w:p w:rsidR="00EA112E" w:rsidRPr="006F4C2F" w:rsidRDefault="00A12E15" w:rsidP="00EA112E">
      <w:pPr>
        <w:pStyle w:val="Normaltindrag"/>
        <w:ind w:firstLine="0"/>
      </w:pPr>
      <w:r w:rsidRPr="00986B60">
        <w:rPr>
          <w:noProof/>
        </w:rPr>
        <w:drawing>
          <wp:inline distT="0" distB="0" distL="0" distR="0">
            <wp:extent cx="3781425" cy="2466975"/>
            <wp:effectExtent l="0" t="0" r="9525" b="9525"/>
            <wp:docPr id="2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EA112E" w:rsidRPr="009C62FC" w:rsidRDefault="00EA112E" w:rsidP="00EA112E">
      <w:pPr>
        <w:pStyle w:val="Fotnotstext"/>
      </w:pPr>
      <w:r w:rsidRPr="009C62FC">
        <w:t>Anm</w:t>
      </w:r>
      <w:r>
        <w:t>.</w:t>
      </w:r>
      <w:r w:rsidRPr="009C62FC">
        <w:t xml:space="preserve"> </w:t>
      </w:r>
      <w:r>
        <w:t>Siffrorna i diagrammet visar marknadsvärdet på Riksbankens finansiella til</w:t>
      </w:r>
      <w:r>
        <w:t>l</w:t>
      </w:r>
      <w:r>
        <w:t>gångar inklusive upplupna räntor</w:t>
      </w:r>
      <w:r w:rsidRPr="009C62FC">
        <w:t>.</w:t>
      </w:r>
    </w:p>
    <w:p w:rsidR="00EA112E" w:rsidRDefault="00EA112E" w:rsidP="00EA112E">
      <w:pPr>
        <w:pStyle w:val="Fotnotstext"/>
      </w:pPr>
      <w:r w:rsidRPr="009C62FC">
        <w:t>Källa: Riksbanken.</w:t>
      </w:r>
    </w:p>
    <w:p w:rsidR="00EA112E" w:rsidRDefault="00EA112E" w:rsidP="00EA112E">
      <w:pPr>
        <w:pStyle w:val="Fotnotstext"/>
      </w:pPr>
    </w:p>
    <w:p w:rsidR="00933FE9" w:rsidRDefault="00620C1E" w:rsidP="004B2FF9">
      <w:pPr>
        <w:pStyle w:val="Normaltindrag"/>
        <w:suppressAutoHyphens/>
        <w:spacing w:before="62"/>
        <w:ind w:firstLine="0"/>
      </w:pPr>
      <w:r w:rsidRPr="00F92C23">
        <w:t xml:space="preserve">För att </w:t>
      </w:r>
      <w:r>
        <w:t xml:space="preserve">kunna </w:t>
      </w:r>
      <w:r w:rsidRPr="00F92C23">
        <w:t xml:space="preserve">genomföra penningpolitiken kan Riksbanken också hålla så kallade </w:t>
      </w:r>
      <w:r w:rsidRPr="004C7FD7">
        <w:t>penningpolitiska tillgångar</w:t>
      </w:r>
      <w:r w:rsidRPr="00F92C23">
        <w:t xml:space="preserve">. </w:t>
      </w:r>
      <w:r>
        <w:t>Dessa tillgångar kan bestå av de ford</w:t>
      </w:r>
      <w:r w:rsidR="004B2FF9">
        <w:softHyphen/>
      </w:r>
      <w:r>
        <w:t>rin</w:t>
      </w:r>
      <w:r>
        <w:t>g</w:t>
      </w:r>
      <w:r>
        <w:t>ar på svenska banker som uppstår när Riksbanken genomför den penning-politiska repan. Sedan hösten 2008</w:t>
      </w:r>
      <w:r w:rsidRPr="00F92C23">
        <w:t xml:space="preserve"> har </w:t>
      </w:r>
      <w:r>
        <w:t xml:space="preserve">dock </w:t>
      </w:r>
      <w:r w:rsidRPr="00F92C23">
        <w:t>banksystemet ett likviditetsöver</w:t>
      </w:r>
      <w:r w:rsidR="004B2FF9">
        <w:softHyphen/>
      </w:r>
      <w:r w:rsidRPr="00F92C23">
        <w:t xml:space="preserve">skott som Riksbanken </w:t>
      </w:r>
      <w:r w:rsidR="00932122">
        <w:t xml:space="preserve">huvudsakligen </w:t>
      </w:r>
      <w:r w:rsidRPr="00F92C23">
        <w:t>lånar in</w:t>
      </w:r>
      <w:r w:rsidRPr="004F780D">
        <w:t xml:space="preserve"> </w:t>
      </w:r>
      <w:r>
        <w:t>antingen</w:t>
      </w:r>
      <w:r w:rsidR="00932122">
        <w:t xml:space="preserve"> via dagslån, så kallade finjusterande transaktioner</w:t>
      </w:r>
      <w:r w:rsidR="007B2123">
        <w:t>,</w:t>
      </w:r>
      <w:r w:rsidR="00932122">
        <w:t xml:space="preserve"> eller</w:t>
      </w:r>
      <w:r w:rsidRPr="002969AF">
        <w:t xml:space="preserve"> </w:t>
      </w:r>
      <w:r w:rsidRPr="00F92C23">
        <w:t>genom att emittera riksbankscertifikat</w:t>
      </w:r>
      <w:r>
        <w:t>.</w:t>
      </w:r>
      <w:r w:rsidRPr="00F92C23">
        <w:t xml:space="preserve"> </w:t>
      </w:r>
      <w:r>
        <w:t>Inlåningen innebär</w:t>
      </w:r>
      <w:r w:rsidRPr="00F92C23">
        <w:t xml:space="preserve"> att Riksbanken </w:t>
      </w:r>
      <w:r>
        <w:t>har</w:t>
      </w:r>
      <w:r w:rsidRPr="00F92C23">
        <w:t xml:space="preserve"> en skuld till bankerna. </w:t>
      </w:r>
      <w:r>
        <w:t>Denna skuld redovisas i balansräkningen under rubrik</w:t>
      </w:r>
      <w:r w:rsidR="00BD6939">
        <w:t>erna</w:t>
      </w:r>
      <w:r>
        <w:t xml:space="preserve"> </w:t>
      </w:r>
      <w:r w:rsidR="003A48E3">
        <w:t xml:space="preserve">Emitterade skuldcertifikat </w:t>
      </w:r>
      <w:r w:rsidR="0065453A">
        <w:t xml:space="preserve">och </w:t>
      </w:r>
      <w:r>
        <w:t>Skulder i svenska kronor till kreditinstitut i Sverige relaterade till penning</w:t>
      </w:r>
      <w:r w:rsidR="004B2FF9">
        <w:softHyphen/>
      </w:r>
      <w:r>
        <w:t>politiska transaktioner.</w:t>
      </w:r>
      <w:r w:rsidR="00A31B9C" w:rsidRPr="00A31B9C">
        <w:t xml:space="preserve"> </w:t>
      </w:r>
      <w:r w:rsidR="000F30C5">
        <w:t xml:space="preserve">Riksbanken </w:t>
      </w:r>
      <w:r w:rsidR="00A31B9C">
        <w:t>tillhandahåller även så kallade stående faciliteter, vilket inn</w:t>
      </w:r>
      <w:r w:rsidR="00A31B9C">
        <w:t>e</w:t>
      </w:r>
      <w:r w:rsidR="00A31B9C">
        <w:t>bär att bankerna kan låna pengar av respektive placera pengar hos Riksbanken över natten.</w:t>
      </w:r>
      <w:r w:rsidR="002A3D5F">
        <w:t xml:space="preserve"> Denna in- och utlåning redovisas i balansräkningen under posterna Inlåningsfacilitet och Utlåningsfacilitet.</w:t>
      </w:r>
    </w:p>
    <w:p w:rsidR="00620C1E" w:rsidRDefault="00D57810" w:rsidP="004B2FF9">
      <w:pPr>
        <w:pStyle w:val="Normaltindrag"/>
        <w:suppressAutoHyphens/>
      </w:pPr>
      <w:r>
        <w:t>Riksbanken har även finansiella skulder i utländsk valuta till Riksgälden. Dessa skulder utgörs av amerikanska dollar och euro som Riksbanken lånat upp från Riksgälden i syfte att förstärka valutareserven. Inlåningen från Riksgälden redovisas i balansräkningen under rubriken Skulder i utländsk valuta till hemmahörande i Sverige.</w:t>
      </w:r>
    </w:p>
    <w:p w:rsidR="00620C1E" w:rsidRDefault="00620C1E" w:rsidP="00D57810">
      <w:pPr>
        <w:pStyle w:val="Normaltindrag"/>
      </w:pPr>
      <w:r>
        <w:t xml:space="preserve">För att underlätta hanteringen av finansiella risker kan </w:t>
      </w:r>
      <w:r w:rsidRPr="00F92C23">
        <w:t xml:space="preserve">Riksbanken </w:t>
      </w:r>
      <w:r>
        <w:t>anvä</w:t>
      </w:r>
      <w:r>
        <w:t>n</w:t>
      </w:r>
      <w:r>
        <w:t xml:space="preserve">da </w:t>
      </w:r>
      <w:r w:rsidRPr="00CA3A4A">
        <w:t>derivatinstrument.</w:t>
      </w:r>
      <w:r w:rsidRPr="00F92C23">
        <w:rPr>
          <w:i/>
        </w:rPr>
        <w:t xml:space="preserve"> </w:t>
      </w:r>
      <w:r w:rsidRPr="002676A9">
        <w:t>De</w:t>
      </w:r>
      <w:r w:rsidRPr="00F92C23">
        <w:t xml:space="preserve"> derivat</w:t>
      </w:r>
      <w:r>
        <w:t>instrument</w:t>
      </w:r>
      <w:r w:rsidRPr="004F780D">
        <w:t xml:space="preserve"> </w:t>
      </w:r>
      <w:r>
        <w:t>som har positivt värde på bo</w:t>
      </w:r>
      <w:r>
        <w:t>k</w:t>
      </w:r>
      <w:r>
        <w:t>slutsdagen</w:t>
      </w:r>
      <w:r w:rsidRPr="002676A9">
        <w:t xml:space="preserve"> </w:t>
      </w:r>
      <w:r>
        <w:t xml:space="preserve">redovisas i balansräkningen under rubriken Övriga tillgångar, medan de </w:t>
      </w:r>
      <w:r w:rsidRPr="00F92C23">
        <w:t>derivat</w:t>
      </w:r>
      <w:r>
        <w:t>instrument</w:t>
      </w:r>
      <w:r w:rsidRPr="004F780D">
        <w:t xml:space="preserve"> </w:t>
      </w:r>
      <w:r>
        <w:t>som har negativt värde redovisas under rubriken Övriga skulder</w:t>
      </w:r>
      <w:r w:rsidRPr="00F92C23">
        <w:t>.</w:t>
      </w:r>
    </w:p>
    <w:p w:rsidR="00F71A96" w:rsidRDefault="00F71A96" w:rsidP="00F71A96">
      <w:pPr>
        <w:pStyle w:val="R3"/>
      </w:pPr>
      <w:r>
        <w:t>Förvaltning av guld- och valutareserven</w:t>
      </w:r>
    </w:p>
    <w:p w:rsidR="00F71A96" w:rsidRDefault="00F71A96" w:rsidP="004B2FF9">
      <w:pPr>
        <w:suppressAutoHyphens/>
      </w:pPr>
      <w:r>
        <w:t>Att med kort varsel kunna ge til</w:t>
      </w:r>
      <w:r w:rsidR="002B54D8">
        <w:t xml:space="preserve">lfälligt likviditetsstöd i </w:t>
      </w:r>
      <w:r>
        <w:t>utländsk valuta är det av Riksbankens uppdrag som ställer störst krav på guld- och valuta</w:t>
      </w:r>
      <w:r>
        <w:softHyphen/>
        <w:t xml:space="preserve">reservens sammansättning. Valutareserven hålls därför till största delen i de valutor </w:t>
      </w:r>
      <w:r w:rsidR="002B54D8">
        <w:t>där</w:t>
      </w:r>
      <w:r>
        <w:t xml:space="preserve"> likviditetsstöd kan bli aktuellt och i sådana tillgångar som snabbt kan omvandlas till likvida medel.</w:t>
      </w:r>
      <w:r w:rsidRPr="00516E6F">
        <w:t xml:space="preserve"> </w:t>
      </w:r>
      <w:r>
        <w:t xml:space="preserve">Riksbankens uppdrag medför att valutareserven är </w:t>
      </w:r>
      <w:r w:rsidRPr="0012494D">
        <w:t>koncentrerad till tillgångar i amerikans</w:t>
      </w:r>
      <w:r>
        <w:t>ka dollar</w:t>
      </w:r>
      <w:r w:rsidRPr="000E4049">
        <w:t xml:space="preserve"> </w:t>
      </w:r>
      <w:r w:rsidRPr="0012494D">
        <w:t>och</w:t>
      </w:r>
      <w:r w:rsidRPr="000E4049">
        <w:t xml:space="preserve"> </w:t>
      </w:r>
      <w:r>
        <w:t xml:space="preserve">i </w:t>
      </w:r>
      <w:r w:rsidRPr="0012494D">
        <w:t>euro</w:t>
      </w:r>
      <w:r w:rsidRPr="00FB0A3B">
        <w:t xml:space="preserve">. I slutet av året uppgick tillgångarna i amerikanska dollar och euro till </w:t>
      </w:r>
      <w:r w:rsidR="00FB0A3B" w:rsidRPr="00FB0A3B">
        <w:t xml:space="preserve">49 </w:t>
      </w:r>
      <w:r w:rsidRPr="00FB0A3B">
        <w:t xml:space="preserve">respektive </w:t>
      </w:r>
      <w:r w:rsidR="0089019B">
        <w:t>31 </w:t>
      </w:r>
      <w:r w:rsidRPr="00FB0A3B">
        <w:t xml:space="preserve">procent av guld- och valutareserven (se diagram </w:t>
      </w:r>
      <w:r w:rsidR="004C0376">
        <w:t>20</w:t>
      </w:r>
      <w:r w:rsidRPr="00FB0A3B">
        <w:t>).</w:t>
      </w:r>
    </w:p>
    <w:p w:rsidR="00F71A96" w:rsidRDefault="00F71A96" w:rsidP="00030216">
      <w:pPr>
        <w:pStyle w:val="Diagramrubrik"/>
      </w:pPr>
      <w:r w:rsidRPr="00085636">
        <w:t xml:space="preserve">Diagram </w:t>
      </w:r>
      <w:r w:rsidR="004C0376">
        <w:t>20</w:t>
      </w:r>
      <w:r w:rsidRPr="00085636">
        <w:t>. Guld- och valutareservens sammansättning i slutet av 2014, miljarder kronor</w:t>
      </w:r>
    </w:p>
    <w:p w:rsidR="00F71A96" w:rsidRPr="00C11BE6" w:rsidRDefault="00A12E15" w:rsidP="00F71A96">
      <w:pPr>
        <w:pStyle w:val="Normaltindrag"/>
        <w:ind w:firstLine="0"/>
      </w:pPr>
      <w:r w:rsidRPr="00986B60">
        <w:rPr>
          <w:noProof/>
        </w:rPr>
        <w:drawing>
          <wp:inline distT="0" distB="0" distL="0" distR="0">
            <wp:extent cx="3781425" cy="2466975"/>
            <wp:effectExtent l="0" t="0" r="9525" b="9525"/>
            <wp:docPr id="22"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F71A96" w:rsidRDefault="00F71A96" w:rsidP="00F71A96">
      <w:pPr>
        <w:pStyle w:val="Fotnotstext"/>
      </w:pPr>
      <w:r>
        <w:t>Anm. Siffrorna i diagrammet visar marknadsvärdet på guld- och valutareserven inkl</w:t>
      </w:r>
      <w:r>
        <w:t>u</w:t>
      </w:r>
      <w:r>
        <w:t>sive upplupna räntor</w:t>
      </w:r>
      <w:r w:rsidRPr="009C62FC">
        <w:t>.</w:t>
      </w:r>
    </w:p>
    <w:p w:rsidR="00F71A96" w:rsidRDefault="00F71A96" w:rsidP="00F71A96">
      <w:pPr>
        <w:pStyle w:val="Fotnotstext"/>
        <w:rPr>
          <w:szCs w:val="17"/>
        </w:rPr>
      </w:pPr>
      <w:r w:rsidRPr="005F7553">
        <w:rPr>
          <w:szCs w:val="17"/>
        </w:rPr>
        <w:t>Källa: Riksbanken.</w:t>
      </w:r>
    </w:p>
    <w:p w:rsidR="00F71A96" w:rsidRPr="005A4268" w:rsidRDefault="00F71A96" w:rsidP="00030216">
      <w:pPr>
        <w:pStyle w:val="Fotnotstextindrag"/>
      </w:pPr>
    </w:p>
    <w:p w:rsidR="00F71A96" w:rsidRDefault="00F71A96" w:rsidP="00030216">
      <w:r w:rsidRPr="00030E08">
        <w:t xml:space="preserve">För att sprida riskerna och därigenom </w:t>
      </w:r>
      <w:r>
        <w:t>kunna uppnå</w:t>
      </w:r>
      <w:r w:rsidRPr="00030E08">
        <w:t xml:space="preserve"> en högre riskjusterad avkastning placerade Riksbanken</w:t>
      </w:r>
      <w:r w:rsidR="005571D1">
        <w:t xml:space="preserve"> under 2014</w:t>
      </w:r>
      <w:r w:rsidRPr="00030E08">
        <w:t xml:space="preserve">, liksom under tidigare år, en mindre del av reserven i andra valutor än amerikanska dollar och euro. Dessa placeringar utgjordes i huvudsak av brittiska </w:t>
      </w:r>
      <w:r>
        <w:t>statsobligationer, australiska</w:t>
      </w:r>
      <w:r w:rsidRPr="00030E08">
        <w:t xml:space="preserve"> st</w:t>
      </w:r>
      <w:r>
        <w:t>ats- och delstatsobliga</w:t>
      </w:r>
      <w:r>
        <w:softHyphen/>
        <w:t>tioner</w:t>
      </w:r>
      <w:r w:rsidRPr="00030E08">
        <w:t xml:space="preserve"> </w:t>
      </w:r>
      <w:r w:rsidR="005571D1">
        <w:t>och</w:t>
      </w:r>
      <w:r w:rsidR="005571D1" w:rsidRPr="00030E08">
        <w:t xml:space="preserve"> </w:t>
      </w:r>
      <w:r w:rsidRPr="00030E08">
        <w:t>kanadensiska stats</w:t>
      </w:r>
      <w:r>
        <w:t>- och provins</w:t>
      </w:r>
      <w:r w:rsidRPr="00030E08">
        <w:t>obl</w:t>
      </w:r>
      <w:r w:rsidRPr="00030E08">
        <w:t>i</w:t>
      </w:r>
      <w:r w:rsidRPr="00030E08">
        <w:t>ga</w:t>
      </w:r>
      <w:r w:rsidRPr="00030E08">
        <w:softHyphen/>
        <w:t>tioner</w:t>
      </w:r>
      <w:r>
        <w:t>.</w:t>
      </w:r>
    </w:p>
    <w:p w:rsidR="00F71A96" w:rsidRDefault="00F71A96" w:rsidP="004B2FF9">
      <w:pPr>
        <w:pStyle w:val="Normaltindrag"/>
        <w:suppressAutoHyphens/>
      </w:pPr>
      <w:r w:rsidRPr="00BD25E0">
        <w:t xml:space="preserve">Eftersom Riksbankens tillgångar främst består av amerikanska dollar och euro påverkas bankens </w:t>
      </w:r>
      <w:r>
        <w:t>resultat</w:t>
      </w:r>
      <w:r w:rsidRPr="00BD25E0">
        <w:t xml:space="preserve"> av hur värdet </w:t>
      </w:r>
      <w:r>
        <w:t>på</w:t>
      </w:r>
      <w:r w:rsidRPr="00BD25E0">
        <w:t xml:space="preserve"> dessa två valutor utvecklas gentemot den svenska kronan. Effekten på </w:t>
      </w:r>
      <w:r>
        <w:t>resultatet</w:t>
      </w:r>
      <w:r w:rsidRPr="00BD25E0">
        <w:t xml:space="preserve"> motverkas emellertid av att Riksbanken även har skulder i amerikanska dollar och euro.</w:t>
      </w:r>
      <w:r>
        <w:t xml:space="preserve"> </w:t>
      </w:r>
      <w:r w:rsidRPr="00BD25E0">
        <w:t xml:space="preserve">För att ytterligare reducera effekten av valutakursförändringar omvandlades </w:t>
      </w:r>
      <w:r>
        <w:t xml:space="preserve">under året </w:t>
      </w:r>
      <w:r w:rsidRPr="00BD25E0">
        <w:t>en</w:t>
      </w:r>
      <w:r w:rsidRPr="006045A4">
        <w:t xml:space="preserve"> del av Riksbankens exponering mot amerikanska </w:t>
      </w:r>
      <w:r w:rsidRPr="00CA0123">
        <w:t>dollar till exponering</w:t>
      </w:r>
      <w:r w:rsidRPr="006045A4">
        <w:t xml:space="preserve"> mot norska kronor </w:t>
      </w:r>
      <w:r>
        <w:t xml:space="preserve">med hjälp av </w:t>
      </w:r>
      <w:r w:rsidR="007465B0">
        <w:t>valuta</w:t>
      </w:r>
      <w:r>
        <w:t xml:space="preserve">derivat. </w:t>
      </w:r>
      <w:r w:rsidRPr="006045A4">
        <w:t>Riksbankens valutae</w:t>
      </w:r>
      <w:r w:rsidRPr="006045A4">
        <w:t>x</w:t>
      </w:r>
      <w:r w:rsidRPr="006045A4">
        <w:t xml:space="preserve">ponering i slutet av året framgår av diagram </w:t>
      </w:r>
      <w:r w:rsidR="004C0376">
        <w:t>21</w:t>
      </w:r>
      <w:r w:rsidRPr="006045A4">
        <w:t>.</w:t>
      </w:r>
    </w:p>
    <w:p w:rsidR="00F71A96" w:rsidRDefault="00F71A96" w:rsidP="00030216">
      <w:pPr>
        <w:pStyle w:val="Diagramrubrik"/>
      </w:pPr>
      <w:r w:rsidRPr="00E07A53">
        <w:t xml:space="preserve">Diagram </w:t>
      </w:r>
      <w:r w:rsidR="004C0376">
        <w:t>21</w:t>
      </w:r>
      <w:r w:rsidRPr="00E07A53">
        <w:t xml:space="preserve">. Riksbankens valutaexponering i slutet av 2014, </w:t>
      </w:r>
      <w:r w:rsidRPr="00E07A53">
        <w:br/>
        <w:t>miljarder kronor</w:t>
      </w:r>
    </w:p>
    <w:p w:rsidR="00F71A96" w:rsidRPr="00C5337F" w:rsidRDefault="00A12E15" w:rsidP="00F71A96">
      <w:pPr>
        <w:pStyle w:val="Normaltindrag"/>
        <w:ind w:firstLine="0"/>
      </w:pPr>
      <w:r w:rsidRPr="00986B60">
        <w:rPr>
          <w:noProof/>
        </w:rPr>
        <w:drawing>
          <wp:inline distT="0" distB="0" distL="0" distR="0">
            <wp:extent cx="3781425" cy="2466975"/>
            <wp:effectExtent l="0" t="0" r="9525" b="9525"/>
            <wp:docPr id="2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F71A96" w:rsidRDefault="00F71A96" w:rsidP="00F71A96">
      <w:pPr>
        <w:pStyle w:val="Fotnotstext"/>
      </w:pPr>
      <w:r w:rsidRPr="009C62FC">
        <w:t>Anm</w:t>
      </w:r>
      <w:r>
        <w:t>.</w:t>
      </w:r>
      <w:r w:rsidRPr="009C62FC">
        <w:t xml:space="preserve"> </w:t>
      </w:r>
      <w:r>
        <w:t>Siffrorna i diagrammet visar Riksbankens valutaexponering inklusive upplupna räntor</w:t>
      </w:r>
      <w:r w:rsidRPr="009C62FC">
        <w:t>.</w:t>
      </w:r>
      <w:r w:rsidR="00D62992">
        <w:t xml:space="preserve"> Beräkningen av valutaexponeringen baseras på både tillgångar och skulder </w:t>
      </w:r>
      <w:r w:rsidR="00CD411F">
        <w:t xml:space="preserve">(inklusive valutaderivat) </w:t>
      </w:r>
      <w:r w:rsidR="00D62992">
        <w:t>och redovisas i diagrammet för Riksbankens nettofordringar.</w:t>
      </w:r>
    </w:p>
    <w:p w:rsidR="00F71A96" w:rsidRDefault="00F71A96" w:rsidP="00030216">
      <w:pPr>
        <w:pStyle w:val="Fotnotstext"/>
        <w:rPr>
          <w:szCs w:val="17"/>
        </w:rPr>
      </w:pPr>
      <w:r w:rsidRPr="00850305">
        <w:t>Källa: Riksbanken.</w:t>
      </w:r>
    </w:p>
    <w:p w:rsidR="00745070" w:rsidRDefault="00745070" w:rsidP="00745070">
      <w:pPr>
        <w:pStyle w:val="Fotnotstextindrag"/>
      </w:pPr>
    </w:p>
    <w:p w:rsidR="00745070" w:rsidRDefault="00745070" w:rsidP="00030216">
      <w:r w:rsidRPr="00943163">
        <w:t>På grund av den internationellt låga räntenivån och en ökad risk för stigande räntor va</w:t>
      </w:r>
      <w:r w:rsidR="002B54D8">
        <w:t xml:space="preserve">lde Riksbanken att under året </w:t>
      </w:r>
      <w:r w:rsidRPr="00943163">
        <w:t xml:space="preserve">behålla valutareservens räntekänslighet kring 3, mätt som modifierad duration (se diagram </w:t>
      </w:r>
      <w:r w:rsidR="004C0376">
        <w:t>22</w:t>
      </w:r>
      <w:r w:rsidRPr="00943163">
        <w:t xml:space="preserve">). En </w:t>
      </w:r>
      <w:r w:rsidR="004B2FF9">
        <w:t>modi</w:t>
      </w:r>
      <w:r>
        <w:t>fierad dura</w:t>
      </w:r>
      <w:r>
        <w:softHyphen/>
        <w:t>tion</w:t>
      </w:r>
      <w:r w:rsidRPr="00943163">
        <w:t xml:space="preserve"> på 3 innebär att värdet </w:t>
      </w:r>
      <w:r>
        <w:t>på</w:t>
      </w:r>
      <w:r w:rsidRPr="00943163">
        <w:t xml:space="preserve"> valutareserven sjunker med knappt 3 pr</w:t>
      </w:r>
      <w:r w:rsidRPr="00943163">
        <w:t>o</w:t>
      </w:r>
      <w:r w:rsidRPr="00943163">
        <w:t>cent om räntenivån ökar med 1 procentenhet, och</w:t>
      </w:r>
      <w:r w:rsidR="004B2FF9">
        <w:t xml:space="preserve"> tvärtom om räntan faller med 1 </w:t>
      </w:r>
      <w:r w:rsidRPr="00943163">
        <w:t>procentenhet.</w:t>
      </w:r>
    </w:p>
    <w:p w:rsidR="00B7703E" w:rsidRDefault="00B7703E" w:rsidP="00B7703E">
      <w:pPr>
        <w:pStyle w:val="Normaltindrag"/>
      </w:pPr>
      <w:r>
        <w:t>Riksbanken beslutade inför 2014</w:t>
      </w:r>
      <w:r w:rsidRPr="00EF1B3F">
        <w:t xml:space="preserve"> att dess guldinnehav på 125,7 ton skulle vara oförändrat under året.</w:t>
      </w:r>
      <w:r>
        <w:t xml:space="preserve"> </w:t>
      </w:r>
      <w:r w:rsidRPr="00ED1AEB">
        <w:t>Riksbankens guldreserv förvaras hos central</w:t>
      </w:r>
      <w:r w:rsidR="004B2FF9">
        <w:softHyphen/>
      </w:r>
      <w:r w:rsidRPr="00ED1AEB">
        <w:t>ba</w:t>
      </w:r>
      <w:r w:rsidRPr="00ED1AEB">
        <w:t>n</w:t>
      </w:r>
      <w:r w:rsidRPr="00ED1AEB">
        <w:t xml:space="preserve">kerna i Storbritannien (Bank of England), Kanada (Bank of Canada), USA (Federal Reserve Bank of New York), Schweiz (Swiss National Bank) </w:t>
      </w:r>
      <w:r w:rsidR="002B54D8">
        <w:t>och</w:t>
      </w:r>
      <w:r w:rsidRPr="00ED1AEB">
        <w:t xml:space="preserve"> hos Riksbanken</w:t>
      </w:r>
      <w:r w:rsidR="00AD0B19">
        <w:t xml:space="preserve"> (se diagram </w:t>
      </w:r>
      <w:r w:rsidR="004C0376">
        <w:t>23</w:t>
      </w:r>
      <w:r>
        <w:t>)</w:t>
      </w:r>
      <w:r w:rsidRPr="00ED1AEB">
        <w:t>.</w:t>
      </w:r>
      <w:r>
        <w:t xml:space="preserve"> </w:t>
      </w:r>
      <w:r w:rsidR="00574BC7">
        <w:t xml:space="preserve">I likhet med tidigare år har </w:t>
      </w:r>
      <w:r w:rsidRPr="004B3565">
        <w:t>Riks</w:t>
      </w:r>
      <w:r>
        <w:t>banken under 2014</w:t>
      </w:r>
      <w:r w:rsidRPr="004B3565">
        <w:t xml:space="preserve"> även förvarat guld för annans räkning.</w:t>
      </w:r>
    </w:p>
    <w:p w:rsidR="00B7703E" w:rsidRDefault="00B7703E" w:rsidP="00B7703E">
      <w:pPr>
        <w:pStyle w:val="Normaltindrag"/>
      </w:pPr>
      <w:r w:rsidRPr="00180B01">
        <w:t xml:space="preserve">Under </w:t>
      </w:r>
      <w:r>
        <w:t>året</w:t>
      </w:r>
      <w:r w:rsidRPr="00180B01">
        <w:t xml:space="preserve"> besökte Riksbanken Federal Reserve Bank of New York och Bank of Canada för att inspektera det guld som förvar</w:t>
      </w:r>
      <w:r>
        <w:t xml:space="preserve">as där för Riksbankens räkning. Motsvarande inspektioner genomfördes under 2013 hos Bank of England </w:t>
      </w:r>
      <w:r w:rsidR="000D1218">
        <w:t xml:space="preserve">och </w:t>
      </w:r>
      <w:r>
        <w:t xml:space="preserve">Swiss National Bank. </w:t>
      </w:r>
      <w:r w:rsidR="002B54D8">
        <w:t>Alla</w:t>
      </w:r>
      <w:r>
        <w:t xml:space="preserve"> årets och föregående års inspektioner var utan anmärkning.</w:t>
      </w:r>
    </w:p>
    <w:p w:rsidR="00F10D38" w:rsidRDefault="00F10D38" w:rsidP="00F10D38">
      <w:pPr>
        <w:pStyle w:val="Diagramrubrik"/>
      </w:pPr>
      <w:r w:rsidRPr="00EF0AAA">
        <w:t>D</w:t>
      </w:r>
      <w:r w:rsidRPr="00C64965">
        <w:t>iagram</w:t>
      </w:r>
      <w:r w:rsidRPr="00EF0AAA">
        <w:t xml:space="preserve"> </w:t>
      </w:r>
      <w:r w:rsidR="004C0376">
        <w:t>22</w:t>
      </w:r>
      <w:r w:rsidRPr="00EF0AAA">
        <w:t>. Valutareservens modifierade duration 2014</w:t>
      </w:r>
    </w:p>
    <w:p w:rsidR="00F10D38" w:rsidRPr="00F976BA" w:rsidRDefault="00F10D38" w:rsidP="00F10D38">
      <w:pPr>
        <w:pStyle w:val="Normaltindrag"/>
        <w:spacing w:line="60" w:lineRule="exact"/>
        <w:rPr>
          <w:sz w:val="6"/>
          <w:szCs w:val="6"/>
        </w:rPr>
      </w:pPr>
    </w:p>
    <w:p w:rsidR="00F10D38" w:rsidRPr="00F976BA" w:rsidRDefault="00A12E15" w:rsidP="00F10D38">
      <w:pPr>
        <w:pStyle w:val="Normaltindrag"/>
        <w:ind w:firstLine="0"/>
      </w:pPr>
      <w:r w:rsidRPr="00986B60">
        <w:rPr>
          <w:noProof/>
        </w:rPr>
        <w:drawing>
          <wp:inline distT="0" distB="0" distL="0" distR="0">
            <wp:extent cx="3781425" cy="2466975"/>
            <wp:effectExtent l="0" t="0" r="9525" b="9525"/>
            <wp:docPr id="2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F10D38" w:rsidRPr="00AF511C" w:rsidRDefault="00F10D38" w:rsidP="00F10D38">
      <w:pPr>
        <w:pStyle w:val="Fotnotstext"/>
      </w:pPr>
      <w:r w:rsidRPr="009C62FC">
        <w:t xml:space="preserve">Anm. </w:t>
      </w:r>
      <w:r>
        <w:t>Beräkningen av valutareservens modifierade duration baseras på både tillgångar och skulder och redovisas i diagrammet för Riksbankens nettofordringar.</w:t>
      </w:r>
    </w:p>
    <w:p w:rsidR="00F10D38" w:rsidRPr="004C711B" w:rsidRDefault="00F10D38" w:rsidP="00F10D38">
      <w:pPr>
        <w:pStyle w:val="Fotnotstext"/>
        <w:rPr>
          <w:szCs w:val="17"/>
        </w:rPr>
      </w:pPr>
      <w:r w:rsidRPr="004C711B">
        <w:t>Källa: Riksbanken.</w:t>
      </w:r>
    </w:p>
    <w:p w:rsidR="00F10D38" w:rsidRDefault="00F10D38" w:rsidP="00F10D38">
      <w:pPr>
        <w:pStyle w:val="Diagramrubrik"/>
      </w:pPr>
      <w:r w:rsidRPr="00EF0AAA">
        <w:t xml:space="preserve">Diagram </w:t>
      </w:r>
      <w:r w:rsidR="004C0376">
        <w:t>23</w:t>
      </w:r>
      <w:r w:rsidRPr="00EF0AAA">
        <w:t>. Guldreservens förvaring i slutet av 2014, ton</w:t>
      </w:r>
    </w:p>
    <w:p w:rsidR="00F10D38" w:rsidRPr="00D74101" w:rsidRDefault="00A12E15" w:rsidP="00F10D38">
      <w:pPr>
        <w:pStyle w:val="Normaltindrag"/>
        <w:ind w:firstLine="0"/>
      </w:pPr>
      <w:r w:rsidRPr="00986B60">
        <w:rPr>
          <w:noProof/>
        </w:rPr>
        <w:drawing>
          <wp:inline distT="0" distB="0" distL="0" distR="0">
            <wp:extent cx="3781425" cy="2466975"/>
            <wp:effectExtent l="0" t="0" r="9525" b="9525"/>
            <wp:docPr id="2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F10D38" w:rsidRPr="00F651B8" w:rsidRDefault="00F10D38" w:rsidP="00F10D38">
      <w:pPr>
        <w:pStyle w:val="Fotnotstext"/>
      </w:pPr>
      <w:r w:rsidRPr="00F651B8">
        <w:t>Källa: Riksbanken.</w:t>
      </w:r>
    </w:p>
    <w:p w:rsidR="00F10D38" w:rsidRDefault="00F10D38" w:rsidP="00F10D38">
      <w:pPr>
        <w:pStyle w:val="Fotnotstext"/>
        <w:spacing w:before="0"/>
      </w:pPr>
    </w:p>
    <w:p w:rsidR="008D0E6A" w:rsidRDefault="00B7703E" w:rsidP="00D40B26">
      <w:pPr>
        <w:pStyle w:val="Normaltindrag"/>
        <w:suppressAutoHyphens/>
        <w:spacing w:before="62"/>
        <w:ind w:firstLine="0"/>
      </w:pPr>
      <w:r>
        <w:t>Under 2014</w:t>
      </w:r>
      <w:r w:rsidRPr="00922FBE">
        <w:t xml:space="preserve"> bidrog Riksbanken till IMF:s lån till Grekland och </w:t>
      </w:r>
      <w:r>
        <w:t>Ukraina</w:t>
      </w:r>
      <w:r w:rsidRPr="00922FBE">
        <w:t xml:space="preserve"> genom att skjuta till </w:t>
      </w:r>
      <w:r>
        <w:t>amerikanska dollar</w:t>
      </w:r>
      <w:r w:rsidRPr="00922FBE">
        <w:t xml:space="preserve"> </w:t>
      </w:r>
      <w:r w:rsidR="002C4CBB">
        <w:t>till IMF</w:t>
      </w:r>
      <w:r w:rsidR="002C4CBB" w:rsidRPr="00922FBE">
        <w:t xml:space="preserve"> </w:t>
      </w:r>
      <w:r w:rsidRPr="00922FBE">
        <w:t xml:space="preserve">motsvarande </w:t>
      </w:r>
      <w:r w:rsidR="00B90AE3">
        <w:t>177</w:t>
      </w:r>
      <w:r w:rsidR="00B90AE3" w:rsidRPr="00922FBE">
        <w:t xml:space="preserve"> </w:t>
      </w:r>
      <w:r w:rsidRPr="00922FBE">
        <w:t xml:space="preserve">miljoner kronor. Genom återbetalningar från </w:t>
      </w:r>
      <w:r w:rsidR="00820D88">
        <w:t>Irland,</w:t>
      </w:r>
      <w:r w:rsidRPr="00922FBE">
        <w:t xml:space="preserve"> Pakistan</w:t>
      </w:r>
      <w:r>
        <w:t xml:space="preserve">, Rumänien och Sri Lanka </w:t>
      </w:r>
      <w:r w:rsidRPr="00922FBE">
        <w:t xml:space="preserve">fick Riksbanken tillbaka </w:t>
      </w:r>
      <w:r>
        <w:t>dollar</w:t>
      </w:r>
      <w:r w:rsidRPr="00922FBE">
        <w:t xml:space="preserve"> motsvarande </w:t>
      </w:r>
      <w:r w:rsidR="00B90AE3">
        <w:t>2 131</w:t>
      </w:r>
      <w:r w:rsidR="00B90AE3" w:rsidRPr="00922FBE">
        <w:t xml:space="preserve"> </w:t>
      </w:r>
      <w:r w:rsidRPr="00922FBE">
        <w:t xml:space="preserve">miljoner kronor. Inom ramen för lånearrangemanget NAB lånade Riksbanken ut </w:t>
      </w:r>
      <w:r>
        <w:t xml:space="preserve">dollar </w:t>
      </w:r>
      <w:r w:rsidRPr="00922FBE">
        <w:t xml:space="preserve">motsvarande </w:t>
      </w:r>
      <w:r w:rsidR="00B90AE3">
        <w:t>846</w:t>
      </w:r>
      <w:r w:rsidR="00B90AE3" w:rsidRPr="00922FBE">
        <w:t xml:space="preserve"> </w:t>
      </w:r>
      <w:r w:rsidRPr="00922FBE">
        <w:t xml:space="preserve">miljoner kronor till IMF som i sin tur lånade ut dessa medel till Grekland, </w:t>
      </w:r>
      <w:r>
        <w:t>Jamaica, Tunisien</w:t>
      </w:r>
      <w:r w:rsidRPr="00922FBE">
        <w:t xml:space="preserve"> och </w:t>
      </w:r>
      <w:r>
        <w:t>Ukraina</w:t>
      </w:r>
      <w:r w:rsidRPr="00922FBE">
        <w:t xml:space="preserve">. Under samma avtal mottog Riksbanken återbetalningar </w:t>
      </w:r>
      <w:r>
        <w:t xml:space="preserve">i dollar </w:t>
      </w:r>
      <w:r w:rsidRPr="00922FBE">
        <w:t xml:space="preserve">från </w:t>
      </w:r>
      <w:r w:rsidR="00B90AE3">
        <w:t xml:space="preserve">Irland, </w:t>
      </w:r>
      <w:r>
        <w:t xml:space="preserve">Jamaica, </w:t>
      </w:r>
      <w:r w:rsidR="00243727">
        <w:t xml:space="preserve">Rumänien, </w:t>
      </w:r>
      <w:r>
        <w:t xml:space="preserve">Sri Lanka </w:t>
      </w:r>
      <w:r w:rsidRPr="00922FBE">
        <w:t xml:space="preserve">och Vitryssland motsvarande </w:t>
      </w:r>
      <w:r w:rsidR="00B90AE3">
        <w:t>1 370</w:t>
      </w:r>
      <w:r w:rsidR="00B90AE3" w:rsidRPr="00922FBE">
        <w:t xml:space="preserve"> </w:t>
      </w:r>
      <w:r w:rsidRPr="00922FBE">
        <w:t>miljoner kronor.</w:t>
      </w:r>
    </w:p>
    <w:p w:rsidR="00F10D38" w:rsidRDefault="008D0E6A" w:rsidP="00F10D38">
      <w:pPr>
        <w:pStyle w:val="Normaltindrag"/>
      </w:pPr>
      <w:r w:rsidRPr="00922FBE">
        <w:t xml:space="preserve">Utöver dessa transaktioner sålde Riksbanken på </w:t>
      </w:r>
      <w:r w:rsidR="002C4CBB">
        <w:t>IMF:</w:t>
      </w:r>
      <w:r w:rsidR="002C4CBB" w:rsidRPr="00922FBE">
        <w:t xml:space="preserve">s </w:t>
      </w:r>
      <w:r w:rsidRPr="00922FBE">
        <w:t>begäran samma</w:t>
      </w:r>
      <w:r w:rsidRPr="00922FBE">
        <w:t>n</w:t>
      </w:r>
      <w:r w:rsidRPr="00922FBE">
        <w:t>lagt</w:t>
      </w:r>
      <w:r>
        <w:t xml:space="preserve"> </w:t>
      </w:r>
      <w:r w:rsidR="00B90AE3">
        <w:t>75</w:t>
      </w:r>
      <w:r w:rsidR="00B90AE3" w:rsidRPr="00922FBE">
        <w:t xml:space="preserve"> </w:t>
      </w:r>
      <w:r w:rsidRPr="00922FBE">
        <w:t xml:space="preserve">miljoner särskilda dragningsrätter (SDR) till </w:t>
      </w:r>
      <w:r>
        <w:t xml:space="preserve">Marocko och Serbien. </w:t>
      </w:r>
      <w:r w:rsidRPr="00F54BC0">
        <w:t xml:space="preserve">Dessutom köpte Riksbanken sammanlagt </w:t>
      </w:r>
      <w:r w:rsidR="00B90AE3">
        <w:t>18</w:t>
      </w:r>
      <w:r w:rsidR="00B90AE3" w:rsidRPr="00F54BC0">
        <w:t xml:space="preserve"> </w:t>
      </w:r>
      <w:r w:rsidRPr="00F54BC0">
        <w:t xml:space="preserve">miljoner SDR av </w:t>
      </w:r>
      <w:r>
        <w:t>Arabiska val</w:t>
      </w:r>
      <w:r>
        <w:t>u</w:t>
      </w:r>
      <w:r>
        <w:t xml:space="preserve">tafonden och </w:t>
      </w:r>
      <w:r w:rsidRPr="00F54BC0">
        <w:t>Bank for International Settlements (BIS)</w:t>
      </w:r>
      <w:r>
        <w:t>. Transaktionerna gjo</w:t>
      </w:r>
      <w:r>
        <w:t>r</w:t>
      </w:r>
      <w:r>
        <w:t>des</w:t>
      </w:r>
      <w:r w:rsidRPr="00F54BC0">
        <w:t xml:space="preserve"> mot betalning i amerikanska dollar.</w:t>
      </w:r>
    </w:p>
    <w:p w:rsidR="00F71A96" w:rsidRDefault="00F71A96" w:rsidP="00F10D38">
      <w:pPr>
        <w:pStyle w:val="Normaltindrag"/>
      </w:pPr>
      <w:r w:rsidRPr="009724AE">
        <w:t xml:space="preserve">Sammantaget medförde Riksbankens transaktioner med IMF att </w:t>
      </w:r>
      <w:r>
        <w:t>den ou</w:t>
      </w:r>
      <w:r>
        <w:t>t</w:t>
      </w:r>
      <w:r>
        <w:t xml:space="preserve">nyttjade delen av </w:t>
      </w:r>
      <w:r w:rsidRPr="009724AE">
        <w:t xml:space="preserve">Sveriges åtagande mot </w:t>
      </w:r>
      <w:r w:rsidR="002C4CBB">
        <w:t>IMF</w:t>
      </w:r>
      <w:r w:rsidR="002C4CBB" w:rsidRPr="005C08B6">
        <w:t xml:space="preserve"> </w:t>
      </w:r>
      <w:r w:rsidRPr="005C08B6">
        <w:t>ökade</w:t>
      </w:r>
      <w:r w:rsidRPr="009724AE">
        <w:t xml:space="preserve"> med </w:t>
      </w:r>
      <w:r w:rsidR="005C08B6">
        <w:t>1 455</w:t>
      </w:r>
      <w:r w:rsidR="005C08B6" w:rsidRPr="009724AE">
        <w:t xml:space="preserve"> </w:t>
      </w:r>
      <w:r w:rsidRPr="009724AE">
        <w:t xml:space="preserve">miljoner kronor (se tabell </w:t>
      </w:r>
      <w:r w:rsidR="00923D08">
        <w:t>4</w:t>
      </w:r>
      <w:r w:rsidRPr="009724AE">
        <w:t xml:space="preserve">). </w:t>
      </w:r>
    </w:p>
    <w:p w:rsidR="00F71A96" w:rsidRPr="00A6587D" w:rsidRDefault="00F71A96" w:rsidP="00030216">
      <w:pPr>
        <w:pStyle w:val="Diagramrubrik"/>
      </w:pPr>
      <w:r w:rsidRPr="00DA3F10">
        <w:t xml:space="preserve">Tabell </w:t>
      </w:r>
      <w:r w:rsidR="00923D08" w:rsidRPr="00DA3F10">
        <w:t>4</w:t>
      </w:r>
      <w:r w:rsidRPr="00DA3F10">
        <w:t xml:space="preserve">. Sveriges finansiella åtagande gentemot IMF 2014, </w:t>
      </w:r>
      <w:r w:rsidR="00DD608A">
        <w:br/>
      </w:r>
      <w:r w:rsidRPr="00DA3F10">
        <w:t>miljoner SDR respektive kronor</w:t>
      </w:r>
    </w:p>
    <w:tbl>
      <w:tblPr>
        <w:tblW w:w="6031" w:type="dxa"/>
        <w:tblInd w:w="108" w:type="dxa"/>
        <w:tblLayout w:type="fixed"/>
        <w:tblLook w:val="01E0" w:firstRow="1" w:lastRow="1" w:firstColumn="1" w:lastColumn="1" w:noHBand="0" w:noVBand="0"/>
      </w:tblPr>
      <w:tblGrid>
        <w:gridCol w:w="3399"/>
        <w:gridCol w:w="1279"/>
        <w:gridCol w:w="1353"/>
      </w:tblGrid>
      <w:tr w:rsidR="00F71A96" w:rsidRPr="00AD596A" w:rsidTr="00F71A96">
        <w:trPr>
          <w:trHeight w:val="383"/>
        </w:trPr>
        <w:tc>
          <w:tcPr>
            <w:tcW w:w="3399" w:type="dxa"/>
            <w:tcBorders>
              <w:top w:val="single" w:sz="4" w:space="0" w:color="auto"/>
            </w:tcBorders>
            <w:shd w:val="clear" w:color="auto" w:fill="auto"/>
            <w:vAlign w:val="center"/>
          </w:tcPr>
          <w:p w:rsidR="00F71A96" w:rsidRPr="00AD596A" w:rsidRDefault="00F71A96" w:rsidP="00F71A96">
            <w:pPr>
              <w:jc w:val="right"/>
              <w:rPr>
                <w:b/>
                <w:sz w:val="16"/>
                <w:szCs w:val="16"/>
              </w:rPr>
            </w:pPr>
          </w:p>
        </w:tc>
        <w:tc>
          <w:tcPr>
            <w:tcW w:w="1279" w:type="dxa"/>
            <w:tcBorders>
              <w:top w:val="single" w:sz="4" w:space="0" w:color="auto"/>
            </w:tcBorders>
            <w:shd w:val="clear" w:color="auto" w:fill="auto"/>
            <w:vAlign w:val="center"/>
          </w:tcPr>
          <w:p w:rsidR="00F71A96" w:rsidRPr="00AD596A" w:rsidRDefault="00F71A96" w:rsidP="00F71A96">
            <w:pPr>
              <w:jc w:val="right"/>
              <w:rPr>
                <w:b/>
                <w:sz w:val="16"/>
                <w:szCs w:val="16"/>
              </w:rPr>
            </w:pPr>
            <w:r w:rsidRPr="00AD596A">
              <w:rPr>
                <w:b/>
                <w:sz w:val="16"/>
                <w:szCs w:val="16"/>
              </w:rPr>
              <w:t>SDR</w:t>
            </w:r>
          </w:p>
        </w:tc>
        <w:tc>
          <w:tcPr>
            <w:tcW w:w="1353" w:type="dxa"/>
            <w:tcBorders>
              <w:top w:val="single" w:sz="4" w:space="0" w:color="auto"/>
            </w:tcBorders>
            <w:shd w:val="clear" w:color="auto" w:fill="auto"/>
            <w:vAlign w:val="center"/>
          </w:tcPr>
          <w:p w:rsidR="00F71A96" w:rsidRPr="00AD596A" w:rsidRDefault="00F71A96" w:rsidP="00F71A96">
            <w:pPr>
              <w:jc w:val="right"/>
              <w:rPr>
                <w:b/>
                <w:sz w:val="16"/>
                <w:szCs w:val="16"/>
              </w:rPr>
            </w:pPr>
            <w:r w:rsidRPr="00AD596A">
              <w:rPr>
                <w:b/>
                <w:sz w:val="16"/>
                <w:szCs w:val="16"/>
              </w:rPr>
              <w:t>SEK</w:t>
            </w:r>
          </w:p>
        </w:tc>
      </w:tr>
      <w:tr w:rsidR="00F71A96" w:rsidRPr="005C08B6" w:rsidTr="00F71A96">
        <w:tc>
          <w:tcPr>
            <w:tcW w:w="3399" w:type="dxa"/>
            <w:tcBorders>
              <w:top w:val="single" w:sz="4" w:space="0" w:color="auto"/>
            </w:tcBorders>
            <w:shd w:val="clear" w:color="auto" w:fill="auto"/>
          </w:tcPr>
          <w:p w:rsidR="00F71A96" w:rsidRPr="004D494B" w:rsidRDefault="00F71A96" w:rsidP="00F71A96">
            <w:pPr>
              <w:spacing w:before="60" w:line="240" w:lineRule="auto"/>
              <w:jc w:val="left"/>
              <w:rPr>
                <w:b/>
                <w:sz w:val="16"/>
                <w:szCs w:val="16"/>
              </w:rPr>
            </w:pPr>
            <w:r w:rsidRPr="004D494B">
              <w:rPr>
                <w:b/>
                <w:sz w:val="16"/>
                <w:szCs w:val="16"/>
              </w:rPr>
              <w:t>Sveriges maximala åtagande</w:t>
            </w:r>
          </w:p>
        </w:tc>
        <w:tc>
          <w:tcPr>
            <w:tcW w:w="1279" w:type="dxa"/>
            <w:tcBorders>
              <w:top w:val="single" w:sz="4" w:space="0" w:color="auto"/>
            </w:tcBorders>
            <w:shd w:val="clear" w:color="auto" w:fill="auto"/>
          </w:tcPr>
          <w:p w:rsidR="00F71A96" w:rsidRPr="005C08B6" w:rsidRDefault="00F71A96" w:rsidP="00F71A96">
            <w:pPr>
              <w:spacing w:before="60" w:line="240" w:lineRule="auto"/>
              <w:jc w:val="right"/>
              <w:rPr>
                <w:b/>
                <w:sz w:val="16"/>
                <w:szCs w:val="16"/>
              </w:rPr>
            </w:pPr>
            <w:r w:rsidRPr="005C08B6">
              <w:rPr>
                <w:b/>
                <w:sz w:val="16"/>
                <w:szCs w:val="16"/>
              </w:rPr>
              <w:t>18 033</w:t>
            </w:r>
          </w:p>
        </w:tc>
        <w:tc>
          <w:tcPr>
            <w:tcW w:w="1353" w:type="dxa"/>
            <w:tcBorders>
              <w:top w:val="single" w:sz="4" w:space="0" w:color="auto"/>
            </w:tcBorders>
            <w:shd w:val="clear" w:color="auto" w:fill="auto"/>
          </w:tcPr>
          <w:p w:rsidR="00F71A96" w:rsidRPr="005C08B6" w:rsidRDefault="00DA3F10" w:rsidP="00F71A96">
            <w:pPr>
              <w:spacing w:before="60" w:line="240" w:lineRule="auto"/>
              <w:jc w:val="right"/>
              <w:rPr>
                <w:b/>
                <w:sz w:val="16"/>
                <w:szCs w:val="16"/>
              </w:rPr>
            </w:pPr>
            <w:r w:rsidRPr="005C08B6">
              <w:rPr>
                <w:b/>
                <w:sz w:val="16"/>
                <w:szCs w:val="16"/>
              </w:rPr>
              <w:t>204 505</w:t>
            </w:r>
          </w:p>
        </w:tc>
      </w:tr>
      <w:tr w:rsidR="00F71A96" w:rsidRPr="005C08B6" w:rsidTr="00F71A96">
        <w:tc>
          <w:tcPr>
            <w:tcW w:w="3399" w:type="dxa"/>
            <w:shd w:val="clear" w:color="auto" w:fill="auto"/>
          </w:tcPr>
          <w:p w:rsidR="00F71A96" w:rsidRPr="004D494B" w:rsidRDefault="00F71A96" w:rsidP="00F71A96">
            <w:pPr>
              <w:spacing w:before="60" w:line="200" w:lineRule="exact"/>
              <w:jc w:val="left"/>
              <w:rPr>
                <w:sz w:val="16"/>
                <w:szCs w:val="16"/>
              </w:rPr>
            </w:pPr>
            <w:r w:rsidRPr="004D494B">
              <w:rPr>
                <w:sz w:val="16"/>
                <w:szCs w:val="16"/>
              </w:rPr>
              <w:t>Utnyttjat vi</w:t>
            </w:r>
            <w:r>
              <w:rPr>
                <w:sz w:val="16"/>
                <w:szCs w:val="16"/>
              </w:rPr>
              <w:t>d</w:t>
            </w:r>
            <w:r w:rsidRPr="004D494B">
              <w:rPr>
                <w:sz w:val="16"/>
                <w:szCs w:val="16"/>
              </w:rPr>
              <w:t xml:space="preserve"> årets början</w:t>
            </w:r>
          </w:p>
        </w:tc>
        <w:tc>
          <w:tcPr>
            <w:tcW w:w="1279" w:type="dxa"/>
            <w:shd w:val="clear" w:color="auto" w:fill="auto"/>
          </w:tcPr>
          <w:p w:rsidR="00F71A96" w:rsidRPr="005C08B6" w:rsidRDefault="00DA3F10" w:rsidP="00DA3F10">
            <w:pPr>
              <w:spacing w:before="60" w:line="200" w:lineRule="exact"/>
              <w:jc w:val="right"/>
              <w:rPr>
                <w:sz w:val="16"/>
                <w:szCs w:val="16"/>
              </w:rPr>
            </w:pPr>
            <w:r w:rsidRPr="005C08B6">
              <w:rPr>
                <w:sz w:val="16"/>
                <w:szCs w:val="16"/>
              </w:rPr>
              <w:t>919</w:t>
            </w:r>
          </w:p>
        </w:tc>
        <w:tc>
          <w:tcPr>
            <w:tcW w:w="1353" w:type="dxa"/>
            <w:shd w:val="clear" w:color="auto" w:fill="auto"/>
            <w:vAlign w:val="bottom"/>
          </w:tcPr>
          <w:p w:rsidR="00F71A96" w:rsidRPr="005C08B6" w:rsidRDefault="00DA3F10" w:rsidP="00DA3F10">
            <w:pPr>
              <w:spacing w:before="60" w:line="200" w:lineRule="exact"/>
              <w:jc w:val="right"/>
              <w:rPr>
                <w:sz w:val="16"/>
                <w:szCs w:val="16"/>
              </w:rPr>
            </w:pPr>
            <w:r w:rsidRPr="005C08B6">
              <w:rPr>
                <w:sz w:val="16"/>
                <w:szCs w:val="16"/>
              </w:rPr>
              <w:t>10 424</w:t>
            </w:r>
          </w:p>
        </w:tc>
      </w:tr>
      <w:tr w:rsidR="00F71A96" w:rsidRPr="005C08B6" w:rsidTr="00F71A96">
        <w:tc>
          <w:tcPr>
            <w:tcW w:w="3399" w:type="dxa"/>
            <w:shd w:val="clear" w:color="auto" w:fill="auto"/>
          </w:tcPr>
          <w:p w:rsidR="00F71A96" w:rsidRPr="004D494B" w:rsidRDefault="00F71A96" w:rsidP="00F71A96">
            <w:pPr>
              <w:spacing w:before="60" w:line="200" w:lineRule="exact"/>
              <w:jc w:val="left"/>
              <w:rPr>
                <w:sz w:val="16"/>
                <w:szCs w:val="16"/>
              </w:rPr>
            </w:pPr>
            <w:r>
              <w:rPr>
                <w:sz w:val="16"/>
                <w:szCs w:val="16"/>
              </w:rPr>
              <w:t>Förändring</w:t>
            </w:r>
            <w:r w:rsidRPr="004D494B">
              <w:rPr>
                <w:sz w:val="16"/>
                <w:szCs w:val="16"/>
              </w:rPr>
              <w:t xml:space="preserve"> under året</w:t>
            </w:r>
          </w:p>
        </w:tc>
        <w:tc>
          <w:tcPr>
            <w:tcW w:w="1279" w:type="dxa"/>
            <w:shd w:val="clear" w:color="auto" w:fill="auto"/>
            <w:vAlign w:val="bottom"/>
          </w:tcPr>
          <w:p w:rsidR="00F71A96" w:rsidRPr="005C08B6" w:rsidRDefault="005C08B6" w:rsidP="00DA3F10">
            <w:pPr>
              <w:spacing w:before="60" w:line="200" w:lineRule="exact"/>
              <w:jc w:val="right"/>
              <w:rPr>
                <w:sz w:val="16"/>
                <w:szCs w:val="16"/>
              </w:rPr>
            </w:pPr>
            <w:r w:rsidRPr="005C08B6">
              <w:rPr>
                <w:sz w:val="16"/>
                <w:szCs w:val="16"/>
              </w:rPr>
              <w:t>–</w:t>
            </w:r>
            <w:r w:rsidR="00F71A96" w:rsidRPr="005C08B6">
              <w:rPr>
                <w:sz w:val="16"/>
                <w:szCs w:val="16"/>
              </w:rPr>
              <w:t>1</w:t>
            </w:r>
            <w:r w:rsidR="00DA3F10" w:rsidRPr="005C08B6">
              <w:rPr>
                <w:sz w:val="16"/>
                <w:szCs w:val="16"/>
              </w:rPr>
              <w:t>28</w:t>
            </w:r>
          </w:p>
        </w:tc>
        <w:tc>
          <w:tcPr>
            <w:tcW w:w="1353" w:type="dxa"/>
            <w:shd w:val="clear" w:color="auto" w:fill="auto"/>
            <w:vAlign w:val="bottom"/>
          </w:tcPr>
          <w:p w:rsidR="00F71A96" w:rsidRPr="005C08B6" w:rsidRDefault="005C08B6" w:rsidP="00DA3F10">
            <w:pPr>
              <w:spacing w:before="60" w:line="200" w:lineRule="exact"/>
              <w:jc w:val="right"/>
              <w:rPr>
                <w:sz w:val="16"/>
                <w:szCs w:val="16"/>
              </w:rPr>
            </w:pPr>
            <w:r w:rsidRPr="005C08B6">
              <w:rPr>
                <w:sz w:val="16"/>
                <w:szCs w:val="16"/>
              </w:rPr>
              <w:t>–</w:t>
            </w:r>
            <w:r w:rsidR="00F71A96" w:rsidRPr="005C08B6">
              <w:rPr>
                <w:sz w:val="16"/>
                <w:szCs w:val="16"/>
              </w:rPr>
              <w:t xml:space="preserve">1 </w:t>
            </w:r>
            <w:r w:rsidR="00DA3F10" w:rsidRPr="005C08B6">
              <w:rPr>
                <w:sz w:val="16"/>
                <w:szCs w:val="16"/>
              </w:rPr>
              <w:t>455</w:t>
            </w:r>
          </w:p>
        </w:tc>
      </w:tr>
      <w:tr w:rsidR="00F71A96" w:rsidRPr="005C08B6" w:rsidTr="00F71A96">
        <w:tc>
          <w:tcPr>
            <w:tcW w:w="3399" w:type="dxa"/>
            <w:shd w:val="clear" w:color="auto" w:fill="auto"/>
          </w:tcPr>
          <w:p w:rsidR="00F71A96" w:rsidRPr="004D494B" w:rsidRDefault="00F71A96" w:rsidP="00F71A96">
            <w:pPr>
              <w:spacing w:before="60" w:line="200" w:lineRule="exact"/>
              <w:jc w:val="left"/>
              <w:rPr>
                <w:sz w:val="16"/>
                <w:szCs w:val="16"/>
              </w:rPr>
            </w:pPr>
            <w:r>
              <w:rPr>
                <w:sz w:val="16"/>
                <w:szCs w:val="16"/>
              </w:rPr>
              <w:t>Utnyttjat vid slutet av året</w:t>
            </w:r>
          </w:p>
        </w:tc>
        <w:tc>
          <w:tcPr>
            <w:tcW w:w="1279" w:type="dxa"/>
            <w:shd w:val="clear" w:color="auto" w:fill="auto"/>
            <w:vAlign w:val="bottom"/>
          </w:tcPr>
          <w:p w:rsidR="00F71A96" w:rsidRPr="005C08B6" w:rsidRDefault="00DA3F10" w:rsidP="00DA3F10">
            <w:pPr>
              <w:spacing w:before="60" w:line="200" w:lineRule="exact"/>
              <w:jc w:val="right"/>
              <w:rPr>
                <w:sz w:val="16"/>
                <w:szCs w:val="16"/>
              </w:rPr>
            </w:pPr>
            <w:r w:rsidRPr="005C08B6">
              <w:rPr>
                <w:sz w:val="16"/>
                <w:szCs w:val="16"/>
              </w:rPr>
              <w:t>791</w:t>
            </w:r>
          </w:p>
        </w:tc>
        <w:tc>
          <w:tcPr>
            <w:tcW w:w="1353" w:type="dxa"/>
            <w:shd w:val="clear" w:color="auto" w:fill="auto"/>
            <w:vAlign w:val="bottom"/>
          </w:tcPr>
          <w:p w:rsidR="00F71A96" w:rsidRPr="005C08B6" w:rsidRDefault="005C08B6" w:rsidP="005C08B6">
            <w:pPr>
              <w:spacing w:before="60" w:line="200" w:lineRule="exact"/>
              <w:jc w:val="right"/>
              <w:rPr>
                <w:sz w:val="16"/>
                <w:szCs w:val="16"/>
              </w:rPr>
            </w:pPr>
            <w:r w:rsidRPr="005C08B6">
              <w:rPr>
                <w:sz w:val="16"/>
                <w:szCs w:val="16"/>
              </w:rPr>
              <w:t>8 969</w:t>
            </w:r>
          </w:p>
        </w:tc>
      </w:tr>
      <w:tr w:rsidR="00F71A96" w:rsidRPr="005C08B6" w:rsidTr="00F71A96">
        <w:tc>
          <w:tcPr>
            <w:tcW w:w="3399" w:type="dxa"/>
            <w:tcBorders>
              <w:bottom w:val="single" w:sz="4" w:space="0" w:color="auto"/>
            </w:tcBorders>
            <w:shd w:val="clear" w:color="auto" w:fill="auto"/>
          </w:tcPr>
          <w:p w:rsidR="00F71A96" w:rsidRPr="004D494B" w:rsidRDefault="00F71A96" w:rsidP="00F71A96">
            <w:pPr>
              <w:spacing w:before="60" w:line="200" w:lineRule="exact"/>
              <w:jc w:val="left"/>
              <w:rPr>
                <w:b/>
                <w:sz w:val="16"/>
                <w:szCs w:val="16"/>
              </w:rPr>
            </w:pPr>
            <w:r>
              <w:rPr>
                <w:b/>
                <w:sz w:val="16"/>
                <w:szCs w:val="16"/>
              </w:rPr>
              <w:t>Outnyttjad del av</w:t>
            </w:r>
            <w:r w:rsidRPr="004D494B">
              <w:rPr>
                <w:b/>
                <w:sz w:val="16"/>
                <w:szCs w:val="16"/>
              </w:rPr>
              <w:t xml:space="preserve"> åtagande</w:t>
            </w:r>
            <w:r w:rsidR="002B54D8">
              <w:rPr>
                <w:b/>
                <w:sz w:val="16"/>
                <w:szCs w:val="16"/>
              </w:rPr>
              <w:t>t</w:t>
            </w:r>
          </w:p>
        </w:tc>
        <w:tc>
          <w:tcPr>
            <w:tcW w:w="1279" w:type="dxa"/>
            <w:tcBorders>
              <w:bottom w:val="single" w:sz="4" w:space="0" w:color="auto"/>
            </w:tcBorders>
            <w:shd w:val="clear" w:color="auto" w:fill="auto"/>
            <w:vAlign w:val="bottom"/>
          </w:tcPr>
          <w:p w:rsidR="00F71A96" w:rsidRPr="005C08B6" w:rsidRDefault="00F71A96" w:rsidP="005C08B6">
            <w:pPr>
              <w:spacing w:before="60" w:line="200" w:lineRule="exact"/>
              <w:jc w:val="right"/>
              <w:rPr>
                <w:b/>
                <w:sz w:val="16"/>
                <w:szCs w:val="16"/>
              </w:rPr>
            </w:pPr>
            <w:r w:rsidRPr="005C08B6">
              <w:rPr>
                <w:b/>
                <w:sz w:val="16"/>
                <w:szCs w:val="16"/>
              </w:rPr>
              <w:t>1</w:t>
            </w:r>
            <w:r w:rsidR="005C08B6" w:rsidRPr="005C08B6">
              <w:rPr>
                <w:b/>
                <w:sz w:val="16"/>
                <w:szCs w:val="16"/>
              </w:rPr>
              <w:t>7</w:t>
            </w:r>
            <w:r w:rsidRPr="005C08B6">
              <w:rPr>
                <w:b/>
                <w:sz w:val="16"/>
                <w:szCs w:val="16"/>
              </w:rPr>
              <w:t xml:space="preserve"> </w:t>
            </w:r>
            <w:r w:rsidR="005C08B6" w:rsidRPr="005C08B6">
              <w:rPr>
                <w:b/>
                <w:sz w:val="16"/>
                <w:szCs w:val="16"/>
              </w:rPr>
              <w:t>242</w:t>
            </w:r>
          </w:p>
        </w:tc>
        <w:tc>
          <w:tcPr>
            <w:tcW w:w="1353" w:type="dxa"/>
            <w:tcBorders>
              <w:bottom w:val="single" w:sz="4" w:space="0" w:color="auto"/>
            </w:tcBorders>
            <w:shd w:val="clear" w:color="auto" w:fill="auto"/>
            <w:vAlign w:val="bottom"/>
          </w:tcPr>
          <w:p w:rsidR="00F71A96" w:rsidRPr="005C08B6" w:rsidRDefault="005C08B6" w:rsidP="00F71A96">
            <w:pPr>
              <w:spacing w:before="60" w:line="200" w:lineRule="exact"/>
              <w:jc w:val="right"/>
              <w:rPr>
                <w:b/>
                <w:sz w:val="16"/>
                <w:szCs w:val="16"/>
              </w:rPr>
            </w:pPr>
            <w:r w:rsidRPr="005C08B6">
              <w:rPr>
                <w:b/>
                <w:sz w:val="16"/>
                <w:szCs w:val="16"/>
              </w:rPr>
              <w:t>195 536</w:t>
            </w:r>
          </w:p>
        </w:tc>
      </w:tr>
    </w:tbl>
    <w:p w:rsidR="00F71A96" w:rsidRPr="009C62FC" w:rsidRDefault="00F71A96" w:rsidP="00AE55C1">
      <w:pPr>
        <w:pStyle w:val="Fotnotstext"/>
      </w:pPr>
      <w:r w:rsidRPr="009C62FC">
        <w:t>Anm</w:t>
      </w:r>
      <w:r>
        <w:t>.</w:t>
      </w:r>
      <w:r w:rsidRPr="009C62FC">
        <w:t xml:space="preserve"> </w:t>
      </w:r>
      <w:r>
        <w:t>SDR-beloppen är omräknade till bokslutsdagens valutakurs</w:t>
      </w:r>
      <w:r w:rsidRPr="009C62FC">
        <w:t>.</w:t>
      </w:r>
    </w:p>
    <w:p w:rsidR="00B7703E" w:rsidRDefault="00F71A96" w:rsidP="00B7703E">
      <w:pPr>
        <w:pStyle w:val="Fotnotstext"/>
      </w:pPr>
      <w:r w:rsidRPr="009C62FC">
        <w:t>Källa: Riksbanken.</w:t>
      </w:r>
    </w:p>
    <w:p w:rsidR="00F5063C" w:rsidRDefault="00F5063C" w:rsidP="00F5063C">
      <w:pPr>
        <w:pStyle w:val="Fotnotstextindrag"/>
      </w:pPr>
    </w:p>
    <w:p w:rsidR="00B7703E" w:rsidRDefault="00714729" w:rsidP="00B7703E">
      <w:pPr>
        <w:pStyle w:val="R4"/>
        <w:pBdr>
          <w:top w:val="single" w:sz="4" w:space="1" w:color="auto"/>
          <w:left w:val="single" w:sz="4" w:space="4" w:color="auto"/>
          <w:right w:val="single" w:sz="4" w:space="4" w:color="auto"/>
        </w:pBdr>
        <w:outlineLvl w:val="0"/>
      </w:pPr>
      <w:r w:rsidRPr="00255D86">
        <w:t>Riksbankens finansiella regelverk och hantering av olika risker</w:t>
      </w:r>
    </w:p>
    <w:p w:rsidR="00B7703E" w:rsidRPr="00B7703E" w:rsidRDefault="00714729" w:rsidP="00D40B26">
      <w:pPr>
        <w:pBdr>
          <w:top w:val="single" w:sz="4" w:space="1" w:color="auto"/>
          <w:left w:val="single" w:sz="4" w:space="4" w:color="auto"/>
          <w:right w:val="single" w:sz="4" w:space="4" w:color="auto"/>
        </w:pBdr>
        <w:suppressAutoHyphens/>
        <w:rPr>
          <w:szCs w:val="19"/>
        </w:rPr>
      </w:pPr>
      <w:r w:rsidRPr="00B7703E">
        <w:rPr>
          <w:szCs w:val="19"/>
        </w:rPr>
        <w:t xml:space="preserve">Riksbankens finansiella riskpolicy fastställer de övergripande ramarna för den risk som Riksbanken är beredd att ta i tillgångsförvaltningen. Uppföljningen av de risker som Riksbanken exponeras mot sker främst inom avdelningen för </w:t>
      </w:r>
      <w:r w:rsidR="00E970BA">
        <w:rPr>
          <w:szCs w:val="19"/>
        </w:rPr>
        <w:t>marknader</w:t>
      </w:r>
      <w:r w:rsidRPr="00B7703E">
        <w:rPr>
          <w:szCs w:val="19"/>
        </w:rPr>
        <w:t xml:space="preserve"> där enheten middle offic</w:t>
      </w:r>
      <w:r w:rsidR="009E725D">
        <w:rPr>
          <w:szCs w:val="19"/>
        </w:rPr>
        <w:t>e ansvarar för den dagliga risk</w:t>
      </w:r>
      <w:r w:rsidRPr="00B7703E">
        <w:rPr>
          <w:szCs w:val="19"/>
        </w:rPr>
        <w:t>kontrollen och för beräkningen av avkastningen på Riksbankens tillgångar. Inom Riksbanken finns också en riskenhet, placerad vid stabsavdelningen, som ansvarar för en övergripande och oberoende riskkontroll (se avsnittet Orga</w:t>
      </w:r>
      <w:r w:rsidR="00D40B26">
        <w:rPr>
          <w:szCs w:val="19"/>
        </w:rPr>
        <w:softHyphen/>
      </w:r>
      <w:r w:rsidRPr="00B7703E">
        <w:rPr>
          <w:szCs w:val="19"/>
        </w:rPr>
        <w:t xml:space="preserve">nisation och styrning). </w:t>
      </w:r>
    </w:p>
    <w:p w:rsidR="00B7703E" w:rsidRPr="00B7703E" w:rsidRDefault="00714729" w:rsidP="00AE55C1">
      <w:pPr>
        <w:pStyle w:val="Normaltindrag"/>
        <w:pBdr>
          <w:left w:val="single" w:sz="4" w:space="4" w:color="auto"/>
          <w:right w:val="single" w:sz="4" w:space="4" w:color="auto"/>
        </w:pBdr>
        <w:rPr>
          <w:szCs w:val="19"/>
        </w:rPr>
      </w:pPr>
      <w:r w:rsidRPr="00B7703E">
        <w:rPr>
          <w:szCs w:val="19"/>
        </w:rPr>
        <w:t xml:space="preserve">Riksbankens finansiella risker utgörs av likviditetsrisk, marknadsrisk och kreditrisk. Likviditetsrisk är risken för att Riksbanken inte kan fullgöra sina uppgifter och åtaganden </w:t>
      </w:r>
      <w:r w:rsidR="009910F6">
        <w:rPr>
          <w:szCs w:val="19"/>
        </w:rPr>
        <w:t>för</w:t>
      </w:r>
      <w:r w:rsidRPr="00B7703E">
        <w:rPr>
          <w:szCs w:val="19"/>
        </w:rPr>
        <w:t xml:space="preserve"> att tillgångarna i guld- och valutareserven inte kan avyttras i tid eller endast kan avyttras till ett väsentligt reducerat pris. Marknadsrisk, som i sin tur kan delas upp i valutarisk, ränterisk och guldpri</w:t>
      </w:r>
      <w:r w:rsidRPr="00B7703E">
        <w:rPr>
          <w:szCs w:val="19"/>
        </w:rPr>
        <w:t>s</w:t>
      </w:r>
      <w:r w:rsidRPr="00B7703E">
        <w:rPr>
          <w:szCs w:val="19"/>
        </w:rPr>
        <w:t xml:space="preserve">risk, är risken för att värdet på Riksbankens tillgångar faller. Kreditrisk är risken för förluster på grund av att Riksbankens motparter eller utgivarna av de värdepapper som Riksbanken har investerat i inte fullgör sina finansiella förpliktelser. </w:t>
      </w:r>
    </w:p>
    <w:p w:rsidR="00B7703E" w:rsidRPr="00B7703E" w:rsidRDefault="00714729" w:rsidP="00AE55C1">
      <w:pPr>
        <w:pStyle w:val="Normaltindrag"/>
        <w:pBdr>
          <w:left w:val="single" w:sz="4" w:space="4" w:color="auto"/>
          <w:right w:val="single" w:sz="4" w:space="4" w:color="auto"/>
        </w:pBdr>
        <w:rPr>
          <w:szCs w:val="19"/>
        </w:rPr>
      </w:pPr>
      <w:r w:rsidRPr="00B7703E">
        <w:t>Vid</w:t>
      </w:r>
      <w:r w:rsidRPr="00B7703E">
        <w:rPr>
          <w:szCs w:val="19"/>
        </w:rPr>
        <w:t xml:space="preserve"> den löpande uppföljningen av riskerna i förvaltningen används Value-at-Risk (VaR) som det huvudsakliga måttet för marknadsrisk. VaR mäter den största förlust som kan uppkomma till följd av prisrörelser </w:t>
      </w:r>
      <w:r w:rsidR="009910F6">
        <w:rPr>
          <w:szCs w:val="19"/>
        </w:rPr>
        <w:t>under</w:t>
      </w:r>
      <w:r w:rsidRPr="00B7703E">
        <w:rPr>
          <w:szCs w:val="19"/>
        </w:rPr>
        <w:t xml:space="preserve"> en bestämd tidsperiod och med en viss sannolikhet. Avkastningen på tillgångarna i val</w:t>
      </w:r>
      <w:r w:rsidRPr="00B7703E">
        <w:rPr>
          <w:szCs w:val="19"/>
        </w:rPr>
        <w:t>u</w:t>
      </w:r>
      <w:r w:rsidRPr="00B7703E">
        <w:rPr>
          <w:szCs w:val="19"/>
        </w:rPr>
        <w:t>tareserven mäts också med hänsyn till den risk som Riksbanken tar vid fö</w:t>
      </w:r>
      <w:r w:rsidRPr="00B7703E">
        <w:rPr>
          <w:szCs w:val="19"/>
        </w:rPr>
        <w:t>r</w:t>
      </w:r>
      <w:r w:rsidRPr="00B7703E">
        <w:rPr>
          <w:szCs w:val="19"/>
        </w:rPr>
        <w:t xml:space="preserve">valtningen av </w:t>
      </w:r>
      <w:r w:rsidR="009910F6">
        <w:rPr>
          <w:szCs w:val="19"/>
        </w:rPr>
        <w:t>dem</w:t>
      </w:r>
      <w:r w:rsidRPr="00B7703E">
        <w:rPr>
          <w:szCs w:val="19"/>
        </w:rPr>
        <w:t>. Den riskjusterade avkastningen beräknas med hjälp av en så kallad Sharpekvot.</w:t>
      </w:r>
    </w:p>
    <w:p w:rsidR="00B7703E" w:rsidRPr="00B7703E" w:rsidRDefault="00714729" w:rsidP="00AE55C1">
      <w:pPr>
        <w:pStyle w:val="Normaltindrag"/>
        <w:pBdr>
          <w:left w:val="single" w:sz="4" w:space="4" w:color="auto"/>
          <w:right w:val="single" w:sz="4" w:space="4" w:color="auto"/>
        </w:pBdr>
        <w:rPr>
          <w:szCs w:val="19"/>
        </w:rPr>
      </w:pPr>
      <w:r w:rsidRPr="00B7703E">
        <w:rPr>
          <w:szCs w:val="19"/>
        </w:rPr>
        <w:t>Förutom att löpande följa upp riskerna i förvaltningen testar Riksbanken också regelbundet hur känslig guld- och valutareserven är för oväntade mar</w:t>
      </w:r>
      <w:r w:rsidRPr="00B7703E">
        <w:rPr>
          <w:szCs w:val="19"/>
        </w:rPr>
        <w:t>k</w:t>
      </w:r>
      <w:r w:rsidRPr="00B7703E">
        <w:rPr>
          <w:szCs w:val="19"/>
        </w:rPr>
        <w:t>nadshändelser. Testerna visar hur mycket värdet kan minska om ett visst tänkt eller historiskt scenario inträffar.</w:t>
      </w:r>
    </w:p>
    <w:p w:rsidR="00714729" w:rsidRPr="00B7703E" w:rsidRDefault="00714729" w:rsidP="00B7703E">
      <w:pPr>
        <w:pStyle w:val="Normaltindrag"/>
        <w:pBdr>
          <w:left w:val="single" w:sz="4" w:space="4" w:color="auto"/>
          <w:bottom w:val="single" w:sz="4" w:space="1" w:color="auto"/>
          <w:right w:val="single" w:sz="4" w:space="4" w:color="auto"/>
        </w:pBdr>
      </w:pPr>
      <w:r w:rsidRPr="00B7703E">
        <w:t>Till de finansiella riskerna kommer operativa risker. Sådana risker finns i all</w:t>
      </w:r>
      <w:r w:rsidRPr="00B7703E">
        <w:rPr>
          <w:szCs w:val="19"/>
        </w:rPr>
        <w:t xml:space="preserve"> verksamhet och kan leda till förluster om någon till exempel begår ett misstag, gör något otillåtet eller om det blir fel i de tekniska systemen (se rutan Risker i Riksbankens verksamhet</w:t>
      </w:r>
      <w:r w:rsidR="00795AB2" w:rsidRPr="00B7703E">
        <w:rPr>
          <w:szCs w:val="19"/>
        </w:rPr>
        <w:t>)</w:t>
      </w:r>
      <w:r w:rsidRPr="00B7703E">
        <w:rPr>
          <w:szCs w:val="19"/>
        </w:rPr>
        <w:t>.</w:t>
      </w:r>
    </w:p>
    <w:p w:rsidR="00887B89" w:rsidRPr="00D5656D" w:rsidRDefault="00887B89" w:rsidP="00546DCA">
      <w:pPr>
        <w:pStyle w:val="R2"/>
      </w:pPr>
      <w:r w:rsidRPr="00D5656D">
        <w:t>Uppföljning</w:t>
      </w:r>
      <w:r w:rsidR="008F2326">
        <w:t xml:space="preserve"> </w:t>
      </w:r>
    </w:p>
    <w:p w:rsidR="00F71A96" w:rsidRDefault="00F71A96" w:rsidP="00D40B26">
      <w:pPr>
        <w:suppressAutoHyphens/>
      </w:pPr>
      <w:r>
        <w:t>Vid utgången av 2014</w:t>
      </w:r>
      <w:r w:rsidRPr="002E26E1">
        <w:t xml:space="preserve"> uppgick </w:t>
      </w:r>
      <w:r>
        <w:t>värdet på</w:t>
      </w:r>
      <w:r w:rsidRPr="002E26E1">
        <w:t xml:space="preserve"> Riksbankens finansiella tillgångar till </w:t>
      </w:r>
      <w:r w:rsidR="0034038D">
        <w:t>500,8</w:t>
      </w:r>
      <w:r w:rsidR="0034038D" w:rsidRPr="002E26E1">
        <w:t xml:space="preserve"> </w:t>
      </w:r>
      <w:r w:rsidRPr="002E26E1">
        <w:t xml:space="preserve">miljarder kronor, vilket är </w:t>
      </w:r>
      <w:r w:rsidR="0034038D">
        <w:t>70,</w:t>
      </w:r>
      <w:r w:rsidR="00CA00AC">
        <w:t>8</w:t>
      </w:r>
      <w:r w:rsidR="0034038D" w:rsidRPr="002E26E1">
        <w:t xml:space="preserve"> </w:t>
      </w:r>
      <w:r w:rsidRPr="002E26E1">
        <w:t xml:space="preserve">miljarder kronor </w:t>
      </w:r>
      <w:r w:rsidRPr="0034038D">
        <w:t>mer</w:t>
      </w:r>
      <w:r>
        <w:t xml:space="preserve"> än vid </w:t>
      </w:r>
      <w:r w:rsidRPr="002E26E1">
        <w:t xml:space="preserve">utgången av </w:t>
      </w:r>
      <w:r w:rsidRPr="000B20C2">
        <w:t xml:space="preserve">2013. </w:t>
      </w:r>
      <w:r w:rsidRPr="00F37227">
        <w:t>Förändringen beror främst på valutakursförändringar.</w:t>
      </w:r>
      <w:r>
        <w:t xml:space="preserve"> </w:t>
      </w:r>
      <w:r w:rsidR="00AF511C">
        <w:t>Rik</w:t>
      </w:r>
      <w:r w:rsidR="00AF511C">
        <w:t>s</w:t>
      </w:r>
      <w:r w:rsidR="00AF511C">
        <w:t xml:space="preserve">bankens finansiella skulder värderades till </w:t>
      </w:r>
      <w:r w:rsidR="0034038D">
        <w:t>307,</w:t>
      </w:r>
      <w:r w:rsidR="00CA00AC">
        <w:t>5</w:t>
      </w:r>
      <w:r w:rsidR="0034038D">
        <w:t xml:space="preserve"> </w:t>
      </w:r>
      <w:r w:rsidR="00AF511C">
        <w:t>miljarder kronor och d</w:t>
      </w:r>
      <w:r w:rsidRPr="000B20C2">
        <w:t>en totala</w:t>
      </w:r>
      <w:r w:rsidRPr="002E26E1">
        <w:t xml:space="preserve"> avkastningen uppgick till </w:t>
      </w:r>
      <w:r w:rsidR="00CA00AC">
        <w:rPr>
          <w:szCs w:val="19"/>
        </w:rPr>
        <w:t>31,5</w:t>
      </w:r>
      <w:r w:rsidR="006C705D" w:rsidRPr="002E26E1">
        <w:t xml:space="preserve"> </w:t>
      </w:r>
      <w:r w:rsidRPr="002E26E1">
        <w:t>miljarder kronor.</w:t>
      </w:r>
      <w:r w:rsidDel="00E4232E">
        <w:t xml:space="preserve"> </w:t>
      </w:r>
    </w:p>
    <w:p w:rsidR="00F71A96" w:rsidRDefault="00F71A96" w:rsidP="00F71A96">
      <w:pPr>
        <w:pStyle w:val="Normaltindrag"/>
      </w:pPr>
      <w:r>
        <w:t>D</w:t>
      </w:r>
      <w:r w:rsidRPr="00737B52">
        <w:t xml:space="preserve">e penningpolitiska </w:t>
      </w:r>
      <w:r>
        <w:t>transaktionerna bestod under 2014</w:t>
      </w:r>
      <w:r w:rsidRPr="00737B52">
        <w:t xml:space="preserve"> av </w:t>
      </w:r>
      <w:r w:rsidR="009A001E">
        <w:t>stående facilit</w:t>
      </w:r>
      <w:r w:rsidR="009A001E">
        <w:t>e</w:t>
      </w:r>
      <w:r w:rsidR="009A001E">
        <w:t xml:space="preserve">ter och </w:t>
      </w:r>
      <w:r w:rsidRPr="00737B52">
        <w:t xml:space="preserve">inlåning från </w:t>
      </w:r>
      <w:r>
        <w:t>banksystemet</w:t>
      </w:r>
      <w:r w:rsidRPr="00737B52">
        <w:t xml:space="preserve"> via finjus</w:t>
      </w:r>
      <w:r w:rsidR="00D40B26">
        <w:t>terande transaktio</w:t>
      </w:r>
      <w:r w:rsidRPr="00737B52">
        <w:t>ner och rik</w:t>
      </w:r>
      <w:r w:rsidRPr="00737B52">
        <w:t>s</w:t>
      </w:r>
      <w:r w:rsidRPr="00737B52">
        <w:t xml:space="preserve">bankscertifikat. </w:t>
      </w:r>
      <w:r w:rsidRPr="00B7677D">
        <w:t xml:space="preserve">Inlåningen från </w:t>
      </w:r>
      <w:r>
        <w:t>banksystemet</w:t>
      </w:r>
      <w:r w:rsidRPr="00B7677D">
        <w:t xml:space="preserve"> uppgick vid årets slut till </w:t>
      </w:r>
      <w:r w:rsidR="00726B11">
        <w:t>49,</w:t>
      </w:r>
      <w:r w:rsidR="00207CA3">
        <w:t>8</w:t>
      </w:r>
      <w:r w:rsidR="00726B11" w:rsidRPr="00B7677D">
        <w:t xml:space="preserve"> </w:t>
      </w:r>
      <w:r w:rsidRPr="00B7677D">
        <w:t xml:space="preserve">miljarder kronor, vilket är </w:t>
      </w:r>
      <w:r w:rsidRPr="00726B11">
        <w:t>en ökning med</w:t>
      </w:r>
      <w:r w:rsidRPr="00B7677D">
        <w:t xml:space="preserve"> </w:t>
      </w:r>
      <w:r w:rsidR="00726B11">
        <w:t>3,</w:t>
      </w:r>
      <w:r w:rsidR="00207CA3">
        <w:t>2</w:t>
      </w:r>
      <w:r w:rsidR="00726B11" w:rsidRPr="00B7677D">
        <w:t xml:space="preserve"> </w:t>
      </w:r>
      <w:r w:rsidRPr="00B7677D">
        <w:t xml:space="preserve">miljarder kronor i förhållande till föregående år. </w:t>
      </w:r>
      <w:r w:rsidRPr="00726B11">
        <w:t>Ökningen</w:t>
      </w:r>
      <w:r w:rsidRPr="0009641F">
        <w:t xml:space="preserve"> förklaras till över</w:t>
      </w:r>
      <w:r>
        <w:t>vägande del av att värdet på</w:t>
      </w:r>
      <w:r w:rsidRPr="0009641F">
        <w:t xml:space="preserve"> utelöpande sedlar och mynt minskade med </w:t>
      </w:r>
      <w:r w:rsidR="00EE55A1">
        <w:t>2,5</w:t>
      </w:r>
      <w:r w:rsidR="00EE55A1" w:rsidRPr="0009641F">
        <w:t xml:space="preserve"> </w:t>
      </w:r>
      <w:r w:rsidRPr="0009641F">
        <w:t>miljarder kronor</w:t>
      </w:r>
      <w:r>
        <w:t>.</w:t>
      </w:r>
      <w:r w:rsidRPr="0009641F">
        <w:t xml:space="preserve"> </w:t>
      </w:r>
      <w:r w:rsidRPr="009D0167">
        <w:t xml:space="preserve">Riksbankens räntekostnad för den totala inlåningen från </w:t>
      </w:r>
      <w:r>
        <w:t>banksystemet</w:t>
      </w:r>
      <w:r w:rsidRPr="009D0167">
        <w:t xml:space="preserve"> uppgick till </w:t>
      </w:r>
      <w:r w:rsidR="00EE55A1">
        <w:t>230</w:t>
      </w:r>
      <w:r w:rsidR="00EE55A1" w:rsidRPr="009D0167">
        <w:t xml:space="preserve"> </w:t>
      </w:r>
      <w:r w:rsidRPr="009D0167">
        <w:t>miljoner kronor i slutet av året (se tabell 5).</w:t>
      </w:r>
      <w:r w:rsidR="003B32C8" w:rsidRPr="003B32C8">
        <w:t xml:space="preserve"> </w:t>
      </w:r>
      <w:r w:rsidR="003B32C8">
        <w:t>Den genomsnittliga inlåningen via riksbankscertifikat och finjusterande transaktioner uppgick under året till 32,6 respektive 21,3 miljarder kronor.</w:t>
      </w:r>
    </w:p>
    <w:p w:rsidR="00F71A96" w:rsidRDefault="00F71A96" w:rsidP="00F71A96">
      <w:pPr>
        <w:pStyle w:val="Normaltindrag"/>
      </w:pPr>
      <w:r>
        <w:t xml:space="preserve">Under året påverkades Riksbankens innehav av värdepapper i svenska </w:t>
      </w:r>
      <w:r w:rsidRPr="00726B11">
        <w:t>kronor positivt av att marknadsräntorna på svenska statsobligationer föll. Vid</w:t>
      </w:r>
      <w:r w:rsidRPr="006C0266">
        <w:t xml:space="preserve"> årets slut var marknadsvärdet </w:t>
      </w:r>
      <w:r>
        <w:t>på</w:t>
      </w:r>
      <w:r w:rsidRPr="006C0266">
        <w:t xml:space="preserve"> </w:t>
      </w:r>
      <w:r>
        <w:t xml:space="preserve">Riksbankens innehav av sådana värdepapper </w:t>
      </w:r>
      <w:r w:rsidR="00726B11">
        <w:t>11,3</w:t>
      </w:r>
      <w:r w:rsidR="00726B11" w:rsidRPr="006C0266">
        <w:t xml:space="preserve"> </w:t>
      </w:r>
      <w:r w:rsidRPr="006C0266">
        <w:t xml:space="preserve">miljarder kronor och avkastningen uppgick till </w:t>
      </w:r>
      <w:r w:rsidR="00726B11">
        <w:t>883</w:t>
      </w:r>
      <w:r w:rsidR="00726B11" w:rsidRPr="006C0266">
        <w:t xml:space="preserve"> </w:t>
      </w:r>
      <w:r w:rsidRPr="006C0266">
        <w:t>miljon</w:t>
      </w:r>
      <w:r>
        <w:t>er kronor.</w:t>
      </w:r>
    </w:p>
    <w:p w:rsidR="00830196" w:rsidRDefault="00830196" w:rsidP="00830196">
      <w:pPr>
        <w:pStyle w:val="R3"/>
      </w:pPr>
      <w:r>
        <w:t>Förvaltning av guld- och valutareserven</w:t>
      </w:r>
    </w:p>
    <w:p w:rsidR="00830196" w:rsidRDefault="00830196" w:rsidP="00830196">
      <w:r w:rsidRPr="00B7677D">
        <w:t xml:space="preserve">Marknadsvärdet </w:t>
      </w:r>
      <w:r>
        <w:t>på</w:t>
      </w:r>
      <w:r w:rsidRPr="00B7677D">
        <w:t xml:space="preserve"> guld- och valutareserven </w:t>
      </w:r>
      <w:r>
        <w:t xml:space="preserve">(inklusive nettofordringar på IMF) </w:t>
      </w:r>
      <w:r w:rsidRPr="00B7677D">
        <w:t xml:space="preserve">var </w:t>
      </w:r>
      <w:r w:rsidR="00AD495D">
        <w:t>464,0</w:t>
      </w:r>
      <w:r w:rsidR="00AD495D" w:rsidRPr="00B7677D">
        <w:t xml:space="preserve"> </w:t>
      </w:r>
      <w:r w:rsidRPr="00B7677D">
        <w:t xml:space="preserve">miljarder kronor vid årets slut. Reserven bestod av tillgångar i utländsk valuta till ett värde </w:t>
      </w:r>
      <w:r w:rsidRPr="00D1421E">
        <w:t xml:space="preserve">av </w:t>
      </w:r>
      <w:r w:rsidR="00AD495D">
        <w:t>417,2</w:t>
      </w:r>
      <w:r w:rsidR="00AD495D" w:rsidRPr="00B7677D">
        <w:t xml:space="preserve"> </w:t>
      </w:r>
      <w:r w:rsidRPr="00B7677D">
        <w:t xml:space="preserve">miljarder kronor, guld till ett värde av </w:t>
      </w:r>
      <w:r w:rsidR="00AD495D">
        <w:t>37,5</w:t>
      </w:r>
      <w:r w:rsidR="00AD495D" w:rsidRPr="00B7677D">
        <w:t xml:space="preserve"> </w:t>
      </w:r>
      <w:r w:rsidRPr="00B7677D">
        <w:t xml:space="preserve">miljarder kronor och nettofordringar på IMF till ett värde av </w:t>
      </w:r>
      <w:r w:rsidR="00AD495D">
        <w:t>9,2</w:t>
      </w:r>
      <w:r w:rsidR="00AD495D" w:rsidRPr="00B7677D">
        <w:t xml:space="preserve"> </w:t>
      </w:r>
      <w:r w:rsidRPr="00B7677D">
        <w:t>milja</w:t>
      </w:r>
      <w:r w:rsidRPr="00B7677D">
        <w:t>r</w:t>
      </w:r>
      <w:r w:rsidRPr="00B7677D">
        <w:t>der kronor (se tabell 5).</w:t>
      </w:r>
    </w:p>
    <w:p w:rsidR="00830196" w:rsidRDefault="00830196" w:rsidP="00AE55C1">
      <w:pPr>
        <w:pStyle w:val="Normaltindrag"/>
      </w:pPr>
      <w:r w:rsidRPr="00F66BE8">
        <w:t xml:space="preserve">Avkastningen på valutareserven uppgick till </w:t>
      </w:r>
      <w:r w:rsidR="0018542E" w:rsidRPr="00F66BE8">
        <w:t xml:space="preserve">25,5 </w:t>
      </w:r>
      <w:r w:rsidRPr="00F66BE8">
        <w:t xml:space="preserve">miljarder kronor. Den positiva avkastningen beror huvudsakligen på att valutorna i valutareserven stärktes mot kronan med i genomsnitt </w:t>
      </w:r>
      <w:r w:rsidR="00F66BE8" w:rsidRPr="00F66BE8">
        <w:t xml:space="preserve">9,0 </w:t>
      </w:r>
      <w:r w:rsidRPr="00F66BE8">
        <w:t>procent under året. Den samlade</w:t>
      </w:r>
      <w:r w:rsidRPr="005A353B">
        <w:t xml:space="preserve"> valutakurseffekten uppgick till </w:t>
      </w:r>
      <w:r w:rsidR="0018542E">
        <w:t>16,7</w:t>
      </w:r>
      <w:r w:rsidR="0018542E" w:rsidRPr="005A353B">
        <w:t xml:space="preserve"> </w:t>
      </w:r>
      <w:r w:rsidRPr="005A353B">
        <w:t xml:space="preserve">miljarder kronor. Under året </w:t>
      </w:r>
      <w:r w:rsidRPr="00272B4F">
        <w:t xml:space="preserve">föll räntorna </w:t>
      </w:r>
      <w:r w:rsidRPr="00EA1B53">
        <w:t>på de</w:t>
      </w:r>
      <w:r w:rsidRPr="00272B4F">
        <w:t xml:space="preserve"> marknader d</w:t>
      </w:r>
      <w:r w:rsidRPr="005A353B">
        <w:t>är Riksbanken placerade sina tillgångar. A</w:t>
      </w:r>
      <w:r w:rsidRPr="005A353B">
        <w:t>v</w:t>
      </w:r>
      <w:r w:rsidRPr="005A353B">
        <w:t xml:space="preserve">kastningen exklusive valutakurseffekter uppgick därför till </w:t>
      </w:r>
      <w:r w:rsidR="0018542E">
        <w:t>8,9</w:t>
      </w:r>
      <w:r w:rsidR="0018542E" w:rsidRPr="005A353B">
        <w:t xml:space="preserve"> </w:t>
      </w:r>
      <w:r w:rsidRPr="005A353B">
        <w:t xml:space="preserve">miljarder kronor eller </w:t>
      </w:r>
      <w:r w:rsidR="00F967A4">
        <w:t>4,4</w:t>
      </w:r>
      <w:r w:rsidR="003F7735">
        <w:t> </w:t>
      </w:r>
      <w:r w:rsidRPr="005A353B">
        <w:t>procent.</w:t>
      </w:r>
    </w:p>
    <w:p w:rsidR="00F71A96" w:rsidRPr="004708A6" w:rsidRDefault="00F71A96" w:rsidP="00AE55C1">
      <w:pPr>
        <w:pStyle w:val="Diagramrubrik"/>
        <w:rPr>
          <w:b w:val="0"/>
        </w:rPr>
      </w:pPr>
      <w:r w:rsidRPr="00272B4F">
        <w:t xml:space="preserve">Tabell 5. Avkastning i Riksbankens tillgångsförvaltning 2014, </w:t>
      </w:r>
      <w:r w:rsidR="00DD608A">
        <w:br/>
      </w:r>
      <w:r w:rsidRPr="00272B4F">
        <w:t xml:space="preserve">miljoner kronor </w:t>
      </w:r>
    </w:p>
    <w:tbl>
      <w:tblPr>
        <w:tblW w:w="5933" w:type="dxa"/>
        <w:tblInd w:w="108" w:type="dxa"/>
        <w:tblLayout w:type="fixed"/>
        <w:tblLook w:val="01E0" w:firstRow="1" w:lastRow="1" w:firstColumn="1" w:lastColumn="1" w:noHBand="0" w:noVBand="0"/>
      </w:tblPr>
      <w:tblGrid>
        <w:gridCol w:w="1985"/>
        <w:gridCol w:w="976"/>
        <w:gridCol w:w="977"/>
        <w:gridCol w:w="975"/>
        <w:gridCol w:w="1020"/>
      </w:tblGrid>
      <w:tr w:rsidR="00F71A96" w:rsidRPr="00E94478" w:rsidTr="00F71A96">
        <w:trPr>
          <w:trHeight w:val="312"/>
        </w:trPr>
        <w:tc>
          <w:tcPr>
            <w:tcW w:w="1985" w:type="dxa"/>
            <w:tcBorders>
              <w:top w:val="single" w:sz="4" w:space="0" w:color="auto"/>
            </w:tcBorders>
            <w:shd w:val="clear" w:color="auto" w:fill="auto"/>
          </w:tcPr>
          <w:p w:rsidR="00F71A96" w:rsidRPr="00E94478" w:rsidRDefault="00F71A96" w:rsidP="00F71A96">
            <w:pPr>
              <w:jc w:val="center"/>
              <w:rPr>
                <w:highlight w:val="yellow"/>
              </w:rPr>
            </w:pPr>
          </w:p>
        </w:tc>
        <w:tc>
          <w:tcPr>
            <w:tcW w:w="976" w:type="dxa"/>
            <w:tcBorders>
              <w:top w:val="single" w:sz="4" w:space="0" w:color="auto"/>
            </w:tcBorders>
            <w:shd w:val="clear" w:color="auto" w:fill="auto"/>
            <w:vAlign w:val="bottom"/>
          </w:tcPr>
          <w:p w:rsidR="00F71A96" w:rsidRDefault="00F71A96" w:rsidP="00F71A96">
            <w:pPr>
              <w:spacing w:before="0" w:line="200" w:lineRule="exact"/>
              <w:jc w:val="center"/>
              <w:rPr>
                <w:b/>
                <w:sz w:val="16"/>
                <w:szCs w:val="16"/>
              </w:rPr>
            </w:pPr>
          </w:p>
          <w:p w:rsidR="00F71A96" w:rsidRPr="00714556" w:rsidRDefault="00F71A96" w:rsidP="00F71A96">
            <w:pPr>
              <w:spacing w:before="0" w:line="200" w:lineRule="exact"/>
              <w:jc w:val="center"/>
              <w:rPr>
                <w:b/>
                <w:sz w:val="16"/>
                <w:szCs w:val="16"/>
              </w:rPr>
            </w:pPr>
            <w:r w:rsidRPr="004954CC">
              <w:rPr>
                <w:b/>
                <w:sz w:val="16"/>
                <w:szCs w:val="16"/>
              </w:rPr>
              <w:t>Til</w:t>
            </w:r>
            <w:r w:rsidRPr="00714556">
              <w:rPr>
                <w:b/>
                <w:sz w:val="16"/>
                <w:szCs w:val="16"/>
              </w:rPr>
              <w:t>lgångar</w:t>
            </w:r>
          </w:p>
        </w:tc>
        <w:tc>
          <w:tcPr>
            <w:tcW w:w="977" w:type="dxa"/>
            <w:tcBorders>
              <w:top w:val="single" w:sz="4" w:space="0" w:color="auto"/>
            </w:tcBorders>
            <w:shd w:val="clear" w:color="auto" w:fill="auto"/>
            <w:vAlign w:val="bottom"/>
          </w:tcPr>
          <w:p w:rsidR="00F71A96" w:rsidRDefault="00F71A96" w:rsidP="00F71A96">
            <w:pPr>
              <w:spacing w:before="0" w:line="200" w:lineRule="exact"/>
              <w:jc w:val="center"/>
              <w:rPr>
                <w:b/>
                <w:sz w:val="16"/>
                <w:szCs w:val="16"/>
              </w:rPr>
            </w:pPr>
          </w:p>
          <w:p w:rsidR="00F71A96" w:rsidRPr="00912AD7" w:rsidRDefault="00F71A96" w:rsidP="00F71A96">
            <w:pPr>
              <w:spacing w:before="0" w:line="200" w:lineRule="exact"/>
              <w:jc w:val="center"/>
              <w:rPr>
                <w:b/>
                <w:sz w:val="16"/>
                <w:szCs w:val="16"/>
              </w:rPr>
            </w:pPr>
            <w:r w:rsidRPr="00912AD7">
              <w:rPr>
                <w:b/>
                <w:sz w:val="16"/>
                <w:szCs w:val="16"/>
              </w:rPr>
              <w:t>Skulder</w:t>
            </w:r>
          </w:p>
        </w:tc>
        <w:tc>
          <w:tcPr>
            <w:tcW w:w="975" w:type="dxa"/>
            <w:tcBorders>
              <w:top w:val="single" w:sz="4" w:space="0" w:color="auto"/>
            </w:tcBorders>
            <w:shd w:val="clear" w:color="auto" w:fill="auto"/>
            <w:vAlign w:val="bottom"/>
          </w:tcPr>
          <w:p w:rsidR="00F71A96" w:rsidRDefault="00F71A96" w:rsidP="00F71A96">
            <w:pPr>
              <w:spacing w:before="0" w:line="200" w:lineRule="exact"/>
              <w:ind w:right="-51"/>
              <w:jc w:val="center"/>
              <w:rPr>
                <w:b/>
                <w:sz w:val="16"/>
                <w:szCs w:val="16"/>
              </w:rPr>
            </w:pPr>
          </w:p>
          <w:p w:rsidR="00F71A96" w:rsidRPr="00912AD7" w:rsidRDefault="00F71A96" w:rsidP="00F71A96">
            <w:pPr>
              <w:spacing w:before="0" w:line="200" w:lineRule="exact"/>
              <w:ind w:right="-51"/>
              <w:jc w:val="center"/>
              <w:rPr>
                <w:b/>
                <w:sz w:val="16"/>
                <w:szCs w:val="16"/>
              </w:rPr>
            </w:pPr>
            <w:r w:rsidRPr="00912AD7">
              <w:rPr>
                <w:b/>
                <w:sz w:val="16"/>
                <w:szCs w:val="16"/>
              </w:rPr>
              <w:t>Avkastning</w:t>
            </w:r>
          </w:p>
        </w:tc>
        <w:tc>
          <w:tcPr>
            <w:tcW w:w="1020" w:type="dxa"/>
            <w:tcBorders>
              <w:top w:val="single" w:sz="4" w:space="0" w:color="auto"/>
            </w:tcBorders>
            <w:vAlign w:val="center"/>
          </w:tcPr>
          <w:p w:rsidR="00F71A96" w:rsidRPr="00912AD7" w:rsidRDefault="00F71A96" w:rsidP="00F71A96">
            <w:pPr>
              <w:spacing w:before="0" w:line="200" w:lineRule="exact"/>
              <w:ind w:right="-51"/>
              <w:jc w:val="right"/>
              <w:rPr>
                <w:b/>
                <w:sz w:val="16"/>
                <w:szCs w:val="16"/>
              </w:rPr>
            </w:pPr>
            <w:r w:rsidRPr="00912AD7">
              <w:rPr>
                <w:b/>
                <w:sz w:val="16"/>
                <w:szCs w:val="16"/>
              </w:rPr>
              <w:t>Avkastning</w:t>
            </w:r>
            <w:r>
              <w:rPr>
                <w:b/>
                <w:sz w:val="16"/>
                <w:szCs w:val="16"/>
              </w:rPr>
              <w:t xml:space="preserve"> </w:t>
            </w:r>
            <w:r>
              <w:rPr>
                <w:b/>
                <w:sz w:val="16"/>
                <w:szCs w:val="16"/>
              </w:rPr>
              <w:br/>
              <w:t>exkl. valuta</w:t>
            </w:r>
            <w:r>
              <w:rPr>
                <w:b/>
                <w:sz w:val="16"/>
                <w:szCs w:val="16"/>
              </w:rPr>
              <w:softHyphen/>
              <w:t>kurseffekter</w:t>
            </w:r>
          </w:p>
        </w:tc>
      </w:tr>
      <w:tr w:rsidR="00F71A96" w:rsidRPr="00E94478" w:rsidTr="00F71A96">
        <w:tc>
          <w:tcPr>
            <w:tcW w:w="1985" w:type="dxa"/>
            <w:tcBorders>
              <w:top w:val="single" w:sz="4" w:space="0" w:color="auto"/>
            </w:tcBorders>
            <w:shd w:val="clear" w:color="auto" w:fill="auto"/>
          </w:tcPr>
          <w:p w:rsidR="00F71A96" w:rsidRPr="009E2974" w:rsidRDefault="00F71A96" w:rsidP="00F71A96">
            <w:pPr>
              <w:spacing w:before="60" w:line="200" w:lineRule="exact"/>
              <w:jc w:val="left"/>
              <w:rPr>
                <w:sz w:val="16"/>
                <w:szCs w:val="16"/>
              </w:rPr>
            </w:pPr>
            <w:r w:rsidRPr="009E2974">
              <w:rPr>
                <w:sz w:val="16"/>
                <w:szCs w:val="16"/>
              </w:rPr>
              <w:t>Guld- och valutareserv inkl. IMF</w:t>
            </w:r>
          </w:p>
        </w:tc>
        <w:tc>
          <w:tcPr>
            <w:tcW w:w="976" w:type="dxa"/>
            <w:tcBorders>
              <w:top w:val="single" w:sz="4" w:space="0" w:color="auto"/>
            </w:tcBorders>
            <w:shd w:val="clear" w:color="auto" w:fill="auto"/>
          </w:tcPr>
          <w:p w:rsidR="00F71A96" w:rsidRPr="00404AF7" w:rsidRDefault="00F71A96" w:rsidP="00F71A96">
            <w:pPr>
              <w:spacing w:before="60" w:line="240" w:lineRule="auto"/>
              <w:jc w:val="right"/>
              <w:rPr>
                <w:sz w:val="16"/>
                <w:szCs w:val="16"/>
              </w:rPr>
            </w:pPr>
          </w:p>
          <w:p w:rsidR="00F71A96" w:rsidRPr="00404AF7" w:rsidRDefault="00272B4F" w:rsidP="00F71A96">
            <w:pPr>
              <w:spacing w:before="60" w:line="240" w:lineRule="auto"/>
              <w:jc w:val="right"/>
              <w:rPr>
                <w:sz w:val="16"/>
                <w:szCs w:val="16"/>
              </w:rPr>
            </w:pPr>
            <w:r w:rsidRPr="00404AF7">
              <w:rPr>
                <w:sz w:val="16"/>
                <w:szCs w:val="16"/>
              </w:rPr>
              <w:t>489 460</w:t>
            </w:r>
          </w:p>
        </w:tc>
        <w:tc>
          <w:tcPr>
            <w:tcW w:w="977" w:type="dxa"/>
            <w:tcBorders>
              <w:top w:val="single" w:sz="4" w:space="0" w:color="auto"/>
            </w:tcBorders>
            <w:shd w:val="clear" w:color="auto" w:fill="auto"/>
          </w:tcPr>
          <w:p w:rsidR="00F71A96" w:rsidRPr="00404AF7" w:rsidRDefault="00F71A96" w:rsidP="00F71A96">
            <w:pPr>
              <w:spacing w:before="60" w:line="240" w:lineRule="auto"/>
              <w:jc w:val="right"/>
              <w:rPr>
                <w:sz w:val="16"/>
                <w:szCs w:val="16"/>
              </w:rPr>
            </w:pPr>
          </w:p>
          <w:p w:rsidR="00F71A96" w:rsidRPr="00404AF7" w:rsidRDefault="00272B4F" w:rsidP="00F71A96">
            <w:pPr>
              <w:spacing w:before="60" w:line="240" w:lineRule="auto"/>
              <w:jc w:val="right"/>
              <w:rPr>
                <w:sz w:val="16"/>
                <w:szCs w:val="16"/>
              </w:rPr>
            </w:pPr>
            <w:r w:rsidRPr="00404AF7">
              <w:rPr>
                <w:sz w:val="16"/>
                <w:szCs w:val="16"/>
              </w:rPr>
              <w:t>254 817</w:t>
            </w:r>
          </w:p>
        </w:tc>
        <w:tc>
          <w:tcPr>
            <w:tcW w:w="975" w:type="dxa"/>
            <w:tcBorders>
              <w:top w:val="single" w:sz="4" w:space="0" w:color="auto"/>
            </w:tcBorders>
            <w:shd w:val="clear" w:color="auto" w:fill="auto"/>
          </w:tcPr>
          <w:p w:rsidR="00F71A96" w:rsidRPr="00404AF7" w:rsidRDefault="00F71A96" w:rsidP="00F71A96">
            <w:pPr>
              <w:spacing w:before="60" w:line="240" w:lineRule="auto"/>
              <w:jc w:val="right"/>
              <w:rPr>
                <w:sz w:val="16"/>
                <w:szCs w:val="16"/>
              </w:rPr>
            </w:pPr>
          </w:p>
          <w:p w:rsidR="00F71A96" w:rsidRPr="00404AF7" w:rsidRDefault="00272B4F" w:rsidP="00F71A96">
            <w:pPr>
              <w:spacing w:before="60" w:line="240" w:lineRule="auto"/>
              <w:jc w:val="right"/>
              <w:rPr>
                <w:sz w:val="16"/>
                <w:szCs w:val="16"/>
              </w:rPr>
            </w:pPr>
            <w:r w:rsidRPr="00404AF7">
              <w:rPr>
                <w:sz w:val="16"/>
                <w:szCs w:val="16"/>
              </w:rPr>
              <w:t>33 247</w:t>
            </w:r>
          </w:p>
        </w:tc>
        <w:tc>
          <w:tcPr>
            <w:tcW w:w="1020" w:type="dxa"/>
            <w:tcBorders>
              <w:top w:val="single" w:sz="4" w:space="0" w:color="auto"/>
            </w:tcBorders>
          </w:tcPr>
          <w:p w:rsidR="00F71A96" w:rsidRPr="00404AF7" w:rsidRDefault="00F71A96" w:rsidP="00F71A96">
            <w:pPr>
              <w:spacing w:before="60" w:line="240" w:lineRule="auto"/>
              <w:jc w:val="right"/>
              <w:rPr>
                <w:sz w:val="16"/>
                <w:szCs w:val="16"/>
              </w:rPr>
            </w:pPr>
          </w:p>
          <w:p w:rsidR="00F71A96" w:rsidRPr="00404AF7" w:rsidRDefault="00272B4F" w:rsidP="00F71A96">
            <w:pPr>
              <w:spacing w:before="60" w:line="240" w:lineRule="auto"/>
              <w:jc w:val="right"/>
              <w:rPr>
                <w:sz w:val="16"/>
                <w:szCs w:val="16"/>
              </w:rPr>
            </w:pPr>
            <w:r w:rsidRPr="00404AF7">
              <w:rPr>
                <w:sz w:val="16"/>
                <w:szCs w:val="16"/>
              </w:rPr>
              <w:t>8 858</w:t>
            </w:r>
          </w:p>
        </w:tc>
      </w:tr>
      <w:tr w:rsidR="00F71A96" w:rsidRPr="00E94478" w:rsidTr="00F71A96">
        <w:tc>
          <w:tcPr>
            <w:tcW w:w="1985" w:type="dxa"/>
            <w:shd w:val="clear" w:color="auto" w:fill="auto"/>
          </w:tcPr>
          <w:p w:rsidR="00F71A96" w:rsidRPr="009E2974" w:rsidRDefault="00F71A96" w:rsidP="00F71A96">
            <w:pPr>
              <w:spacing w:before="60" w:line="200" w:lineRule="exact"/>
              <w:ind w:left="95"/>
              <w:rPr>
                <w:sz w:val="16"/>
                <w:szCs w:val="16"/>
              </w:rPr>
            </w:pPr>
            <w:r w:rsidRPr="009E2974">
              <w:rPr>
                <w:sz w:val="16"/>
                <w:szCs w:val="16"/>
              </w:rPr>
              <w:t>Guldreserv</w:t>
            </w:r>
          </w:p>
        </w:tc>
        <w:tc>
          <w:tcPr>
            <w:tcW w:w="976"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37 529</w:t>
            </w:r>
          </w:p>
        </w:tc>
        <w:tc>
          <w:tcPr>
            <w:tcW w:w="977" w:type="dxa"/>
            <w:shd w:val="clear" w:color="auto" w:fill="auto"/>
          </w:tcPr>
          <w:p w:rsidR="00F71A96" w:rsidRPr="00404AF7" w:rsidRDefault="00F71A96" w:rsidP="00F71A96">
            <w:pPr>
              <w:spacing w:before="60" w:line="200" w:lineRule="exact"/>
              <w:jc w:val="right"/>
              <w:rPr>
                <w:sz w:val="16"/>
                <w:szCs w:val="16"/>
              </w:rPr>
            </w:pPr>
            <w:r w:rsidRPr="00404AF7">
              <w:rPr>
                <w:sz w:val="16"/>
                <w:szCs w:val="16"/>
              </w:rPr>
              <w:t>–</w:t>
            </w:r>
          </w:p>
        </w:tc>
        <w:tc>
          <w:tcPr>
            <w:tcW w:w="975"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6 104</w:t>
            </w:r>
          </w:p>
        </w:tc>
        <w:tc>
          <w:tcPr>
            <w:tcW w:w="1020" w:type="dxa"/>
          </w:tcPr>
          <w:p w:rsidR="00F71A96" w:rsidRPr="00404AF7" w:rsidRDefault="00F71A96" w:rsidP="00F71A96">
            <w:pPr>
              <w:spacing w:before="60" w:line="200" w:lineRule="exact"/>
              <w:jc w:val="right"/>
              <w:rPr>
                <w:sz w:val="16"/>
                <w:szCs w:val="16"/>
              </w:rPr>
            </w:pPr>
            <w:r w:rsidRPr="00404AF7">
              <w:rPr>
                <w:sz w:val="16"/>
                <w:szCs w:val="16"/>
              </w:rPr>
              <w:t>–</w:t>
            </w:r>
          </w:p>
        </w:tc>
      </w:tr>
      <w:tr w:rsidR="00F71A96" w:rsidRPr="00E94478" w:rsidTr="00F71A96">
        <w:tc>
          <w:tcPr>
            <w:tcW w:w="1985" w:type="dxa"/>
            <w:shd w:val="clear" w:color="auto" w:fill="auto"/>
          </w:tcPr>
          <w:p w:rsidR="00F71A96" w:rsidRPr="009E2974" w:rsidRDefault="00F71A96" w:rsidP="00F71A96">
            <w:pPr>
              <w:spacing w:before="60" w:line="200" w:lineRule="exact"/>
              <w:ind w:left="95"/>
              <w:rPr>
                <w:sz w:val="16"/>
                <w:szCs w:val="16"/>
              </w:rPr>
            </w:pPr>
            <w:r w:rsidRPr="009E2974">
              <w:rPr>
                <w:sz w:val="16"/>
                <w:szCs w:val="16"/>
              </w:rPr>
              <w:t>Valutareserv</w:t>
            </w:r>
          </w:p>
        </w:tc>
        <w:tc>
          <w:tcPr>
            <w:tcW w:w="976"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417 244</w:t>
            </w:r>
          </w:p>
        </w:tc>
        <w:tc>
          <w:tcPr>
            <w:tcW w:w="977"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229 311</w:t>
            </w:r>
          </w:p>
        </w:tc>
        <w:tc>
          <w:tcPr>
            <w:tcW w:w="975"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25 536</w:t>
            </w:r>
          </w:p>
        </w:tc>
        <w:tc>
          <w:tcPr>
            <w:tcW w:w="1020" w:type="dxa"/>
          </w:tcPr>
          <w:p w:rsidR="00F71A96" w:rsidRPr="00404AF7" w:rsidRDefault="00272B4F" w:rsidP="00F71A96">
            <w:pPr>
              <w:spacing w:before="60" w:line="200" w:lineRule="exact"/>
              <w:jc w:val="right"/>
              <w:rPr>
                <w:sz w:val="16"/>
                <w:szCs w:val="16"/>
              </w:rPr>
            </w:pPr>
            <w:r w:rsidRPr="00404AF7">
              <w:rPr>
                <w:sz w:val="16"/>
                <w:szCs w:val="16"/>
              </w:rPr>
              <w:t>8 850</w:t>
            </w:r>
          </w:p>
        </w:tc>
      </w:tr>
      <w:tr w:rsidR="00F71A96" w:rsidRPr="00E94478" w:rsidTr="00F71A96">
        <w:tc>
          <w:tcPr>
            <w:tcW w:w="1985" w:type="dxa"/>
            <w:shd w:val="clear" w:color="auto" w:fill="auto"/>
          </w:tcPr>
          <w:p w:rsidR="00F71A96" w:rsidRPr="009E2974" w:rsidRDefault="00F71A96" w:rsidP="00F71A96">
            <w:pPr>
              <w:spacing w:before="60" w:line="200" w:lineRule="exact"/>
              <w:ind w:left="95"/>
              <w:rPr>
                <w:sz w:val="16"/>
                <w:szCs w:val="16"/>
              </w:rPr>
            </w:pPr>
            <w:r w:rsidRPr="009E2974">
              <w:rPr>
                <w:sz w:val="16"/>
                <w:szCs w:val="16"/>
              </w:rPr>
              <w:t>IMF</w:t>
            </w:r>
          </w:p>
        </w:tc>
        <w:tc>
          <w:tcPr>
            <w:tcW w:w="976"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34 687</w:t>
            </w:r>
          </w:p>
        </w:tc>
        <w:tc>
          <w:tcPr>
            <w:tcW w:w="977"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25 506</w:t>
            </w:r>
          </w:p>
        </w:tc>
        <w:tc>
          <w:tcPr>
            <w:tcW w:w="975"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1 607</w:t>
            </w:r>
          </w:p>
        </w:tc>
        <w:tc>
          <w:tcPr>
            <w:tcW w:w="1020" w:type="dxa"/>
          </w:tcPr>
          <w:p w:rsidR="00F71A96" w:rsidRPr="00404AF7" w:rsidRDefault="00F71A96" w:rsidP="00F71A96">
            <w:pPr>
              <w:spacing w:before="60" w:line="200" w:lineRule="exact"/>
              <w:jc w:val="right"/>
              <w:rPr>
                <w:sz w:val="16"/>
                <w:szCs w:val="16"/>
              </w:rPr>
            </w:pPr>
            <w:r w:rsidRPr="00404AF7">
              <w:rPr>
                <w:sz w:val="16"/>
                <w:szCs w:val="16"/>
              </w:rPr>
              <w:t>8</w:t>
            </w:r>
          </w:p>
        </w:tc>
      </w:tr>
      <w:tr w:rsidR="00F71A96" w:rsidRPr="00E94478" w:rsidTr="00F71A96">
        <w:tc>
          <w:tcPr>
            <w:tcW w:w="1985" w:type="dxa"/>
            <w:shd w:val="clear" w:color="auto" w:fill="auto"/>
          </w:tcPr>
          <w:p w:rsidR="00F71A96" w:rsidRPr="009E2974" w:rsidRDefault="00F71A96" w:rsidP="00F71A96">
            <w:pPr>
              <w:spacing w:before="60" w:line="200" w:lineRule="exact"/>
              <w:rPr>
                <w:sz w:val="16"/>
                <w:szCs w:val="16"/>
              </w:rPr>
            </w:pPr>
            <w:r>
              <w:rPr>
                <w:sz w:val="16"/>
                <w:szCs w:val="16"/>
              </w:rPr>
              <w:t>Derivatinstrument</w:t>
            </w:r>
          </w:p>
        </w:tc>
        <w:tc>
          <w:tcPr>
            <w:tcW w:w="976"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61</w:t>
            </w:r>
          </w:p>
        </w:tc>
        <w:tc>
          <w:tcPr>
            <w:tcW w:w="977"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2 905</w:t>
            </w:r>
          </w:p>
        </w:tc>
        <w:tc>
          <w:tcPr>
            <w:tcW w:w="975" w:type="dxa"/>
            <w:shd w:val="clear" w:color="auto" w:fill="auto"/>
          </w:tcPr>
          <w:p w:rsidR="00F71A96" w:rsidRPr="00404AF7" w:rsidRDefault="00F71A96" w:rsidP="00272B4F">
            <w:pPr>
              <w:spacing w:before="60" w:line="200" w:lineRule="exact"/>
              <w:jc w:val="right"/>
              <w:rPr>
                <w:sz w:val="16"/>
                <w:szCs w:val="16"/>
              </w:rPr>
            </w:pPr>
            <w:r w:rsidRPr="00404AF7">
              <w:rPr>
                <w:sz w:val="16"/>
                <w:szCs w:val="16"/>
              </w:rPr>
              <w:t>–</w:t>
            </w:r>
            <w:r w:rsidR="00272B4F" w:rsidRPr="00404AF7">
              <w:rPr>
                <w:sz w:val="16"/>
                <w:szCs w:val="16"/>
              </w:rPr>
              <w:t>2 405</w:t>
            </w:r>
          </w:p>
        </w:tc>
        <w:tc>
          <w:tcPr>
            <w:tcW w:w="1020" w:type="dxa"/>
          </w:tcPr>
          <w:p w:rsidR="00F71A96" w:rsidRPr="00404AF7" w:rsidRDefault="00272B4F" w:rsidP="00F71A96">
            <w:pPr>
              <w:spacing w:before="60" w:line="200" w:lineRule="exact"/>
              <w:jc w:val="right"/>
              <w:rPr>
                <w:sz w:val="16"/>
                <w:szCs w:val="16"/>
              </w:rPr>
            </w:pPr>
            <w:r w:rsidRPr="00404AF7">
              <w:rPr>
                <w:sz w:val="16"/>
                <w:szCs w:val="16"/>
              </w:rPr>
              <w:t>302</w:t>
            </w:r>
          </w:p>
        </w:tc>
      </w:tr>
      <w:tr w:rsidR="00F71A96" w:rsidRPr="00E94478" w:rsidTr="00F71A96">
        <w:tc>
          <w:tcPr>
            <w:tcW w:w="1985" w:type="dxa"/>
            <w:shd w:val="clear" w:color="auto" w:fill="auto"/>
          </w:tcPr>
          <w:p w:rsidR="00F71A96" w:rsidRPr="00A6587D" w:rsidRDefault="00F71A96" w:rsidP="00F71A96">
            <w:pPr>
              <w:spacing w:before="60" w:line="200" w:lineRule="exact"/>
              <w:ind w:right="-109"/>
              <w:jc w:val="left"/>
              <w:rPr>
                <w:sz w:val="16"/>
                <w:szCs w:val="16"/>
              </w:rPr>
            </w:pPr>
            <w:r w:rsidRPr="00A6587D">
              <w:rPr>
                <w:sz w:val="16"/>
                <w:szCs w:val="16"/>
              </w:rPr>
              <w:t xml:space="preserve">Penningpolitiska </w:t>
            </w:r>
            <w:r>
              <w:rPr>
                <w:sz w:val="16"/>
                <w:szCs w:val="16"/>
              </w:rPr>
              <w:t>trans-aktioner</w:t>
            </w:r>
          </w:p>
        </w:tc>
        <w:tc>
          <w:tcPr>
            <w:tcW w:w="976" w:type="dxa"/>
            <w:shd w:val="clear" w:color="auto" w:fill="auto"/>
          </w:tcPr>
          <w:p w:rsidR="00F71A96" w:rsidRPr="00404AF7" w:rsidRDefault="00814A72" w:rsidP="00F71A96">
            <w:pPr>
              <w:spacing w:before="60" w:line="200" w:lineRule="exact"/>
              <w:jc w:val="right"/>
              <w:rPr>
                <w:sz w:val="16"/>
                <w:szCs w:val="16"/>
              </w:rPr>
            </w:pPr>
            <w:r>
              <w:rPr>
                <w:sz w:val="16"/>
                <w:szCs w:val="16"/>
              </w:rPr>
              <w:t>33</w:t>
            </w:r>
          </w:p>
        </w:tc>
        <w:tc>
          <w:tcPr>
            <w:tcW w:w="977"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 xml:space="preserve">49 </w:t>
            </w:r>
            <w:r w:rsidR="00814A72">
              <w:rPr>
                <w:sz w:val="16"/>
                <w:szCs w:val="16"/>
              </w:rPr>
              <w:t>807</w:t>
            </w:r>
          </w:p>
        </w:tc>
        <w:tc>
          <w:tcPr>
            <w:tcW w:w="975" w:type="dxa"/>
            <w:shd w:val="clear" w:color="auto" w:fill="auto"/>
          </w:tcPr>
          <w:p w:rsidR="00F71A96" w:rsidRPr="00404AF7" w:rsidRDefault="00F71A96" w:rsidP="00272B4F">
            <w:pPr>
              <w:spacing w:before="60" w:line="200" w:lineRule="exact"/>
              <w:jc w:val="right"/>
              <w:rPr>
                <w:sz w:val="16"/>
                <w:szCs w:val="16"/>
              </w:rPr>
            </w:pPr>
            <w:r w:rsidRPr="00404AF7">
              <w:rPr>
                <w:sz w:val="16"/>
                <w:szCs w:val="16"/>
              </w:rPr>
              <w:t>–</w:t>
            </w:r>
            <w:r w:rsidR="00272B4F" w:rsidRPr="00404AF7">
              <w:rPr>
                <w:sz w:val="16"/>
                <w:szCs w:val="16"/>
              </w:rPr>
              <w:t>230</w:t>
            </w:r>
          </w:p>
        </w:tc>
        <w:tc>
          <w:tcPr>
            <w:tcW w:w="1020" w:type="dxa"/>
            <w:shd w:val="clear" w:color="auto" w:fill="auto"/>
          </w:tcPr>
          <w:p w:rsidR="00F71A96" w:rsidRPr="00404AF7" w:rsidRDefault="00F71A96" w:rsidP="00272B4F">
            <w:pPr>
              <w:spacing w:before="60" w:line="200" w:lineRule="exact"/>
              <w:jc w:val="right"/>
              <w:rPr>
                <w:sz w:val="16"/>
                <w:szCs w:val="16"/>
              </w:rPr>
            </w:pPr>
            <w:r w:rsidRPr="00404AF7">
              <w:rPr>
                <w:sz w:val="16"/>
                <w:szCs w:val="16"/>
              </w:rPr>
              <w:t>–</w:t>
            </w:r>
            <w:r w:rsidR="00272B4F" w:rsidRPr="00404AF7">
              <w:rPr>
                <w:sz w:val="16"/>
                <w:szCs w:val="16"/>
              </w:rPr>
              <w:t>230</w:t>
            </w:r>
          </w:p>
        </w:tc>
      </w:tr>
      <w:tr w:rsidR="00814A72" w:rsidRPr="00E94478" w:rsidTr="00F71A96">
        <w:tc>
          <w:tcPr>
            <w:tcW w:w="1985" w:type="dxa"/>
            <w:shd w:val="clear" w:color="auto" w:fill="auto"/>
          </w:tcPr>
          <w:p w:rsidR="00814A72" w:rsidRPr="00A6587D" w:rsidRDefault="00814A72" w:rsidP="00F71A96">
            <w:pPr>
              <w:spacing w:before="60" w:line="200" w:lineRule="exact"/>
              <w:ind w:left="96"/>
              <w:rPr>
                <w:sz w:val="16"/>
                <w:szCs w:val="16"/>
              </w:rPr>
            </w:pPr>
            <w:r>
              <w:rPr>
                <w:sz w:val="16"/>
                <w:szCs w:val="16"/>
              </w:rPr>
              <w:t>Stående faciliteter</w:t>
            </w:r>
          </w:p>
        </w:tc>
        <w:tc>
          <w:tcPr>
            <w:tcW w:w="976" w:type="dxa"/>
            <w:shd w:val="clear" w:color="auto" w:fill="auto"/>
          </w:tcPr>
          <w:p w:rsidR="00814A72" w:rsidRPr="00404AF7" w:rsidRDefault="00814A72" w:rsidP="00F71A96">
            <w:pPr>
              <w:spacing w:before="60" w:line="200" w:lineRule="exact"/>
              <w:jc w:val="right"/>
              <w:rPr>
                <w:sz w:val="16"/>
                <w:szCs w:val="16"/>
              </w:rPr>
            </w:pPr>
            <w:r>
              <w:rPr>
                <w:sz w:val="16"/>
                <w:szCs w:val="16"/>
              </w:rPr>
              <w:t>33</w:t>
            </w:r>
          </w:p>
        </w:tc>
        <w:tc>
          <w:tcPr>
            <w:tcW w:w="977" w:type="dxa"/>
            <w:shd w:val="clear" w:color="auto" w:fill="auto"/>
          </w:tcPr>
          <w:p w:rsidR="00814A72" w:rsidRPr="00404AF7" w:rsidRDefault="00814A72" w:rsidP="00F71A96">
            <w:pPr>
              <w:spacing w:before="60" w:line="200" w:lineRule="exact"/>
              <w:jc w:val="right"/>
              <w:rPr>
                <w:sz w:val="16"/>
                <w:szCs w:val="16"/>
              </w:rPr>
            </w:pPr>
            <w:r>
              <w:rPr>
                <w:sz w:val="16"/>
                <w:szCs w:val="16"/>
              </w:rPr>
              <w:t>130</w:t>
            </w:r>
          </w:p>
        </w:tc>
        <w:tc>
          <w:tcPr>
            <w:tcW w:w="975" w:type="dxa"/>
            <w:shd w:val="clear" w:color="auto" w:fill="auto"/>
          </w:tcPr>
          <w:p w:rsidR="00814A72" w:rsidRPr="00404AF7" w:rsidRDefault="00814A72" w:rsidP="00272B4F">
            <w:pPr>
              <w:spacing w:before="60" w:line="200" w:lineRule="exact"/>
              <w:jc w:val="right"/>
              <w:rPr>
                <w:sz w:val="16"/>
                <w:szCs w:val="16"/>
              </w:rPr>
            </w:pPr>
            <w:r>
              <w:rPr>
                <w:sz w:val="16"/>
                <w:szCs w:val="16"/>
              </w:rPr>
              <w:t>2</w:t>
            </w:r>
          </w:p>
        </w:tc>
        <w:tc>
          <w:tcPr>
            <w:tcW w:w="1020" w:type="dxa"/>
          </w:tcPr>
          <w:p w:rsidR="00814A72" w:rsidRPr="00404AF7" w:rsidRDefault="00814A72" w:rsidP="00272B4F">
            <w:pPr>
              <w:spacing w:before="60" w:line="200" w:lineRule="exact"/>
              <w:jc w:val="right"/>
              <w:rPr>
                <w:sz w:val="16"/>
                <w:szCs w:val="16"/>
              </w:rPr>
            </w:pPr>
            <w:r>
              <w:rPr>
                <w:sz w:val="16"/>
                <w:szCs w:val="16"/>
              </w:rPr>
              <w:t>2</w:t>
            </w:r>
          </w:p>
        </w:tc>
      </w:tr>
      <w:tr w:rsidR="00F71A96" w:rsidRPr="00E94478" w:rsidTr="00F71A96">
        <w:tc>
          <w:tcPr>
            <w:tcW w:w="1985" w:type="dxa"/>
            <w:shd w:val="clear" w:color="auto" w:fill="auto"/>
          </w:tcPr>
          <w:p w:rsidR="00F71A96" w:rsidRPr="00A6587D" w:rsidRDefault="00F71A96" w:rsidP="00F71A96">
            <w:pPr>
              <w:spacing w:before="60" w:line="200" w:lineRule="exact"/>
              <w:ind w:left="96"/>
              <w:rPr>
                <w:sz w:val="16"/>
                <w:szCs w:val="16"/>
              </w:rPr>
            </w:pPr>
            <w:r w:rsidRPr="00A6587D">
              <w:rPr>
                <w:sz w:val="16"/>
                <w:szCs w:val="16"/>
              </w:rPr>
              <w:t>Finjusteringar</w:t>
            </w:r>
          </w:p>
        </w:tc>
        <w:tc>
          <w:tcPr>
            <w:tcW w:w="976" w:type="dxa"/>
            <w:shd w:val="clear" w:color="auto" w:fill="auto"/>
          </w:tcPr>
          <w:p w:rsidR="00F71A96" w:rsidRPr="00404AF7" w:rsidRDefault="00F71A96" w:rsidP="00F71A96">
            <w:pPr>
              <w:spacing w:before="60" w:line="200" w:lineRule="exact"/>
              <w:jc w:val="right"/>
              <w:rPr>
                <w:sz w:val="16"/>
                <w:szCs w:val="16"/>
              </w:rPr>
            </w:pPr>
            <w:r w:rsidRPr="00404AF7">
              <w:rPr>
                <w:sz w:val="16"/>
                <w:szCs w:val="16"/>
              </w:rPr>
              <w:t>–</w:t>
            </w:r>
          </w:p>
        </w:tc>
        <w:tc>
          <w:tcPr>
            <w:tcW w:w="977" w:type="dxa"/>
            <w:shd w:val="clear" w:color="auto" w:fill="auto"/>
          </w:tcPr>
          <w:p w:rsidR="00F71A96" w:rsidRPr="00404AF7" w:rsidRDefault="00272B4F" w:rsidP="00F71A96">
            <w:pPr>
              <w:spacing w:before="60" w:line="200" w:lineRule="exact"/>
              <w:jc w:val="right"/>
              <w:rPr>
                <w:sz w:val="16"/>
                <w:szCs w:val="16"/>
              </w:rPr>
            </w:pPr>
            <w:r w:rsidRPr="00404AF7">
              <w:rPr>
                <w:sz w:val="16"/>
                <w:szCs w:val="16"/>
              </w:rPr>
              <w:t>14 673</w:t>
            </w:r>
          </w:p>
        </w:tc>
        <w:tc>
          <w:tcPr>
            <w:tcW w:w="975" w:type="dxa"/>
            <w:shd w:val="clear" w:color="auto" w:fill="auto"/>
          </w:tcPr>
          <w:p w:rsidR="00F71A96" w:rsidRPr="00404AF7" w:rsidRDefault="00F71A96" w:rsidP="00272B4F">
            <w:pPr>
              <w:spacing w:before="60" w:line="200" w:lineRule="exact"/>
              <w:jc w:val="right"/>
              <w:rPr>
                <w:sz w:val="16"/>
                <w:szCs w:val="16"/>
              </w:rPr>
            </w:pPr>
            <w:r w:rsidRPr="00404AF7">
              <w:rPr>
                <w:sz w:val="16"/>
                <w:szCs w:val="16"/>
              </w:rPr>
              <w:t>–</w:t>
            </w:r>
            <w:r w:rsidR="00272B4F" w:rsidRPr="00404AF7">
              <w:rPr>
                <w:sz w:val="16"/>
                <w:szCs w:val="16"/>
              </w:rPr>
              <w:t>7</w:t>
            </w:r>
            <w:r w:rsidR="00814A72">
              <w:rPr>
                <w:sz w:val="16"/>
                <w:szCs w:val="16"/>
              </w:rPr>
              <w:t>8</w:t>
            </w:r>
          </w:p>
        </w:tc>
        <w:tc>
          <w:tcPr>
            <w:tcW w:w="1020" w:type="dxa"/>
          </w:tcPr>
          <w:p w:rsidR="00F71A96" w:rsidRPr="00404AF7" w:rsidRDefault="00F71A96" w:rsidP="00272B4F">
            <w:pPr>
              <w:spacing w:before="60" w:line="200" w:lineRule="exact"/>
              <w:jc w:val="right"/>
              <w:rPr>
                <w:sz w:val="16"/>
                <w:szCs w:val="16"/>
              </w:rPr>
            </w:pPr>
            <w:r w:rsidRPr="00404AF7">
              <w:rPr>
                <w:sz w:val="16"/>
                <w:szCs w:val="16"/>
              </w:rPr>
              <w:t>–</w:t>
            </w:r>
            <w:r w:rsidR="00272B4F" w:rsidRPr="00404AF7">
              <w:rPr>
                <w:sz w:val="16"/>
                <w:szCs w:val="16"/>
              </w:rPr>
              <w:t>7</w:t>
            </w:r>
            <w:r w:rsidR="00814A72">
              <w:rPr>
                <w:sz w:val="16"/>
                <w:szCs w:val="16"/>
              </w:rPr>
              <w:t>8</w:t>
            </w:r>
          </w:p>
        </w:tc>
      </w:tr>
      <w:tr w:rsidR="00F71A96" w:rsidRPr="00E94478" w:rsidTr="00F71A96">
        <w:tc>
          <w:tcPr>
            <w:tcW w:w="1985" w:type="dxa"/>
            <w:shd w:val="clear" w:color="auto" w:fill="auto"/>
          </w:tcPr>
          <w:p w:rsidR="00F71A96" w:rsidRPr="00A6587D" w:rsidRDefault="00F71A96" w:rsidP="00F71A96">
            <w:pPr>
              <w:spacing w:before="60" w:line="200" w:lineRule="exact"/>
              <w:ind w:left="95"/>
              <w:rPr>
                <w:sz w:val="16"/>
                <w:szCs w:val="16"/>
              </w:rPr>
            </w:pPr>
            <w:r w:rsidRPr="0018409F">
              <w:rPr>
                <w:sz w:val="16"/>
                <w:szCs w:val="16"/>
              </w:rPr>
              <w:t>Riksbankscertifikat</w:t>
            </w:r>
          </w:p>
        </w:tc>
        <w:tc>
          <w:tcPr>
            <w:tcW w:w="976" w:type="dxa"/>
            <w:shd w:val="clear" w:color="auto" w:fill="auto"/>
          </w:tcPr>
          <w:p w:rsidR="00F71A96" w:rsidRPr="00404AF7" w:rsidRDefault="00F71A96" w:rsidP="00F71A96">
            <w:pPr>
              <w:spacing w:before="60" w:line="200" w:lineRule="exact"/>
              <w:jc w:val="right"/>
              <w:rPr>
                <w:sz w:val="16"/>
                <w:szCs w:val="16"/>
              </w:rPr>
            </w:pPr>
            <w:r w:rsidRPr="00404AF7">
              <w:rPr>
                <w:sz w:val="16"/>
                <w:szCs w:val="16"/>
              </w:rPr>
              <w:t>–</w:t>
            </w:r>
          </w:p>
        </w:tc>
        <w:tc>
          <w:tcPr>
            <w:tcW w:w="977" w:type="dxa"/>
            <w:shd w:val="clear" w:color="auto" w:fill="auto"/>
          </w:tcPr>
          <w:p w:rsidR="00F71A96" w:rsidRPr="00404AF7" w:rsidRDefault="00404AF7" w:rsidP="00F71A96">
            <w:pPr>
              <w:spacing w:before="60" w:line="200" w:lineRule="exact"/>
              <w:jc w:val="right"/>
              <w:rPr>
                <w:sz w:val="16"/>
                <w:szCs w:val="16"/>
              </w:rPr>
            </w:pPr>
            <w:r w:rsidRPr="00404AF7">
              <w:rPr>
                <w:sz w:val="16"/>
                <w:szCs w:val="16"/>
              </w:rPr>
              <w:t>35 004</w:t>
            </w:r>
          </w:p>
        </w:tc>
        <w:tc>
          <w:tcPr>
            <w:tcW w:w="975" w:type="dxa"/>
            <w:shd w:val="clear" w:color="auto" w:fill="auto"/>
          </w:tcPr>
          <w:p w:rsidR="00F71A96" w:rsidRPr="00404AF7" w:rsidRDefault="00F71A96" w:rsidP="00404AF7">
            <w:pPr>
              <w:spacing w:before="60" w:line="200" w:lineRule="exact"/>
              <w:jc w:val="right"/>
              <w:rPr>
                <w:sz w:val="16"/>
                <w:szCs w:val="16"/>
              </w:rPr>
            </w:pPr>
            <w:r w:rsidRPr="00404AF7">
              <w:rPr>
                <w:sz w:val="16"/>
                <w:szCs w:val="16"/>
              </w:rPr>
              <w:t>–</w:t>
            </w:r>
            <w:r w:rsidR="00404AF7" w:rsidRPr="00404AF7">
              <w:rPr>
                <w:sz w:val="16"/>
                <w:szCs w:val="16"/>
              </w:rPr>
              <w:t>154</w:t>
            </w:r>
          </w:p>
        </w:tc>
        <w:tc>
          <w:tcPr>
            <w:tcW w:w="1020" w:type="dxa"/>
          </w:tcPr>
          <w:p w:rsidR="00F71A96" w:rsidRPr="00404AF7" w:rsidRDefault="00F71A96" w:rsidP="00404AF7">
            <w:pPr>
              <w:spacing w:before="60" w:line="200" w:lineRule="exact"/>
              <w:jc w:val="right"/>
              <w:rPr>
                <w:sz w:val="16"/>
                <w:szCs w:val="16"/>
              </w:rPr>
            </w:pPr>
            <w:r w:rsidRPr="00404AF7">
              <w:rPr>
                <w:sz w:val="16"/>
                <w:szCs w:val="16"/>
              </w:rPr>
              <w:t>–</w:t>
            </w:r>
            <w:r w:rsidR="00404AF7" w:rsidRPr="00404AF7">
              <w:rPr>
                <w:sz w:val="16"/>
                <w:szCs w:val="16"/>
              </w:rPr>
              <w:t>154</w:t>
            </w:r>
          </w:p>
        </w:tc>
      </w:tr>
      <w:tr w:rsidR="00F71A96" w:rsidRPr="00E94478" w:rsidTr="00F71A96">
        <w:tc>
          <w:tcPr>
            <w:tcW w:w="1985" w:type="dxa"/>
            <w:shd w:val="clear" w:color="auto" w:fill="auto"/>
          </w:tcPr>
          <w:p w:rsidR="00F71A96" w:rsidRPr="00A6587D" w:rsidRDefault="00F71A96" w:rsidP="00F71A96">
            <w:pPr>
              <w:spacing w:before="60" w:line="200" w:lineRule="exact"/>
              <w:rPr>
                <w:sz w:val="16"/>
                <w:szCs w:val="16"/>
              </w:rPr>
            </w:pPr>
            <w:r w:rsidRPr="00A6587D">
              <w:rPr>
                <w:sz w:val="16"/>
                <w:szCs w:val="16"/>
              </w:rPr>
              <w:t>Värdepapper i SEK</w:t>
            </w:r>
          </w:p>
        </w:tc>
        <w:tc>
          <w:tcPr>
            <w:tcW w:w="976" w:type="dxa"/>
            <w:shd w:val="clear" w:color="auto" w:fill="auto"/>
          </w:tcPr>
          <w:p w:rsidR="00F71A96" w:rsidRPr="00404AF7" w:rsidRDefault="00404AF7" w:rsidP="00F71A96">
            <w:pPr>
              <w:spacing w:before="60" w:line="200" w:lineRule="exact"/>
              <w:jc w:val="right"/>
              <w:rPr>
                <w:sz w:val="16"/>
                <w:szCs w:val="16"/>
              </w:rPr>
            </w:pPr>
            <w:r w:rsidRPr="00404AF7">
              <w:rPr>
                <w:sz w:val="16"/>
                <w:szCs w:val="16"/>
              </w:rPr>
              <w:t>11 270</w:t>
            </w:r>
          </w:p>
        </w:tc>
        <w:tc>
          <w:tcPr>
            <w:tcW w:w="977" w:type="dxa"/>
            <w:shd w:val="clear" w:color="auto" w:fill="auto"/>
          </w:tcPr>
          <w:p w:rsidR="00F71A96" w:rsidRPr="00404AF7" w:rsidRDefault="00F71A96" w:rsidP="00F71A96">
            <w:pPr>
              <w:spacing w:before="60" w:line="200" w:lineRule="exact"/>
              <w:jc w:val="right"/>
              <w:rPr>
                <w:sz w:val="16"/>
                <w:szCs w:val="16"/>
              </w:rPr>
            </w:pPr>
            <w:r w:rsidRPr="00404AF7">
              <w:rPr>
                <w:sz w:val="16"/>
                <w:szCs w:val="16"/>
              </w:rPr>
              <w:t>–</w:t>
            </w:r>
          </w:p>
        </w:tc>
        <w:tc>
          <w:tcPr>
            <w:tcW w:w="975" w:type="dxa"/>
            <w:shd w:val="clear" w:color="auto" w:fill="auto"/>
          </w:tcPr>
          <w:p w:rsidR="00F71A96" w:rsidRPr="00404AF7" w:rsidRDefault="00404AF7" w:rsidP="00F71A96">
            <w:pPr>
              <w:spacing w:before="60" w:line="200" w:lineRule="exact"/>
              <w:jc w:val="right"/>
              <w:rPr>
                <w:sz w:val="16"/>
                <w:szCs w:val="16"/>
              </w:rPr>
            </w:pPr>
            <w:r w:rsidRPr="00404AF7">
              <w:rPr>
                <w:sz w:val="16"/>
                <w:szCs w:val="16"/>
              </w:rPr>
              <w:t>883</w:t>
            </w:r>
          </w:p>
        </w:tc>
        <w:tc>
          <w:tcPr>
            <w:tcW w:w="1020" w:type="dxa"/>
          </w:tcPr>
          <w:p w:rsidR="00F71A96" w:rsidRPr="00404AF7" w:rsidRDefault="00404AF7" w:rsidP="00F71A96">
            <w:pPr>
              <w:spacing w:before="60" w:line="200" w:lineRule="exact"/>
              <w:jc w:val="right"/>
              <w:rPr>
                <w:sz w:val="16"/>
                <w:szCs w:val="16"/>
              </w:rPr>
            </w:pPr>
            <w:r w:rsidRPr="00404AF7">
              <w:rPr>
                <w:sz w:val="16"/>
                <w:szCs w:val="16"/>
              </w:rPr>
              <w:t>883</w:t>
            </w:r>
          </w:p>
        </w:tc>
      </w:tr>
      <w:tr w:rsidR="00F71A96" w:rsidRPr="00976701" w:rsidTr="00F71A96">
        <w:tc>
          <w:tcPr>
            <w:tcW w:w="1985" w:type="dxa"/>
            <w:tcBorders>
              <w:bottom w:val="single" w:sz="4" w:space="0" w:color="auto"/>
            </w:tcBorders>
            <w:shd w:val="clear" w:color="auto" w:fill="auto"/>
          </w:tcPr>
          <w:p w:rsidR="00F71A96" w:rsidRPr="00976701" w:rsidRDefault="00F71A96" w:rsidP="00F71A96">
            <w:pPr>
              <w:spacing w:before="60" w:line="200" w:lineRule="exact"/>
              <w:rPr>
                <w:b/>
                <w:sz w:val="16"/>
                <w:szCs w:val="16"/>
              </w:rPr>
            </w:pPr>
            <w:r w:rsidRPr="00976701">
              <w:rPr>
                <w:b/>
                <w:sz w:val="16"/>
                <w:szCs w:val="16"/>
              </w:rPr>
              <w:t>Totalt</w:t>
            </w:r>
          </w:p>
        </w:tc>
        <w:tc>
          <w:tcPr>
            <w:tcW w:w="976" w:type="dxa"/>
            <w:tcBorders>
              <w:bottom w:val="single" w:sz="4" w:space="0" w:color="auto"/>
            </w:tcBorders>
            <w:shd w:val="clear" w:color="auto" w:fill="auto"/>
          </w:tcPr>
          <w:p w:rsidR="00F71A96" w:rsidRPr="00404AF7" w:rsidRDefault="00404AF7" w:rsidP="00F71A96">
            <w:pPr>
              <w:spacing w:before="60" w:line="200" w:lineRule="exact"/>
              <w:jc w:val="right"/>
              <w:rPr>
                <w:b/>
                <w:sz w:val="16"/>
                <w:szCs w:val="16"/>
              </w:rPr>
            </w:pPr>
            <w:r w:rsidRPr="00404AF7">
              <w:rPr>
                <w:b/>
                <w:sz w:val="16"/>
                <w:szCs w:val="16"/>
              </w:rPr>
              <w:t xml:space="preserve">500 </w:t>
            </w:r>
            <w:r w:rsidR="00814A72">
              <w:rPr>
                <w:b/>
                <w:sz w:val="16"/>
                <w:szCs w:val="16"/>
              </w:rPr>
              <w:t>824</w:t>
            </w:r>
          </w:p>
        </w:tc>
        <w:tc>
          <w:tcPr>
            <w:tcW w:w="977" w:type="dxa"/>
            <w:tcBorders>
              <w:bottom w:val="single" w:sz="4" w:space="0" w:color="auto"/>
            </w:tcBorders>
            <w:shd w:val="clear" w:color="auto" w:fill="auto"/>
          </w:tcPr>
          <w:p w:rsidR="00F71A96" w:rsidRPr="00404AF7" w:rsidRDefault="00404AF7" w:rsidP="00F71A96">
            <w:pPr>
              <w:spacing w:before="60" w:line="200" w:lineRule="exact"/>
              <w:jc w:val="right"/>
              <w:rPr>
                <w:b/>
                <w:sz w:val="16"/>
                <w:szCs w:val="16"/>
              </w:rPr>
            </w:pPr>
            <w:r w:rsidRPr="00404AF7">
              <w:rPr>
                <w:b/>
                <w:sz w:val="16"/>
                <w:szCs w:val="16"/>
              </w:rPr>
              <w:t xml:space="preserve">307 </w:t>
            </w:r>
            <w:r w:rsidR="00814A72">
              <w:rPr>
                <w:b/>
                <w:sz w:val="16"/>
                <w:szCs w:val="16"/>
              </w:rPr>
              <w:t>529</w:t>
            </w:r>
          </w:p>
        </w:tc>
        <w:tc>
          <w:tcPr>
            <w:tcW w:w="975" w:type="dxa"/>
            <w:tcBorders>
              <w:bottom w:val="single" w:sz="4" w:space="0" w:color="auto"/>
            </w:tcBorders>
            <w:shd w:val="clear" w:color="auto" w:fill="auto"/>
          </w:tcPr>
          <w:p w:rsidR="00F71A96" w:rsidRPr="00404AF7" w:rsidRDefault="00F71A96" w:rsidP="00404AF7">
            <w:pPr>
              <w:spacing w:before="60" w:line="200" w:lineRule="exact"/>
              <w:jc w:val="right"/>
              <w:rPr>
                <w:b/>
                <w:sz w:val="16"/>
                <w:szCs w:val="16"/>
              </w:rPr>
            </w:pPr>
            <w:r w:rsidRPr="00404AF7">
              <w:rPr>
                <w:b/>
                <w:sz w:val="16"/>
                <w:szCs w:val="16"/>
              </w:rPr>
              <w:t> </w:t>
            </w:r>
            <w:r w:rsidR="00404AF7" w:rsidRPr="00404AF7">
              <w:rPr>
                <w:b/>
                <w:sz w:val="16"/>
                <w:szCs w:val="16"/>
              </w:rPr>
              <w:t>31 495</w:t>
            </w:r>
          </w:p>
        </w:tc>
        <w:tc>
          <w:tcPr>
            <w:tcW w:w="1020" w:type="dxa"/>
            <w:tcBorders>
              <w:bottom w:val="single" w:sz="4" w:space="0" w:color="auto"/>
            </w:tcBorders>
          </w:tcPr>
          <w:p w:rsidR="00F71A96" w:rsidRPr="00404AF7" w:rsidRDefault="00404AF7" w:rsidP="00F71A96">
            <w:pPr>
              <w:spacing w:before="60" w:line="200" w:lineRule="exact"/>
              <w:jc w:val="right"/>
              <w:rPr>
                <w:b/>
                <w:sz w:val="16"/>
                <w:szCs w:val="16"/>
              </w:rPr>
            </w:pPr>
            <w:r w:rsidRPr="00404AF7">
              <w:rPr>
                <w:b/>
                <w:sz w:val="16"/>
                <w:szCs w:val="16"/>
              </w:rPr>
              <w:t>9 813</w:t>
            </w:r>
          </w:p>
        </w:tc>
      </w:tr>
    </w:tbl>
    <w:p w:rsidR="00AF511C" w:rsidRDefault="00AF511C" w:rsidP="00AE55C1">
      <w:pPr>
        <w:pStyle w:val="Fotnotstext"/>
      </w:pPr>
      <w:r w:rsidRPr="009C62FC">
        <w:t>Anm</w:t>
      </w:r>
      <w:r>
        <w:t>.</w:t>
      </w:r>
      <w:r w:rsidRPr="009C62FC">
        <w:t xml:space="preserve"> </w:t>
      </w:r>
      <w:r>
        <w:t>Beräkningen av avkastningen baseras på både tillgångar och skulder och redo</w:t>
      </w:r>
      <w:r w:rsidR="00D40B26">
        <w:softHyphen/>
      </w:r>
      <w:r>
        <w:t>v</w:t>
      </w:r>
      <w:r>
        <w:t>i</w:t>
      </w:r>
      <w:r>
        <w:t>sas i tabellen för Riksbankens nettofordringar.</w:t>
      </w:r>
    </w:p>
    <w:p w:rsidR="00F71A96" w:rsidRPr="00AF511C" w:rsidRDefault="00F71A96" w:rsidP="00AE55C1">
      <w:pPr>
        <w:pStyle w:val="Fotnotstext"/>
      </w:pPr>
      <w:r w:rsidRPr="00AF511C">
        <w:t>Källa: Riksbanken.</w:t>
      </w:r>
    </w:p>
    <w:p w:rsidR="00830196" w:rsidRDefault="00830196" w:rsidP="00830196">
      <w:pPr>
        <w:pStyle w:val="Fotnotstextindrag"/>
      </w:pPr>
    </w:p>
    <w:p w:rsidR="00830196" w:rsidRDefault="00830196" w:rsidP="00830196">
      <w:r w:rsidRPr="00462E5A">
        <w:t xml:space="preserve">Priset </w:t>
      </w:r>
      <w:r w:rsidR="00EA0D21" w:rsidRPr="00462E5A">
        <w:t xml:space="preserve">på guld </w:t>
      </w:r>
      <w:r w:rsidRPr="00462E5A">
        <w:t xml:space="preserve">mäts vanligen i amerikanska dollar, och </w:t>
      </w:r>
      <w:r w:rsidR="009A17C8" w:rsidRPr="00462E5A">
        <w:t>u</w:t>
      </w:r>
      <w:r w:rsidR="00EA0D21" w:rsidRPr="00462E5A">
        <w:t xml:space="preserve">nder 2014 minskade guldpriset </w:t>
      </w:r>
      <w:r w:rsidRPr="00462E5A">
        <w:t xml:space="preserve">uttryckt i dollar med </w:t>
      </w:r>
      <w:r w:rsidR="00462E5A" w:rsidRPr="00462E5A">
        <w:t xml:space="preserve">1,9 </w:t>
      </w:r>
      <w:r w:rsidRPr="00462E5A">
        <w:t>procent</w:t>
      </w:r>
      <w:r w:rsidR="00EA0D21" w:rsidRPr="00462E5A">
        <w:t xml:space="preserve"> (se diagram </w:t>
      </w:r>
      <w:r w:rsidR="0046170A">
        <w:t>24</w:t>
      </w:r>
      <w:r w:rsidR="00EA0D21" w:rsidRPr="00462E5A">
        <w:t>).</w:t>
      </w:r>
      <w:r w:rsidRPr="00462E5A">
        <w:t xml:space="preserve"> Eftersom do</w:t>
      </w:r>
      <w:r w:rsidRPr="00462E5A">
        <w:t>l</w:t>
      </w:r>
      <w:r w:rsidRPr="00462E5A">
        <w:t xml:space="preserve">larn stärktes gentemot den svenska kronan ökade </w:t>
      </w:r>
      <w:r w:rsidR="009A17C8" w:rsidRPr="00462E5A">
        <w:t xml:space="preserve">dock </w:t>
      </w:r>
      <w:r w:rsidRPr="00462E5A">
        <w:t xml:space="preserve">guldpriset i kronor räknat med </w:t>
      </w:r>
      <w:r w:rsidR="00462E5A" w:rsidRPr="00462E5A">
        <w:t xml:space="preserve">19,4 </w:t>
      </w:r>
      <w:r w:rsidRPr="00462E5A">
        <w:t xml:space="preserve">procent. Värdet på Riksbankens guldinnehav ökade därmed med </w:t>
      </w:r>
      <w:r w:rsidR="00D40B26">
        <w:t>6,1 </w:t>
      </w:r>
      <w:r w:rsidRPr="00462E5A">
        <w:t>miljarder kronor under året.</w:t>
      </w:r>
    </w:p>
    <w:p w:rsidR="00830196" w:rsidRDefault="00830196" w:rsidP="00ED794F">
      <w:pPr>
        <w:spacing w:before="0"/>
        <w:ind w:firstLine="227"/>
      </w:pPr>
      <w:r w:rsidRPr="00581699">
        <w:t xml:space="preserve">Riksbankens skuld till Riksgälden uppgick vid utgången av året till </w:t>
      </w:r>
      <w:r w:rsidR="003A39A9">
        <w:t>229,3</w:t>
      </w:r>
      <w:r w:rsidR="00D40B26">
        <w:t> </w:t>
      </w:r>
      <w:r w:rsidRPr="00581699">
        <w:t>miljarder kronor</w:t>
      </w:r>
      <w:r>
        <w:t xml:space="preserve">, vilket är </w:t>
      </w:r>
      <w:r w:rsidR="003A39A9">
        <w:t>35,5</w:t>
      </w:r>
      <w:r w:rsidR="003A39A9" w:rsidRPr="00581699">
        <w:t xml:space="preserve"> </w:t>
      </w:r>
      <w:r>
        <w:t xml:space="preserve">miljarder </w:t>
      </w:r>
      <w:r w:rsidRPr="003A39A9">
        <w:t>kronor mer än</w:t>
      </w:r>
      <w:r>
        <w:t xml:space="preserve"> vid början av året </w:t>
      </w:r>
      <w:r w:rsidRPr="00581699">
        <w:t xml:space="preserve">(se tabell </w:t>
      </w:r>
      <w:r>
        <w:t>5</w:t>
      </w:r>
      <w:r w:rsidRPr="00581699">
        <w:t>). Vid årets slut</w:t>
      </w:r>
      <w:r>
        <w:t xml:space="preserve"> uppgick lånen i amerikanska dollar och euro till </w:t>
      </w:r>
      <w:r w:rsidR="0061297A">
        <w:t>77</w:t>
      </w:r>
      <w:r w:rsidR="0061297A" w:rsidRPr="00812AB1">
        <w:t xml:space="preserve"> </w:t>
      </w:r>
      <w:r w:rsidRPr="00812AB1">
        <w:t xml:space="preserve">respektive </w:t>
      </w:r>
      <w:r w:rsidR="0061297A">
        <w:t xml:space="preserve">23 </w:t>
      </w:r>
      <w:r>
        <w:t>procent av denna skuld.</w:t>
      </w:r>
    </w:p>
    <w:p w:rsidR="00830196" w:rsidRPr="000F3278" w:rsidRDefault="00830196" w:rsidP="00AE55C1">
      <w:pPr>
        <w:pStyle w:val="Normaltindrag"/>
      </w:pPr>
      <w:r>
        <w:t>Värdet på</w:t>
      </w:r>
      <w:r w:rsidRPr="000F3278">
        <w:t xml:space="preserve"> Riksbankens fordringar på IMF var vid årets slut </w:t>
      </w:r>
      <w:r w:rsidR="003A39A9">
        <w:t>34,7</w:t>
      </w:r>
      <w:r w:rsidR="003A39A9" w:rsidRPr="000F3278">
        <w:t xml:space="preserve"> </w:t>
      </w:r>
      <w:r w:rsidRPr="000F3278">
        <w:t>mil</w:t>
      </w:r>
      <w:r>
        <w:t>jarder kronor medan värdet på</w:t>
      </w:r>
      <w:r w:rsidRPr="000F3278">
        <w:t xml:space="preserve"> bankens skulder till IMF var </w:t>
      </w:r>
      <w:r w:rsidR="003A39A9">
        <w:t>25,5</w:t>
      </w:r>
      <w:r w:rsidR="003A39A9" w:rsidRPr="000F3278">
        <w:t xml:space="preserve"> </w:t>
      </w:r>
      <w:r w:rsidRPr="000F3278">
        <w:t xml:space="preserve">miljarder kronor. Avkastningen på nettofordringarna uppgick under året till </w:t>
      </w:r>
      <w:r w:rsidR="00AF1960">
        <w:t xml:space="preserve">8 </w:t>
      </w:r>
      <w:r w:rsidRPr="000F3278">
        <w:t xml:space="preserve">miljoner kronor, exklusive valutakurseffekter (se tabell </w:t>
      </w:r>
      <w:r>
        <w:t>5</w:t>
      </w:r>
      <w:r w:rsidRPr="000F3278">
        <w:t>).</w:t>
      </w:r>
    </w:p>
    <w:p w:rsidR="00830196" w:rsidRDefault="00830196" w:rsidP="00830196">
      <w:pPr>
        <w:pStyle w:val="Normaltindrag"/>
      </w:pPr>
      <w:r w:rsidRPr="000F3278">
        <w:t xml:space="preserve">Vid årsskiftet var det samlade värdet av Riksbankens derivatinstrument </w:t>
      </w:r>
      <w:r w:rsidRPr="00AF1960">
        <w:t>negativt och utgjorde en skuld</w:t>
      </w:r>
      <w:r w:rsidRPr="000F3278">
        <w:t xml:space="preserve"> på </w:t>
      </w:r>
      <w:r w:rsidR="00AF1960">
        <w:t>2,8</w:t>
      </w:r>
      <w:r w:rsidR="00AF1960" w:rsidRPr="000F3278">
        <w:t xml:space="preserve"> </w:t>
      </w:r>
      <w:r w:rsidR="00AF1960">
        <w:t>miljarder</w:t>
      </w:r>
      <w:r w:rsidR="00AF1960" w:rsidRPr="000F3278">
        <w:t xml:space="preserve"> </w:t>
      </w:r>
      <w:r w:rsidRPr="000F3278">
        <w:t xml:space="preserve">kronor. Avkastningen på derivatinstrumenten exklusive valutakurseffekter uppgick till </w:t>
      </w:r>
      <w:r w:rsidR="00AF1960">
        <w:t>302</w:t>
      </w:r>
      <w:r w:rsidR="00AF1960" w:rsidRPr="000F3278">
        <w:t xml:space="preserve"> </w:t>
      </w:r>
      <w:r w:rsidRPr="000F3278">
        <w:t>miljoner kronor under året.</w:t>
      </w:r>
    </w:p>
    <w:p w:rsidR="00ED794F" w:rsidRDefault="00ED794F" w:rsidP="00ED794F">
      <w:pPr>
        <w:pStyle w:val="Diagramrubrik"/>
      </w:pPr>
      <w:r w:rsidRPr="00462E5A">
        <w:t xml:space="preserve">Diagram </w:t>
      </w:r>
      <w:r w:rsidR="0046170A">
        <w:t>24</w:t>
      </w:r>
      <w:r w:rsidRPr="00462E5A">
        <w:t xml:space="preserve">. </w:t>
      </w:r>
      <w:r w:rsidRPr="00325334">
        <w:t>Guldprisets</w:t>
      </w:r>
      <w:r w:rsidRPr="00462E5A">
        <w:t xml:space="preserve"> utveckling 2014</w:t>
      </w:r>
    </w:p>
    <w:p w:rsidR="00ED794F" w:rsidRPr="00163898" w:rsidRDefault="00ED794F" w:rsidP="00ED794F">
      <w:pPr>
        <w:pStyle w:val="Normaltindrag"/>
        <w:spacing w:line="60" w:lineRule="atLeast"/>
        <w:rPr>
          <w:sz w:val="2"/>
          <w:szCs w:val="2"/>
        </w:rPr>
      </w:pPr>
    </w:p>
    <w:p w:rsidR="00ED794F" w:rsidRPr="00163898" w:rsidRDefault="00A12E15" w:rsidP="00ED794F">
      <w:pPr>
        <w:pStyle w:val="Normaltindrag"/>
        <w:ind w:firstLine="0"/>
      </w:pPr>
      <w:r w:rsidRPr="00986B60">
        <w:rPr>
          <w:noProof/>
        </w:rPr>
        <w:drawing>
          <wp:inline distT="0" distB="0" distL="0" distR="0">
            <wp:extent cx="3781425" cy="2466975"/>
            <wp:effectExtent l="0" t="0" r="9525" b="9525"/>
            <wp:docPr id="26"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ED794F" w:rsidRPr="009C62FC" w:rsidRDefault="00ED794F" w:rsidP="00ED794F">
      <w:pPr>
        <w:pStyle w:val="Fotnotstext"/>
      </w:pPr>
      <w:r w:rsidRPr="009C62FC">
        <w:t xml:space="preserve">Anm. Ett uns motsvarar ungefär </w:t>
      </w:r>
      <w:smartTag w:uri="urn:schemas-microsoft-com:office:smarttags" w:element="metricconverter">
        <w:smartTagPr>
          <w:attr w:name="ProductID" w:val="31 gram"/>
        </w:smartTagPr>
        <w:r w:rsidRPr="009C62FC">
          <w:t>31 gram</w:t>
        </w:r>
      </w:smartTag>
      <w:r w:rsidRPr="009C62FC">
        <w:t>.</w:t>
      </w:r>
    </w:p>
    <w:p w:rsidR="00ED794F" w:rsidRPr="008D7D1F" w:rsidRDefault="00ED794F" w:rsidP="00ED794F">
      <w:pPr>
        <w:pStyle w:val="Fotnotstext"/>
        <w:rPr>
          <w:szCs w:val="17"/>
        </w:rPr>
      </w:pPr>
      <w:r w:rsidRPr="008D7D1F">
        <w:t>Källa: Reuters.</w:t>
      </w:r>
    </w:p>
    <w:p w:rsidR="00887B89" w:rsidRDefault="00887B89" w:rsidP="00887B89">
      <w:pPr>
        <w:pStyle w:val="R3"/>
      </w:pPr>
      <w:r>
        <w:t>Analys av valutareservens förvaltning</w:t>
      </w:r>
    </w:p>
    <w:p w:rsidR="00F71A96" w:rsidRPr="0070010D" w:rsidRDefault="00F71A96" w:rsidP="00FE63C6">
      <w:r w:rsidRPr="0070010D">
        <w:t>För att utvärdera om Riksbankens kapitalförvaltning bidrar till lägre risk eller högre avkastning på valutareserven jämförs den riskjusterade avkastningen på valutareserven med en motsvarande avkastning på en så kallad referenspor</w:t>
      </w:r>
      <w:r w:rsidRPr="0070010D">
        <w:t>t</w:t>
      </w:r>
      <w:r w:rsidRPr="0070010D">
        <w:t>följ. Referensportföljen är sammansatt enbart av sådana värdepapper som Riksbanken skulle hålla för att kunna utföra sina uppdrag och utan hänsyn till avkastn</w:t>
      </w:r>
      <w:r>
        <w:t>ingen. Under 2014</w:t>
      </w:r>
      <w:r w:rsidRPr="0070010D">
        <w:t xml:space="preserve"> bestod referensportföljen därför uteslutande av </w:t>
      </w:r>
      <w:r w:rsidR="00643896">
        <w:t>60 </w:t>
      </w:r>
      <w:r w:rsidRPr="00617D5C">
        <w:t>procent amerikanska och 40 procent tyska statsobliga</w:t>
      </w:r>
      <w:r w:rsidRPr="00617D5C">
        <w:softHyphen/>
        <w:t>tioner</w:t>
      </w:r>
      <w:r>
        <w:t xml:space="preserve"> vars </w:t>
      </w:r>
      <w:r w:rsidR="006E2000">
        <w:t xml:space="preserve">samlade </w:t>
      </w:r>
      <w:r>
        <w:t xml:space="preserve">räntekänslighet, mätt som modifierad duration, var </w:t>
      </w:r>
      <w:r w:rsidRPr="00562B21">
        <w:t>4,0</w:t>
      </w:r>
      <w:r w:rsidRPr="0070010D">
        <w:t>.</w:t>
      </w:r>
      <w:r>
        <w:t xml:space="preserve"> </w:t>
      </w:r>
      <w:r w:rsidR="00C25909">
        <w:t>Den riskjusterade avkastningen beräknas både exklusive och inklusive valutakurseffekter.</w:t>
      </w:r>
    </w:p>
    <w:p w:rsidR="00F71A96" w:rsidRPr="008F7842" w:rsidRDefault="00F71A96" w:rsidP="00FE63C6">
      <w:pPr>
        <w:pStyle w:val="Normaltindrag"/>
      </w:pPr>
      <w:r w:rsidRPr="00850C4C">
        <w:t>Avkastningen på valutareserven exklusive v</w:t>
      </w:r>
      <w:r w:rsidR="001B0543">
        <w:t xml:space="preserve">alutakurseffekter uppgick till </w:t>
      </w:r>
      <w:r w:rsidR="00850C4C" w:rsidRPr="00850C4C">
        <w:t xml:space="preserve">4,4 </w:t>
      </w:r>
      <w:r w:rsidRPr="00850C4C">
        <w:t xml:space="preserve">procent under året. Motsvarande avkastning på referensportföljen uppgick till </w:t>
      </w:r>
      <w:r w:rsidR="00850C4C" w:rsidRPr="00850C4C">
        <w:t xml:space="preserve">4,8 </w:t>
      </w:r>
      <w:r w:rsidRPr="00850C4C">
        <w:t xml:space="preserve">procent. Eftersom valutareserven hade </w:t>
      </w:r>
      <w:r w:rsidR="002C4CBB">
        <w:t xml:space="preserve">en </w:t>
      </w:r>
      <w:r w:rsidRPr="00850C4C">
        <w:t>lägre räntekänslighet än referensportföljen steg inte tillgångarna i valutareserven lika mycket i värde när marknadsräntorna föll under</w:t>
      </w:r>
      <w:r w:rsidRPr="00F254CB">
        <w:t xml:space="preserve"> året. Den lägre ränt</w:t>
      </w:r>
      <w:r w:rsidRPr="00264565">
        <w:t>e</w:t>
      </w:r>
      <w:r w:rsidRPr="00BB0499">
        <w:t>känsli</w:t>
      </w:r>
      <w:r w:rsidRPr="009E758E">
        <w:t>g</w:t>
      </w:r>
      <w:r w:rsidRPr="00C844AE">
        <w:t>heten i valuta</w:t>
      </w:r>
      <w:r w:rsidR="00643896">
        <w:softHyphen/>
      </w:r>
      <w:r w:rsidRPr="00C844AE">
        <w:t>r</w:t>
      </w:r>
      <w:r w:rsidRPr="00480A97">
        <w:t>eserven medförde samtidigt att risken i valutareserven var lägre än i ref</w:t>
      </w:r>
      <w:r w:rsidRPr="00480A97">
        <w:t>e</w:t>
      </w:r>
      <w:r w:rsidRPr="00480A97">
        <w:t>ren</w:t>
      </w:r>
      <w:r w:rsidRPr="00E33BB2">
        <w:t>s</w:t>
      </w:r>
      <w:r w:rsidRPr="00980EBF">
        <w:t>portföljen. Att valutareservens placeringar dessutom spridits över flera til</w:t>
      </w:r>
      <w:r w:rsidRPr="008E472B">
        <w:t>l</w:t>
      </w:r>
      <w:r w:rsidRPr="00DC56DD">
        <w:t xml:space="preserve">gångar vars värdeförändringar delvis tog ut varandra bidrog till att sänka risken i valutareserven </w:t>
      </w:r>
      <w:r w:rsidRPr="00850C4C">
        <w:t xml:space="preserve">ytterligare. Under året uppgick risken i valutareserven till </w:t>
      </w:r>
      <w:r w:rsidR="00850C4C" w:rsidRPr="00850C4C">
        <w:t xml:space="preserve">1,2 </w:t>
      </w:r>
      <w:r w:rsidRPr="00850C4C">
        <w:t>procent mätt som standardavvikelse utan hänsyn till valutakurs</w:t>
      </w:r>
      <w:r w:rsidR="001E3231">
        <w:softHyphen/>
      </w:r>
      <w:r w:rsidRPr="00850C4C">
        <w:t>effe</w:t>
      </w:r>
      <w:r w:rsidRPr="00850C4C">
        <w:t>k</w:t>
      </w:r>
      <w:r w:rsidRPr="00850C4C">
        <w:t xml:space="preserve">ter, medan risken i referensportföljen uppgick till </w:t>
      </w:r>
      <w:r w:rsidR="00850C4C" w:rsidRPr="00850C4C">
        <w:t xml:space="preserve">1,7 </w:t>
      </w:r>
      <w:r w:rsidRPr="00850C4C">
        <w:t>procent.</w:t>
      </w:r>
    </w:p>
    <w:p w:rsidR="00F71A96" w:rsidRDefault="00F71A96" w:rsidP="0042709D">
      <w:pPr>
        <w:pStyle w:val="Normaltindrag"/>
        <w:suppressAutoHyphens/>
      </w:pPr>
      <w:r w:rsidRPr="007275FA">
        <w:t xml:space="preserve">Om man justerar avkastningen för </w:t>
      </w:r>
      <w:r w:rsidR="0007533B" w:rsidRPr="007275FA">
        <w:t>standardavvikelsen</w:t>
      </w:r>
      <w:r w:rsidRPr="007275FA">
        <w:t xml:space="preserve"> blir avkastningen på valutareserven högre än avkastningen på referensportföljen. Mätt som Sharpekvot uppgick den riskjusterade avkastningen på valutareserven till </w:t>
      </w:r>
      <w:r w:rsidR="007275FA" w:rsidRPr="007275FA">
        <w:t xml:space="preserve">3,8 </w:t>
      </w:r>
      <w:r w:rsidRPr="007275FA">
        <w:t xml:space="preserve">medan motsvarande värde för referensportföljen var </w:t>
      </w:r>
      <w:r w:rsidR="007275FA" w:rsidRPr="007275FA">
        <w:t>2,8</w:t>
      </w:r>
      <w:r w:rsidRPr="007275FA">
        <w:t xml:space="preserve">. </w:t>
      </w:r>
    </w:p>
    <w:p w:rsidR="00F71A96" w:rsidRDefault="00F71A96" w:rsidP="00F71A96">
      <w:pPr>
        <w:pStyle w:val="Normaltindrag"/>
      </w:pPr>
      <w:r w:rsidRPr="00570B98">
        <w:t xml:space="preserve">Den riskjusterade avkastningen på valutareserven var </w:t>
      </w:r>
      <w:r w:rsidR="00570B98" w:rsidRPr="00570B98">
        <w:t>dock lägre</w:t>
      </w:r>
      <w:r w:rsidRPr="00570B98">
        <w:t xml:space="preserve"> än mo</w:t>
      </w:r>
      <w:r w:rsidRPr="00570B98">
        <w:t>t</w:t>
      </w:r>
      <w:r w:rsidRPr="00570B98">
        <w:t xml:space="preserve">svarande värde för referensportföljen när avkastningen beräknas med hänsyn tagen till valutakurseffekter. Mätt i svenska kronor uppgick den riskjusterade avkastningen på valutareserven till </w:t>
      </w:r>
      <w:r w:rsidR="00570B98" w:rsidRPr="00570B98">
        <w:t xml:space="preserve">2,9 </w:t>
      </w:r>
      <w:r w:rsidRPr="00570B98">
        <w:t>medan motsvarande värde för ref</w:t>
      </w:r>
      <w:r w:rsidRPr="00570B98">
        <w:t>e</w:t>
      </w:r>
      <w:r w:rsidRPr="00570B98">
        <w:t xml:space="preserve">rensportföljen var </w:t>
      </w:r>
      <w:r w:rsidR="00570B98" w:rsidRPr="00570B98">
        <w:t>4,1</w:t>
      </w:r>
      <w:r w:rsidRPr="00570B98">
        <w:t xml:space="preserve">. </w:t>
      </w:r>
      <w:r w:rsidR="00D21C26" w:rsidRPr="00570B98">
        <w:t>Att valutareserven fick ett</w:t>
      </w:r>
      <w:r w:rsidRPr="00570B98">
        <w:t xml:space="preserve"> </w:t>
      </w:r>
      <w:r w:rsidR="00570B98">
        <w:t>lägre</w:t>
      </w:r>
      <w:r w:rsidR="00570B98" w:rsidRPr="00570B98">
        <w:t xml:space="preserve"> </w:t>
      </w:r>
      <w:r w:rsidR="00D21C26" w:rsidRPr="00570B98">
        <w:t>värde</w:t>
      </w:r>
      <w:r w:rsidRPr="00570B98">
        <w:t xml:space="preserve"> berodde främst på </w:t>
      </w:r>
      <w:r w:rsidR="00570B98">
        <w:t xml:space="preserve">att </w:t>
      </w:r>
      <w:r w:rsidR="001E0E79">
        <w:t>den amerikanska dollarn</w:t>
      </w:r>
      <w:r w:rsidR="00BE5DB6">
        <w:t>s förstärkning</w:t>
      </w:r>
      <w:r w:rsidR="001E0E79">
        <w:t xml:space="preserve"> gav en större positiv effekt på referensportföljen än på valutareserven.</w:t>
      </w:r>
      <w:r w:rsidR="001E0E79" w:rsidRPr="00570B98" w:rsidDel="001E0E79">
        <w:t xml:space="preserve"> </w:t>
      </w:r>
    </w:p>
    <w:p w:rsidR="00887B89" w:rsidRDefault="00887B89" w:rsidP="00CF04BB">
      <w:pPr>
        <w:pStyle w:val="R3"/>
      </w:pPr>
      <w:r>
        <w:t>Marknadsrisker</w:t>
      </w:r>
      <w:r w:rsidR="00B538DD">
        <w:t xml:space="preserve"> för </w:t>
      </w:r>
      <w:r w:rsidR="004469C0">
        <w:t>guld- och valutareserven</w:t>
      </w:r>
    </w:p>
    <w:p w:rsidR="00671A32" w:rsidRDefault="008A778F" w:rsidP="00F71A96">
      <w:pPr>
        <w:rPr>
          <w:szCs w:val="19"/>
        </w:rPr>
      </w:pPr>
      <w:r>
        <w:rPr>
          <w:szCs w:val="19"/>
        </w:rPr>
        <w:t xml:space="preserve">Under första halvåret varierade nivån på marknadsrisken, mätt som VaR med en konfidensnivå om 99 procent och en tidsperiod på 10 dagar, huvudsakligen på grund av valutakursrörelser (se diagram </w:t>
      </w:r>
      <w:r w:rsidR="0046170A">
        <w:rPr>
          <w:szCs w:val="19"/>
        </w:rPr>
        <w:t>25</w:t>
      </w:r>
      <w:r>
        <w:rPr>
          <w:szCs w:val="19"/>
        </w:rPr>
        <w:t>). Valutarisken minskade där</w:t>
      </w:r>
      <w:r w:rsidR="00EF7EA1">
        <w:rPr>
          <w:szCs w:val="19"/>
        </w:rPr>
        <w:softHyphen/>
      </w:r>
      <w:r>
        <w:rPr>
          <w:szCs w:val="19"/>
        </w:rPr>
        <w:t>e</w:t>
      </w:r>
      <w:r>
        <w:rPr>
          <w:szCs w:val="19"/>
        </w:rPr>
        <w:t>f</w:t>
      </w:r>
      <w:r>
        <w:rPr>
          <w:szCs w:val="19"/>
        </w:rPr>
        <w:t>ter i takt med att valutakursrörelserna minskade under sommaren för att under hösten återigen öka. Under hösten ökade även guldprisrisken när den amerikanska dollarn stärktes kraftigt mot den svenska kronan. Även ränte</w:t>
      </w:r>
      <w:r w:rsidR="00EF7EA1">
        <w:rPr>
          <w:szCs w:val="19"/>
        </w:rPr>
        <w:softHyphen/>
      </w:r>
      <w:r>
        <w:rPr>
          <w:szCs w:val="19"/>
        </w:rPr>
        <w:t>ri</w:t>
      </w:r>
      <w:r>
        <w:rPr>
          <w:szCs w:val="19"/>
        </w:rPr>
        <w:t>s</w:t>
      </w:r>
      <w:r>
        <w:rPr>
          <w:szCs w:val="19"/>
        </w:rPr>
        <w:t>ken ökade till följd av en något högre modifierad duration i valutareserven. Den totala marknadsrisken var dock i genomsnitt något lägre under 2014 än under föregående år till följd av att valutakursrörelserna var mindre</w:t>
      </w:r>
      <w:r w:rsidR="003A4781">
        <w:rPr>
          <w:szCs w:val="19"/>
        </w:rPr>
        <w:t>, och</w:t>
      </w:r>
      <w:r w:rsidR="00EC532E">
        <w:rPr>
          <w:szCs w:val="19"/>
        </w:rPr>
        <w:t xml:space="preserve"> samvariationen mellan riskslagen (ränterisk, valutarisk och guldpri</w:t>
      </w:r>
      <w:r w:rsidR="00EC532E">
        <w:rPr>
          <w:szCs w:val="19"/>
        </w:rPr>
        <w:t>s</w:t>
      </w:r>
      <w:r w:rsidR="00EC532E">
        <w:rPr>
          <w:szCs w:val="19"/>
        </w:rPr>
        <w:t>risk) minskade</w:t>
      </w:r>
      <w:r w:rsidR="003A4781">
        <w:rPr>
          <w:szCs w:val="19"/>
        </w:rPr>
        <w:t xml:space="preserve"> under slutet av året</w:t>
      </w:r>
      <w:r>
        <w:rPr>
          <w:szCs w:val="19"/>
        </w:rPr>
        <w:t xml:space="preserve">. Som mest </w:t>
      </w:r>
      <w:r w:rsidR="003F7735">
        <w:rPr>
          <w:szCs w:val="19"/>
        </w:rPr>
        <w:t>uppgick marknadsrisken till 7,9 </w:t>
      </w:r>
      <w:r>
        <w:rPr>
          <w:szCs w:val="19"/>
        </w:rPr>
        <w:t>miljarder kr</w:t>
      </w:r>
      <w:r>
        <w:rPr>
          <w:szCs w:val="19"/>
        </w:rPr>
        <w:t>o</w:t>
      </w:r>
      <w:r>
        <w:rPr>
          <w:szCs w:val="19"/>
        </w:rPr>
        <w:t>nor under året.</w:t>
      </w:r>
    </w:p>
    <w:p w:rsidR="00F71A96" w:rsidRDefault="00F71A96" w:rsidP="00453444">
      <w:pPr>
        <w:pStyle w:val="Normaltindrag"/>
      </w:pPr>
      <w:r w:rsidRPr="00795D32">
        <w:rPr>
          <w:szCs w:val="19"/>
        </w:rPr>
        <w:t>Marknadsrisken ökar normalt under perioder då det är oroligt på</w:t>
      </w:r>
      <w:r w:rsidRPr="00264565">
        <w:t xml:space="preserve"> de fina</w:t>
      </w:r>
      <w:r w:rsidRPr="00264565">
        <w:t>n</w:t>
      </w:r>
      <w:r w:rsidRPr="00264565">
        <w:t>siella</w:t>
      </w:r>
      <w:r w:rsidRPr="00922FBE">
        <w:t xml:space="preserve"> marknaderna.</w:t>
      </w:r>
      <w:r>
        <w:t xml:space="preserve"> Under den finansiella krisen </w:t>
      </w:r>
      <w:r w:rsidRPr="004936FF">
        <w:t>2008–</w:t>
      </w:r>
      <w:r>
        <w:t xml:space="preserve">2009 uppgick guld- och valutareservens VaR som mest till 25,9 miljarder kronor. </w:t>
      </w:r>
    </w:p>
    <w:p w:rsidR="00012493" w:rsidRDefault="00012493" w:rsidP="00012493">
      <w:pPr>
        <w:pStyle w:val="R3"/>
      </w:pPr>
      <w:r>
        <w:t>Kostnader för tillgångsförvaltningen</w:t>
      </w:r>
    </w:p>
    <w:p w:rsidR="00012493" w:rsidRPr="00012493" w:rsidRDefault="00012493" w:rsidP="001B12BE">
      <w:r w:rsidRPr="000F3278">
        <w:t xml:space="preserve">I kostnaderna för tillgångsförvaltningen ingår såväl kostnader för att förvalta guld- och valutareserven som kostnader för att genomföra penningpolitiken. </w:t>
      </w:r>
      <w:r>
        <w:t>K</w:t>
      </w:r>
      <w:r w:rsidRPr="000F3278">
        <w:t xml:space="preserve">ostnaderna för tillgångsförvaltningen </w:t>
      </w:r>
      <w:r>
        <w:t xml:space="preserve">uppgick under året </w:t>
      </w:r>
      <w:r w:rsidRPr="000F3278">
        <w:t xml:space="preserve">till </w:t>
      </w:r>
      <w:r>
        <w:t>97</w:t>
      </w:r>
      <w:r w:rsidRPr="000F3278">
        <w:t xml:space="preserve"> miljoner kronor, vilket kan jämföras med 9</w:t>
      </w:r>
      <w:r>
        <w:t>3</w:t>
      </w:r>
      <w:r w:rsidRPr="000F3278">
        <w:t xml:space="preserve"> miljoner kronor</w:t>
      </w:r>
      <w:r>
        <w:t xml:space="preserve"> under 2013 </w:t>
      </w:r>
      <w:r w:rsidRPr="0065048D">
        <w:t xml:space="preserve">(se avsnittet </w:t>
      </w:r>
      <w:r>
        <w:t>Balansräkning och resultaträkning</w:t>
      </w:r>
      <w:r w:rsidRPr="0065048D">
        <w:t>)</w:t>
      </w:r>
      <w:r w:rsidRPr="000F3278">
        <w:t>.</w:t>
      </w:r>
    </w:p>
    <w:p w:rsidR="00F71A96" w:rsidRDefault="00F71A96" w:rsidP="001B12BE">
      <w:pPr>
        <w:pStyle w:val="Diagramrubrik"/>
        <w:pageBreakBefore/>
        <w:spacing w:before="0"/>
      </w:pPr>
      <w:r w:rsidRPr="00F33EB1">
        <w:t xml:space="preserve">Diagram </w:t>
      </w:r>
      <w:r w:rsidR="0046170A">
        <w:t>25</w:t>
      </w:r>
      <w:r w:rsidRPr="00E24DE9">
        <w:t xml:space="preserve">. Value-at-Risk för </w:t>
      </w:r>
      <w:r w:rsidR="004469C0" w:rsidRPr="00E24DE9">
        <w:t xml:space="preserve">guld- och valutareserven </w:t>
      </w:r>
      <w:r w:rsidRPr="00E24DE9">
        <w:t xml:space="preserve">exklusive </w:t>
      </w:r>
      <w:r w:rsidR="004469C0" w:rsidRPr="00E24DE9">
        <w:t>nett</w:t>
      </w:r>
      <w:r w:rsidR="004469C0" w:rsidRPr="00E24DE9">
        <w:t>o</w:t>
      </w:r>
      <w:r w:rsidRPr="00E24DE9">
        <w:t xml:space="preserve">fordringar på IMF 2014, </w:t>
      </w:r>
      <w:r w:rsidRPr="00325334">
        <w:t>miljarder</w:t>
      </w:r>
      <w:r w:rsidRPr="00E24DE9">
        <w:t xml:space="preserve"> kronor</w:t>
      </w:r>
      <w:r>
        <w:t xml:space="preserve"> </w:t>
      </w:r>
    </w:p>
    <w:p w:rsidR="00F71A96" w:rsidRPr="00F976BA" w:rsidRDefault="00F71A96" w:rsidP="00F71A96">
      <w:pPr>
        <w:pStyle w:val="Normaltindrag"/>
        <w:spacing w:line="60" w:lineRule="exact"/>
        <w:rPr>
          <w:sz w:val="6"/>
          <w:szCs w:val="6"/>
        </w:rPr>
      </w:pPr>
    </w:p>
    <w:p w:rsidR="00F71A96" w:rsidRPr="00ED35A7" w:rsidRDefault="00A12E15" w:rsidP="00F71A96">
      <w:pPr>
        <w:pStyle w:val="Normaltindrag"/>
        <w:ind w:firstLine="0"/>
      </w:pPr>
      <w:r w:rsidRPr="009E2514">
        <w:rPr>
          <w:noProof/>
        </w:rPr>
        <w:drawing>
          <wp:inline distT="0" distB="0" distL="0" distR="0">
            <wp:extent cx="3781425" cy="2466975"/>
            <wp:effectExtent l="0" t="0" r="9525" b="9525"/>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81425" cy="2466975"/>
                    </a:xfrm>
                    <a:prstGeom prst="rect">
                      <a:avLst/>
                    </a:prstGeom>
                    <a:noFill/>
                    <a:ln>
                      <a:noFill/>
                    </a:ln>
                  </pic:spPr>
                </pic:pic>
              </a:graphicData>
            </a:graphic>
          </wp:inline>
        </w:drawing>
      </w:r>
    </w:p>
    <w:p w:rsidR="00F71A96" w:rsidRDefault="00F71A96" w:rsidP="007528E1">
      <w:pPr>
        <w:pStyle w:val="Fotnotstext"/>
      </w:pPr>
      <w:r w:rsidRPr="005C3097">
        <w:t>Anm</w:t>
      </w:r>
      <w:r>
        <w:t xml:space="preserve">. </w:t>
      </w:r>
      <w:r w:rsidRPr="00EC3D7F">
        <w:t xml:space="preserve">Sett över hela året </w:t>
      </w:r>
      <w:r>
        <w:t>stod</w:t>
      </w:r>
      <w:r w:rsidRPr="00EC3D7F">
        <w:t xml:space="preserve"> valutakursförändringar </w:t>
      </w:r>
      <w:r>
        <w:t>för det största bidraget</w:t>
      </w:r>
      <w:r w:rsidRPr="00EC3D7F">
        <w:t xml:space="preserve"> till den totala</w:t>
      </w:r>
      <w:r>
        <w:t xml:space="preserve"> </w:t>
      </w:r>
      <w:r w:rsidRPr="00EC3D7F">
        <w:t>risken.</w:t>
      </w:r>
      <w:r>
        <w:t xml:space="preserve"> Periodvis var d</w:t>
      </w:r>
      <w:r w:rsidRPr="005C3097">
        <w:t xml:space="preserve">en totala risken lägre än valutarisken, vilket </w:t>
      </w:r>
      <w:r>
        <w:t>beror på att övriga risker motverkade valutarisken</w:t>
      </w:r>
      <w:r w:rsidRPr="005C3097">
        <w:t>.</w:t>
      </w:r>
      <w:r w:rsidR="004469C0">
        <w:t xml:space="preserve"> Beräkningen av marknadsrisken baseras på både tillgångar och skulder och redovisas i diagrammet för Riksbankens netto</w:t>
      </w:r>
      <w:r w:rsidR="006C5726">
        <w:softHyphen/>
      </w:r>
      <w:r w:rsidR="004469C0">
        <w:t>fordrin</w:t>
      </w:r>
      <w:r w:rsidR="004469C0">
        <w:t>g</w:t>
      </w:r>
      <w:r w:rsidR="004469C0">
        <w:t>ar.</w:t>
      </w:r>
    </w:p>
    <w:p w:rsidR="00F71A96" w:rsidRPr="009C62FC" w:rsidRDefault="00F71A96" w:rsidP="00F71A96">
      <w:pPr>
        <w:pStyle w:val="Fotnotstext"/>
      </w:pPr>
      <w:r w:rsidRPr="009C62FC">
        <w:t>Källa: Riksbanken.</w:t>
      </w:r>
      <w:r w:rsidRPr="009C62FC">
        <w:tab/>
      </w:r>
    </w:p>
    <w:p w:rsidR="006004F5" w:rsidRPr="00405FE8" w:rsidRDefault="006004F5" w:rsidP="006004F5">
      <w:pPr>
        <w:pStyle w:val="R2"/>
        <w:rPr>
          <w:sz w:val="32"/>
          <w:szCs w:val="32"/>
        </w:rPr>
      </w:pPr>
      <w:r w:rsidRPr="00405FE8">
        <w:rPr>
          <w:sz w:val="32"/>
          <w:szCs w:val="32"/>
        </w:rPr>
        <w:t>Balansräkningens sammansättning</w:t>
      </w:r>
    </w:p>
    <w:p w:rsidR="009E6EEF" w:rsidRDefault="00E43899" w:rsidP="00453444">
      <w:r>
        <w:t>Många åtgärder som Riksbanken vidtar påverkar balansräkningen. Det inn</w:t>
      </w:r>
      <w:r>
        <w:t>e</w:t>
      </w:r>
      <w:r>
        <w:t>bär att storleken på och sammansättningen av balansräkningen variera</w:t>
      </w:r>
      <w:r w:rsidR="00F4663B">
        <w:t>r över tiden</w:t>
      </w:r>
      <w:r>
        <w:t xml:space="preserve">. </w:t>
      </w:r>
      <w:r w:rsidR="00F4663B">
        <w:t>Exempelvis medförde</w:t>
      </w:r>
      <w:r>
        <w:t xml:space="preserve"> Riksbankens extraordinära åtgärder </w:t>
      </w:r>
      <w:r w:rsidR="00F4663B">
        <w:t xml:space="preserve">under 2008 och 2009 </w:t>
      </w:r>
      <w:r>
        <w:t xml:space="preserve">att storleken på Riksbankens balansräkning (balansomslutningen, det vill säga värdet på Riksbankens </w:t>
      </w:r>
      <w:r w:rsidR="00BC37CD">
        <w:t xml:space="preserve">samtliga </w:t>
      </w:r>
      <w:r>
        <w:t>tillgångar) ökade mycket kra</w:t>
      </w:r>
      <w:r>
        <w:t>f</w:t>
      </w:r>
      <w:r>
        <w:t>tigt. Riksbanken har ingen uttalad policy för hur balansräkningen ska vara sammansatt. Utseendet på balansräkning</w:t>
      </w:r>
      <w:r w:rsidR="00BC37CD">
        <w:t>en</w:t>
      </w:r>
      <w:r>
        <w:t xml:space="preserve"> är </w:t>
      </w:r>
      <w:r w:rsidR="00DE3D19">
        <w:t>snarare</w:t>
      </w:r>
      <w:r>
        <w:t xml:space="preserve"> en följd av den ver</w:t>
      </w:r>
      <w:r>
        <w:t>k</w:t>
      </w:r>
      <w:r>
        <w:t>samhet som banken har bedrivit</w:t>
      </w:r>
      <w:r w:rsidR="00DE3D19">
        <w:t>. D</w:t>
      </w:r>
      <w:r>
        <w:t>iagram</w:t>
      </w:r>
      <w:r w:rsidR="00AD0B19">
        <w:t xml:space="preserve"> </w:t>
      </w:r>
      <w:r w:rsidR="0046170A">
        <w:t xml:space="preserve">26 </w:t>
      </w:r>
      <w:r>
        <w:t>visar sammansättningen vid slutet av 2013 och 2014.</w:t>
      </w:r>
    </w:p>
    <w:p w:rsidR="00DC651E" w:rsidRDefault="009E6EEF" w:rsidP="00DC651E">
      <w:pPr>
        <w:pStyle w:val="Normaltindrag"/>
      </w:pPr>
      <w:r>
        <w:t xml:space="preserve">Balansomslutningen uppgick till </w:t>
      </w:r>
      <w:r w:rsidR="007C08C7" w:rsidRPr="009F0EA9">
        <w:t>502,4</w:t>
      </w:r>
      <w:r w:rsidR="00AB751A">
        <w:t xml:space="preserve"> </w:t>
      </w:r>
      <w:r w:rsidRPr="009F0EA9">
        <w:t>miljarder</w:t>
      </w:r>
      <w:r>
        <w:t xml:space="preserve"> kronor vid slutet av 2014. </w:t>
      </w:r>
      <w:r w:rsidR="003C3C95">
        <w:t xml:space="preserve">Under året </w:t>
      </w:r>
      <w:r w:rsidR="003C3C95" w:rsidRPr="009F0EA9">
        <w:t>ökade</w:t>
      </w:r>
      <w:r w:rsidR="003C3C95">
        <w:t xml:space="preserve"> Riksbankens eget kapital (inklusive årets resultat och värd</w:t>
      </w:r>
      <w:r w:rsidR="003C3C95">
        <w:t>e</w:t>
      </w:r>
      <w:r w:rsidR="003C3C95">
        <w:t xml:space="preserve">regleringskonton) med </w:t>
      </w:r>
      <w:r w:rsidR="007C08C7" w:rsidRPr="009F0EA9">
        <w:t>27 401</w:t>
      </w:r>
      <w:r w:rsidR="003C3C95">
        <w:t xml:space="preserve"> miljoner kronor till </w:t>
      </w:r>
      <w:r w:rsidR="007C08C7" w:rsidRPr="009F0EA9">
        <w:t>109 408</w:t>
      </w:r>
      <w:r w:rsidR="003C3C95">
        <w:t xml:space="preserve"> miljoner kronor, </w:t>
      </w:r>
      <w:r w:rsidR="003C3C95" w:rsidRPr="009F0EA9">
        <w:t xml:space="preserve">främst till följd av </w:t>
      </w:r>
      <w:r w:rsidR="007C08C7" w:rsidRPr="009F0EA9">
        <w:t>en ökning av värdet på guld- och valutareserven</w:t>
      </w:r>
      <w:r w:rsidR="003C3C95">
        <w:t>.</w:t>
      </w:r>
    </w:p>
    <w:p w:rsidR="00E43899" w:rsidRPr="004F780D" w:rsidRDefault="006F60A8" w:rsidP="00F67CBE">
      <w:pPr>
        <w:pStyle w:val="Diagramrubrik"/>
      </w:pPr>
      <w:r w:rsidRPr="00F33EB1">
        <w:t xml:space="preserve">Diagram </w:t>
      </w:r>
      <w:r w:rsidR="0046170A">
        <w:t>26</w:t>
      </w:r>
      <w:r w:rsidRPr="00E24DE9">
        <w:t>.</w:t>
      </w:r>
      <w:r>
        <w:t xml:space="preserve"> Riksbankens balansräkning den 31 december 2013 och 2014, miljarder kronor</w:t>
      </w:r>
    </w:p>
    <w:p w:rsidR="00E43899" w:rsidRDefault="00A12E15" w:rsidP="00E43899">
      <w:pPr>
        <w:pStyle w:val="Normaltindrag"/>
        <w:ind w:firstLine="0"/>
      </w:pPr>
      <w:r w:rsidRPr="00BC6149">
        <w:rPr>
          <w:noProof/>
        </w:rPr>
        <w:drawing>
          <wp:inline distT="0" distB="0" distL="0" distR="0">
            <wp:extent cx="3781425" cy="2924175"/>
            <wp:effectExtent l="0" t="0" r="9525" b="9525"/>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781425" cy="2924175"/>
                    </a:xfrm>
                    <a:prstGeom prst="rect">
                      <a:avLst/>
                    </a:prstGeom>
                    <a:noFill/>
                    <a:ln>
                      <a:noFill/>
                    </a:ln>
                  </pic:spPr>
                </pic:pic>
              </a:graphicData>
            </a:graphic>
          </wp:inline>
        </w:drawing>
      </w:r>
    </w:p>
    <w:p w:rsidR="00E43899" w:rsidRDefault="00E43899" w:rsidP="00E43899">
      <w:pPr>
        <w:pStyle w:val="Fotnotstext"/>
        <w:rPr>
          <w:szCs w:val="17"/>
        </w:rPr>
      </w:pPr>
      <w:r w:rsidRPr="005F7553">
        <w:rPr>
          <w:szCs w:val="17"/>
        </w:rPr>
        <w:t>Källa: Riksbanken.</w:t>
      </w:r>
    </w:p>
    <w:p w:rsidR="00E43899" w:rsidRPr="00094655" w:rsidRDefault="00E43899" w:rsidP="00E43899">
      <w:pPr>
        <w:pStyle w:val="Fotnotstextindrag"/>
      </w:pPr>
    </w:p>
    <w:p w:rsidR="00DC651E" w:rsidRDefault="00DC651E" w:rsidP="00EF7EA1">
      <w:pPr>
        <w:suppressAutoHyphens/>
      </w:pPr>
      <w:r>
        <w:t xml:space="preserve">Den övervägande delen av Riksbankens tillgångar, </w:t>
      </w:r>
      <w:r w:rsidR="007C08C7" w:rsidRPr="009F0EA9">
        <w:t>97</w:t>
      </w:r>
      <w:r w:rsidR="007C08C7">
        <w:t xml:space="preserve"> </w:t>
      </w:r>
      <w:r>
        <w:t xml:space="preserve">procent, utgjordes av guld- och valutareserven (varav </w:t>
      </w:r>
      <w:r w:rsidR="007C08C7" w:rsidRPr="009F0EA9">
        <w:t xml:space="preserve">7 </w:t>
      </w:r>
      <w:r>
        <w:t xml:space="preserve">procent är fordringar på IMF). Den största delen på skuldsidan (Riksbankens skulder och eget kapital), </w:t>
      </w:r>
      <w:r w:rsidR="007C08C7" w:rsidRPr="009F0EA9">
        <w:t xml:space="preserve">45 </w:t>
      </w:r>
      <w:r>
        <w:t>procent, utgjordes av upplåning till valutareserven från Riksgälden</w:t>
      </w:r>
      <w:r w:rsidR="003B7944">
        <w:t xml:space="preserve"> medan </w:t>
      </w:r>
      <w:r w:rsidR="007C08C7" w:rsidRPr="009F0EA9">
        <w:t>10</w:t>
      </w:r>
      <w:r>
        <w:t xml:space="preserve"> procent bestod av svenska skulder, främst till Riksbankens motparter i form av inlåning (</w:t>
      </w:r>
      <w:r w:rsidR="00AB751A">
        <w:t xml:space="preserve">inlåningsfacilitet, </w:t>
      </w:r>
      <w:r>
        <w:t xml:space="preserve">finjusterande transaktioner och/eller emitterade riksbankscertifikat). Dessa tillgångar och skulder redovisas </w:t>
      </w:r>
      <w:r w:rsidR="00C303C4">
        <w:t>närmare i avsnitt</w:t>
      </w:r>
      <w:r w:rsidR="00D90D53">
        <w:t>et</w:t>
      </w:r>
      <w:r w:rsidR="00C303C4">
        <w:t xml:space="preserve"> Finansiella tillgångar och skulder</w:t>
      </w:r>
      <w:r>
        <w:t xml:space="preserve">. Sedlar och mynt utgjorde </w:t>
      </w:r>
      <w:r w:rsidR="007C08C7" w:rsidRPr="009F0EA9">
        <w:t xml:space="preserve">17 </w:t>
      </w:r>
      <w:r>
        <w:t>procent av Riksbankens skuldsida, medan värderegleringskonton och eget kapital sv</w:t>
      </w:r>
      <w:r>
        <w:t>a</w:t>
      </w:r>
      <w:r>
        <w:t xml:space="preserve">rade för </w:t>
      </w:r>
      <w:r w:rsidR="007C08C7" w:rsidRPr="009F0EA9">
        <w:t xml:space="preserve">22 </w:t>
      </w:r>
      <w:r>
        <w:t>procent. Posten Sedlar och mynt beskrivs närmare i avsnittet Ett säkert och effektivt betalningsväsende. Övriga tillgångar och skulder redov</w:t>
      </w:r>
      <w:r>
        <w:t>i</w:t>
      </w:r>
      <w:r>
        <w:t xml:space="preserve">sas närmare i avsnittet Balansräkning och resultaträkning. </w:t>
      </w:r>
    </w:p>
    <w:p w:rsidR="00DC651E" w:rsidRDefault="00DC651E" w:rsidP="00DC651E">
      <w:pPr>
        <w:pStyle w:val="Normaltindrag"/>
      </w:pPr>
      <w:r>
        <w:t xml:space="preserve">Balansomslutningen </w:t>
      </w:r>
      <w:r w:rsidRPr="009F0EA9">
        <w:t>ökade</w:t>
      </w:r>
      <w:r>
        <w:t xml:space="preserve"> under 2014 med </w:t>
      </w:r>
      <w:r w:rsidR="007C08C7" w:rsidRPr="009F0EA9">
        <w:t>7</w:t>
      </w:r>
      <w:r w:rsidR="00AB751A">
        <w:t>0</w:t>
      </w:r>
      <w:r w:rsidR="007C08C7" w:rsidRPr="009F0EA9">
        <w:t xml:space="preserve">,8 </w:t>
      </w:r>
      <w:r>
        <w:t xml:space="preserve">miljarder kronor till </w:t>
      </w:r>
      <w:r w:rsidR="007C08C7" w:rsidRPr="009F0EA9">
        <w:t>502,4</w:t>
      </w:r>
      <w:r>
        <w:t xml:space="preserve"> miljarder kronor, främst till följd av </w:t>
      </w:r>
      <w:r w:rsidRPr="009F0EA9">
        <w:t>värdeökning</w:t>
      </w:r>
      <w:r w:rsidR="00D74606" w:rsidRPr="009F0EA9">
        <w:t>en</w:t>
      </w:r>
      <w:r w:rsidRPr="009F0EA9">
        <w:t xml:space="preserve"> </w:t>
      </w:r>
      <w:r w:rsidR="00D74606" w:rsidRPr="009F0EA9">
        <w:t>i</w:t>
      </w:r>
      <w:r w:rsidRPr="009F0EA9">
        <w:t xml:space="preserve"> valut</w:t>
      </w:r>
      <w:r w:rsidRPr="009F0EA9">
        <w:t>a</w:t>
      </w:r>
      <w:r w:rsidRPr="009F0EA9">
        <w:t xml:space="preserve">reserven </w:t>
      </w:r>
      <w:r w:rsidR="00FE41B0">
        <w:t xml:space="preserve">till följd </w:t>
      </w:r>
      <w:r w:rsidRPr="009F0EA9">
        <w:t>av valutakursförändringar</w:t>
      </w:r>
      <w:r>
        <w:t>. Den utelöpande män</w:t>
      </w:r>
      <w:r>
        <w:t>g</w:t>
      </w:r>
      <w:r>
        <w:t xml:space="preserve">den sedlar och mynt fortsatte att minska och motsvarade </w:t>
      </w:r>
      <w:r w:rsidR="007C08C7" w:rsidRPr="009F0EA9">
        <w:t xml:space="preserve">17 </w:t>
      </w:r>
      <w:r>
        <w:t>procent av balansomslutningen vid årsskiftet 2014/15. Denna minskning ledde till att inlåningen i svenska kronor från Riksbankens motparter ökade.</w:t>
      </w:r>
    </w:p>
    <w:p w:rsidR="00DC651E" w:rsidRDefault="00DC651E" w:rsidP="00EF7EA1">
      <w:pPr>
        <w:pStyle w:val="Normaltindrag"/>
        <w:suppressAutoHyphens/>
      </w:pPr>
      <w:r>
        <w:t xml:space="preserve">Riksbankens intäkter är till allra största delen i utländsk valuta, medan kostnaderna till största delen är i svenska kronor. </w:t>
      </w:r>
      <w:r w:rsidR="009853F4">
        <w:t>I takt med att Riksbanken betalar sina kostnader</w:t>
      </w:r>
      <w:r w:rsidR="009F7196">
        <w:t>, eller betalar utdelning till staten,</w:t>
      </w:r>
      <w:r w:rsidR="009853F4">
        <w:t xml:space="preserve"> ökar därför mängden kronor i det svenska banksystemet. </w:t>
      </w:r>
      <w:r>
        <w:t xml:space="preserve">Riksbanken lämnade under 2014 en vinstutdelning på 3,3 miljarder kronor till statskassan. För att motverka att vinstutdelningen skulle leda till en motsvarande ökning av banksystemets </w:t>
      </w:r>
      <w:r w:rsidR="009D480D">
        <w:t>inlåning</w:t>
      </w:r>
      <w:r>
        <w:t xml:space="preserve"> i svenska kronor, sålde Riksbanken utländska värdepapper från valutareserven och växlade betalningen för dessa till svenska kronor. Dessa kr</w:t>
      </w:r>
      <w:r>
        <w:t>o</w:t>
      </w:r>
      <w:r>
        <w:t xml:space="preserve">nor användes sedan </w:t>
      </w:r>
      <w:r w:rsidR="00D74606">
        <w:t>till</w:t>
      </w:r>
      <w:r>
        <w:t xml:space="preserve"> vinstutdelningen.</w:t>
      </w:r>
    </w:p>
    <w:p w:rsidR="00E43899" w:rsidRDefault="00FD102A" w:rsidP="00EF7EA1">
      <w:pPr>
        <w:pStyle w:val="Normaltindrag"/>
        <w:suppressAutoHyphens/>
      </w:pPr>
      <w:r>
        <w:t xml:space="preserve">Under 2014 </w:t>
      </w:r>
      <w:r w:rsidR="00D74606">
        <w:t>påverkades</w:t>
      </w:r>
      <w:r>
        <w:t xml:space="preserve"> Riksbankens resultat </w:t>
      </w:r>
      <w:r w:rsidRPr="009F0EA9">
        <w:t xml:space="preserve">positivt av utvecklingen av </w:t>
      </w:r>
      <w:r w:rsidR="004D3877" w:rsidRPr="009F0EA9">
        <w:t xml:space="preserve">bland annat </w:t>
      </w:r>
      <w:r w:rsidRPr="009F0EA9">
        <w:t>valutakurserna för de valutor som valutareserven är placerad i</w:t>
      </w:r>
      <w:r>
        <w:t xml:space="preserve">. </w:t>
      </w:r>
      <w:r w:rsidR="00E43899">
        <w:t xml:space="preserve">Riksbanken </w:t>
      </w:r>
      <w:r w:rsidR="004D3877">
        <w:t>fortsatte att analysera</w:t>
      </w:r>
      <w:r w:rsidR="00010451">
        <w:t xml:space="preserve"> </w:t>
      </w:r>
      <w:r w:rsidR="00D74606">
        <w:t>vilken</w:t>
      </w:r>
      <w:r w:rsidR="00010451">
        <w:t xml:space="preserve"> resultatutveckling </w:t>
      </w:r>
      <w:r w:rsidR="00D74606">
        <w:t xml:space="preserve">som är möjlig </w:t>
      </w:r>
      <w:r w:rsidR="00E43899">
        <w:t>under de närmaste fem åren i ljuset av de effekter som utvecklingen av inter</w:t>
      </w:r>
      <w:r w:rsidR="00EF7EA1">
        <w:softHyphen/>
      </w:r>
      <w:r w:rsidR="00E43899">
        <w:t>nationella räntor kan ha på Riksbankens innehav av utländska värdepapper. De låga räntor som råder för närvarande medför att den löpande avkastningen på värdepapperen är låg. Om räntorna förblir låga kommer den löpande avkastningen att förbli låg. Om räntorna i stället börjar stiga kommer den löpande avkastningen gradvis att stiga, men samtidigt kommer värdet på Rik</w:t>
      </w:r>
      <w:r w:rsidR="00E43899">
        <w:t>s</w:t>
      </w:r>
      <w:r w:rsidR="00E43899">
        <w:t xml:space="preserve">bankens utländska värdepapper att sjunka, vilket försämrar </w:t>
      </w:r>
      <w:r w:rsidR="00C93C2E">
        <w:t xml:space="preserve">den totala </w:t>
      </w:r>
      <w:r w:rsidR="00E43899">
        <w:t>avkas</w:t>
      </w:r>
      <w:r w:rsidR="00E43899">
        <w:t>t</w:t>
      </w:r>
      <w:r w:rsidR="00E43899">
        <w:t>ningen i tillgångsförvaltningen. Analysen visar således att Riksbanken under den kommande femårsperioden förväntas få ett resultat som är väsentligt lägre än under den föregående femårsperioden, oavsett om räntorna förblir låga eller stiger. I det senare fallet kan Riksbanken på kort sikt komma att uppvisa betydande förluster. Om detta inträffar kommer Riksbankens möjli</w:t>
      </w:r>
      <w:r w:rsidR="00E43899">
        <w:t>g</w:t>
      </w:r>
      <w:r w:rsidR="00E43899">
        <w:t>heter att lämna utdelning till staten att vara begränsade.</w:t>
      </w:r>
    </w:p>
    <w:p w:rsidR="000061EA" w:rsidRDefault="00186EEC" w:rsidP="00556C89">
      <w:pPr>
        <w:pStyle w:val="R4"/>
        <w:pBdr>
          <w:top w:val="single" w:sz="4" w:space="1" w:color="auto"/>
          <w:left w:val="single" w:sz="4" w:space="4" w:color="auto"/>
          <w:right w:val="single" w:sz="4" w:space="4" w:color="auto"/>
        </w:pBdr>
        <w:outlineLvl w:val="0"/>
      </w:pPr>
      <w:r w:rsidRPr="00B25D67">
        <w:t>B</w:t>
      </w:r>
      <w:r w:rsidR="00DF531E" w:rsidRPr="00B25D67">
        <w:t xml:space="preserve">alansräkningens sammansättning, </w:t>
      </w:r>
      <w:r w:rsidRPr="00B25D67">
        <w:t>resulta</w:t>
      </w:r>
      <w:r w:rsidR="00DF531E" w:rsidRPr="00B25D67">
        <w:t>t och seignorage</w:t>
      </w:r>
      <w:r w:rsidR="00C70CCA" w:rsidRPr="00B25D67">
        <w:t xml:space="preserve"> </w:t>
      </w:r>
    </w:p>
    <w:p w:rsidR="00556C89" w:rsidRPr="00556C89" w:rsidRDefault="004E70D0" w:rsidP="008A0CBF">
      <w:pPr>
        <w:pBdr>
          <w:left w:val="single" w:sz="4" w:space="4" w:color="auto"/>
          <w:right w:val="single" w:sz="4" w:space="4" w:color="auto"/>
        </w:pBdr>
        <w:rPr>
          <w:szCs w:val="19"/>
        </w:rPr>
      </w:pPr>
      <w:r w:rsidRPr="00556C89">
        <w:t>Riksbankens resultat beror på avkastningen på bankens tillgångar, kostna</w:t>
      </w:r>
      <w:r w:rsidR="00EF7EA1">
        <w:softHyphen/>
      </w:r>
      <w:r w:rsidRPr="00556C89">
        <w:t>de</w:t>
      </w:r>
      <w:r w:rsidRPr="00556C89">
        <w:rPr>
          <w:szCs w:val="19"/>
        </w:rPr>
        <w:t>r</w:t>
      </w:r>
      <w:r w:rsidRPr="00556C89">
        <w:rPr>
          <w:szCs w:val="19"/>
        </w:rPr>
        <w:t xml:space="preserve">na för </w:t>
      </w:r>
      <w:r w:rsidR="00992661">
        <w:rPr>
          <w:szCs w:val="19"/>
        </w:rPr>
        <w:t>bankens</w:t>
      </w:r>
      <w:r w:rsidRPr="00556C89">
        <w:rPr>
          <w:szCs w:val="19"/>
        </w:rPr>
        <w:t xml:space="preserve"> skulder</w:t>
      </w:r>
      <w:r w:rsidR="00D74606">
        <w:rPr>
          <w:szCs w:val="19"/>
        </w:rPr>
        <w:t xml:space="preserve"> och</w:t>
      </w:r>
      <w:r w:rsidRPr="00556C89">
        <w:rPr>
          <w:szCs w:val="19"/>
        </w:rPr>
        <w:t xml:space="preserve"> kostnaderna för att bedriva verksamheten.</w:t>
      </w:r>
      <w:r w:rsidR="00556C89" w:rsidRPr="00556C89">
        <w:rPr>
          <w:szCs w:val="19"/>
        </w:rPr>
        <w:t xml:space="preserve"> Resultat är dock inget entydigt begrepp. </w:t>
      </w:r>
      <w:r w:rsidRPr="00556C89">
        <w:rPr>
          <w:szCs w:val="19"/>
        </w:rPr>
        <w:t>Det finns flera sätt att beräkna resu</w:t>
      </w:r>
      <w:r w:rsidRPr="00556C89">
        <w:rPr>
          <w:szCs w:val="19"/>
        </w:rPr>
        <w:t>l</w:t>
      </w:r>
      <w:r w:rsidRPr="00556C89">
        <w:rPr>
          <w:szCs w:val="19"/>
        </w:rPr>
        <w:t xml:space="preserve">tatet av Riksbankens verksamhet och olika mått används i olika sammanhang. </w:t>
      </w:r>
    </w:p>
    <w:p w:rsidR="004E70D0" w:rsidRPr="00B50456" w:rsidRDefault="004E70D0" w:rsidP="007457E1">
      <w:pPr>
        <w:pStyle w:val="Normaltindrag"/>
        <w:pBdr>
          <w:left w:val="single" w:sz="4" w:space="4" w:color="auto"/>
          <w:right w:val="single" w:sz="4" w:space="4" w:color="auto"/>
        </w:pBdr>
        <w:rPr>
          <w:rFonts w:ascii="Cambria" w:hAnsi="Cambria" w:cs="Cambria"/>
          <w:sz w:val="22"/>
        </w:rPr>
      </w:pPr>
      <w:r w:rsidRPr="004E70D0">
        <w:t xml:space="preserve">Det bredaste resultatmåttet kan benämnas </w:t>
      </w:r>
      <w:r w:rsidRPr="007457E1">
        <w:rPr>
          <w:i/>
        </w:rPr>
        <w:t>totalt resultat</w:t>
      </w:r>
      <w:r w:rsidRPr="004E70D0">
        <w:t xml:space="preserve"> och beskriver hur </w:t>
      </w:r>
      <w:r w:rsidR="00556C89">
        <w:t>Riks</w:t>
      </w:r>
      <w:r w:rsidRPr="004E70D0">
        <w:t xml:space="preserve">bankens eget kapital </w:t>
      </w:r>
      <w:r w:rsidR="00E4397C">
        <w:t xml:space="preserve">(inklusive värderegleringskonton) </w:t>
      </w:r>
      <w:r w:rsidRPr="004E70D0">
        <w:t>förändrats under året.</w:t>
      </w:r>
      <w:r w:rsidR="00556C89" w:rsidRPr="00556C89">
        <w:t xml:space="preserve"> Under 201</w:t>
      </w:r>
      <w:r w:rsidR="00E4397C">
        <w:t>4</w:t>
      </w:r>
      <w:r w:rsidR="00556C89" w:rsidRPr="00556C89">
        <w:t xml:space="preserve"> </w:t>
      </w:r>
      <w:r w:rsidR="00E4397C">
        <w:t>ökade</w:t>
      </w:r>
      <w:r w:rsidR="00556C89" w:rsidRPr="00556C89">
        <w:t xml:space="preserve"> det egna kapitalet med 2</w:t>
      </w:r>
      <w:r w:rsidR="00E4397C">
        <w:t>7 </w:t>
      </w:r>
      <w:r w:rsidR="004317D9">
        <w:t>401</w:t>
      </w:r>
      <w:r w:rsidR="00556C89" w:rsidRPr="00556C89">
        <w:t xml:space="preserve"> miljoner kronor. </w:t>
      </w:r>
      <w:r w:rsidR="00E4397C">
        <w:t>Om man beaktar att</w:t>
      </w:r>
      <w:r w:rsidR="00556C89" w:rsidRPr="00556C89">
        <w:t xml:space="preserve"> </w:t>
      </w:r>
      <w:r w:rsidR="004317D9">
        <w:t xml:space="preserve">det egna kapitalet minskade med 3 300 miljoner kronor i samband med att </w:t>
      </w:r>
      <w:r w:rsidR="00556C89" w:rsidRPr="00556C89">
        <w:t xml:space="preserve">Riksbanken </w:t>
      </w:r>
      <w:r w:rsidR="00E4397C">
        <w:t xml:space="preserve">under året </w:t>
      </w:r>
      <w:r w:rsidR="00556C89" w:rsidRPr="00556C89">
        <w:t xml:space="preserve">betalade </w:t>
      </w:r>
      <w:r w:rsidR="00556C89">
        <w:t>utdelning till staten</w:t>
      </w:r>
      <w:r w:rsidR="00315028">
        <w:t xml:space="preserve"> uppgick således det totala resultatet för 2014 till 27 </w:t>
      </w:r>
      <w:r w:rsidR="004317D9">
        <w:t>401</w:t>
      </w:r>
      <w:r w:rsidR="00315028">
        <w:t xml:space="preserve"> + 3 300 = </w:t>
      </w:r>
      <w:r w:rsidR="00E4397C">
        <w:t>30 701</w:t>
      </w:r>
      <w:r w:rsidR="00556C89" w:rsidRPr="00556C89">
        <w:t xml:space="preserve"> miljoner kronor.</w:t>
      </w:r>
    </w:p>
    <w:p w:rsidR="00CB5A42" w:rsidRPr="00CB5A42" w:rsidRDefault="004E70D0" w:rsidP="007457E1">
      <w:pPr>
        <w:pStyle w:val="Normaltindrag"/>
        <w:pBdr>
          <w:left w:val="single" w:sz="4" w:space="4" w:color="auto"/>
          <w:right w:val="single" w:sz="4" w:space="4" w:color="auto"/>
        </w:pBdr>
        <w:rPr>
          <w:szCs w:val="19"/>
        </w:rPr>
      </w:pPr>
      <w:r w:rsidRPr="004E70D0">
        <w:t xml:space="preserve">Det totala resultatet kan delas upp i olika beståndsdelar. Ett sätt är att skilja resultat som är realiserade från sådana som är orealiserade. </w:t>
      </w:r>
      <w:r w:rsidRPr="00E659D1">
        <w:t>Realiserade resu</w:t>
      </w:r>
      <w:r w:rsidRPr="00E659D1">
        <w:t>l</w:t>
      </w:r>
      <w:r w:rsidRPr="00E659D1">
        <w:t>tat</w:t>
      </w:r>
      <w:r w:rsidRPr="004E70D0">
        <w:t xml:space="preserve"> uppstår till exempel när Riksbanken </w:t>
      </w:r>
      <w:r w:rsidR="00D74606">
        <w:t>får</w:t>
      </w:r>
      <w:r w:rsidRPr="004E70D0">
        <w:t xml:space="preserve"> ränta på banktillgodohavanden, när man säljer </w:t>
      </w:r>
      <w:r w:rsidR="00C37C2D">
        <w:t>värde</w:t>
      </w:r>
      <w:r w:rsidRPr="004E70D0">
        <w:t xml:space="preserve">papper som man tidigare köpt, eller när man betalar ut löner. </w:t>
      </w:r>
      <w:r w:rsidRPr="00E659D1">
        <w:t>Orealiserade resultat</w:t>
      </w:r>
      <w:r w:rsidRPr="004E70D0">
        <w:t xml:space="preserve"> uppstår när värdet förändras på tillgångar som banken fortfarande äger, till exempel om priset på guld förändras. Ett annat sätt att dela upp </w:t>
      </w:r>
      <w:r w:rsidRPr="00CB5A42">
        <w:rPr>
          <w:szCs w:val="19"/>
        </w:rPr>
        <w:t>Riksbankens resultat är att separera sådant som kan härledas till räntor och värdepappersinnehav från sådant som är relaterat till guld- och valutainnehav.</w:t>
      </w:r>
    </w:p>
    <w:p w:rsidR="007457E1" w:rsidRDefault="004E70D0" w:rsidP="00D126DF">
      <w:pPr>
        <w:pStyle w:val="Normaltindrag"/>
        <w:pBdr>
          <w:left w:val="single" w:sz="4" w:space="4" w:color="auto"/>
          <w:right w:val="single" w:sz="4" w:space="4" w:color="auto"/>
        </w:pBdr>
        <w:rPr>
          <w:szCs w:val="19"/>
        </w:rPr>
      </w:pPr>
      <w:r w:rsidRPr="00CB5A42">
        <w:rPr>
          <w:szCs w:val="19"/>
        </w:rPr>
        <w:t xml:space="preserve">I tabell </w:t>
      </w:r>
      <w:r w:rsidR="00CB5A42" w:rsidRPr="00CB5A42">
        <w:rPr>
          <w:szCs w:val="19"/>
        </w:rPr>
        <w:t>6</w:t>
      </w:r>
      <w:r w:rsidRPr="00CB5A42">
        <w:rPr>
          <w:szCs w:val="19"/>
        </w:rPr>
        <w:t xml:space="preserve"> har </w:t>
      </w:r>
      <w:r w:rsidR="00CB5A42" w:rsidRPr="00CB5A42">
        <w:rPr>
          <w:szCs w:val="19"/>
        </w:rPr>
        <w:t>201</w:t>
      </w:r>
      <w:r w:rsidR="00315028">
        <w:rPr>
          <w:szCs w:val="19"/>
        </w:rPr>
        <w:t>4</w:t>
      </w:r>
      <w:r w:rsidR="00CB5A42" w:rsidRPr="00CB5A42">
        <w:rPr>
          <w:szCs w:val="19"/>
        </w:rPr>
        <w:t xml:space="preserve"> års totala </w:t>
      </w:r>
      <w:r w:rsidR="00CB5A42" w:rsidRPr="00D12DF8">
        <w:rPr>
          <w:szCs w:val="19"/>
        </w:rPr>
        <w:t xml:space="preserve">resultat på </w:t>
      </w:r>
      <w:r w:rsidR="00315028">
        <w:rPr>
          <w:szCs w:val="19"/>
        </w:rPr>
        <w:t>30</w:t>
      </w:r>
      <w:r w:rsidR="00315028">
        <w:t> 701</w:t>
      </w:r>
      <w:r w:rsidR="00CB5A42" w:rsidRPr="00D12DF8">
        <w:rPr>
          <w:szCs w:val="19"/>
        </w:rPr>
        <w:t xml:space="preserve"> miljoner kronor delats upp </w:t>
      </w:r>
      <w:r w:rsidRPr="00D12DF8">
        <w:rPr>
          <w:szCs w:val="19"/>
        </w:rPr>
        <w:t xml:space="preserve">i fyra delar. Det realiserade resultatet från räntor och värdepapper uppgick till </w:t>
      </w:r>
      <w:r w:rsidR="00315028">
        <w:rPr>
          <w:szCs w:val="19"/>
        </w:rPr>
        <w:t>2 723</w:t>
      </w:r>
      <w:r w:rsidRPr="00D12DF8">
        <w:rPr>
          <w:szCs w:val="19"/>
        </w:rPr>
        <w:t xml:space="preserve"> miljoner kronor. Här ingår </w:t>
      </w:r>
      <w:r w:rsidR="00CB5A42" w:rsidRPr="00D12DF8">
        <w:rPr>
          <w:szCs w:val="19"/>
        </w:rPr>
        <w:t>Riksbankens ränteintäkter och räntekostn</w:t>
      </w:r>
      <w:r w:rsidR="00CB5A42" w:rsidRPr="00D12DF8">
        <w:rPr>
          <w:szCs w:val="19"/>
        </w:rPr>
        <w:t>a</w:t>
      </w:r>
      <w:r w:rsidR="00CB5A42" w:rsidRPr="00D12DF8">
        <w:rPr>
          <w:szCs w:val="19"/>
        </w:rPr>
        <w:t xml:space="preserve">der samt </w:t>
      </w:r>
      <w:r w:rsidR="003F2C9C">
        <w:rPr>
          <w:szCs w:val="19"/>
        </w:rPr>
        <w:t>netto</w:t>
      </w:r>
      <w:r w:rsidR="00CB5A42" w:rsidRPr="00D12DF8">
        <w:rPr>
          <w:szCs w:val="19"/>
        </w:rPr>
        <w:t>resul</w:t>
      </w:r>
      <w:r w:rsidR="003F2C9C">
        <w:rPr>
          <w:szCs w:val="19"/>
        </w:rPr>
        <w:t xml:space="preserve">tatet av </w:t>
      </w:r>
      <w:r w:rsidR="00CB5A42" w:rsidRPr="00D12DF8">
        <w:rPr>
          <w:szCs w:val="19"/>
        </w:rPr>
        <w:t>samtliga transaktioner och nedskrivningar</w:t>
      </w:r>
      <w:r w:rsidR="003F2C9C">
        <w:rPr>
          <w:szCs w:val="19"/>
        </w:rPr>
        <w:t xml:space="preserve"> som avser värdepapper</w:t>
      </w:r>
      <w:r w:rsidR="00CB5A42" w:rsidRPr="00D12DF8">
        <w:rPr>
          <w:szCs w:val="19"/>
        </w:rPr>
        <w:t xml:space="preserve">. </w:t>
      </w:r>
      <w:r w:rsidR="003F2C9C">
        <w:rPr>
          <w:szCs w:val="19"/>
        </w:rPr>
        <w:t>D</w:t>
      </w:r>
      <w:r w:rsidR="00CB5A42" w:rsidRPr="00D12DF8">
        <w:rPr>
          <w:szCs w:val="19"/>
        </w:rPr>
        <w:t xml:space="preserve">essutom </w:t>
      </w:r>
      <w:r w:rsidR="003F2C9C">
        <w:rPr>
          <w:szCs w:val="19"/>
        </w:rPr>
        <w:t>ingår</w:t>
      </w:r>
      <w:r w:rsidR="00CB5A42" w:rsidRPr="00D12DF8">
        <w:rPr>
          <w:szCs w:val="19"/>
        </w:rPr>
        <w:t xml:space="preserve"> posten övriga intäkter, i huvudsak utde</w:t>
      </w:r>
      <w:r w:rsidR="00CB5A42" w:rsidRPr="00D12DF8">
        <w:rPr>
          <w:szCs w:val="19"/>
        </w:rPr>
        <w:t>l</w:t>
      </w:r>
      <w:r w:rsidR="00CB5A42" w:rsidRPr="00D12DF8">
        <w:rPr>
          <w:szCs w:val="19"/>
        </w:rPr>
        <w:t>ning på Riksbankens aktier i BIS och avgifter från användarna av betalnings</w:t>
      </w:r>
      <w:r w:rsidR="00CB5A42" w:rsidRPr="00D12DF8">
        <w:rPr>
          <w:szCs w:val="19"/>
        </w:rPr>
        <w:softHyphen/>
        <w:t>systemet</w:t>
      </w:r>
      <w:r w:rsidR="007A6541">
        <w:rPr>
          <w:szCs w:val="19"/>
        </w:rPr>
        <w:t xml:space="preserve"> RIX</w:t>
      </w:r>
      <w:r w:rsidR="00CB5A42" w:rsidRPr="00D12DF8">
        <w:rPr>
          <w:szCs w:val="19"/>
        </w:rPr>
        <w:t xml:space="preserve">, </w:t>
      </w:r>
      <w:r w:rsidR="00045C4F">
        <w:rPr>
          <w:szCs w:val="19"/>
        </w:rPr>
        <w:t>och</w:t>
      </w:r>
      <w:r w:rsidR="00045C4F" w:rsidRPr="00D12DF8">
        <w:rPr>
          <w:szCs w:val="19"/>
        </w:rPr>
        <w:t xml:space="preserve"> </w:t>
      </w:r>
      <w:r w:rsidR="00CB5A42" w:rsidRPr="00D12DF8">
        <w:rPr>
          <w:szCs w:val="19"/>
        </w:rPr>
        <w:t>kostnader för perso</w:t>
      </w:r>
      <w:r w:rsidR="00EF7EA1">
        <w:rPr>
          <w:szCs w:val="19"/>
        </w:rPr>
        <w:t>nal, administration och avskriv</w:t>
      </w:r>
      <w:r w:rsidR="00CB5A42" w:rsidRPr="00D12DF8">
        <w:rPr>
          <w:szCs w:val="19"/>
        </w:rPr>
        <w:t>ningar. Det realiserade resultatet från guld- och valutatransaktioner, inklusive</w:t>
      </w:r>
      <w:r w:rsidRPr="00D12DF8">
        <w:rPr>
          <w:szCs w:val="19"/>
        </w:rPr>
        <w:t xml:space="preserve"> ne</w:t>
      </w:r>
      <w:r w:rsidRPr="00D12DF8">
        <w:rPr>
          <w:szCs w:val="19"/>
        </w:rPr>
        <w:t>d</w:t>
      </w:r>
      <w:r w:rsidRPr="00D12DF8">
        <w:rPr>
          <w:szCs w:val="19"/>
        </w:rPr>
        <w:t xml:space="preserve">skrivningar, uppgick till </w:t>
      </w:r>
      <w:r w:rsidR="00AC4D75">
        <w:rPr>
          <w:szCs w:val="19"/>
        </w:rPr>
        <w:t>544</w:t>
      </w:r>
      <w:r w:rsidR="00CB5A42" w:rsidRPr="00D12DF8">
        <w:rPr>
          <w:szCs w:val="19"/>
        </w:rPr>
        <w:t xml:space="preserve"> miljoner kronor</w:t>
      </w:r>
      <w:r w:rsidRPr="00D12DF8">
        <w:rPr>
          <w:szCs w:val="19"/>
        </w:rPr>
        <w:t xml:space="preserve">. Det orealiserade resultatet till följd av </w:t>
      </w:r>
      <w:r w:rsidR="00AC4D75">
        <w:rPr>
          <w:szCs w:val="19"/>
        </w:rPr>
        <w:t>fallande</w:t>
      </w:r>
      <w:r w:rsidRPr="00D12DF8">
        <w:rPr>
          <w:szCs w:val="19"/>
        </w:rPr>
        <w:t xml:space="preserve"> räntor uppgick till </w:t>
      </w:r>
      <w:r w:rsidR="00AC4D75" w:rsidRPr="00AC4D75">
        <w:rPr>
          <w:color w:val="000000"/>
          <w:szCs w:val="19"/>
        </w:rPr>
        <w:t>6 296</w:t>
      </w:r>
      <w:r w:rsidR="00AC4D75">
        <w:rPr>
          <w:color w:val="000000"/>
          <w:sz w:val="16"/>
          <w:szCs w:val="16"/>
        </w:rPr>
        <w:t xml:space="preserve"> </w:t>
      </w:r>
      <w:r w:rsidRPr="00D12DF8">
        <w:rPr>
          <w:szCs w:val="19"/>
        </w:rPr>
        <w:t xml:space="preserve">miljoner kronor medan det som orsakades av </w:t>
      </w:r>
      <w:r w:rsidR="00AC4D75">
        <w:rPr>
          <w:szCs w:val="19"/>
        </w:rPr>
        <w:t>stigande</w:t>
      </w:r>
      <w:r w:rsidRPr="00D12DF8">
        <w:rPr>
          <w:szCs w:val="19"/>
        </w:rPr>
        <w:t xml:space="preserve"> guld- och valutakurser uppgick till </w:t>
      </w:r>
      <w:r w:rsidR="00AC4D75" w:rsidRPr="00AC4D75">
        <w:rPr>
          <w:szCs w:val="19"/>
        </w:rPr>
        <w:t>21</w:t>
      </w:r>
      <w:r w:rsidR="00AC4D75">
        <w:rPr>
          <w:szCs w:val="19"/>
        </w:rPr>
        <w:t> </w:t>
      </w:r>
      <w:r w:rsidR="00AC4D75" w:rsidRPr="00AC4D75">
        <w:rPr>
          <w:szCs w:val="19"/>
        </w:rPr>
        <w:t>138</w:t>
      </w:r>
      <w:r w:rsidR="00AC4D75">
        <w:rPr>
          <w:szCs w:val="19"/>
        </w:rPr>
        <w:t xml:space="preserve"> </w:t>
      </w:r>
      <w:r w:rsidRPr="00D12DF8">
        <w:rPr>
          <w:szCs w:val="19"/>
        </w:rPr>
        <w:t>miljoner kronor.</w:t>
      </w:r>
      <w:r w:rsidR="00FD5D19">
        <w:rPr>
          <w:szCs w:val="19"/>
        </w:rPr>
        <w:t xml:space="preserve"> </w:t>
      </w:r>
    </w:p>
    <w:p w:rsidR="007457E1" w:rsidRPr="00FF56E4" w:rsidRDefault="00A12E15" w:rsidP="00AB751A">
      <w:pPr>
        <w:pStyle w:val="Diagramrubrik"/>
      </w:pPr>
      <w:r w:rsidRPr="00FF56E4">
        <w:rPr>
          <w:noProof/>
        </w:rPr>
        <mc:AlternateContent>
          <mc:Choice Requires="wps">
            <w:drawing>
              <wp:anchor distT="0" distB="0" distL="114300" distR="114300" simplePos="0" relativeHeight="251655168" behindDoc="0" locked="0" layoutInCell="1" allowOverlap="1">
                <wp:simplePos x="0" y="0"/>
                <wp:positionH relativeFrom="column">
                  <wp:posOffset>3860800</wp:posOffset>
                </wp:positionH>
                <wp:positionV relativeFrom="paragraph">
                  <wp:posOffset>6350</wp:posOffset>
                </wp:positionV>
                <wp:extent cx="0" cy="965200"/>
                <wp:effectExtent l="12700" t="6350" r="6350" b="9525"/>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EED58" id="_x0000_t32" coordsize="21600,21600" o:spt="32" o:oned="t" path="m,l21600,21600e" filled="f">
                <v:path arrowok="t" fillok="f" o:connecttype="none"/>
                <o:lock v:ext="edit" shapetype="t"/>
              </v:shapetype>
              <v:shape id="AutoShape 16" o:spid="_x0000_s1026" type="#_x0000_t32" style="position:absolute;margin-left:304pt;margin-top:.5pt;width:0;height: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RE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" strokeweight=".5pt"/>
            </w:pict>
          </mc:Fallback>
        </mc:AlternateContent>
      </w:r>
      <w:r w:rsidRPr="00FF56E4">
        <w:rPr>
          <w:noProof/>
        </w:rPr>
        <mc:AlternateContent>
          <mc:Choice Requires="wps">
            <w:drawing>
              <wp:anchor distT="0" distB="0" distL="114300" distR="114300" simplePos="0" relativeHeight="251656192" behindDoc="0" locked="0" layoutInCell="1" allowOverlap="1">
                <wp:simplePos x="0" y="0"/>
                <wp:positionH relativeFrom="column">
                  <wp:posOffset>-72390</wp:posOffset>
                </wp:positionH>
                <wp:positionV relativeFrom="paragraph">
                  <wp:posOffset>-10795</wp:posOffset>
                </wp:positionV>
                <wp:extent cx="0" cy="965200"/>
                <wp:effectExtent l="13335" t="8255" r="5715" b="7620"/>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52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DFA27" id="AutoShape 17" o:spid="_x0000_s1026" type="#_x0000_t32" style="position:absolute;margin-left:-5.7pt;margin-top:-.85pt;width:0;height: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tHQ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" strokeweight=".5pt"/>
            </w:pict>
          </mc:Fallback>
        </mc:AlternateContent>
      </w:r>
      <w:r w:rsidR="007457E1" w:rsidRPr="00FF56E4">
        <w:t>Tabell 6. Resultatmatris, miljoner kronor</w:t>
      </w:r>
    </w:p>
    <w:tbl>
      <w:tblPr>
        <w:tblW w:w="6031" w:type="dxa"/>
        <w:tblInd w:w="108" w:type="dxa"/>
        <w:tblLayout w:type="fixed"/>
        <w:tblLook w:val="01E0" w:firstRow="1" w:lastRow="1" w:firstColumn="1" w:lastColumn="1" w:noHBand="0" w:noVBand="0"/>
      </w:tblPr>
      <w:tblGrid>
        <w:gridCol w:w="3399"/>
        <w:gridCol w:w="1279"/>
        <w:gridCol w:w="1353"/>
      </w:tblGrid>
      <w:tr w:rsidR="007457E1" w:rsidRPr="00AD596A" w:rsidTr="007457E1">
        <w:trPr>
          <w:trHeight w:val="383"/>
        </w:trPr>
        <w:tc>
          <w:tcPr>
            <w:tcW w:w="3399" w:type="dxa"/>
            <w:tcBorders>
              <w:top w:val="single" w:sz="4" w:space="0" w:color="auto"/>
            </w:tcBorders>
            <w:shd w:val="clear" w:color="auto" w:fill="auto"/>
            <w:vAlign w:val="center"/>
          </w:tcPr>
          <w:p w:rsidR="007457E1" w:rsidRPr="00AD596A" w:rsidRDefault="007457E1" w:rsidP="007457E1">
            <w:pPr>
              <w:jc w:val="right"/>
              <w:rPr>
                <w:b/>
                <w:sz w:val="16"/>
                <w:szCs w:val="16"/>
              </w:rPr>
            </w:pPr>
          </w:p>
        </w:tc>
        <w:tc>
          <w:tcPr>
            <w:tcW w:w="1279" w:type="dxa"/>
            <w:tcBorders>
              <w:top w:val="single" w:sz="4" w:space="0" w:color="auto"/>
            </w:tcBorders>
            <w:shd w:val="clear" w:color="auto" w:fill="auto"/>
            <w:vAlign w:val="center"/>
          </w:tcPr>
          <w:p w:rsidR="007457E1" w:rsidRPr="00AD596A" w:rsidRDefault="007457E1" w:rsidP="00CB2F3A">
            <w:pPr>
              <w:spacing w:before="0" w:line="200" w:lineRule="exact"/>
              <w:ind w:right="-51"/>
              <w:jc w:val="right"/>
              <w:rPr>
                <w:b/>
                <w:sz w:val="16"/>
                <w:szCs w:val="16"/>
              </w:rPr>
            </w:pPr>
            <w:r w:rsidRPr="007457E1">
              <w:rPr>
                <w:b/>
                <w:sz w:val="16"/>
                <w:szCs w:val="16"/>
              </w:rPr>
              <w:t>Räntor och värdepapper</w:t>
            </w:r>
          </w:p>
        </w:tc>
        <w:tc>
          <w:tcPr>
            <w:tcW w:w="1353" w:type="dxa"/>
            <w:tcBorders>
              <w:top w:val="single" w:sz="4" w:space="0" w:color="auto"/>
            </w:tcBorders>
            <w:shd w:val="clear" w:color="auto" w:fill="auto"/>
            <w:vAlign w:val="center"/>
          </w:tcPr>
          <w:p w:rsidR="00CB2F3A" w:rsidRDefault="007457E1" w:rsidP="00CB2F3A">
            <w:pPr>
              <w:spacing w:before="0" w:line="200" w:lineRule="exact"/>
              <w:ind w:right="-51"/>
              <w:jc w:val="right"/>
              <w:rPr>
                <w:b/>
                <w:sz w:val="16"/>
                <w:szCs w:val="16"/>
              </w:rPr>
            </w:pPr>
            <w:r w:rsidRPr="007457E1">
              <w:rPr>
                <w:b/>
                <w:sz w:val="16"/>
                <w:szCs w:val="16"/>
              </w:rPr>
              <w:t xml:space="preserve">Guld och </w:t>
            </w:r>
          </w:p>
          <w:p w:rsidR="007457E1" w:rsidRPr="00AD596A" w:rsidRDefault="007457E1" w:rsidP="00CB2F3A">
            <w:pPr>
              <w:spacing w:before="0" w:line="200" w:lineRule="exact"/>
              <w:ind w:right="-51"/>
              <w:jc w:val="right"/>
              <w:rPr>
                <w:b/>
                <w:sz w:val="16"/>
                <w:szCs w:val="16"/>
              </w:rPr>
            </w:pPr>
            <w:r w:rsidRPr="007457E1">
              <w:rPr>
                <w:b/>
                <w:sz w:val="16"/>
                <w:szCs w:val="16"/>
              </w:rPr>
              <w:t>valuta</w:t>
            </w:r>
          </w:p>
        </w:tc>
      </w:tr>
      <w:tr w:rsidR="007457E1" w:rsidRPr="007457E1" w:rsidTr="007457E1">
        <w:tc>
          <w:tcPr>
            <w:tcW w:w="3399" w:type="dxa"/>
            <w:tcBorders>
              <w:top w:val="single" w:sz="4" w:space="0" w:color="auto"/>
            </w:tcBorders>
            <w:shd w:val="clear" w:color="auto" w:fill="auto"/>
          </w:tcPr>
          <w:p w:rsidR="007457E1" w:rsidRPr="007457E1" w:rsidRDefault="007457E1" w:rsidP="007457E1">
            <w:pPr>
              <w:spacing w:before="60" w:line="200" w:lineRule="exact"/>
              <w:jc w:val="left"/>
              <w:rPr>
                <w:b/>
                <w:sz w:val="16"/>
                <w:szCs w:val="16"/>
              </w:rPr>
            </w:pPr>
            <w:r w:rsidRPr="007457E1">
              <w:rPr>
                <w:color w:val="000000"/>
                <w:sz w:val="16"/>
                <w:szCs w:val="16"/>
              </w:rPr>
              <w:t>Realiserat resultat</w:t>
            </w:r>
          </w:p>
        </w:tc>
        <w:tc>
          <w:tcPr>
            <w:tcW w:w="1279" w:type="dxa"/>
            <w:tcBorders>
              <w:top w:val="single" w:sz="4" w:space="0" w:color="auto"/>
            </w:tcBorders>
            <w:shd w:val="clear" w:color="auto" w:fill="auto"/>
          </w:tcPr>
          <w:p w:rsidR="007457E1" w:rsidRPr="007457E1" w:rsidRDefault="00AC4D75" w:rsidP="007457E1">
            <w:pPr>
              <w:spacing w:before="60" w:line="200" w:lineRule="exact"/>
              <w:jc w:val="right"/>
              <w:rPr>
                <w:b/>
                <w:sz w:val="16"/>
                <w:szCs w:val="16"/>
                <w:highlight w:val="yellow"/>
              </w:rPr>
            </w:pPr>
            <w:r>
              <w:rPr>
                <w:color w:val="000000"/>
                <w:sz w:val="16"/>
                <w:szCs w:val="16"/>
              </w:rPr>
              <w:t>2 723</w:t>
            </w:r>
          </w:p>
        </w:tc>
        <w:tc>
          <w:tcPr>
            <w:tcW w:w="1353" w:type="dxa"/>
            <w:tcBorders>
              <w:top w:val="single" w:sz="4" w:space="0" w:color="auto"/>
            </w:tcBorders>
            <w:shd w:val="clear" w:color="auto" w:fill="auto"/>
          </w:tcPr>
          <w:p w:rsidR="007457E1" w:rsidRPr="007457E1" w:rsidRDefault="00AC4D75" w:rsidP="007457E1">
            <w:pPr>
              <w:spacing w:before="60" w:line="200" w:lineRule="exact"/>
              <w:jc w:val="right"/>
              <w:rPr>
                <w:b/>
                <w:sz w:val="16"/>
                <w:szCs w:val="16"/>
                <w:highlight w:val="yellow"/>
              </w:rPr>
            </w:pPr>
            <w:r>
              <w:rPr>
                <w:color w:val="000000"/>
                <w:sz w:val="16"/>
                <w:szCs w:val="16"/>
              </w:rPr>
              <w:t>544</w:t>
            </w:r>
          </w:p>
        </w:tc>
      </w:tr>
      <w:tr w:rsidR="007457E1" w:rsidRPr="00E94478" w:rsidTr="007457E1">
        <w:tc>
          <w:tcPr>
            <w:tcW w:w="3399" w:type="dxa"/>
            <w:tcBorders>
              <w:bottom w:val="single" w:sz="4" w:space="0" w:color="auto"/>
            </w:tcBorders>
            <w:shd w:val="clear" w:color="auto" w:fill="auto"/>
            <w:vAlign w:val="center"/>
          </w:tcPr>
          <w:p w:rsidR="007457E1" w:rsidRPr="004D494B" w:rsidRDefault="007457E1" w:rsidP="007457E1">
            <w:pPr>
              <w:spacing w:before="60" w:line="200" w:lineRule="exact"/>
              <w:jc w:val="left"/>
              <w:rPr>
                <w:sz w:val="16"/>
                <w:szCs w:val="16"/>
              </w:rPr>
            </w:pPr>
            <w:r w:rsidRPr="007457E1">
              <w:rPr>
                <w:sz w:val="16"/>
                <w:szCs w:val="16"/>
              </w:rPr>
              <w:t>Orealiserat resultat</w:t>
            </w:r>
          </w:p>
        </w:tc>
        <w:tc>
          <w:tcPr>
            <w:tcW w:w="1279" w:type="dxa"/>
            <w:tcBorders>
              <w:bottom w:val="single" w:sz="4" w:space="0" w:color="auto"/>
            </w:tcBorders>
            <w:shd w:val="clear" w:color="auto" w:fill="auto"/>
            <w:vAlign w:val="center"/>
          </w:tcPr>
          <w:p w:rsidR="007457E1" w:rsidRPr="007457E1" w:rsidRDefault="00AC4D75" w:rsidP="007457E1">
            <w:pPr>
              <w:spacing w:before="60" w:line="200" w:lineRule="exact"/>
              <w:jc w:val="right"/>
              <w:rPr>
                <w:sz w:val="16"/>
                <w:szCs w:val="16"/>
                <w:highlight w:val="yellow"/>
              </w:rPr>
            </w:pPr>
            <w:r>
              <w:rPr>
                <w:color w:val="000000"/>
                <w:sz w:val="16"/>
                <w:szCs w:val="16"/>
              </w:rPr>
              <w:t>6 296</w:t>
            </w:r>
          </w:p>
        </w:tc>
        <w:tc>
          <w:tcPr>
            <w:tcW w:w="1353" w:type="dxa"/>
            <w:tcBorders>
              <w:bottom w:val="single" w:sz="4" w:space="0" w:color="auto"/>
            </w:tcBorders>
            <w:shd w:val="clear" w:color="auto" w:fill="auto"/>
            <w:vAlign w:val="center"/>
          </w:tcPr>
          <w:p w:rsidR="007457E1" w:rsidRPr="007457E1" w:rsidRDefault="00AC4D75" w:rsidP="007457E1">
            <w:pPr>
              <w:spacing w:before="60" w:line="200" w:lineRule="exact"/>
              <w:jc w:val="right"/>
              <w:rPr>
                <w:sz w:val="16"/>
                <w:szCs w:val="16"/>
                <w:highlight w:val="yellow"/>
              </w:rPr>
            </w:pPr>
            <w:r>
              <w:rPr>
                <w:color w:val="000000"/>
                <w:sz w:val="16"/>
                <w:szCs w:val="16"/>
              </w:rPr>
              <w:t>21 138</w:t>
            </w:r>
          </w:p>
        </w:tc>
      </w:tr>
    </w:tbl>
    <w:p w:rsidR="007457E1" w:rsidRDefault="007457E1" w:rsidP="008A0CBF">
      <w:pPr>
        <w:pStyle w:val="Fotnotstext"/>
        <w:pBdr>
          <w:left w:val="single" w:sz="4" w:space="4" w:color="auto"/>
          <w:right w:val="single" w:sz="4" w:space="4" w:color="auto"/>
        </w:pBdr>
      </w:pPr>
      <w:r w:rsidRPr="009C62FC">
        <w:t>Källa: Riksbanken.</w:t>
      </w:r>
      <w:r w:rsidR="00261B9A" w:rsidRPr="00261B9A">
        <w:rPr>
          <w:b/>
          <w:noProof/>
        </w:rPr>
        <w:t xml:space="preserve"> </w:t>
      </w:r>
    </w:p>
    <w:p w:rsidR="00D126DF" w:rsidRDefault="00D126DF" w:rsidP="008A0CBF">
      <w:pPr>
        <w:pStyle w:val="Fotnotstextindrag"/>
        <w:pBdr>
          <w:left w:val="single" w:sz="4" w:space="4" w:color="auto"/>
          <w:right w:val="single" w:sz="4" w:space="4" w:color="auto"/>
        </w:pBdr>
        <w:ind w:left="0"/>
      </w:pPr>
    </w:p>
    <w:p w:rsidR="00946615" w:rsidRPr="007A0D9C" w:rsidRDefault="007A0D9C" w:rsidP="00EF7EA1">
      <w:pPr>
        <w:pBdr>
          <w:left w:val="single" w:sz="4" w:space="4" w:color="auto"/>
          <w:right w:val="single" w:sz="4" w:space="4" w:color="auto"/>
        </w:pBdr>
        <w:suppressAutoHyphens/>
        <w:rPr>
          <w:szCs w:val="19"/>
        </w:rPr>
      </w:pPr>
      <w:r>
        <w:t>Ri</w:t>
      </w:r>
      <w:r w:rsidRPr="007A0D9C">
        <w:rPr>
          <w:szCs w:val="19"/>
        </w:rPr>
        <w:t xml:space="preserve">ksbankens </w:t>
      </w:r>
      <w:r w:rsidRPr="007A0D9C">
        <w:rPr>
          <w:i/>
          <w:szCs w:val="19"/>
        </w:rPr>
        <w:t>redovisade resultat</w:t>
      </w:r>
      <w:r w:rsidRPr="007A0D9C">
        <w:rPr>
          <w:szCs w:val="19"/>
        </w:rPr>
        <w:t xml:space="preserve">, det vill säga det som tas upp i Riksbankens resultaträkning, omfattar allt resultat som har realiserats från räntor och värdepapperstransaktioner </w:t>
      </w:r>
      <w:r w:rsidR="000C22C2">
        <w:rPr>
          <w:szCs w:val="19"/>
        </w:rPr>
        <w:t>liksom</w:t>
      </w:r>
      <w:r w:rsidR="00EF7EA1">
        <w:rPr>
          <w:szCs w:val="19"/>
        </w:rPr>
        <w:t xml:space="preserve"> från guld- och valuta</w:t>
      </w:r>
      <w:r w:rsidRPr="007A0D9C">
        <w:rPr>
          <w:szCs w:val="19"/>
        </w:rPr>
        <w:t>transaktioner. Riksban</w:t>
      </w:r>
      <w:r w:rsidR="00125295">
        <w:rPr>
          <w:szCs w:val="19"/>
        </w:rPr>
        <w:t>kens redovisade resultat för 201</w:t>
      </w:r>
      <w:r w:rsidR="006C53FD">
        <w:rPr>
          <w:szCs w:val="19"/>
        </w:rPr>
        <w:t>4</w:t>
      </w:r>
      <w:r w:rsidRPr="007A0D9C">
        <w:rPr>
          <w:szCs w:val="19"/>
        </w:rPr>
        <w:t xml:space="preserve"> uppgick således till </w:t>
      </w:r>
      <w:r w:rsidR="006C53FD">
        <w:rPr>
          <w:szCs w:val="19"/>
        </w:rPr>
        <w:t>2 723</w:t>
      </w:r>
      <w:r w:rsidRPr="007A0D9C">
        <w:rPr>
          <w:szCs w:val="19"/>
        </w:rPr>
        <w:t xml:space="preserve"> </w:t>
      </w:r>
      <w:r w:rsidR="006C53FD">
        <w:rPr>
          <w:szCs w:val="19"/>
        </w:rPr>
        <w:t>+</w:t>
      </w:r>
      <w:r w:rsidRPr="007A0D9C">
        <w:rPr>
          <w:szCs w:val="19"/>
        </w:rPr>
        <w:t xml:space="preserve"> </w:t>
      </w:r>
      <w:r w:rsidR="006C53FD">
        <w:rPr>
          <w:szCs w:val="19"/>
        </w:rPr>
        <w:t>544</w:t>
      </w:r>
      <w:r w:rsidRPr="007A0D9C">
        <w:rPr>
          <w:szCs w:val="19"/>
        </w:rPr>
        <w:t xml:space="preserve"> = </w:t>
      </w:r>
      <w:r w:rsidR="006C53FD">
        <w:rPr>
          <w:szCs w:val="19"/>
        </w:rPr>
        <w:t>3 267</w:t>
      </w:r>
      <w:r w:rsidRPr="007A0D9C">
        <w:rPr>
          <w:szCs w:val="19"/>
        </w:rPr>
        <w:t xml:space="preserve"> miljoner kronor. </w:t>
      </w:r>
    </w:p>
    <w:p w:rsidR="00E66B85" w:rsidRDefault="00946615" w:rsidP="00E66B85">
      <w:pPr>
        <w:pStyle w:val="Normaltindrag"/>
        <w:pBdr>
          <w:left w:val="single" w:sz="4" w:space="4" w:color="auto"/>
          <w:right w:val="single" w:sz="4" w:space="4" w:color="auto"/>
        </w:pBdr>
        <w:rPr>
          <w:szCs w:val="19"/>
        </w:rPr>
      </w:pPr>
      <w:r w:rsidRPr="00946615">
        <w:t>Det resultat som ligger till grund för vinstutdelningen till staten, Riks</w:t>
      </w:r>
      <w:r w:rsidR="00EF7EA1">
        <w:softHyphen/>
      </w:r>
      <w:r w:rsidRPr="00946615">
        <w:t xml:space="preserve">bankens </w:t>
      </w:r>
      <w:r w:rsidR="00B25D67">
        <w:rPr>
          <w:i/>
        </w:rPr>
        <w:t>utdelnings</w:t>
      </w:r>
      <w:r w:rsidRPr="00946615">
        <w:rPr>
          <w:i/>
        </w:rPr>
        <w:t>grundande resultat</w:t>
      </w:r>
      <w:r w:rsidR="000C22C2">
        <w:t>,</w:t>
      </w:r>
      <w:r w:rsidRPr="00946615">
        <w:t xml:space="preserve"> omfattar såväl realiserat som orealis</w:t>
      </w:r>
      <w:r w:rsidRPr="00946615">
        <w:t>e</w:t>
      </w:r>
      <w:r w:rsidRPr="00946615">
        <w:t xml:space="preserve">rat resultat kopplat till räntor och värdepapper, men exkluderar allt resultat som härrör från </w:t>
      </w:r>
      <w:r w:rsidRPr="007457E1">
        <w:rPr>
          <w:szCs w:val="19"/>
        </w:rPr>
        <w:t>guld och valuta. Det utdelnings</w:t>
      </w:r>
      <w:r w:rsidRPr="007457E1">
        <w:rPr>
          <w:szCs w:val="19"/>
        </w:rPr>
        <w:softHyphen/>
        <w:t>grundande resultat</w:t>
      </w:r>
      <w:r w:rsidR="00914FF3">
        <w:rPr>
          <w:szCs w:val="19"/>
        </w:rPr>
        <w:t>et för 201</w:t>
      </w:r>
      <w:r w:rsidR="006C53FD">
        <w:rPr>
          <w:szCs w:val="19"/>
        </w:rPr>
        <w:t>4</w:t>
      </w:r>
      <w:r w:rsidRPr="007457E1">
        <w:rPr>
          <w:szCs w:val="19"/>
        </w:rPr>
        <w:t xml:space="preserve"> uppgick således till </w:t>
      </w:r>
      <w:r w:rsidR="006C53FD">
        <w:rPr>
          <w:szCs w:val="19"/>
        </w:rPr>
        <w:t>2</w:t>
      </w:r>
      <w:r w:rsidR="007457E1" w:rsidRPr="007457E1">
        <w:rPr>
          <w:szCs w:val="19"/>
        </w:rPr>
        <w:t> </w:t>
      </w:r>
      <w:r w:rsidR="006C53FD">
        <w:rPr>
          <w:szCs w:val="19"/>
        </w:rPr>
        <w:t>723</w:t>
      </w:r>
      <w:r w:rsidR="007457E1" w:rsidRPr="007457E1">
        <w:rPr>
          <w:szCs w:val="19"/>
        </w:rPr>
        <w:t xml:space="preserve"> </w:t>
      </w:r>
      <w:r w:rsidR="006C53FD">
        <w:rPr>
          <w:szCs w:val="19"/>
        </w:rPr>
        <w:t>+</w:t>
      </w:r>
      <w:r w:rsidR="007457E1" w:rsidRPr="007457E1">
        <w:rPr>
          <w:szCs w:val="19"/>
        </w:rPr>
        <w:t xml:space="preserve"> </w:t>
      </w:r>
      <w:r w:rsidR="006C53FD">
        <w:rPr>
          <w:szCs w:val="19"/>
        </w:rPr>
        <w:t>6 296 = 9 019</w:t>
      </w:r>
      <w:r w:rsidR="007457E1" w:rsidRPr="007457E1">
        <w:rPr>
          <w:szCs w:val="19"/>
        </w:rPr>
        <w:t xml:space="preserve"> </w:t>
      </w:r>
      <w:r w:rsidRPr="007457E1">
        <w:rPr>
          <w:szCs w:val="19"/>
        </w:rPr>
        <w:t>miljoner</w:t>
      </w:r>
      <w:r w:rsidRPr="00946615">
        <w:t xml:space="preserve"> kronor. Storleken på själva utdelningen </w:t>
      </w:r>
      <w:r w:rsidR="00895027">
        <w:t>får man fram</w:t>
      </w:r>
      <w:r w:rsidRPr="00946615">
        <w:t xml:space="preserve"> genom att beräkna genomsnittet av det utde</w:t>
      </w:r>
      <w:r w:rsidRPr="00946615">
        <w:t>l</w:t>
      </w:r>
      <w:r w:rsidR="00EF7EA1">
        <w:t>nings</w:t>
      </w:r>
      <w:r w:rsidRPr="00946615">
        <w:t>grundande resultatet för de senaste fem åren och multiplicera detta med 80 procent</w:t>
      </w:r>
      <w:r>
        <w:t>.</w:t>
      </w:r>
      <w:r w:rsidR="00FD5D19">
        <w:t xml:space="preserve"> En sammanställning över hur de olika resultatmåtten förhåller sig till varandra </w:t>
      </w:r>
      <w:r w:rsidR="00FD5D19" w:rsidRPr="00D12DF8">
        <w:t>återfinns i tabell 7.</w:t>
      </w:r>
      <w:r w:rsidR="00E17428">
        <w:t xml:space="preserve"> </w:t>
      </w:r>
      <w:r w:rsidR="00E17428" w:rsidRPr="007A0D9C">
        <w:rPr>
          <w:szCs w:val="19"/>
        </w:rPr>
        <w:t xml:space="preserve">Figur </w:t>
      </w:r>
      <w:r w:rsidR="007A6541">
        <w:rPr>
          <w:szCs w:val="19"/>
        </w:rPr>
        <w:t>2</w:t>
      </w:r>
      <w:r w:rsidR="00E17428" w:rsidRPr="007A0D9C">
        <w:rPr>
          <w:szCs w:val="19"/>
        </w:rPr>
        <w:t xml:space="preserve"> illustrerar </w:t>
      </w:r>
      <w:r w:rsidR="00E17428">
        <w:rPr>
          <w:szCs w:val="19"/>
        </w:rPr>
        <w:t xml:space="preserve">även </w:t>
      </w:r>
      <w:r w:rsidR="00E17428" w:rsidRPr="007A0D9C">
        <w:rPr>
          <w:szCs w:val="19"/>
        </w:rPr>
        <w:t>hur olika poster i Riksbankens resultaträkning kan kopplas till balansräkningen.</w:t>
      </w:r>
    </w:p>
    <w:p w:rsidR="001E5B56" w:rsidRPr="00B50456" w:rsidRDefault="001E5B56" w:rsidP="001E5B56">
      <w:pPr>
        <w:pBdr>
          <w:left w:val="single" w:sz="4" w:space="4" w:color="auto"/>
          <w:right w:val="single" w:sz="4" w:space="4" w:color="auto"/>
        </w:pBdr>
        <w:spacing w:before="180"/>
        <w:rPr>
          <w:rFonts w:ascii="Calibri" w:hAnsi="Calibri"/>
          <w:sz w:val="20"/>
        </w:rPr>
      </w:pPr>
      <w:r w:rsidRPr="00B50456">
        <w:rPr>
          <w:rFonts w:ascii="Calibri" w:hAnsi="Calibri"/>
          <w:sz w:val="20"/>
        </w:rPr>
        <w:t>Vad är seignorage?</w:t>
      </w:r>
    </w:p>
    <w:p w:rsidR="001E5B56" w:rsidRDefault="001E5B56" w:rsidP="00EF7EA1">
      <w:pPr>
        <w:pBdr>
          <w:left w:val="single" w:sz="4" w:space="4" w:color="auto"/>
          <w:right w:val="single" w:sz="4" w:space="4" w:color="auto"/>
        </w:pBdr>
        <w:suppressAutoHyphens/>
        <w:rPr>
          <w:szCs w:val="19"/>
        </w:rPr>
      </w:pPr>
      <w:r w:rsidRPr="005526BC">
        <w:t xml:space="preserve">Riksbankens </w:t>
      </w:r>
      <w:r w:rsidRPr="005526BC">
        <w:rPr>
          <w:i/>
          <w:szCs w:val="19"/>
        </w:rPr>
        <w:t>seignorage</w:t>
      </w:r>
      <w:r w:rsidRPr="005526BC">
        <w:rPr>
          <w:szCs w:val="19"/>
        </w:rPr>
        <w:t xml:space="preserve"> är den del av Riksbankens redovisade resultat som ko</w:t>
      </w:r>
      <w:r w:rsidRPr="004A32CE">
        <w:rPr>
          <w:szCs w:val="19"/>
        </w:rPr>
        <w:t xml:space="preserve">mmer från rätten att ge ut sedlar och mynt. Värdet av alla </w:t>
      </w:r>
      <w:r>
        <w:rPr>
          <w:szCs w:val="19"/>
        </w:rPr>
        <w:t xml:space="preserve">utelöpande </w:t>
      </w:r>
      <w:r w:rsidRPr="004A32CE">
        <w:rPr>
          <w:szCs w:val="19"/>
        </w:rPr>
        <w:t>sedlar och mynt är uppta</w:t>
      </w:r>
      <w:r>
        <w:rPr>
          <w:szCs w:val="19"/>
        </w:rPr>
        <w:t>get</w:t>
      </w:r>
      <w:r w:rsidRPr="004A32CE">
        <w:rPr>
          <w:szCs w:val="19"/>
        </w:rPr>
        <w:t xml:space="preserve"> som en skuld i Riksbankens balansräkning. Vid utgången av 201</w:t>
      </w:r>
      <w:r>
        <w:rPr>
          <w:szCs w:val="19"/>
        </w:rPr>
        <w:t>4</w:t>
      </w:r>
      <w:r w:rsidRPr="004A32CE">
        <w:rPr>
          <w:szCs w:val="19"/>
        </w:rPr>
        <w:t xml:space="preserve"> var värdet 8</w:t>
      </w:r>
      <w:r>
        <w:rPr>
          <w:szCs w:val="19"/>
        </w:rPr>
        <w:t>3 224</w:t>
      </w:r>
      <w:r w:rsidRPr="004A32CE">
        <w:rPr>
          <w:szCs w:val="19"/>
        </w:rPr>
        <w:t xml:space="preserve"> </w:t>
      </w:r>
      <w:r>
        <w:rPr>
          <w:szCs w:val="19"/>
        </w:rPr>
        <w:t>miljoner</w:t>
      </w:r>
      <w:r w:rsidRPr="004A32CE">
        <w:rPr>
          <w:szCs w:val="19"/>
        </w:rPr>
        <w:t xml:space="preserve"> kronor</w:t>
      </w:r>
      <w:r>
        <w:rPr>
          <w:szCs w:val="19"/>
        </w:rPr>
        <w:t xml:space="preserve"> (se figur 2</w:t>
      </w:r>
      <w:r w:rsidRPr="004A32CE">
        <w:rPr>
          <w:szCs w:val="19"/>
        </w:rPr>
        <w:t>). Rik</w:t>
      </w:r>
      <w:r w:rsidRPr="004A32CE">
        <w:rPr>
          <w:szCs w:val="19"/>
        </w:rPr>
        <w:t>s</w:t>
      </w:r>
      <w:r w:rsidRPr="004A32CE">
        <w:rPr>
          <w:szCs w:val="19"/>
        </w:rPr>
        <w:t>banken betalar ingen ränta på den</w:t>
      </w:r>
      <w:r>
        <w:rPr>
          <w:szCs w:val="19"/>
        </w:rPr>
        <w:t>na</w:t>
      </w:r>
      <w:r w:rsidRPr="004A32CE">
        <w:rPr>
          <w:szCs w:val="19"/>
        </w:rPr>
        <w:t xml:space="preserve"> skuld, men har kostnader för hanteringen av sedlar och mynt. Av Riksbankens totala kostnader för personal, adminis</w:t>
      </w:r>
      <w:r w:rsidRPr="004A32CE">
        <w:rPr>
          <w:szCs w:val="19"/>
        </w:rPr>
        <w:t>t</w:t>
      </w:r>
      <w:r w:rsidRPr="004A32CE">
        <w:rPr>
          <w:szCs w:val="19"/>
        </w:rPr>
        <w:t>ra</w:t>
      </w:r>
      <w:r>
        <w:rPr>
          <w:szCs w:val="19"/>
        </w:rPr>
        <w:softHyphen/>
      </w:r>
      <w:r w:rsidRPr="004A32CE">
        <w:rPr>
          <w:szCs w:val="19"/>
        </w:rPr>
        <w:t xml:space="preserve">tion och avskrivningar på </w:t>
      </w:r>
      <w:r>
        <w:rPr>
          <w:szCs w:val="19"/>
        </w:rPr>
        <w:t>917</w:t>
      </w:r>
      <w:r w:rsidRPr="004A32CE">
        <w:rPr>
          <w:szCs w:val="19"/>
        </w:rPr>
        <w:t xml:space="preserve"> miljoner kronor utgjorde </w:t>
      </w:r>
      <w:r>
        <w:rPr>
          <w:szCs w:val="19"/>
        </w:rPr>
        <w:t>282</w:t>
      </w:r>
      <w:r w:rsidRPr="004A32CE">
        <w:rPr>
          <w:szCs w:val="19"/>
        </w:rPr>
        <w:t xml:space="preserve"> miljoner kronor kostnader för hanteringen av sedlar och mynt.</w:t>
      </w:r>
    </w:p>
    <w:p w:rsidR="00402640" w:rsidRPr="00402640" w:rsidRDefault="00402640" w:rsidP="00402640">
      <w:pPr>
        <w:pStyle w:val="Normaltindrag"/>
      </w:pPr>
    </w:p>
    <w:p w:rsidR="00E66B85" w:rsidRPr="00AB751A" w:rsidRDefault="00A12E15" w:rsidP="00AB751A">
      <w:pPr>
        <w:pStyle w:val="Diagramrubrik"/>
      </w:pPr>
      <w:r>
        <w:rPr>
          <w:noProof/>
        </w:rPr>
        <mc:AlternateContent>
          <mc:Choice Requires="wps">
            <w:drawing>
              <wp:anchor distT="0" distB="0" distL="114300" distR="114300" simplePos="0" relativeHeight="251658240" behindDoc="0" locked="0" layoutInCell="1" allowOverlap="1">
                <wp:simplePos x="0" y="0"/>
                <wp:positionH relativeFrom="column">
                  <wp:posOffset>3800475</wp:posOffset>
                </wp:positionH>
                <wp:positionV relativeFrom="paragraph">
                  <wp:posOffset>40005</wp:posOffset>
                </wp:positionV>
                <wp:extent cx="0" cy="3701415"/>
                <wp:effectExtent l="9525" t="11430" r="9525" b="11430"/>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014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1BBB9" id="AutoShape 21" o:spid="_x0000_s1026" type="#_x0000_t32" style="position:absolute;margin-left:299.25pt;margin-top:3.15pt;width:0;height:291.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" strokeweight=".5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-29845</wp:posOffset>
                </wp:positionH>
                <wp:positionV relativeFrom="paragraph">
                  <wp:posOffset>40005</wp:posOffset>
                </wp:positionV>
                <wp:extent cx="0" cy="3701415"/>
                <wp:effectExtent l="8255" t="11430" r="10795" b="1143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14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424B7" id="AutoShape 18" o:spid="_x0000_s1026" type="#_x0000_t32" style="position:absolute;margin-left:-2.35pt;margin-top:3.15pt;width:0;height:29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" strokeweight=".5pt"/>
            </w:pict>
          </mc:Fallback>
        </mc:AlternateContent>
      </w:r>
      <w:r w:rsidR="00E66B85" w:rsidRPr="00AB751A">
        <w:t>Tabell 7. Resultatmått 201</w:t>
      </w:r>
      <w:r w:rsidR="00E659D1" w:rsidRPr="00AB751A">
        <w:t>4</w:t>
      </w:r>
      <w:r w:rsidR="00E66B85" w:rsidRPr="00AB751A">
        <w:t>, miljoner kronor</w:t>
      </w:r>
    </w:p>
    <w:tbl>
      <w:tblPr>
        <w:tblW w:w="0" w:type="auto"/>
        <w:tblInd w:w="108" w:type="dxa"/>
        <w:tblLayout w:type="fixed"/>
        <w:tblLook w:val="01E0" w:firstRow="1" w:lastRow="1" w:firstColumn="1" w:lastColumn="1" w:noHBand="0" w:noVBand="0"/>
      </w:tblPr>
      <w:tblGrid>
        <w:gridCol w:w="3119"/>
        <w:gridCol w:w="840"/>
        <w:gridCol w:w="982"/>
        <w:gridCol w:w="982"/>
      </w:tblGrid>
      <w:tr w:rsidR="00E66B85" w:rsidRPr="00D12DF8" w:rsidTr="001D53CF">
        <w:trPr>
          <w:trHeight w:val="308"/>
        </w:trPr>
        <w:tc>
          <w:tcPr>
            <w:tcW w:w="3119" w:type="dxa"/>
            <w:tcBorders>
              <w:top w:val="single" w:sz="4" w:space="0" w:color="auto"/>
              <w:bottom w:val="single" w:sz="4" w:space="0" w:color="auto"/>
            </w:tcBorders>
            <w:shd w:val="clear" w:color="auto" w:fill="auto"/>
          </w:tcPr>
          <w:p w:rsidR="00E66B85" w:rsidRPr="00D12DF8" w:rsidRDefault="00E66B85" w:rsidP="00973874"/>
        </w:tc>
        <w:tc>
          <w:tcPr>
            <w:tcW w:w="840" w:type="dxa"/>
            <w:tcBorders>
              <w:top w:val="single" w:sz="4" w:space="0" w:color="auto"/>
              <w:bottom w:val="single" w:sz="4" w:space="0" w:color="auto"/>
            </w:tcBorders>
            <w:shd w:val="clear" w:color="auto" w:fill="auto"/>
            <w:vAlign w:val="bottom"/>
          </w:tcPr>
          <w:p w:rsidR="00E66B85" w:rsidRPr="00D12DF8" w:rsidRDefault="00E66B85" w:rsidP="00973874">
            <w:pPr>
              <w:spacing w:before="0" w:line="200" w:lineRule="exact"/>
              <w:rPr>
                <w:b/>
                <w:sz w:val="16"/>
                <w:szCs w:val="16"/>
              </w:rPr>
            </w:pPr>
          </w:p>
          <w:p w:rsidR="00E66B85" w:rsidRPr="00D12DF8" w:rsidRDefault="00E66B85" w:rsidP="00E66B85">
            <w:pPr>
              <w:spacing w:before="0" w:line="200" w:lineRule="exact"/>
              <w:jc w:val="right"/>
              <w:rPr>
                <w:b/>
                <w:sz w:val="16"/>
                <w:szCs w:val="16"/>
              </w:rPr>
            </w:pPr>
            <w:r w:rsidRPr="00D12DF8">
              <w:rPr>
                <w:b/>
                <w:sz w:val="16"/>
                <w:szCs w:val="16"/>
              </w:rPr>
              <w:t>Totalt</w:t>
            </w:r>
          </w:p>
        </w:tc>
        <w:tc>
          <w:tcPr>
            <w:tcW w:w="982" w:type="dxa"/>
            <w:tcBorders>
              <w:top w:val="single" w:sz="4" w:space="0" w:color="auto"/>
              <w:bottom w:val="single" w:sz="4" w:space="0" w:color="auto"/>
            </w:tcBorders>
            <w:shd w:val="clear" w:color="auto" w:fill="auto"/>
            <w:vAlign w:val="bottom"/>
          </w:tcPr>
          <w:p w:rsidR="00E66B85" w:rsidRPr="00D12DF8" w:rsidRDefault="00E66B85" w:rsidP="00E66B85">
            <w:pPr>
              <w:spacing w:before="0" w:line="200" w:lineRule="exact"/>
              <w:jc w:val="right"/>
              <w:rPr>
                <w:b/>
                <w:sz w:val="16"/>
                <w:szCs w:val="16"/>
              </w:rPr>
            </w:pPr>
          </w:p>
          <w:p w:rsidR="00E66B85" w:rsidRPr="00D12DF8" w:rsidRDefault="00E66B85" w:rsidP="00E66B85">
            <w:pPr>
              <w:spacing w:before="0" w:line="200" w:lineRule="exact"/>
              <w:jc w:val="right"/>
              <w:rPr>
                <w:b/>
                <w:sz w:val="16"/>
                <w:szCs w:val="16"/>
              </w:rPr>
            </w:pPr>
            <w:r w:rsidRPr="00D12DF8">
              <w:rPr>
                <w:b/>
                <w:sz w:val="16"/>
                <w:szCs w:val="16"/>
              </w:rPr>
              <w:t>Redovisat</w:t>
            </w:r>
          </w:p>
        </w:tc>
        <w:tc>
          <w:tcPr>
            <w:tcW w:w="982" w:type="dxa"/>
            <w:tcBorders>
              <w:top w:val="single" w:sz="4" w:space="0" w:color="auto"/>
              <w:bottom w:val="single" w:sz="4" w:space="0" w:color="auto"/>
            </w:tcBorders>
            <w:shd w:val="clear" w:color="auto" w:fill="auto"/>
            <w:vAlign w:val="bottom"/>
          </w:tcPr>
          <w:p w:rsidR="00E66B85" w:rsidRPr="00D12DF8" w:rsidRDefault="00E66B85" w:rsidP="00E66B85">
            <w:pPr>
              <w:spacing w:before="0" w:line="200" w:lineRule="exact"/>
              <w:ind w:right="-51"/>
              <w:jc w:val="right"/>
              <w:rPr>
                <w:b/>
                <w:sz w:val="16"/>
                <w:szCs w:val="16"/>
              </w:rPr>
            </w:pPr>
            <w:r w:rsidRPr="00D12DF8">
              <w:rPr>
                <w:b/>
                <w:sz w:val="16"/>
                <w:szCs w:val="16"/>
              </w:rPr>
              <w:t>Utde</w:t>
            </w:r>
            <w:r w:rsidR="00B25D51">
              <w:rPr>
                <w:b/>
                <w:sz w:val="16"/>
                <w:szCs w:val="16"/>
              </w:rPr>
              <w:t>l</w:t>
            </w:r>
            <w:r w:rsidRPr="00D12DF8">
              <w:rPr>
                <w:b/>
                <w:sz w:val="16"/>
                <w:szCs w:val="16"/>
              </w:rPr>
              <w:t>nings</w:t>
            </w:r>
            <w:r w:rsidR="00B25D51">
              <w:rPr>
                <w:b/>
                <w:sz w:val="16"/>
                <w:szCs w:val="16"/>
              </w:rPr>
              <w:t>-</w:t>
            </w:r>
            <w:r w:rsidRPr="00D12DF8">
              <w:rPr>
                <w:b/>
                <w:sz w:val="16"/>
                <w:szCs w:val="16"/>
              </w:rPr>
              <w:t>grundande</w:t>
            </w:r>
          </w:p>
        </w:tc>
      </w:tr>
      <w:tr w:rsidR="00E66B85" w:rsidRPr="00D12DF8" w:rsidTr="001D53CF">
        <w:trPr>
          <w:trHeight w:val="252"/>
        </w:trPr>
        <w:tc>
          <w:tcPr>
            <w:tcW w:w="3119" w:type="dxa"/>
            <w:tcBorders>
              <w:top w:val="single" w:sz="4" w:space="0" w:color="auto"/>
            </w:tcBorders>
            <w:shd w:val="clear" w:color="auto" w:fill="auto"/>
          </w:tcPr>
          <w:p w:rsidR="00E66B85" w:rsidRPr="00D12DF8" w:rsidRDefault="00DD73D4" w:rsidP="00DD73D4">
            <w:pPr>
              <w:spacing w:before="60" w:line="200" w:lineRule="exact"/>
              <w:jc w:val="left"/>
              <w:rPr>
                <w:sz w:val="16"/>
                <w:szCs w:val="16"/>
              </w:rPr>
            </w:pPr>
            <w:r w:rsidRPr="00D12DF8">
              <w:rPr>
                <w:sz w:val="16"/>
                <w:szCs w:val="16"/>
              </w:rPr>
              <w:t>Ränteintäkter</w:t>
            </w:r>
          </w:p>
        </w:tc>
        <w:tc>
          <w:tcPr>
            <w:tcW w:w="840" w:type="dxa"/>
            <w:tcBorders>
              <w:top w:val="single" w:sz="4" w:space="0" w:color="auto"/>
            </w:tcBorders>
            <w:shd w:val="clear" w:color="auto" w:fill="auto"/>
          </w:tcPr>
          <w:p w:rsidR="00E66B85" w:rsidRPr="00D12DF8" w:rsidRDefault="00B25D51" w:rsidP="00E66B85">
            <w:pPr>
              <w:spacing w:before="60" w:line="200" w:lineRule="exact"/>
              <w:jc w:val="right"/>
              <w:rPr>
                <w:sz w:val="16"/>
                <w:szCs w:val="16"/>
              </w:rPr>
            </w:pPr>
            <w:r>
              <w:rPr>
                <w:sz w:val="16"/>
                <w:szCs w:val="16"/>
              </w:rPr>
              <w:t>4 193</w:t>
            </w:r>
          </w:p>
        </w:tc>
        <w:tc>
          <w:tcPr>
            <w:tcW w:w="982" w:type="dxa"/>
            <w:tcBorders>
              <w:top w:val="single" w:sz="4" w:space="0" w:color="auto"/>
            </w:tcBorders>
            <w:shd w:val="clear" w:color="auto" w:fill="auto"/>
          </w:tcPr>
          <w:p w:rsidR="00E66B85" w:rsidRPr="00D12DF8" w:rsidRDefault="00B25D51" w:rsidP="00E66B85">
            <w:pPr>
              <w:spacing w:before="60" w:line="200" w:lineRule="exact"/>
              <w:jc w:val="right"/>
              <w:rPr>
                <w:sz w:val="16"/>
                <w:szCs w:val="16"/>
              </w:rPr>
            </w:pPr>
            <w:r>
              <w:rPr>
                <w:sz w:val="16"/>
                <w:szCs w:val="16"/>
              </w:rPr>
              <w:t>4 193</w:t>
            </w:r>
          </w:p>
        </w:tc>
        <w:tc>
          <w:tcPr>
            <w:tcW w:w="982" w:type="dxa"/>
            <w:tcBorders>
              <w:top w:val="single" w:sz="4" w:space="0" w:color="auto"/>
            </w:tcBorders>
            <w:shd w:val="clear" w:color="auto" w:fill="auto"/>
          </w:tcPr>
          <w:p w:rsidR="00E66B85" w:rsidRPr="00D12DF8" w:rsidRDefault="00B25D51" w:rsidP="00E66B85">
            <w:pPr>
              <w:spacing w:before="60" w:line="200" w:lineRule="exact"/>
              <w:jc w:val="right"/>
              <w:rPr>
                <w:sz w:val="16"/>
                <w:szCs w:val="16"/>
              </w:rPr>
            </w:pPr>
            <w:r>
              <w:rPr>
                <w:sz w:val="16"/>
                <w:szCs w:val="16"/>
              </w:rPr>
              <w:t>4 193</w:t>
            </w:r>
          </w:p>
        </w:tc>
      </w:tr>
      <w:tr w:rsidR="00E66B85" w:rsidRPr="00D12DF8" w:rsidTr="001D53CF">
        <w:trPr>
          <w:trHeight w:val="252"/>
        </w:trPr>
        <w:tc>
          <w:tcPr>
            <w:tcW w:w="3119" w:type="dxa"/>
            <w:shd w:val="clear" w:color="auto" w:fill="auto"/>
          </w:tcPr>
          <w:p w:rsidR="00E66B85" w:rsidRPr="00D12DF8" w:rsidRDefault="00DD73D4" w:rsidP="00DD73D4">
            <w:pPr>
              <w:spacing w:before="60" w:line="200" w:lineRule="exact"/>
              <w:jc w:val="left"/>
              <w:rPr>
                <w:sz w:val="16"/>
                <w:szCs w:val="16"/>
              </w:rPr>
            </w:pPr>
            <w:r w:rsidRPr="00D12DF8">
              <w:rPr>
                <w:sz w:val="16"/>
                <w:szCs w:val="16"/>
              </w:rPr>
              <w:t>Räntekostnader</w:t>
            </w:r>
          </w:p>
        </w:tc>
        <w:tc>
          <w:tcPr>
            <w:tcW w:w="840" w:type="dxa"/>
            <w:shd w:val="clear" w:color="auto" w:fill="auto"/>
          </w:tcPr>
          <w:p w:rsidR="00E66B85" w:rsidRPr="00D12DF8" w:rsidRDefault="00DD73D4" w:rsidP="00B25D51">
            <w:pPr>
              <w:spacing w:before="60" w:line="200" w:lineRule="exact"/>
              <w:jc w:val="right"/>
              <w:rPr>
                <w:sz w:val="16"/>
                <w:szCs w:val="16"/>
              </w:rPr>
            </w:pPr>
            <w:r w:rsidRPr="00D12DF8">
              <w:rPr>
                <w:sz w:val="16"/>
                <w:szCs w:val="16"/>
              </w:rPr>
              <w:t xml:space="preserve">–1 </w:t>
            </w:r>
            <w:r w:rsidR="00B25D51">
              <w:rPr>
                <w:sz w:val="16"/>
                <w:szCs w:val="16"/>
              </w:rPr>
              <w:t>761</w:t>
            </w:r>
          </w:p>
        </w:tc>
        <w:tc>
          <w:tcPr>
            <w:tcW w:w="982" w:type="dxa"/>
            <w:shd w:val="clear" w:color="auto" w:fill="auto"/>
          </w:tcPr>
          <w:p w:rsidR="00E66B85" w:rsidRPr="00D12DF8" w:rsidRDefault="00B25D51" w:rsidP="00E66B85">
            <w:pPr>
              <w:spacing w:before="60" w:line="200" w:lineRule="exact"/>
              <w:jc w:val="right"/>
              <w:rPr>
                <w:sz w:val="16"/>
                <w:szCs w:val="16"/>
              </w:rPr>
            </w:pPr>
            <w:r w:rsidRPr="00D12DF8">
              <w:rPr>
                <w:sz w:val="16"/>
                <w:szCs w:val="16"/>
              </w:rPr>
              <w:t xml:space="preserve">–1 </w:t>
            </w:r>
            <w:r>
              <w:rPr>
                <w:sz w:val="16"/>
                <w:szCs w:val="16"/>
              </w:rPr>
              <w:t>761</w:t>
            </w:r>
          </w:p>
        </w:tc>
        <w:tc>
          <w:tcPr>
            <w:tcW w:w="982" w:type="dxa"/>
            <w:shd w:val="clear" w:color="auto" w:fill="auto"/>
          </w:tcPr>
          <w:p w:rsidR="00E66B85" w:rsidRPr="00D12DF8" w:rsidRDefault="00B25D51" w:rsidP="00E66B85">
            <w:pPr>
              <w:spacing w:before="60" w:line="200" w:lineRule="exact"/>
              <w:jc w:val="right"/>
              <w:rPr>
                <w:sz w:val="16"/>
                <w:szCs w:val="16"/>
              </w:rPr>
            </w:pPr>
            <w:r w:rsidRPr="00D12DF8">
              <w:rPr>
                <w:sz w:val="16"/>
                <w:szCs w:val="16"/>
              </w:rPr>
              <w:t xml:space="preserve">–1 </w:t>
            </w:r>
            <w:r>
              <w:rPr>
                <w:sz w:val="16"/>
                <w:szCs w:val="16"/>
              </w:rPr>
              <w:t>761</w:t>
            </w:r>
          </w:p>
        </w:tc>
      </w:tr>
      <w:tr w:rsidR="00E66B85" w:rsidRPr="00D12DF8" w:rsidTr="001D53CF">
        <w:trPr>
          <w:trHeight w:val="266"/>
        </w:trPr>
        <w:tc>
          <w:tcPr>
            <w:tcW w:w="3119" w:type="dxa"/>
            <w:shd w:val="clear" w:color="auto" w:fill="auto"/>
          </w:tcPr>
          <w:p w:rsidR="00E66B85" w:rsidRPr="00D12DF8" w:rsidRDefault="00DD73D4" w:rsidP="00DD73D4">
            <w:pPr>
              <w:spacing w:before="60" w:line="200" w:lineRule="exact"/>
              <w:jc w:val="left"/>
              <w:rPr>
                <w:sz w:val="16"/>
                <w:szCs w:val="16"/>
              </w:rPr>
            </w:pPr>
            <w:r w:rsidRPr="00D12DF8">
              <w:rPr>
                <w:sz w:val="16"/>
                <w:szCs w:val="16"/>
              </w:rPr>
              <w:t>Nettoresultat av finansiella transaktioner och nedskrivningar</w:t>
            </w:r>
          </w:p>
        </w:tc>
        <w:tc>
          <w:tcPr>
            <w:tcW w:w="840" w:type="dxa"/>
            <w:shd w:val="clear" w:color="auto" w:fill="auto"/>
          </w:tcPr>
          <w:p w:rsidR="00E66B85" w:rsidRPr="00D12DF8" w:rsidRDefault="000A0A73" w:rsidP="00B25D51">
            <w:pPr>
              <w:spacing w:before="60" w:line="200" w:lineRule="exact"/>
              <w:jc w:val="right"/>
              <w:rPr>
                <w:sz w:val="16"/>
                <w:szCs w:val="16"/>
              </w:rPr>
            </w:pPr>
            <w:r>
              <w:rPr>
                <w:sz w:val="16"/>
                <w:szCs w:val="16"/>
              </w:rPr>
              <w:t xml:space="preserve">              </w:t>
            </w:r>
            <w:r w:rsidR="00B25D51">
              <w:rPr>
                <w:sz w:val="16"/>
                <w:szCs w:val="16"/>
              </w:rPr>
              <w:t>1 631</w:t>
            </w:r>
          </w:p>
        </w:tc>
        <w:tc>
          <w:tcPr>
            <w:tcW w:w="982" w:type="dxa"/>
            <w:shd w:val="clear" w:color="auto" w:fill="auto"/>
          </w:tcPr>
          <w:p w:rsidR="00E66B85" w:rsidRPr="00D12DF8" w:rsidRDefault="000A0A73" w:rsidP="000A0A73">
            <w:pPr>
              <w:spacing w:before="60" w:line="200" w:lineRule="exact"/>
              <w:jc w:val="right"/>
              <w:rPr>
                <w:sz w:val="16"/>
                <w:szCs w:val="16"/>
              </w:rPr>
            </w:pPr>
            <w:r>
              <w:rPr>
                <w:sz w:val="16"/>
                <w:szCs w:val="16"/>
              </w:rPr>
              <w:t xml:space="preserve">                  </w:t>
            </w:r>
            <w:r w:rsidR="00B25D51">
              <w:rPr>
                <w:sz w:val="16"/>
                <w:szCs w:val="16"/>
              </w:rPr>
              <w:t>1 631</w:t>
            </w:r>
          </w:p>
        </w:tc>
        <w:tc>
          <w:tcPr>
            <w:tcW w:w="982" w:type="dxa"/>
            <w:shd w:val="clear" w:color="auto" w:fill="auto"/>
          </w:tcPr>
          <w:p w:rsidR="00E66B85" w:rsidRPr="00D12DF8" w:rsidRDefault="000A0A73" w:rsidP="00B25D51">
            <w:pPr>
              <w:spacing w:before="60" w:line="200" w:lineRule="exact"/>
              <w:jc w:val="right"/>
              <w:rPr>
                <w:sz w:val="16"/>
                <w:szCs w:val="16"/>
              </w:rPr>
            </w:pPr>
            <w:r>
              <w:rPr>
                <w:sz w:val="16"/>
                <w:szCs w:val="16"/>
              </w:rPr>
              <w:t xml:space="preserve">                  </w:t>
            </w:r>
            <w:r w:rsidR="00B25D51">
              <w:rPr>
                <w:sz w:val="16"/>
                <w:szCs w:val="16"/>
              </w:rPr>
              <w:t>1 087</w:t>
            </w:r>
          </w:p>
        </w:tc>
      </w:tr>
      <w:tr w:rsidR="00D12DF8" w:rsidRPr="00D12DF8" w:rsidTr="001D53CF">
        <w:trPr>
          <w:trHeight w:val="266"/>
        </w:trPr>
        <w:tc>
          <w:tcPr>
            <w:tcW w:w="3119" w:type="dxa"/>
            <w:shd w:val="clear" w:color="auto" w:fill="auto"/>
          </w:tcPr>
          <w:p w:rsidR="00D12DF8" w:rsidRPr="00D12DF8" w:rsidRDefault="00D12DF8" w:rsidP="00C4167F">
            <w:pPr>
              <w:spacing w:before="60" w:line="200" w:lineRule="exact"/>
              <w:jc w:val="left"/>
              <w:rPr>
                <w:sz w:val="16"/>
                <w:szCs w:val="16"/>
              </w:rPr>
            </w:pPr>
            <w:r>
              <w:rPr>
                <w:sz w:val="16"/>
                <w:szCs w:val="16"/>
              </w:rPr>
              <w:t xml:space="preserve"> </w:t>
            </w:r>
            <w:r w:rsidR="00B25D51">
              <w:rPr>
                <w:sz w:val="16"/>
                <w:szCs w:val="16"/>
              </w:rPr>
              <w:t xml:space="preserve"> </w:t>
            </w:r>
            <w:r>
              <w:rPr>
                <w:sz w:val="16"/>
                <w:szCs w:val="16"/>
              </w:rPr>
              <w:t>varav försäljningar av värdepapper</w:t>
            </w:r>
            <w:r w:rsidRPr="00D12DF8">
              <w:rPr>
                <w:sz w:val="16"/>
                <w:szCs w:val="16"/>
              </w:rPr>
              <w:t xml:space="preserve">                     </w:t>
            </w:r>
          </w:p>
        </w:tc>
        <w:tc>
          <w:tcPr>
            <w:tcW w:w="840" w:type="dxa"/>
            <w:shd w:val="clear" w:color="auto" w:fill="auto"/>
          </w:tcPr>
          <w:p w:rsidR="00D12DF8" w:rsidRPr="00D12DF8" w:rsidRDefault="00B25D51" w:rsidP="00E66B85">
            <w:pPr>
              <w:spacing w:before="60" w:line="200" w:lineRule="exact"/>
              <w:jc w:val="right"/>
              <w:rPr>
                <w:sz w:val="16"/>
                <w:szCs w:val="16"/>
              </w:rPr>
            </w:pPr>
            <w:r>
              <w:rPr>
                <w:sz w:val="16"/>
                <w:szCs w:val="16"/>
              </w:rPr>
              <w:t>1 142</w:t>
            </w:r>
          </w:p>
        </w:tc>
        <w:tc>
          <w:tcPr>
            <w:tcW w:w="982" w:type="dxa"/>
            <w:shd w:val="clear" w:color="auto" w:fill="auto"/>
          </w:tcPr>
          <w:p w:rsidR="00D12DF8" w:rsidRPr="00D12DF8" w:rsidRDefault="00B25D51" w:rsidP="00E66B85">
            <w:pPr>
              <w:spacing w:before="60" w:line="200" w:lineRule="exact"/>
              <w:jc w:val="right"/>
              <w:rPr>
                <w:sz w:val="16"/>
                <w:szCs w:val="16"/>
              </w:rPr>
            </w:pPr>
            <w:r>
              <w:rPr>
                <w:sz w:val="16"/>
                <w:szCs w:val="16"/>
              </w:rPr>
              <w:t>1 142</w:t>
            </w:r>
          </w:p>
        </w:tc>
        <w:tc>
          <w:tcPr>
            <w:tcW w:w="982" w:type="dxa"/>
            <w:shd w:val="clear" w:color="auto" w:fill="auto"/>
          </w:tcPr>
          <w:p w:rsidR="00D12DF8" w:rsidRPr="00D12DF8" w:rsidRDefault="00B25D51" w:rsidP="00E66B85">
            <w:pPr>
              <w:spacing w:before="60" w:line="200" w:lineRule="exact"/>
              <w:jc w:val="right"/>
              <w:rPr>
                <w:sz w:val="16"/>
                <w:szCs w:val="16"/>
              </w:rPr>
            </w:pPr>
            <w:r>
              <w:rPr>
                <w:sz w:val="16"/>
                <w:szCs w:val="16"/>
              </w:rPr>
              <w:t>1 142</w:t>
            </w:r>
          </w:p>
        </w:tc>
      </w:tr>
      <w:tr w:rsidR="00D12DF8" w:rsidRPr="00D12DF8" w:rsidTr="001D53CF">
        <w:trPr>
          <w:trHeight w:val="266"/>
        </w:trPr>
        <w:tc>
          <w:tcPr>
            <w:tcW w:w="3119" w:type="dxa"/>
            <w:shd w:val="clear" w:color="auto" w:fill="auto"/>
          </w:tcPr>
          <w:p w:rsidR="00D12DF8" w:rsidRPr="00D12DF8" w:rsidRDefault="00D12DF8" w:rsidP="00C4167F">
            <w:pPr>
              <w:spacing w:before="60" w:line="200" w:lineRule="exact"/>
              <w:jc w:val="left"/>
              <w:rPr>
                <w:sz w:val="16"/>
                <w:szCs w:val="16"/>
              </w:rPr>
            </w:pPr>
            <w:r>
              <w:rPr>
                <w:sz w:val="16"/>
                <w:szCs w:val="16"/>
              </w:rPr>
              <w:t xml:space="preserve">               respektive guld och valuta</w:t>
            </w:r>
          </w:p>
        </w:tc>
        <w:tc>
          <w:tcPr>
            <w:tcW w:w="840" w:type="dxa"/>
            <w:shd w:val="clear" w:color="auto" w:fill="auto"/>
          </w:tcPr>
          <w:p w:rsidR="00D12DF8" w:rsidRPr="00D12DF8" w:rsidRDefault="00B25D51" w:rsidP="00E66B85">
            <w:pPr>
              <w:spacing w:before="60" w:line="200" w:lineRule="exact"/>
              <w:jc w:val="right"/>
              <w:rPr>
                <w:sz w:val="16"/>
                <w:szCs w:val="16"/>
              </w:rPr>
            </w:pPr>
            <w:r>
              <w:rPr>
                <w:sz w:val="16"/>
                <w:szCs w:val="16"/>
              </w:rPr>
              <w:t>779</w:t>
            </w:r>
          </w:p>
        </w:tc>
        <w:tc>
          <w:tcPr>
            <w:tcW w:w="982" w:type="dxa"/>
            <w:shd w:val="clear" w:color="auto" w:fill="auto"/>
          </w:tcPr>
          <w:p w:rsidR="00D12DF8" w:rsidRPr="00D12DF8" w:rsidRDefault="00B25D51" w:rsidP="00E66B85">
            <w:pPr>
              <w:spacing w:before="60" w:line="200" w:lineRule="exact"/>
              <w:jc w:val="right"/>
              <w:rPr>
                <w:sz w:val="16"/>
                <w:szCs w:val="16"/>
              </w:rPr>
            </w:pPr>
            <w:r>
              <w:rPr>
                <w:sz w:val="16"/>
                <w:szCs w:val="16"/>
              </w:rPr>
              <w:t>779</w:t>
            </w:r>
          </w:p>
        </w:tc>
        <w:tc>
          <w:tcPr>
            <w:tcW w:w="982" w:type="dxa"/>
            <w:shd w:val="clear" w:color="auto" w:fill="auto"/>
          </w:tcPr>
          <w:p w:rsidR="00D12DF8" w:rsidRPr="00D12DF8" w:rsidRDefault="00D12DF8" w:rsidP="00E66B85">
            <w:pPr>
              <w:spacing w:before="60" w:line="200" w:lineRule="exact"/>
              <w:jc w:val="right"/>
              <w:rPr>
                <w:sz w:val="16"/>
                <w:szCs w:val="16"/>
              </w:rPr>
            </w:pPr>
          </w:p>
        </w:tc>
      </w:tr>
      <w:tr w:rsidR="00D12DF8" w:rsidRPr="00D12DF8" w:rsidTr="001D53CF">
        <w:trPr>
          <w:trHeight w:val="266"/>
        </w:trPr>
        <w:tc>
          <w:tcPr>
            <w:tcW w:w="3119" w:type="dxa"/>
            <w:shd w:val="clear" w:color="auto" w:fill="auto"/>
          </w:tcPr>
          <w:p w:rsidR="00D12DF8" w:rsidRPr="00D12DF8" w:rsidRDefault="00D12DF8" w:rsidP="00D12DF8">
            <w:pPr>
              <w:spacing w:before="60" w:line="200" w:lineRule="exact"/>
              <w:jc w:val="left"/>
              <w:rPr>
                <w:sz w:val="16"/>
                <w:szCs w:val="16"/>
              </w:rPr>
            </w:pPr>
            <w:r>
              <w:rPr>
                <w:sz w:val="16"/>
                <w:szCs w:val="16"/>
              </w:rPr>
              <w:t xml:space="preserve">  varav nedskrivningar av värdepapper</w:t>
            </w:r>
            <w:r w:rsidRPr="00D12DF8">
              <w:rPr>
                <w:sz w:val="16"/>
                <w:szCs w:val="16"/>
              </w:rPr>
              <w:t xml:space="preserve">                     </w:t>
            </w:r>
          </w:p>
        </w:tc>
        <w:tc>
          <w:tcPr>
            <w:tcW w:w="840" w:type="dxa"/>
            <w:shd w:val="clear" w:color="auto" w:fill="auto"/>
          </w:tcPr>
          <w:p w:rsidR="00D12DF8" w:rsidRPr="00D12DF8" w:rsidRDefault="00D12DF8" w:rsidP="00B25D51">
            <w:pPr>
              <w:spacing w:before="60" w:line="200" w:lineRule="exact"/>
              <w:jc w:val="right"/>
              <w:rPr>
                <w:sz w:val="16"/>
                <w:szCs w:val="16"/>
              </w:rPr>
            </w:pPr>
            <w:r w:rsidRPr="00D12DF8">
              <w:rPr>
                <w:sz w:val="16"/>
                <w:szCs w:val="16"/>
              </w:rPr>
              <w:t>–</w:t>
            </w:r>
            <w:r w:rsidR="00B25D51">
              <w:rPr>
                <w:sz w:val="16"/>
                <w:szCs w:val="16"/>
              </w:rPr>
              <w:t>55</w:t>
            </w:r>
          </w:p>
        </w:tc>
        <w:tc>
          <w:tcPr>
            <w:tcW w:w="982" w:type="dxa"/>
            <w:shd w:val="clear" w:color="auto" w:fill="auto"/>
          </w:tcPr>
          <w:p w:rsidR="00D12DF8" w:rsidRPr="00D12DF8" w:rsidRDefault="00B25D51" w:rsidP="00E66B85">
            <w:pPr>
              <w:spacing w:before="60" w:line="200" w:lineRule="exact"/>
              <w:jc w:val="right"/>
              <w:rPr>
                <w:sz w:val="16"/>
                <w:szCs w:val="16"/>
              </w:rPr>
            </w:pPr>
            <w:r w:rsidRPr="00D12DF8">
              <w:rPr>
                <w:sz w:val="16"/>
                <w:szCs w:val="16"/>
              </w:rPr>
              <w:t>–</w:t>
            </w:r>
            <w:r>
              <w:rPr>
                <w:sz w:val="16"/>
                <w:szCs w:val="16"/>
              </w:rPr>
              <w:t>55</w:t>
            </w:r>
          </w:p>
        </w:tc>
        <w:tc>
          <w:tcPr>
            <w:tcW w:w="982" w:type="dxa"/>
            <w:shd w:val="clear" w:color="auto" w:fill="auto"/>
          </w:tcPr>
          <w:p w:rsidR="00D12DF8" w:rsidRPr="00D12DF8" w:rsidRDefault="00B25D51" w:rsidP="00E66B85">
            <w:pPr>
              <w:spacing w:before="60" w:line="200" w:lineRule="exact"/>
              <w:jc w:val="right"/>
              <w:rPr>
                <w:sz w:val="16"/>
                <w:szCs w:val="16"/>
              </w:rPr>
            </w:pPr>
            <w:r w:rsidRPr="00D12DF8">
              <w:rPr>
                <w:sz w:val="16"/>
                <w:szCs w:val="16"/>
              </w:rPr>
              <w:t>–</w:t>
            </w:r>
            <w:r>
              <w:rPr>
                <w:sz w:val="16"/>
                <w:szCs w:val="16"/>
              </w:rPr>
              <w:t>55</w:t>
            </w:r>
          </w:p>
        </w:tc>
      </w:tr>
      <w:tr w:rsidR="00D12DF8" w:rsidRPr="00D12DF8" w:rsidTr="001D53CF">
        <w:trPr>
          <w:trHeight w:val="266"/>
        </w:trPr>
        <w:tc>
          <w:tcPr>
            <w:tcW w:w="3119" w:type="dxa"/>
            <w:shd w:val="clear" w:color="auto" w:fill="auto"/>
          </w:tcPr>
          <w:p w:rsidR="00D12DF8" w:rsidRPr="00D12DF8" w:rsidRDefault="00D12DF8" w:rsidP="00DD73D4">
            <w:pPr>
              <w:spacing w:before="60" w:line="200" w:lineRule="exact"/>
              <w:jc w:val="left"/>
              <w:rPr>
                <w:sz w:val="16"/>
                <w:szCs w:val="16"/>
              </w:rPr>
            </w:pPr>
            <w:r>
              <w:rPr>
                <w:sz w:val="16"/>
                <w:szCs w:val="16"/>
              </w:rPr>
              <w:t xml:space="preserve">               respektive guld och valuta</w:t>
            </w:r>
          </w:p>
        </w:tc>
        <w:tc>
          <w:tcPr>
            <w:tcW w:w="840" w:type="dxa"/>
            <w:shd w:val="clear" w:color="auto" w:fill="auto"/>
          </w:tcPr>
          <w:p w:rsidR="00D12DF8" w:rsidRPr="00D12DF8" w:rsidRDefault="00D12DF8" w:rsidP="00B25D51">
            <w:pPr>
              <w:spacing w:before="60" w:line="200" w:lineRule="exact"/>
              <w:jc w:val="right"/>
              <w:rPr>
                <w:sz w:val="16"/>
                <w:szCs w:val="16"/>
              </w:rPr>
            </w:pPr>
            <w:r w:rsidRPr="00D12DF8">
              <w:rPr>
                <w:sz w:val="16"/>
                <w:szCs w:val="16"/>
              </w:rPr>
              <w:t>–</w:t>
            </w:r>
            <w:r w:rsidR="00B25D51">
              <w:rPr>
                <w:sz w:val="16"/>
                <w:szCs w:val="16"/>
              </w:rPr>
              <w:t>23</w:t>
            </w:r>
            <w:r>
              <w:rPr>
                <w:sz w:val="16"/>
                <w:szCs w:val="16"/>
              </w:rPr>
              <w:t>5</w:t>
            </w:r>
          </w:p>
        </w:tc>
        <w:tc>
          <w:tcPr>
            <w:tcW w:w="982" w:type="dxa"/>
            <w:shd w:val="clear" w:color="auto" w:fill="auto"/>
          </w:tcPr>
          <w:p w:rsidR="00D12DF8" w:rsidRPr="00D12DF8" w:rsidRDefault="00B25D51" w:rsidP="00E66B85">
            <w:pPr>
              <w:spacing w:before="60" w:line="200" w:lineRule="exact"/>
              <w:jc w:val="right"/>
              <w:rPr>
                <w:sz w:val="16"/>
                <w:szCs w:val="16"/>
              </w:rPr>
            </w:pPr>
            <w:r w:rsidRPr="00D12DF8">
              <w:rPr>
                <w:sz w:val="16"/>
                <w:szCs w:val="16"/>
              </w:rPr>
              <w:t>–</w:t>
            </w:r>
            <w:r>
              <w:rPr>
                <w:sz w:val="16"/>
                <w:szCs w:val="16"/>
              </w:rPr>
              <w:t>235</w:t>
            </w:r>
          </w:p>
        </w:tc>
        <w:tc>
          <w:tcPr>
            <w:tcW w:w="982" w:type="dxa"/>
            <w:shd w:val="clear" w:color="auto" w:fill="auto"/>
          </w:tcPr>
          <w:p w:rsidR="00D12DF8" w:rsidRPr="00D12DF8" w:rsidRDefault="00D12DF8" w:rsidP="00E66B85">
            <w:pPr>
              <w:spacing w:before="60" w:line="200" w:lineRule="exact"/>
              <w:jc w:val="right"/>
              <w:rPr>
                <w:sz w:val="16"/>
                <w:szCs w:val="16"/>
              </w:rPr>
            </w:pPr>
          </w:p>
        </w:tc>
      </w:tr>
      <w:tr w:rsidR="00D12DF8" w:rsidRPr="00D12DF8" w:rsidTr="001D53CF">
        <w:trPr>
          <w:trHeight w:val="266"/>
        </w:trPr>
        <w:tc>
          <w:tcPr>
            <w:tcW w:w="3119" w:type="dxa"/>
            <w:shd w:val="clear" w:color="auto" w:fill="auto"/>
          </w:tcPr>
          <w:p w:rsidR="00D12DF8" w:rsidRPr="00D12DF8" w:rsidRDefault="002D0B8C" w:rsidP="002D0B8C">
            <w:pPr>
              <w:spacing w:before="60" w:line="200" w:lineRule="exact"/>
              <w:jc w:val="left"/>
              <w:rPr>
                <w:sz w:val="16"/>
                <w:szCs w:val="16"/>
              </w:rPr>
            </w:pPr>
            <w:r w:rsidRPr="00D12DF8">
              <w:rPr>
                <w:sz w:val="16"/>
                <w:szCs w:val="16"/>
              </w:rPr>
              <w:t xml:space="preserve">Nettoresultat av </w:t>
            </w:r>
            <w:r>
              <w:rPr>
                <w:sz w:val="16"/>
                <w:szCs w:val="16"/>
              </w:rPr>
              <w:t>värdeförändringar (orealis</w:t>
            </w:r>
            <w:r>
              <w:rPr>
                <w:sz w:val="16"/>
                <w:szCs w:val="16"/>
              </w:rPr>
              <w:t>e</w:t>
            </w:r>
            <w:r>
              <w:rPr>
                <w:sz w:val="16"/>
                <w:szCs w:val="16"/>
              </w:rPr>
              <w:t>rat resultat)</w:t>
            </w:r>
          </w:p>
        </w:tc>
        <w:tc>
          <w:tcPr>
            <w:tcW w:w="840" w:type="dxa"/>
            <w:shd w:val="clear" w:color="auto" w:fill="auto"/>
          </w:tcPr>
          <w:p w:rsidR="002D0B8C" w:rsidRPr="00601DCC" w:rsidRDefault="00601DCC" w:rsidP="00B25D51">
            <w:pPr>
              <w:spacing w:before="60" w:line="200" w:lineRule="exact"/>
              <w:jc w:val="right"/>
              <w:rPr>
                <w:sz w:val="16"/>
                <w:szCs w:val="16"/>
              </w:rPr>
            </w:pPr>
            <w:r>
              <w:rPr>
                <w:sz w:val="16"/>
                <w:szCs w:val="16"/>
              </w:rPr>
              <w:t xml:space="preserve">                </w:t>
            </w:r>
            <w:r w:rsidR="00B25D51">
              <w:rPr>
                <w:sz w:val="16"/>
                <w:szCs w:val="16"/>
              </w:rPr>
              <w:t>27 434</w:t>
            </w:r>
          </w:p>
        </w:tc>
        <w:tc>
          <w:tcPr>
            <w:tcW w:w="982" w:type="dxa"/>
            <w:shd w:val="clear" w:color="auto" w:fill="auto"/>
          </w:tcPr>
          <w:p w:rsidR="00D12DF8" w:rsidRPr="00D12DF8" w:rsidRDefault="00D12DF8" w:rsidP="002D0B8C">
            <w:pPr>
              <w:spacing w:before="60" w:line="200" w:lineRule="exact"/>
              <w:jc w:val="right"/>
              <w:rPr>
                <w:sz w:val="16"/>
                <w:szCs w:val="16"/>
              </w:rPr>
            </w:pPr>
          </w:p>
        </w:tc>
        <w:tc>
          <w:tcPr>
            <w:tcW w:w="982" w:type="dxa"/>
            <w:shd w:val="clear" w:color="auto" w:fill="auto"/>
          </w:tcPr>
          <w:p w:rsidR="00D12DF8" w:rsidRPr="002D0B8C" w:rsidRDefault="00601DCC" w:rsidP="00601DCC">
            <w:pPr>
              <w:pStyle w:val="Normaltindrag"/>
              <w:ind w:firstLine="0"/>
              <w:jc w:val="right"/>
            </w:pPr>
            <w:r>
              <w:rPr>
                <w:sz w:val="16"/>
                <w:szCs w:val="16"/>
              </w:rPr>
              <w:t xml:space="preserve">                  </w:t>
            </w:r>
            <w:r w:rsidR="00B25D51">
              <w:rPr>
                <w:sz w:val="16"/>
                <w:szCs w:val="16"/>
              </w:rPr>
              <w:t>6 296</w:t>
            </w:r>
          </w:p>
        </w:tc>
      </w:tr>
      <w:tr w:rsidR="002D0B8C" w:rsidRPr="00D12DF8" w:rsidTr="001D53CF">
        <w:trPr>
          <w:trHeight w:val="252"/>
        </w:trPr>
        <w:tc>
          <w:tcPr>
            <w:tcW w:w="3119" w:type="dxa"/>
            <w:shd w:val="clear" w:color="auto" w:fill="auto"/>
          </w:tcPr>
          <w:p w:rsidR="002D0B8C" w:rsidRPr="00D12DF8" w:rsidRDefault="002D0B8C" w:rsidP="002D0B8C">
            <w:pPr>
              <w:spacing w:before="60" w:line="200" w:lineRule="exact"/>
              <w:jc w:val="left"/>
              <w:rPr>
                <w:sz w:val="16"/>
                <w:szCs w:val="16"/>
              </w:rPr>
            </w:pPr>
            <w:r>
              <w:rPr>
                <w:sz w:val="16"/>
                <w:szCs w:val="16"/>
              </w:rPr>
              <w:t xml:space="preserve">  varav värdeförändringar på värdepapper                            </w:t>
            </w:r>
            <w:r w:rsidRPr="00D12DF8">
              <w:rPr>
                <w:sz w:val="16"/>
                <w:szCs w:val="16"/>
              </w:rPr>
              <w:t xml:space="preserve">                     </w:t>
            </w:r>
          </w:p>
        </w:tc>
        <w:tc>
          <w:tcPr>
            <w:tcW w:w="840" w:type="dxa"/>
            <w:shd w:val="clear" w:color="auto" w:fill="auto"/>
          </w:tcPr>
          <w:p w:rsidR="002D0B8C" w:rsidRPr="00D12DF8" w:rsidRDefault="00B25D51" w:rsidP="00E66B85">
            <w:pPr>
              <w:spacing w:before="60" w:line="200" w:lineRule="exact"/>
              <w:jc w:val="right"/>
              <w:rPr>
                <w:sz w:val="16"/>
                <w:szCs w:val="16"/>
              </w:rPr>
            </w:pPr>
            <w:r>
              <w:rPr>
                <w:sz w:val="16"/>
                <w:szCs w:val="16"/>
              </w:rPr>
              <w:t>6 296</w:t>
            </w:r>
          </w:p>
        </w:tc>
        <w:tc>
          <w:tcPr>
            <w:tcW w:w="982" w:type="dxa"/>
            <w:shd w:val="clear" w:color="auto" w:fill="auto"/>
          </w:tcPr>
          <w:p w:rsidR="002D0B8C" w:rsidRPr="00D12DF8" w:rsidRDefault="002D0B8C" w:rsidP="00E66B85">
            <w:pPr>
              <w:spacing w:before="60" w:line="200" w:lineRule="exact"/>
              <w:jc w:val="right"/>
              <w:rPr>
                <w:sz w:val="16"/>
                <w:szCs w:val="16"/>
              </w:rPr>
            </w:pPr>
          </w:p>
        </w:tc>
        <w:tc>
          <w:tcPr>
            <w:tcW w:w="982" w:type="dxa"/>
            <w:shd w:val="clear" w:color="auto" w:fill="auto"/>
          </w:tcPr>
          <w:p w:rsidR="002D0B8C" w:rsidRPr="00D12DF8" w:rsidRDefault="00B25D51" w:rsidP="00E66B85">
            <w:pPr>
              <w:spacing w:before="60" w:line="200" w:lineRule="exact"/>
              <w:jc w:val="right"/>
              <w:rPr>
                <w:sz w:val="16"/>
                <w:szCs w:val="16"/>
              </w:rPr>
            </w:pPr>
            <w:r>
              <w:rPr>
                <w:sz w:val="16"/>
                <w:szCs w:val="16"/>
              </w:rPr>
              <w:t>6 296</w:t>
            </w:r>
          </w:p>
        </w:tc>
      </w:tr>
      <w:tr w:rsidR="002D0B8C" w:rsidRPr="00D12DF8" w:rsidTr="001D53CF">
        <w:trPr>
          <w:trHeight w:val="252"/>
        </w:trPr>
        <w:tc>
          <w:tcPr>
            <w:tcW w:w="3119" w:type="dxa"/>
            <w:shd w:val="clear" w:color="auto" w:fill="auto"/>
          </w:tcPr>
          <w:p w:rsidR="002D0B8C" w:rsidRDefault="002D0B8C" w:rsidP="002D0B8C">
            <w:pPr>
              <w:spacing w:before="60" w:line="200" w:lineRule="exact"/>
              <w:jc w:val="left"/>
              <w:rPr>
                <w:sz w:val="16"/>
                <w:szCs w:val="16"/>
              </w:rPr>
            </w:pPr>
            <w:r>
              <w:rPr>
                <w:sz w:val="16"/>
                <w:szCs w:val="16"/>
              </w:rPr>
              <w:t xml:space="preserve">                respektive guld och valuta</w:t>
            </w:r>
          </w:p>
        </w:tc>
        <w:tc>
          <w:tcPr>
            <w:tcW w:w="840" w:type="dxa"/>
            <w:shd w:val="clear" w:color="auto" w:fill="auto"/>
          </w:tcPr>
          <w:p w:rsidR="002D0B8C" w:rsidRPr="00D12DF8" w:rsidRDefault="00B25D51" w:rsidP="00E66B85">
            <w:pPr>
              <w:spacing w:before="60" w:line="200" w:lineRule="exact"/>
              <w:jc w:val="right"/>
              <w:rPr>
                <w:sz w:val="16"/>
                <w:szCs w:val="16"/>
              </w:rPr>
            </w:pPr>
            <w:r>
              <w:rPr>
                <w:sz w:val="16"/>
                <w:szCs w:val="16"/>
              </w:rPr>
              <w:t>21 138</w:t>
            </w:r>
          </w:p>
        </w:tc>
        <w:tc>
          <w:tcPr>
            <w:tcW w:w="982" w:type="dxa"/>
            <w:shd w:val="clear" w:color="auto" w:fill="auto"/>
          </w:tcPr>
          <w:p w:rsidR="002D0B8C" w:rsidRPr="00D12DF8" w:rsidRDefault="002D0B8C" w:rsidP="00E66B85">
            <w:pPr>
              <w:spacing w:before="60" w:line="200" w:lineRule="exact"/>
              <w:jc w:val="right"/>
              <w:rPr>
                <w:sz w:val="16"/>
                <w:szCs w:val="16"/>
              </w:rPr>
            </w:pPr>
          </w:p>
        </w:tc>
        <w:tc>
          <w:tcPr>
            <w:tcW w:w="982" w:type="dxa"/>
            <w:shd w:val="clear" w:color="auto" w:fill="auto"/>
          </w:tcPr>
          <w:p w:rsidR="002D0B8C" w:rsidRPr="00D12DF8" w:rsidRDefault="002D0B8C" w:rsidP="00E66B85">
            <w:pPr>
              <w:spacing w:before="60" w:line="200" w:lineRule="exact"/>
              <w:jc w:val="right"/>
              <w:rPr>
                <w:sz w:val="16"/>
                <w:szCs w:val="16"/>
              </w:rPr>
            </w:pPr>
          </w:p>
        </w:tc>
      </w:tr>
      <w:tr w:rsidR="002D0B8C" w:rsidRPr="00D12DF8" w:rsidTr="006C4E1E">
        <w:trPr>
          <w:trHeight w:val="252"/>
        </w:trPr>
        <w:tc>
          <w:tcPr>
            <w:tcW w:w="3119" w:type="dxa"/>
            <w:shd w:val="clear" w:color="auto" w:fill="auto"/>
          </w:tcPr>
          <w:p w:rsidR="002D0B8C" w:rsidRDefault="002D0B8C" w:rsidP="002D0B8C">
            <w:pPr>
              <w:spacing w:before="60" w:line="200" w:lineRule="exact"/>
              <w:jc w:val="left"/>
              <w:rPr>
                <w:sz w:val="16"/>
                <w:szCs w:val="16"/>
              </w:rPr>
            </w:pPr>
            <w:r>
              <w:rPr>
                <w:sz w:val="16"/>
                <w:szCs w:val="16"/>
              </w:rPr>
              <w:t>Övriga intäkter</w:t>
            </w:r>
          </w:p>
        </w:tc>
        <w:tc>
          <w:tcPr>
            <w:tcW w:w="840" w:type="dxa"/>
            <w:tcBorders>
              <w:bottom w:val="single" w:sz="4" w:space="0" w:color="auto"/>
            </w:tcBorders>
            <w:shd w:val="clear" w:color="auto" w:fill="auto"/>
          </w:tcPr>
          <w:p w:rsidR="002D0B8C" w:rsidRPr="00D12DF8" w:rsidRDefault="00B25D51" w:rsidP="00E66B85">
            <w:pPr>
              <w:spacing w:before="60" w:line="200" w:lineRule="exact"/>
              <w:jc w:val="right"/>
              <w:rPr>
                <w:sz w:val="16"/>
                <w:szCs w:val="16"/>
              </w:rPr>
            </w:pPr>
            <w:r>
              <w:rPr>
                <w:sz w:val="16"/>
                <w:szCs w:val="16"/>
              </w:rPr>
              <w:t>121</w:t>
            </w:r>
          </w:p>
        </w:tc>
        <w:tc>
          <w:tcPr>
            <w:tcW w:w="982" w:type="dxa"/>
            <w:tcBorders>
              <w:bottom w:val="single" w:sz="4" w:space="0" w:color="auto"/>
            </w:tcBorders>
            <w:shd w:val="clear" w:color="auto" w:fill="auto"/>
          </w:tcPr>
          <w:p w:rsidR="002D0B8C" w:rsidRPr="00D12DF8" w:rsidRDefault="00B25D51" w:rsidP="00E66B85">
            <w:pPr>
              <w:spacing w:before="60" w:line="200" w:lineRule="exact"/>
              <w:jc w:val="right"/>
              <w:rPr>
                <w:sz w:val="16"/>
                <w:szCs w:val="16"/>
              </w:rPr>
            </w:pPr>
            <w:r>
              <w:rPr>
                <w:sz w:val="16"/>
                <w:szCs w:val="16"/>
              </w:rPr>
              <w:t>121</w:t>
            </w:r>
          </w:p>
        </w:tc>
        <w:tc>
          <w:tcPr>
            <w:tcW w:w="982" w:type="dxa"/>
            <w:tcBorders>
              <w:bottom w:val="single" w:sz="4" w:space="0" w:color="auto"/>
            </w:tcBorders>
            <w:shd w:val="clear" w:color="auto" w:fill="auto"/>
          </w:tcPr>
          <w:p w:rsidR="002D0B8C" w:rsidRDefault="00B25D51" w:rsidP="00E66B85">
            <w:pPr>
              <w:spacing w:before="60" w:line="200" w:lineRule="exact"/>
              <w:jc w:val="right"/>
              <w:rPr>
                <w:sz w:val="16"/>
                <w:szCs w:val="16"/>
              </w:rPr>
            </w:pPr>
            <w:r>
              <w:rPr>
                <w:sz w:val="16"/>
                <w:szCs w:val="16"/>
              </w:rPr>
              <w:t>121</w:t>
            </w:r>
          </w:p>
        </w:tc>
      </w:tr>
      <w:tr w:rsidR="002D0B8C" w:rsidRPr="00D12DF8" w:rsidTr="006C4E1E">
        <w:trPr>
          <w:trHeight w:val="252"/>
        </w:trPr>
        <w:tc>
          <w:tcPr>
            <w:tcW w:w="3119" w:type="dxa"/>
            <w:shd w:val="clear" w:color="auto" w:fill="auto"/>
          </w:tcPr>
          <w:p w:rsidR="002D0B8C" w:rsidRPr="002D0B8C" w:rsidRDefault="002D0B8C" w:rsidP="002D0B8C">
            <w:pPr>
              <w:spacing w:before="60" w:line="200" w:lineRule="exact"/>
              <w:jc w:val="left"/>
              <w:rPr>
                <w:b/>
                <w:sz w:val="16"/>
                <w:szCs w:val="16"/>
              </w:rPr>
            </w:pPr>
            <w:r w:rsidRPr="002D0B8C">
              <w:rPr>
                <w:b/>
                <w:sz w:val="16"/>
                <w:szCs w:val="16"/>
              </w:rPr>
              <w:t>Summa nettointäkter</w:t>
            </w:r>
          </w:p>
        </w:tc>
        <w:tc>
          <w:tcPr>
            <w:tcW w:w="840" w:type="dxa"/>
            <w:tcBorders>
              <w:top w:val="single" w:sz="4" w:space="0" w:color="auto"/>
            </w:tcBorders>
            <w:shd w:val="clear" w:color="auto" w:fill="auto"/>
          </w:tcPr>
          <w:p w:rsidR="002D0B8C" w:rsidRPr="002D0B8C" w:rsidRDefault="00B25D51" w:rsidP="00E66B85">
            <w:pPr>
              <w:spacing w:before="60" w:line="200" w:lineRule="exact"/>
              <w:jc w:val="right"/>
              <w:rPr>
                <w:b/>
                <w:sz w:val="16"/>
                <w:szCs w:val="16"/>
              </w:rPr>
            </w:pPr>
            <w:r>
              <w:rPr>
                <w:b/>
                <w:sz w:val="16"/>
                <w:szCs w:val="16"/>
              </w:rPr>
              <w:t>31 618</w:t>
            </w:r>
          </w:p>
        </w:tc>
        <w:tc>
          <w:tcPr>
            <w:tcW w:w="982" w:type="dxa"/>
            <w:tcBorders>
              <w:top w:val="single" w:sz="4" w:space="0" w:color="auto"/>
            </w:tcBorders>
            <w:shd w:val="clear" w:color="auto" w:fill="auto"/>
          </w:tcPr>
          <w:p w:rsidR="002D0B8C" w:rsidRPr="002D0B8C" w:rsidRDefault="00B25D51" w:rsidP="00E66B85">
            <w:pPr>
              <w:spacing w:before="60" w:line="200" w:lineRule="exact"/>
              <w:jc w:val="right"/>
              <w:rPr>
                <w:b/>
                <w:sz w:val="16"/>
                <w:szCs w:val="16"/>
              </w:rPr>
            </w:pPr>
            <w:r>
              <w:rPr>
                <w:b/>
                <w:sz w:val="16"/>
                <w:szCs w:val="16"/>
              </w:rPr>
              <w:t>4 184</w:t>
            </w:r>
          </w:p>
        </w:tc>
        <w:tc>
          <w:tcPr>
            <w:tcW w:w="982" w:type="dxa"/>
            <w:tcBorders>
              <w:top w:val="single" w:sz="4" w:space="0" w:color="auto"/>
            </w:tcBorders>
            <w:shd w:val="clear" w:color="auto" w:fill="auto"/>
          </w:tcPr>
          <w:p w:rsidR="002D0B8C" w:rsidRPr="002D0B8C" w:rsidRDefault="00B25D51" w:rsidP="00E66B85">
            <w:pPr>
              <w:spacing w:before="60" w:line="200" w:lineRule="exact"/>
              <w:jc w:val="right"/>
              <w:rPr>
                <w:b/>
                <w:sz w:val="16"/>
                <w:szCs w:val="16"/>
              </w:rPr>
            </w:pPr>
            <w:r>
              <w:rPr>
                <w:b/>
                <w:sz w:val="16"/>
                <w:szCs w:val="16"/>
              </w:rPr>
              <w:t>9 936</w:t>
            </w:r>
          </w:p>
        </w:tc>
      </w:tr>
      <w:tr w:rsidR="00601DCC" w:rsidRPr="00D12DF8" w:rsidTr="006C4E1E">
        <w:trPr>
          <w:trHeight w:val="252"/>
        </w:trPr>
        <w:tc>
          <w:tcPr>
            <w:tcW w:w="3119" w:type="dxa"/>
            <w:shd w:val="clear" w:color="auto" w:fill="auto"/>
          </w:tcPr>
          <w:p w:rsidR="00601DCC" w:rsidRPr="002D0B8C" w:rsidRDefault="00601DCC" w:rsidP="002D0B8C">
            <w:pPr>
              <w:spacing w:before="60" w:line="200" w:lineRule="exact"/>
              <w:jc w:val="left"/>
              <w:rPr>
                <w:b/>
                <w:sz w:val="16"/>
                <w:szCs w:val="16"/>
              </w:rPr>
            </w:pPr>
            <w:r>
              <w:rPr>
                <w:b/>
                <w:sz w:val="16"/>
                <w:szCs w:val="16"/>
              </w:rPr>
              <w:t>Personal- och administrationskostnader samt avskrivningar</w:t>
            </w:r>
          </w:p>
        </w:tc>
        <w:tc>
          <w:tcPr>
            <w:tcW w:w="840" w:type="dxa"/>
            <w:shd w:val="clear" w:color="auto" w:fill="auto"/>
          </w:tcPr>
          <w:p w:rsidR="00601DCC" w:rsidRDefault="00601DCC" w:rsidP="00601DCC">
            <w:pPr>
              <w:pStyle w:val="Normaltindrag"/>
              <w:ind w:firstLine="0"/>
              <w:jc w:val="right"/>
              <w:rPr>
                <w:b/>
                <w:sz w:val="16"/>
                <w:szCs w:val="16"/>
              </w:rPr>
            </w:pPr>
          </w:p>
          <w:p w:rsidR="00601DCC" w:rsidRPr="00601DCC" w:rsidRDefault="00601DCC" w:rsidP="00B9571E">
            <w:pPr>
              <w:pStyle w:val="Normaltindrag"/>
              <w:ind w:firstLine="0"/>
              <w:jc w:val="right"/>
            </w:pPr>
            <w:r w:rsidRPr="002D0B8C">
              <w:rPr>
                <w:b/>
                <w:sz w:val="16"/>
                <w:szCs w:val="16"/>
              </w:rPr>
              <w:t>–</w:t>
            </w:r>
            <w:r w:rsidR="00B9571E">
              <w:rPr>
                <w:b/>
                <w:sz w:val="16"/>
                <w:szCs w:val="16"/>
              </w:rPr>
              <w:t>917</w:t>
            </w:r>
          </w:p>
        </w:tc>
        <w:tc>
          <w:tcPr>
            <w:tcW w:w="982" w:type="dxa"/>
            <w:shd w:val="clear" w:color="auto" w:fill="auto"/>
          </w:tcPr>
          <w:p w:rsidR="00601DCC" w:rsidRDefault="00601DCC" w:rsidP="00601DCC">
            <w:pPr>
              <w:pStyle w:val="Normaltindrag"/>
              <w:ind w:firstLine="0"/>
              <w:jc w:val="right"/>
              <w:rPr>
                <w:b/>
                <w:sz w:val="16"/>
                <w:szCs w:val="16"/>
              </w:rPr>
            </w:pPr>
          </w:p>
          <w:p w:rsidR="00601DCC" w:rsidRPr="002D0B8C" w:rsidRDefault="00B9571E" w:rsidP="00601DCC">
            <w:pPr>
              <w:spacing w:before="60" w:line="200" w:lineRule="exact"/>
              <w:jc w:val="right"/>
              <w:rPr>
                <w:b/>
                <w:sz w:val="16"/>
                <w:szCs w:val="16"/>
              </w:rPr>
            </w:pPr>
            <w:r w:rsidRPr="002D0B8C">
              <w:rPr>
                <w:b/>
                <w:sz w:val="16"/>
                <w:szCs w:val="16"/>
              </w:rPr>
              <w:t>–</w:t>
            </w:r>
            <w:r>
              <w:rPr>
                <w:b/>
                <w:sz w:val="16"/>
                <w:szCs w:val="16"/>
              </w:rPr>
              <w:t>917</w:t>
            </w:r>
          </w:p>
        </w:tc>
        <w:tc>
          <w:tcPr>
            <w:tcW w:w="982" w:type="dxa"/>
            <w:shd w:val="clear" w:color="auto" w:fill="auto"/>
          </w:tcPr>
          <w:p w:rsidR="00601DCC" w:rsidRDefault="00601DCC" w:rsidP="00601DCC">
            <w:pPr>
              <w:pStyle w:val="Normaltindrag"/>
              <w:ind w:firstLine="0"/>
              <w:jc w:val="right"/>
              <w:rPr>
                <w:b/>
                <w:sz w:val="16"/>
                <w:szCs w:val="16"/>
              </w:rPr>
            </w:pPr>
          </w:p>
          <w:p w:rsidR="00601DCC" w:rsidRPr="002D0B8C" w:rsidRDefault="00B9571E" w:rsidP="00601DCC">
            <w:pPr>
              <w:spacing w:before="60" w:line="200" w:lineRule="exact"/>
              <w:jc w:val="right"/>
              <w:rPr>
                <w:b/>
                <w:sz w:val="16"/>
                <w:szCs w:val="16"/>
              </w:rPr>
            </w:pPr>
            <w:r w:rsidRPr="002D0B8C">
              <w:rPr>
                <w:b/>
                <w:sz w:val="16"/>
                <w:szCs w:val="16"/>
              </w:rPr>
              <w:t>–</w:t>
            </w:r>
            <w:r>
              <w:rPr>
                <w:b/>
                <w:sz w:val="16"/>
                <w:szCs w:val="16"/>
              </w:rPr>
              <w:t>917</w:t>
            </w:r>
          </w:p>
        </w:tc>
      </w:tr>
      <w:tr w:rsidR="00601DCC" w:rsidRPr="000A0A73" w:rsidTr="006C4E1E">
        <w:trPr>
          <w:trHeight w:val="252"/>
        </w:trPr>
        <w:tc>
          <w:tcPr>
            <w:tcW w:w="3119" w:type="dxa"/>
            <w:shd w:val="clear" w:color="auto" w:fill="auto"/>
          </w:tcPr>
          <w:p w:rsidR="001D53CF" w:rsidRDefault="000A0A73" w:rsidP="001D53CF">
            <w:pPr>
              <w:spacing w:before="60" w:line="200" w:lineRule="exact"/>
              <w:jc w:val="left"/>
              <w:rPr>
                <w:sz w:val="16"/>
                <w:szCs w:val="16"/>
              </w:rPr>
            </w:pPr>
            <w:r>
              <w:rPr>
                <w:sz w:val="16"/>
                <w:szCs w:val="16"/>
              </w:rPr>
              <w:t xml:space="preserve">  varav ko</w:t>
            </w:r>
            <w:r w:rsidR="001D53CF">
              <w:rPr>
                <w:sz w:val="16"/>
                <w:szCs w:val="16"/>
              </w:rPr>
              <w:t>stnader för hantering av sedlar och</w:t>
            </w:r>
          </w:p>
          <w:p w:rsidR="00601DCC" w:rsidRPr="000A0A73" w:rsidRDefault="001D53CF" w:rsidP="001D53CF">
            <w:pPr>
              <w:spacing w:before="60" w:line="200" w:lineRule="exact"/>
              <w:jc w:val="left"/>
              <w:rPr>
                <w:sz w:val="16"/>
                <w:szCs w:val="16"/>
              </w:rPr>
            </w:pPr>
            <w:r>
              <w:rPr>
                <w:sz w:val="16"/>
                <w:szCs w:val="16"/>
              </w:rPr>
              <w:t xml:space="preserve">  mynt</w:t>
            </w:r>
          </w:p>
        </w:tc>
        <w:tc>
          <w:tcPr>
            <w:tcW w:w="840" w:type="dxa"/>
            <w:shd w:val="clear" w:color="auto" w:fill="auto"/>
          </w:tcPr>
          <w:p w:rsidR="00601DCC" w:rsidRPr="000A0A73" w:rsidRDefault="000A0A73" w:rsidP="00B9571E">
            <w:pPr>
              <w:pStyle w:val="Normaltindrag"/>
              <w:ind w:firstLine="0"/>
              <w:jc w:val="right"/>
              <w:rPr>
                <w:sz w:val="16"/>
                <w:szCs w:val="16"/>
              </w:rPr>
            </w:pPr>
            <w:r>
              <w:rPr>
                <w:sz w:val="16"/>
                <w:szCs w:val="16"/>
              </w:rPr>
              <w:t xml:space="preserve">                  </w:t>
            </w:r>
            <w:r w:rsidRPr="00844B67">
              <w:rPr>
                <w:sz w:val="16"/>
              </w:rPr>
              <w:t>–</w:t>
            </w:r>
            <w:r w:rsidR="00844B67">
              <w:rPr>
                <w:sz w:val="16"/>
                <w:szCs w:val="16"/>
              </w:rPr>
              <w:t>282</w:t>
            </w:r>
          </w:p>
        </w:tc>
        <w:tc>
          <w:tcPr>
            <w:tcW w:w="982" w:type="dxa"/>
            <w:shd w:val="clear" w:color="auto" w:fill="auto"/>
          </w:tcPr>
          <w:p w:rsidR="00601DCC" w:rsidRPr="000A0A73" w:rsidRDefault="000A0A73" w:rsidP="001D53CF">
            <w:pPr>
              <w:pStyle w:val="Normaltindrag"/>
              <w:ind w:firstLine="0"/>
              <w:jc w:val="right"/>
              <w:rPr>
                <w:sz w:val="16"/>
                <w:szCs w:val="16"/>
              </w:rPr>
            </w:pPr>
            <w:r>
              <w:rPr>
                <w:sz w:val="16"/>
                <w:szCs w:val="16"/>
              </w:rPr>
              <w:t xml:space="preserve">                  </w:t>
            </w:r>
            <w:r w:rsidR="00B9571E" w:rsidRPr="00844B67">
              <w:rPr>
                <w:sz w:val="16"/>
              </w:rPr>
              <w:t>–</w:t>
            </w:r>
            <w:r w:rsidR="00844B67">
              <w:rPr>
                <w:sz w:val="16"/>
                <w:szCs w:val="16"/>
              </w:rPr>
              <w:t>282</w:t>
            </w:r>
          </w:p>
        </w:tc>
        <w:tc>
          <w:tcPr>
            <w:tcW w:w="982" w:type="dxa"/>
            <w:shd w:val="clear" w:color="auto" w:fill="auto"/>
          </w:tcPr>
          <w:p w:rsidR="00601DCC" w:rsidRPr="000A0A73" w:rsidRDefault="000A0A73" w:rsidP="001D53CF">
            <w:pPr>
              <w:pStyle w:val="Normaltindrag"/>
              <w:ind w:firstLine="0"/>
              <w:jc w:val="right"/>
              <w:rPr>
                <w:sz w:val="16"/>
                <w:szCs w:val="16"/>
              </w:rPr>
            </w:pPr>
            <w:r>
              <w:rPr>
                <w:sz w:val="16"/>
                <w:szCs w:val="16"/>
              </w:rPr>
              <w:t xml:space="preserve">                  </w:t>
            </w:r>
            <w:r w:rsidR="00B9571E" w:rsidRPr="00844B67">
              <w:rPr>
                <w:sz w:val="16"/>
              </w:rPr>
              <w:t>–</w:t>
            </w:r>
            <w:r w:rsidR="00844B67">
              <w:rPr>
                <w:sz w:val="16"/>
                <w:szCs w:val="16"/>
              </w:rPr>
              <w:t>282</w:t>
            </w:r>
          </w:p>
        </w:tc>
      </w:tr>
      <w:tr w:rsidR="00601DCC" w:rsidRPr="00D12DF8" w:rsidTr="006C4E1E">
        <w:trPr>
          <w:trHeight w:val="252"/>
        </w:trPr>
        <w:tc>
          <w:tcPr>
            <w:tcW w:w="3119" w:type="dxa"/>
            <w:tcBorders>
              <w:bottom w:val="single" w:sz="4" w:space="0" w:color="auto"/>
            </w:tcBorders>
            <w:shd w:val="clear" w:color="auto" w:fill="auto"/>
          </w:tcPr>
          <w:p w:rsidR="00601DCC" w:rsidRDefault="001D53CF" w:rsidP="001D53CF">
            <w:pPr>
              <w:spacing w:before="60" w:line="200" w:lineRule="exact"/>
              <w:jc w:val="left"/>
              <w:rPr>
                <w:sz w:val="16"/>
                <w:szCs w:val="16"/>
              </w:rPr>
            </w:pPr>
            <w:r>
              <w:rPr>
                <w:sz w:val="16"/>
                <w:szCs w:val="16"/>
              </w:rPr>
              <w:t xml:space="preserve">                övriga kostnader</w:t>
            </w:r>
          </w:p>
        </w:tc>
        <w:tc>
          <w:tcPr>
            <w:tcW w:w="840" w:type="dxa"/>
            <w:tcBorders>
              <w:bottom w:val="single" w:sz="4" w:space="0" w:color="auto"/>
            </w:tcBorders>
            <w:shd w:val="clear" w:color="auto" w:fill="auto"/>
          </w:tcPr>
          <w:p w:rsidR="00601DCC" w:rsidRPr="00D12DF8" w:rsidRDefault="00B9571E" w:rsidP="00E66B85">
            <w:pPr>
              <w:spacing w:before="60" w:line="200" w:lineRule="exact"/>
              <w:jc w:val="right"/>
              <w:rPr>
                <w:sz w:val="16"/>
                <w:szCs w:val="16"/>
              </w:rPr>
            </w:pPr>
            <w:r>
              <w:rPr>
                <w:sz w:val="16"/>
              </w:rPr>
              <w:t>–</w:t>
            </w:r>
            <w:r w:rsidR="00844B67">
              <w:rPr>
                <w:sz w:val="16"/>
                <w:szCs w:val="16"/>
              </w:rPr>
              <w:t>635</w:t>
            </w:r>
          </w:p>
        </w:tc>
        <w:tc>
          <w:tcPr>
            <w:tcW w:w="982" w:type="dxa"/>
            <w:tcBorders>
              <w:bottom w:val="single" w:sz="4" w:space="0" w:color="auto"/>
            </w:tcBorders>
            <w:shd w:val="clear" w:color="auto" w:fill="auto"/>
          </w:tcPr>
          <w:p w:rsidR="00601DCC" w:rsidRPr="00D12DF8" w:rsidRDefault="00B9571E" w:rsidP="00E66B85">
            <w:pPr>
              <w:spacing w:before="60" w:line="200" w:lineRule="exact"/>
              <w:jc w:val="right"/>
              <w:rPr>
                <w:sz w:val="16"/>
                <w:szCs w:val="16"/>
              </w:rPr>
            </w:pPr>
            <w:r>
              <w:rPr>
                <w:sz w:val="16"/>
              </w:rPr>
              <w:t>–</w:t>
            </w:r>
            <w:r w:rsidR="00844B67">
              <w:rPr>
                <w:sz w:val="16"/>
                <w:szCs w:val="16"/>
              </w:rPr>
              <w:t>635</w:t>
            </w:r>
          </w:p>
        </w:tc>
        <w:tc>
          <w:tcPr>
            <w:tcW w:w="982" w:type="dxa"/>
            <w:tcBorders>
              <w:bottom w:val="single" w:sz="4" w:space="0" w:color="auto"/>
            </w:tcBorders>
            <w:shd w:val="clear" w:color="auto" w:fill="auto"/>
          </w:tcPr>
          <w:p w:rsidR="00601DCC" w:rsidRPr="00D12DF8" w:rsidRDefault="00B9571E" w:rsidP="00E66B85">
            <w:pPr>
              <w:spacing w:before="60" w:line="200" w:lineRule="exact"/>
              <w:jc w:val="right"/>
              <w:rPr>
                <w:sz w:val="16"/>
                <w:szCs w:val="16"/>
              </w:rPr>
            </w:pPr>
            <w:r>
              <w:rPr>
                <w:sz w:val="16"/>
              </w:rPr>
              <w:t>–</w:t>
            </w:r>
            <w:r w:rsidR="00844B67">
              <w:rPr>
                <w:sz w:val="16"/>
                <w:szCs w:val="16"/>
              </w:rPr>
              <w:t>635</w:t>
            </w:r>
          </w:p>
        </w:tc>
      </w:tr>
      <w:tr w:rsidR="00601DCC" w:rsidRPr="00D12DF8" w:rsidTr="006C4E1E">
        <w:trPr>
          <w:trHeight w:val="266"/>
        </w:trPr>
        <w:tc>
          <w:tcPr>
            <w:tcW w:w="3119" w:type="dxa"/>
            <w:tcBorders>
              <w:top w:val="single" w:sz="4" w:space="0" w:color="auto"/>
              <w:bottom w:val="single" w:sz="4" w:space="0" w:color="auto"/>
            </w:tcBorders>
            <w:shd w:val="clear" w:color="auto" w:fill="auto"/>
          </w:tcPr>
          <w:p w:rsidR="00601DCC" w:rsidRPr="00D12DF8" w:rsidRDefault="001D53CF" w:rsidP="00DD73D4">
            <w:pPr>
              <w:spacing w:before="60" w:line="200" w:lineRule="exact"/>
              <w:jc w:val="left"/>
              <w:rPr>
                <w:b/>
                <w:sz w:val="16"/>
                <w:szCs w:val="16"/>
              </w:rPr>
            </w:pPr>
            <w:r>
              <w:rPr>
                <w:b/>
                <w:sz w:val="16"/>
                <w:szCs w:val="16"/>
              </w:rPr>
              <w:t>Årets resultat</w:t>
            </w:r>
          </w:p>
        </w:tc>
        <w:tc>
          <w:tcPr>
            <w:tcW w:w="840" w:type="dxa"/>
            <w:tcBorders>
              <w:top w:val="single" w:sz="4" w:space="0" w:color="auto"/>
              <w:bottom w:val="single" w:sz="4" w:space="0" w:color="auto"/>
            </w:tcBorders>
            <w:shd w:val="clear" w:color="auto" w:fill="auto"/>
          </w:tcPr>
          <w:p w:rsidR="00601DCC" w:rsidRPr="00D12DF8" w:rsidRDefault="00B9571E" w:rsidP="00E66B85">
            <w:pPr>
              <w:spacing w:before="60" w:line="200" w:lineRule="exact"/>
              <w:jc w:val="right"/>
              <w:rPr>
                <w:b/>
                <w:sz w:val="16"/>
                <w:szCs w:val="16"/>
              </w:rPr>
            </w:pPr>
            <w:r>
              <w:rPr>
                <w:b/>
                <w:sz w:val="16"/>
                <w:szCs w:val="16"/>
              </w:rPr>
              <w:t>30 701</w:t>
            </w:r>
          </w:p>
        </w:tc>
        <w:tc>
          <w:tcPr>
            <w:tcW w:w="982" w:type="dxa"/>
            <w:tcBorders>
              <w:top w:val="single" w:sz="4" w:space="0" w:color="auto"/>
              <w:bottom w:val="single" w:sz="4" w:space="0" w:color="auto"/>
            </w:tcBorders>
            <w:shd w:val="clear" w:color="auto" w:fill="auto"/>
          </w:tcPr>
          <w:p w:rsidR="00601DCC" w:rsidRPr="00D12DF8" w:rsidRDefault="00AB751A" w:rsidP="00E66B85">
            <w:pPr>
              <w:spacing w:before="60" w:line="200" w:lineRule="exact"/>
              <w:jc w:val="right"/>
              <w:rPr>
                <w:b/>
                <w:sz w:val="16"/>
                <w:szCs w:val="16"/>
              </w:rPr>
            </w:pPr>
            <w:r>
              <w:rPr>
                <w:b/>
                <w:sz w:val="16"/>
                <w:szCs w:val="16"/>
              </w:rPr>
              <w:t>3 267</w:t>
            </w:r>
          </w:p>
        </w:tc>
        <w:tc>
          <w:tcPr>
            <w:tcW w:w="982" w:type="dxa"/>
            <w:tcBorders>
              <w:top w:val="single" w:sz="4" w:space="0" w:color="auto"/>
              <w:bottom w:val="single" w:sz="4" w:space="0" w:color="auto"/>
            </w:tcBorders>
            <w:shd w:val="clear" w:color="auto" w:fill="auto"/>
          </w:tcPr>
          <w:p w:rsidR="00601DCC" w:rsidRPr="00D12DF8" w:rsidRDefault="00AB751A" w:rsidP="00B9571E">
            <w:pPr>
              <w:spacing w:before="60" w:line="200" w:lineRule="exact"/>
              <w:jc w:val="right"/>
              <w:rPr>
                <w:b/>
                <w:sz w:val="16"/>
                <w:szCs w:val="16"/>
              </w:rPr>
            </w:pPr>
            <w:r>
              <w:rPr>
                <w:b/>
                <w:sz w:val="16"/>
                <w:szCs w:val="16"/>
              </w:rPr>
              <w:t>9 019</w:t>
            </w:r>
          </w:p>
        </w:tc>
      </w:tr>
    </w:tbl>
    <w:p w:rsidR="009C470B" w:rsidRDefault="009C470B" w:rsidP="000015FB">
      <w:pPr>
        <w:pStyle w:val="Fotnotstext"/>
        <w:pBdr>
          <w:left w:val="single" w:sz="4" w:space="1" w:color="auto"/>
          <w:right w:val="single" w:sz="4" w:space="1" w:color="auto"/>
        </w:pBdr>
      </w:pPr>
      <w:r w:rsidRPr="009C62FC">
        <w:t>Källa: Riksbanken.</w:t>
      </w:r>
    </w:p>
    <w:p w:rsidR="001E5B56" w:rsidRPr="001E5B56" w:rsidRDefault="001E5B56" w:rsidP="00010397">
      <w:pPr>
        <w:pStyle w:val="Fotnotstextindrag"/>
        <w:pBdr>
          <w:left w:val="single" w:sz="4" w:space="1" w:color="auto"/>
          <w:right w:val="single" w:sz="4" w:space="1" w:color="auto"/>
        </w:pBdr>
        <w:ind w:left="0"/>
      </w:pPr>
    </w:p>
    <w:p w:rsidR="004A32CE" w:rsidRDefault="00174EB6" w:rsidP="00EF7EA1">
      <w:pPr>
        <w:pStyle w:val="Normaltindrag"/>
        <w:pBdr>
          <w:left w:val="single" w:sz="4" w:space="1" w:color="auto"/>
          <w:right w:val="single" w:sz="4" w:space="1" w:color="auto"/>
        </w:pBdr>
        <w:suppressAutoHyphens/>
        <w:spacing w:before="62"/>
        <w:ind w:firstLine="0"/>
        <w:rPr>
          <w:szCs w:val="19"/>
        </w:rPr>
      </w:pPr>
      <w:r>
        <w:t>Genom att ge ut</w:t>
      </w:r>
      <w:r w:rsidR="00BF0BD2" w:rsidRPr="004A32CE">
        <w:rPr>
          <w:szCs w:val="19"/>
        </w:rPr>
        <w:t xml:space="preserve"> sedlar och mynt </w:t>
      </w:r>
      <w:r>
        <w:rPr>
          <w:szCs w:val="19"/>
        </w:rPr>
        <w:t>kan Riksbanken</w:t>
      </w:r>
      <w:r w:rsidR="00BF0BD2" w:rsidRPr="004A32CE">
        <w:rPr>
          <w:szCs w:val="19"/>
        </w:rPr>
        <w:t xml:space="preserve"> finansiera tillgångar </w:t>
      </w:r>
      <w:r w:rsidR="0097740E">
        <w:rPr>
          <w:szCs w:val="19"/>
        </w:rPr>
        <w:t>med</w:t>
      </w:r>
      <w:r w:rsidR="00BF0BD2" w:rsidRPr="004A32CE">
        <w:rPr>
          <w:szCs w:val="19"/>
        </w:rPr>
        <w:t xml:space="preserve"> samma </w:t>
      </w:r>
      <w:r>
        <w:rPr>
          <w:szCs w:val="19"/>
        </w:rPr>
        <w:t>värde</w:t>
      </w:r>
      <w:r w:rsidR="00BF0BD2" w:rsidRPr="004A32CE">
        <w:rPr>
          <w:szCs w:val="19"/>
        </w:rPr>
        <w:t xml:space="preserve">, men Riksbanken har inga öronmärkta tillgångar som </w:t>
      </w:r>
      <w:r>
        <w:rPr>
          <w:szCs w:val="19"/>
        </w:rPr>
        <w:t xml:space="preserve">exakt </w:t>
      </w:r>
      <w:r w:rsidR="00BF0BD2" w:rsidRPr="004A32CE">
        <w:rPr>
          <w:szCs w:val="19"/>
        </w:rPr>
        <w:t xml:space="preserve">svarar mot posten sedlar och mynt. </w:t>
      </w:r>
      <w:r w:rsidR="0097740E">
        <w:rPr>
          <w:szCs w:val="19"/>
        </w:rPr>
        <w:t xml:space="preserve">När </w:t>
      </w:r>
      <w:r w:rsidR="005C3DD1">
        <w:rPr>
          <w:szCs w:val="19"/>
        </w:rPr>
        <w:t xml:space="preserve">man </w:t>
      </w:r>
      <w:r w:rsidR="00E427B5">
        <w:rPr>
          <w:szCs w:val="19"/>
        </w:rPr>
        <w:t>uppskattar</w:t>
      </w:r>
      <w:r w:rsidR="005C3DD1">
        <w:rPr>
          <w:szCs w:val="19"/>
        </w:rPr>
        <w:t xml:space="preserve"> </w:t>
      </w:r>
      <w:r w:rsidR="0097740E">
        <w:rPr>
          <w:szCs w:val="19"/>
        </w:rPr>
        <w:t>i</w:t>
      </w:r>
      <w:r w:rsidR="00BF0BD2" w:rsidRPr="004A32CE">
        <w:rPr>
          <w:szCs w:val="19"/>
        </w:rPr>
        <w:t xml:space="preserve">ntäkterna från dessa tillgångar </w:t>
      </w:r>
      <w:r w:rsidR="0097740E">
        <w:rPr>
          <w:szCs w:val="19"/>
        </w:rPr>
        <w:t>görs</w:t>
      </w:r>
      <w:r w:rsidR="00BF0BD2" w:rsidRPr="004A32CE">
        <w:rPr>
          <w:szCs w:val="19"/>
        </w:rPr>
        <w:t xml:space="preserve"> därför </w:t>
      </w:r>
      <w:r w:rsidR="00E427B5">
        <w:rPr>
          <w:szCs w:val="19"/>
        </w:rPr>
        <w:t>en</w:t>
      </w:r>
      <w:r w:rsidR="0097740E">
        <w:rPr>
          <w:szCs w:val="19"/>
        </w:rPr>
        <w:t xml:space="preserve"> </w:t>
      </w:r>
      <w:r w:rsidR="00E427B5">
        <w:rPr>
          <w:szCs w:val="19"/>
        </w:rPr>
        <w:t>schablonberäkning</w:t>
      </w:r>
      <w:r>
        <w:rPr>
          <w:szCs w:val="19"/>
        </w:rPr>
        <w:t xml:space="preserve">. </w:t>
      </w:r>
      <w:r w:rsidR="003F1A25">
        <w:rPr>
          <w:szCs w:val="19"/>
        </w:rPr>
        <w:t>Eftersom</w:t>
      </w:r>
      <w:r w:rsidR="00BF0BD2" w:rsidRPr="004A32CE">
        <w:rPr>
          <w:szCs w:val="19"/>
        </w:rPr>
        <w:t xml:space="preserve"> sedel- och mynt</w:t>
      </w:r>
      <w:r w:rsidR="00EF7EA1">
        <w:rPr>
          <w:szCs w:val="19"/>
        </w:rPr>
        <w:softHyphen/>
      </w:r>
      <w:r w:rsidR="00BF0BD2" w:rsidRPr="004A32CE">
        <w:rPr>
          <w:szCs w:val="19"/>
        </w:rPr>
        <w:t>stoc</w:t>
      </w:r>
      <w:r w:rsidR="00BF0BD2" w:rsidRPr="004A32CE">
        <w:rPr>
          <w:szCs w:val="19"/>
        </w:rPr>
        <w:t>k</w:t>
      </w:r>
      <w:r w:rsidR="00BF0BD2" w:rsidRPr="004A32CE">
        <w:rPr>
          <w:szCs w:val="19"/>
        </w:rPr>
        <w:t>ens genomsnittliga andel av balansomslutningen</w:t>
      </w:r>
      <w:r w:rsidR="003F1A25">
        <w:rPr>
          <w:szCs w:val="19"/>
        </w:rPr>
        <w:t xml:space="preserve"> </w:t>
      </w:r>
      <w:r w:rsidR="0097740E">
        <w:rPr>
          <w:szCs w:val="19"/>
        </w:rPr>
        <w:t>var</w:t>
      </w:r>
      <w:r w:rsidR="00BF0BD2" w:rsidRPr="004A32CE">
        <w:rPr>
          <w:szCs w:val="19"/>
        </w:rPr>
        <w:t xml:space="preserve"> </w:t>
      </w:r>
      <w:r w:rsidR="00E659D1">
        <w:rPr>
          <w:szCs w:val="19"/>
        </w:rPr>
        <w:t>17,3</w:t>
      </w:r>
      <w:r w:rsidR="00BF0BD2" w:rsidRPr="004A32CE">
        <w:rPr>
          <w:szCs w:val="19"/>
        </w:rPr>
        <w:t xml:space="preserve"> procent, </w:t>
      </w:r>
      <w:r w:rsidR="003F1A25">
        <w:rPr>
          <w:szCs w:val="19"/>
        </w:rPr>
        <w:t>anta</w:t>
      </w:r>
      <w:r w:rsidR="0097740E">
        <w:rPr>
          <w:szCs w:val="19"/>
        </w:rPr>
        <w:t>s</w:t>
      </w:r>
      <w:r w:rsidR="003F1A25">
        <w:rPr>
          <w:szCs w:val="19"/>
        </w:rPr>
        <w:t xml:space="preserve"> att </w:t>
      </w:r>
      <w:r w:rsidR="00E659D1">
        <w:rPr>
          <w:szCs w:val="19"/>
        </w:rPr>
        <w:t>17,3</w:t>
      </w:r>
      <w:r w:rsidR="003F1A25">
        <w:rPr>
          <w:szCs w:val="19"/>
        </w:rPr>
        <w:t xml:space="preserve"> procent av </w:t>
      </w:r>
      <w:r w:rsidR="0097740E">
        <w:rPr>
          <w:szCs w:val="19"/>
        </w:rPr>
        <w:t xml:space="preserve">de totala </w:t>
      </w:r>
      <w:r w:rsidR="00BF0BD2" w:rsidRPr="004A32CE">
        <w:rPr>
          <w:szCs w:val="19"/>
        </w:rPr>
        <w:t xml:space="preserve">intäkterna </w:t>
      </w:r>
      <w:r w:rsidR="005C3DD1">
        <w:rPr>
          <w:szCs w:val="19"/>
        </w:rPr>
        <w:t>kommer från</w:t>
      </w:r>
      <w:r w:rsidR="00BF0BD2" w:rsidRPr="004A32CE">
        <w:rPr>
          <w:szCs w:val="19"/>
        </w:rPr>
        <w:t xml:space="preserve"> </w:t>
      </w:r>
      <w:r w:rsidR="0097740E">
        <w:rPr>
          <w:szCs w:val="19"/>
        </w:rPr>
        <w:t>de</w:t>
      </w:r>
      <w:r w:rsidR="00BF0BD2" w:rsidRPr="004A32CE">
        <w:rPr>
          <w:szCs w:val="19"/>
        </w:rPr>
        <w:t xml:space="preserve"> tillgångar</w:t>
      </w:r>
      <w:r w:rsidR="0097740E">
        <w:rPr>
          <w:szCs w:val="19"/>
        </w:rPr>
        <w:t xml:space="preserve"> som svarar mot sedlar och mynt</w:t>
      </w:r>
      <w:r w:rsidR="00BF0BD2" w:rsidRPr="004A32CE">
        <w:rPr>
          <w:szCs w:val="19"/>
        </w:rPr>
        <w:t xml:space="preserve">. Beräknat på detta sätt kan </w:t>
      </w:r>
      <w:r w:rsidR="00E659D1">
        <w:rPr>
          <w:szCs w:val="19"/>
        </w:rPr>
        <w:t>725</w:t>
      </w:r>
      <w:r w:rsidR="00BF0BD2" w:rsidRPr="004A32CE">
        <w:rPr>
          <w:szCs w:val="19"/>
        </w:rPr>
        <w:t xml:space="preserve"> miljoner kronor av Riksba</w:t>
      </w:r>
      <w:r w:rsidR="00BF0BD2" w:rsidRPr="004A32CE">
        <w:rPr>
          <w:szCs w:val="19"/>
        </w:rPr>
        <w:t>n</w:t>
      </w:r>
      <w:r w:rsidR="006B7DF9">
        <w:rPr>
          <w:szCs w:val="19"/>
        </w:rPr>
        <w:t>kens totala ränteintäkter på 4 </w:t>
      </w:r>
      <w:r w:rsidR="00BF0BD2" w:rsidRPr="004A32CE">
        <w:rPr>
          <w:szCs w:val="19"/>
        </w:rPr>
        <w:t>1</w:t>
      </w:r>
      <w:r w:rsidR="006B7DF9">
        <w:rPr>
          <w:szCs w:val="19"/>
        </w:rPr>
        <w:t>93</w:t>
      </w:r>
      <w:r w:rsidR="00BF0BD2" w:rsidRPr="004A32CE">
        <w:rPr>
          <w:szCs w:val="19"/>
        </w:rPr>
        <w:t xml:space="preserve"> miljoner kronor säga</w:t>
      </w:r>
      <w:r w:rsidR="008635D8">
        <w:rPr>
          <w:szCs w:val="19"/>
        </w:rPr>
        <w:t>s</w:t>
      </w:r>
      <w:r w:rsidR="00BF0BD2" w:rsidRPr="004A32CE">
        <w:rPr>
          <w:szCs w:val="19"/>
        </w:rPr>
        <w:t xml:space="preserve"> komma från de</w:t>
      </w:r>
      <w:r w:rsidR="0097740E">
        <w:rPr>
          <w:szCs w:val="19"/>
        </w:rPr>
        <w:t>ssa</w:t>
      </w:r>
      <w:r w:rsidR="00BF0BD2" w:rsidRPr="004A32CE">
        <w:rPr>
          <w:szCs w:val="19"/>
        </w:rPr>
        <w:t xml:space="preserve"> tillgångar. På samma sätt kan </w:t>
      </w:r>
      <w:r w:rsidR="00E659D1">
        <w:rPr>
          <w:szCs w:val="19"/>
        </w:rPr>
        <w:t>333</w:t>
      </w:r>
      <w:r w:rsidR="00BF0BD2" w:rsidRPr="004A32CE">
        <w:rPr>
          <w:szCs w:val="19"/>
        </w:rPr>
        <w:t xml:space="preserve"> miljoner kronor av det totala netto</w:t>
      </w:r>
      <w:r w:rsidR="00EF7EA1">
        <w:rPr>
          <w:szCs w:val="19"/>
        </w:rPr>
        <w:softHyphen/>
      </w:r>
      <w:r w:rsidR="00BF0BD2" w:rsidRPr="004A32CE">
        <w:rPr>
          <w:szCs w:val="19"/>
        </w:rPr>
        <w:t>resultatet av finansiella transaktioner</w:t>
      </w:r>
      <w:r w:rsidR="003D3A67">
        <w:rPr>
          <w:szCs w:val="19"/>
        </w:rPr>
        <w:t>, exklusive nedskrivningar,</w:t>
      </w:r>
      <w:r w:rsidR="00BF0BD2" w:rsidRPr="004A32CE">
        <w:rPr>
          <w:szCs w:val="19"/>
        </w:rPr>
        <w:t xml:space="preserve"> på </w:t>
      </w:r>
      <w:r w:rsidR="006B7DF9">
        <w:rPr>
          <w:szCs w:val="19"/>
        </w:rPr>
        <w:t>1 </w:t>
      </w:r>
      <w:r w:rsidR="003D3A67">
        <w:rPr>
          <w:szCs w:val="19"/>
        </w:rPr>
        <w:t>92</w:t>
      </w:r>
      <w:r w:rsidR="004317D9">
        <w:rPr>
          <w:szCs w:val="19"/>
        </w:rPr>
        <w:t>1</w:t>
      </w:r>
      <w:r w:rsidR="00BF0BD2" w:rsidRPr="004A32CE">
        <w:rPr>
          <w:szCs w:val="19"/>
        </w:rPr>
        <w:t xml:space="preserve"> miljoner kronor anses komma från de tillgångar</w:t>
      </w:r>
      <w:r w:rsidR="0097740E">
        <w:rPr>
          <w:szCs w:val="19"/>
        </w:rPr>
        <w:t xml:space="preserve"> som svarar mot sedlar och mynt</w:t>
      </w:r>
      <w:r w:rsidR="00BF0BD2" w:rsidRPr="004A32CE">
        <w:rPr>
          <w:szCs w:val="19"/>
        </w:rPr>
        <w:t xml:space="preserve">. Summan av Riksbankens intäkter och kostnader som kan hänföras till sedlar och mynt uppgick således till </w:t>
      </w:r>
      <w:r w:rsidR="00E659D1">
        <w:rPr>
          <w:szCs w:val="19"/>
        </w:rPr>
        <w:t>725</w:t>
      </w:r>
      <w:r w:rsidR="006B7DF9" w:rsidRPr="004A32CE">
        <w:rPr>
          <w:szCs w:val="19"/>
        </w:rPr>
        <w:t xml:space="preserve"> </w:t>
      </w:r>
      <w:r w:rsidR="00BF0BD2" w:rsidRPr="004A32CE">
        <w:rPr>
          <w:szCs w:val="19"/>
        </w:rPr>
        <w:t xml:space="preserve">+ </w:t>
      </w:r>
      <w:r w:rsidR="00E659D1">
        <w:rPr>
          <w:szCs w:val="19"/>
        </w:rPr>
        <w:t>333</w:t>
      </w:r>
      <w:r w:rsidR="006B7DF9" w:rsidRPr="004A32CE">
        <w:rPr>
          <w:szCs w:val="19"/>
        </w:rPr>
        <w:t xml:space="preserve"> </w:t>
      </w:r>
      <w:r w:rsidR="00BF0BD2" w:rsidRPr="004A32CE">
        <w:rPr>
          <w:szCs w:val="19"/>
        </w:rPr>
        <w:t xml:space="preserve">– </w:t>
      </w:r>
      <w:r w:rsidR="00844B67">
        <w:rPr>
          <w:szCs w:val="19"/>
        </w:rPr>
        <w:t>282</w:t>
      </w:r>
      <w:r w:rsidR="006B7DF9" w:rsidRPr="004A32CE">
        <w:rPr>
          <w:szCs w:val="19"/>
        </w:rPr>
        <w:t xml:space="preserve"> </w:t>
      </w:r>
      <w:r w:rsidR="00BF0BD2" w:rsidRPr="004A32CE">
        <w:rPr>
          <w:szCs w:val="19"/>
        </w:rPr>
        <w:t xml:space="preserve">= </w:t>
      </w:r>
      <w:r w:rsidR="00844B67">
        <w:rPr>
          <w:szCs w:val="19"/>
        </w:rPr>
        <w:t>776</w:t>
      </w:r>
      <w:r w:rsidR="006B7DF9" w:rsidRPr="004A32CE">
        <w:rPr>
          <w:szCs w:val="19"/>
        </w:rPr>
        <w:t xml:space="preserve"> </w:t>
      </w:r>
      <w:r w:rsidR="00BF0BD2" w:rsidRPr="004A32CE">
        <w:rPr>
          <w:szCs w:val="19"/>
        </w:rPr>
        <w:t>miljoner kronor. Det är detta belopp som benämns Riksbankens seignorage.</w:t>
      </w:r>
    </w:p>
    <w:p w:rsidR="00346E9D" w:rsidRPr="00010397" w:rsidRDefault="00A12E15" w:rsidP="00010397">
      <w:pPr>
        <w:pStyle w:val="Diagramrubrik"/>
      </w:pPr>
      <w:r>
        <w:rPr>
          <w:noProof/>
        </w:rPr>
        <mc:AlternateContent>
          <mc:Choice Requires="wps">
            <w:drawing>
              <wp:anchor distT="0" distB="0" distL="114300" distR="114300" simplePos="0" relativeHeight="251660288" behindDoc="0" locked="0" layoutInCell="1" allowOverlap="1">
                <wp:simplePos x="0" y="0"/>
                <wp:positionH relativeFrom="column">
                  <wp:posOffset>3851910</wp:posOffset>
                </wp:positionH>
                <wp:positionV relativeFrom="paragraph">
                  <wp:posOffset>20320</wp:posOffset>
                </wp:positionV>
                <wp:extent cx="0" cy="318135"/>
                <wp:effectExtent l="13335" t="10795" r="5715" b="13970"/>
                <wp:wrapNone/>
                <wp:docPr id="3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81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7D2DA" id="AutoShape 25" o:spid="_x0000_s1026" type="#_x0000_t32" style="position:absolute;margin-left:303.3pt;margin-top:1.6pt;width:0;height:25.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" strokeweight=".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26670</wp:posOffset>
                </wp:positionV>
                <wp:extent cx="0" cy="286385"/>
                <wp:effectExtent l="13335" t="7620" r="5715" b="1079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AD5F7" id="AutoShape 23" o:spid="_x0000_s1026" type="#_x0000_t32" style="position:absolute;margin-left:-5.7pt;margin-top:2.1pt;width:0;height:22.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" strokeweight=".5pt"/>
            </w:pict>
          </mc:Fallback>
        </mc:AlternateContent>
      </w:r>
      <w:r w:rsidR="007A6541" w:rsidRPr="00010397">
        <w:t>Figur 2</w:t>
      </w:r>
      <w:r w:rsidR="00346E9D" w:rsidRPr="00010397">
        <w:t>. Riksbankens redovisade resultat och seignorage 201</w:t>
      </w:r>
      <w:r w:rsidR="00732CB5" w:rsidRPr="00010397">
        <w:t>4</w:t>
      </w:r>
      <w:r w:rsidR="00346E9D" w:rsidRPr="00010397">
        <w:t>, miljoner kronor</w:t>
      </w:r>
    </w:p>
    <w:p w:rsidR="00346E9D" w:rsidRDefault="00A12E15" w:rsidP="008776B3">
      <w:pPr>
        <w:pStyle w:val="Normaltindrag"/>
        <w:pBdr>
          <w:left w:val="single" w:sz="4" w:space="4" w:color="auto"/>
          <w:right w:val="single" w:sz="4" w:space="4" w:color="auto"/>
        </w:pBdr>
        <w:spacing w:before="62"/>
        <w:ind w:firstLine="0"/>
        <w:jc w:val="left"/>
      </w:pPr>
      <w:r>
        <w:rPr>
          <w:noProof/>
        </w:rPr>
        <w:drawing>
          <wp:inline distT="0" distB="0" distL="0" distR="0">
            <wp:extent cx="3781425" cy="3590925"/>
            <wp:effectExtent l="0" t="0" r="9525" b="9525"/>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81425" cy="3590925"/>
                    </a:xfrm>
                    <a:prstGeom prst="rect">
                      <a:avLst/>
                    </a:prstGeom>
                    <a:noFill/>
                    <a:ln>
                      <a:noFill/>
                    </a:ln>
                  </pic:spPr>
                </pic:pic>
              </a:graphicData>
            </a:graphic>
          </wp:inline>
        </w:drawing>
      </w:r>
      <w:r w:rsidR="00346E9D" w:rsidRPr="008776B3">
        <w:rPr>
          <w:sz w:val="17"/>
        </w:rPr>
        <w:t>Källa</w:t>
      </w:r>
      <w:r w:rsidR="00F60079" w:rsidRPr="008776B3">
        <w:rPr>
          <w:sz w:val="17"/>
        </w:rPr>
        <w:t>:</w:t>
      </w:r>
      <w:r w:rsidR="00346E9D" w:rsidRPr="008776B3">
        <w:rPr>
          <w:sz w:val="17"/>
        </w:rPr>
        <w:t xml:space="preserve"> Riksbanken</w:t>
      </w:r>
      <w:r w:rsidR="00F60079" w:rsidRPr="008776B3">
        <w:rPr>
          <w:sz w:val="17"/>
        </w:rPr>
        <w:t>.</w:t>
      </w:r>
    </w:p>
    <w:p w:rsidR="00346E9D" w:rsidRDefault="00346E9D" w:rsidP="008776B3">
      <w:pPr>
        <w:pStyle w:val="Fotnotstextindrag"/>
        <w:pBdr>
          <w:left w:val="single" w:sz="4" w:space="4" w:color="auto"/>
          <w:right w:val="single" w:sz="4" w:space="4" w:color="auto"/>
        </w:pBdr>
        <w:ind w:left="0"/>
      </w:pPr>
    </w:p>
    <w:p w:rsidR="00346E9D" w:rsidRDefault="005526BC" w:rsidP="008A0CBF">
      <w:pPr>
        <w:pBdr>
          <w:left w:val="single" w:sz="4" w:space="4" w:color="auto"/>
          <w:right w:val="single" w:sz="4" w:space="4" w:color="auto"/>
        </w:pBdr>
      </w:pPr>
      <w:r w:rsidRPr="004A32CE">
        <w:rPr>
          <w:szCs w:val="19"/>
        </w:rPr>
        <w:t xml:space="preserve">Om Riksbanken inte hade rätten att ge ut sedlar och mynt, skulle </w:t>
      </w:r>
      <w:r w:rsidR="00A336ED">
        <w:rPr>
          <w:szCs w:val="19"/>
        </w:rPr>
        <w:t>man</w:t>
      </w:r>
      <w:r w:rsidRPr="004A32CE">
        <w:rPr>
          <w:szCs w:val="19"/>
        </w:rPr>
        <w:t xml:space="preserve"> </w:t>
      </w:r>
      <w:r w:rsidR="00E930D5">
        <w:rPr>
          <w:szCs w:val="19"/>
        </w:rPr>
        <w:t xml:space="preserve">gå miste om en </w:t>
      </w:r>
      <w:r w:rsidR="00303993">
        <w:rPr>
          <w:szCs w:val="19"/>
        </w:rPr>
        <w:t xml:space="preserve">räntefri </w:t>
      </w:r>
      <w:r w:rsidR="00E930D5">
        <w:rPr>
          <w:szCs w:val="19"/>
        </w:rPr>
        <w:t xml:space="preserve">finansieringskälla </w:t>
      </w:r>
      <w:r w:rsidR="00303993">
        <w:rPr>
          <w:szCs w:val="19"/>
        </w:rPr>
        <w:t>som i slutet av 2014 uppgick till</w:t>
      </w:r>
      <w:r w:rsidR="00E930D5">
        <w:rPr>
          <w:szCs w:val="19"/>
        </w:rPr>
        <w:t xml:space="preserve"> 8</w:t>
      </w:r>
      <w:r w:rsidR="003D3A67">
        <w:rPr>
          <w:szCs w:val="19"/>
        </w:rPr>
        <w:t>3 224</w:t>
      </w:r>
      <w:r w:rsidR="00E930D5">
        <w:rPr>
          <w:szCs w:val="19"/>
        </w:rPr>
        <w:t xml:space="preserve"> milj</w:t>
      </w:r>
      <w:r w:rsidR="003D3A67">
        <w:rPr>
          <w:szCs w:val="19"/>
        </w:rPr>
        <w:t>oner</w:t>
      </w:r>
      <w:r w:rsidR="00E930D5">
        <w:rPr>
          <w:szCs w:val="19"/>
        </w:rPr>
        <w:t xml:space="preserve"> kronor. Banken skulle då </w:t>
      </w:r>
      <w:r w:rsidRPr="004A32CE">
        <w:rPr>
          <w:szCs w:val="19"/>
        </w:rPr>
        <w:t xml:space="preserve">kunna välja att minska tillgångarna med </w:t>
      </w:r>
      <w:r w:rsidR="00CF35F2">
        <w:rPr>
          <w:szCs w:val="19"/>
        </w:rPr>
        <w:t>samma belopp</w:t>
      </w:r>
      <w:r w:rsidR="00A336ED">
        <w:rPr>
          <w:szCs w:val="19"/>
        </w:rPr>
        <w:t xml:space="preserve"> varför man</w:t>
      </w:r>
      <w:r w:rsidRPr="004A32CE">
        <w:rPr>
          <w:szCs w:val="19"/>
        </w:rPr>
        <w:t xml:space="preserve"> </w:t>
      </w:r>
      <w:r w:rsidR="00A336ED">
        <w:rPr>
          <w:szCs w:val="19"/>
        </w:rPr>
        <w:t>även</w:t>
      </w:r>
      <w:r w:rsidRPr="004A32CE">
        <w:rPr>
          <w:szCs w:val="19"/>
        </w:rPr>
        <w:t xml:space="preserve"> skulle gå miste om intäkterna på </w:t>
      </w:r>
      <w:r w:rsidR="00A336ED">
        <w:rPr>
          <w:szCs w:val="19"/>
        </w:rPr>
        <w:t>dessa</w:t>
      </w:r>
      <w:r w:rsidRPr="004A32CE">
        <w:rPr>
          <w:szCs w:val="19"/>
        </w:rPr>
        <w:t xml:space="preserve"> tillgångar</w:t>
      </w:r>
      <w:r w:rsidR="00A336ED">
        <w:rPr>
          <w:szCs w:val="19"/>
        </w:rPr>
        <w:t>.</w:t>
      </w:r>
      <w:r w:rsidRPr="004A32CE">
        <w:rPr>
          <w:szCs w:val="19"/>
        </w:rPr>
        <w:t xml:space="preserve"> </w:t>
      </w:r>
      <w:r w:rsidR="00A336ED">
        <w:rPr>
          <w:szCs w:val="19"/>
        </w:rPr>
        <w:t>Man</w:t>
      </w:r>
      <w:r w:rsidRPr="004A32CE">
        <w:rPr>
          <w:szCs w:val="19"/>
        </w:rPr>
        <w:t xml:space="preserve"> skulle inte heller ha några kostnader för </w:t>
      </w:r>
      <w:r w:rsidR="00E12A47">
        <w:rPr>
          <w:szCs w:val="19"/>
        </w:rPr>
        <w:t>hanteringen av sedlar och mynt</w:t>
      </w:r>
      <w:r w:rsidRPr="004A32CE">
        <w:rPr>
          <w:szCs w:val="19"/>
        </w:rPr>
        <w:t xml:space="preserve">. </w:t>
      </w:r>
      <w:r w:rsidR="007E7396" w:rsidRPr="007E7396">
        <w:rPr>
          <w:szCs w:val="19"/>
        </w:rPr>
        <w:t xml:space="preserve">Riksbankens redovisade resultat skulle då bli </w:t>
      </w:r>
      <w:r w:rsidR="00844B67">
        <w:rPr>
          <w:szCs w:val="19"/>
        </w:rPr>
        <w:t>776</w:t>
      </w:r>
      <w:r w:rsidR="007E7396" w:rsidRPr="007E7396">
        <w:rPr>
          <w:szCs w:val="19"/>
        </w:rPr>
        <w:t xml:space="preserve"> miljoner kronor lägre. </w:t>
      </w:r>
    </w:p>
    <w:p w:rsidR="00346E9D" w:rsidRDefault="005526BC" w:rsidP="000A5771">
      <w:pPr>
        <w:pStyle w:val="Normaltindrag"/>
        <w:pBdr>
          <w:left w:val="single" w:sz="4" w:space="4" w:color="auto"/>
          <w:bottom w:val="single" w:sz="4" w:space="1" w:color="auto"/>
          <w:right w:val="single" w:sz="4" w:space="4" w:color="auto"/>
        </w:pBdr>
      </w:pPr>
      <w:r w:rsidRPr="005526BC">
        <w:t xml:space="preserve">Ett annat sätt att beräkna värdet av Riksbankens rätt att ge ut sedlar och mynt är att </w:t>
      </w:r>
      <w:r w:rsidR="005C3DD1">
        <w:t>anta</w:t>
      </w:r>
      <w:r w:rsidRPr="005526BC">
        <w:t xml:space="preserve"> att om </w:t>
      </w:r>
      <w:r w:rsidR="005C3DD1">
        <w:t>rätten</w:t>
      </w:r>
      <w:r w:rsidRPr="005526BC">
        <w:t xml:space="preserve"> inte funnits hade </w:t>
      </w:r>
      <w:r w:rsidR="005C3DD1">
        <w:t>inlåningen från</w:t>
      </w:r>
      <w:r w:rsidR="007E7396" w:rsidRPr="007E7396">
        <w:t xml:space="preserve"> </w:t>
      </w:r>
      <w:r w:rsidR="00E12A47">
        <w:t>Riksbankens motparter</w:t>
      </w:r>
      <w:r w:rsidR="007E7396" w:rsidRPr="007E7396">
        <w:t xml:space="preserve"> </w:t>
      </w:r>
      <w:r w:rsidR="005C3DD1">
        <w:t>varit</w:t>
      </w:r>
      <w:r w:rsidR="007E7396">
        <w:t xml:space="preserve"> 8</w:t>
      </w:r>
      <w:r w:rsidR="003D3A67">
        <w:t>3 224</w:t>
      </w:r>
      <w:r w:rsidR="007E7396">
        <w:t xml:space="preserve"> </w:t>
      </w:r>
      <w:r w:rsidR="003D3A67">
        <w:t>miljoner</w:t>
      </w:r>
      <w:r w:rsidR="007E7396">
        <w:t xml:space="preserve"> kronor</w:t>
      </w:r>
      <w:r w:rsidR="005C3DD1">
        <w:t xml:space="preserve"> större</w:t>
      </w:r>
      <w:r w:rsidRPr="005526BC">
        <w:t xml:space="preserve">. Med en </w:t>
      </w:r>
      <w:r>
        <w:t xml:space="preserve">genomsnittlig </w:t>
      </w:r>
      <w:r w:rsidRPr="005526BC">
        <w:t>repo</w:t>
      </w:r>
      <w:r w:rsidR="001B12BE">
        <w:softHyphen/>
      </w:r>
      <w:r w:rsidRPr="005526BC">
        <w:t>rä</w:t>
      </w:r>
      <w:r w:rsidRPr="005526BC">
        <w:t>n</w:t>
      </w:r>
      <w:r w:rsidRPr="005526BC">
        <w:t>ta på 0,</w:t>
      </w:r>
      <w:r w:rsidR="003D3A67">
        <w:t>47</w:t>
      </w:r>
      <w:r w:rsidRPr="005526BC">
        <w:t xml:space="preserve"> procent </w:t>
      </w:r>
      <w:r w:rsidR="00E12A47">
        <w:t>under 201</w:t>
      </w:r>
      <w:r w:rsidR="003D3A67">
        <w:t>4</w:t>
      </w:r>
      <w:r w:rsidR="00E12A47">
        <w:t xml:space="preserve"> </w:t>
      </w:r>
      <w:r w:rsidRPr="005526BC">
        <w:t xml:space="preserve">hade det inneburit att Riksbanken skulle </w:t>
      </w:r>
      <w:r w:rsidR="00895027">
        <w:t xml:space="preserve">ha </w:t>
      </w:r>
      <w:r w:rsidRPr="005526BC">
        <w:t xml:space="preserve">haft en räntekostnad på </w:t>
      </w:r>
      <w:r w:rsidRPr="007E7396">
        <w:rPr>
          <w:szCs w:val="19"/>
        </w:rPr>
        <w:t xml:space="preserve">ytterligare </w:t>
      </w:r>
      <w:r w:rsidR="007E7396">
        <w:rPr>
          <w:szCs w:val="19"/>
        </w:rPr>
        <w:t>0,</w:t>
      </w:r>
      <w:r w:rsidR="00E03963">
        <w:rPr>
          <w:szCs w:val="19"/>
        </w:rPr>
        <w:t>47</w:t>
      </w:r>
      <w:r w:rsidR="007E7396">
        <w:rPr>
          <w:szCs w:val="19"/>
        </w:rPr>
        <w:t xml:space="preserve"> procent</w:t>
      </w:r>
      <w:r w:rsidR="007E7396" w:rsidRPr="007E7396">
        <w:rPr>
          <w:szCs w:val="19"/>
        </w:rPr>
        <w:t xml:space="preserve"> × </w:t>
      </w:r>
      <w:r w:rsidR="00E03963">
        <w:t xml:space="preserve">83 224 miljoner </w:t>
      </w:r>
      <w:r w:rsidRPr="007E7396">
        <w:rPr>
          <w:szCs w:val="19"/>
        </w:rPr>
        <w:t>kronor</w:t>
      </w:r>
      <w:r w:rsidR="007E7396" w:rsidRPr="007E7396">
        <w:rPr>
          <w:szCs w:val="19"/>
        </w:rPr>
        <w:t xml:space="preserve">, det vill säga </w:t>
      </w:r>
      <w:r w:rsidR="00E03963">
        <w:rPr>
          <w:szCs w:val="19"/>
        </w:rPr>
        <w:t>389</w:t>
      </w:r>
      <w:r w:rsidR="007E7396" w:rsidRPr="007E7396">
        <w:rPr>
          <w:szCs w:val="19"/>
        </w:rPr>
        <w:t xml:space="preserve"> miljoner kronor</w:t>
      </w:r>
      <w:r w:rsidRPr="007E7396">
        <w:rPr>
          <w:szCs w:val="19"/>
        </w:rPr>
        <w:t>.</w:t>
      </w:r>
      <w:r w:rsidRPr="005526BC">
        <w:t xml:space="preserve"> Man hade dock sluppit kostnaderna för hante</w:t>
      </w:r>
      <w:r w:rsidRPr="005526BC">
        <w:t>r</w:t>
      </w:r>
      <w:r w:rsidRPr="005526BC">
        <w:t xml:space="preserve">ingen </w:t>
      </w:r>
      <w:r w:rsidR="007E7396">
        <w:t xml:space="preserve">av sedlar och mynt </w:t>
      </w:r>
      <w:r w:rsidRPr="005526BC">
        <w:t xml:space="preserve">på </w:t>
      </w:r>
      <w:r w:rsidR="00844B67">
        <w:rPr>
          <w:szCs w:val="19"/>
        </w:rPr>
        <w:t>282</w:t>
      </w:r>
      <w:r w:rsidRPr="005526BC">
        <w:t xml:space="preserve"> miljoner kronor</w:t>
      </w:r>
      <w:r w:rsidR="00895027">
        <w:t xml:space="preserve"> </w:t>
      </w:r>
      <w:r w:rsidR="007724B9">
        <w:t>så</w:t>
      </w:r>
      <w:r w:rsidR="009F7FB4" w:rsidRPr="009F7FB4">
        <w:t xml:space="preserve"> den totala merkostnaden </w:t>
      </w:r>
      <w:r w:rsidR="00895027">
        <w:t xml:space="preserve">hade </w:t>
      </w:r>
      <w:r w:rsidR="009F7FB4" w:rsidRPr="009F7FB4">
        <w:t xml:space="preserve">stannat vid </w:t>
      </w:r>
      <w:r w:rsidR="00844B67">
        <w:rPr>
          <w:szCs w:val="19"/>
        </w:rPr>
        <w:t>107</w:t>
      </w:r>
      <w:r w:rsidR="009F7FB4" w:rsidRPr="009F7FB4">
        <w:t xml:space="preserve"> miljoner kron</w:t>
      </w:r>
      <w:r w:rsidR="009F7FB4">
        <w:t>or</w:t>
      </w:r>
      <w:r w:rsidRPr="005526BC">
        <w:t>.</w:t>
      </w:r>
    </w:p>
    <w:p w:rsidR="0015491F" w:rsidRPr="00AB68A1" w:rsidRDefault="0015491F" w:rsidP="0015491F">
      <w:bookmarkStart w:id="28" w:name="_Toc378286249"/>
      <w:bookmarkStart w:id="29" w:name="_Toc408946422"/>
    </w:p>
    <w:p w:rsidR="0015491F" w:rsidRDefault="0015491F" w:rsidP="0015491F">
      <w:pPr>
        <w:pStyle w:val="Normaltindrag"/>
        <w:numPr>
          <w:ilvl w:val="0"/>
          <w:numId w:val="61"/>
        </w:numPr>
        <w:sectPr w:rsidR="0015491F">
          <w:headerReference w:type="even" r:id="rId79"/>
          <w:headerReference w:type="default" r:id="rId80"/>
          <w:footerReference w:type="even" r:id="rId81"/>
          <w:footerReference w:type="default" r:id="rId82"/>
          <w:headerReference w:type="first" r:id="rId83"/>
          <w:footerReference w:type="first" r:id="rId84"/>
          <w:pgSz w:w="11906" w:h="16838" w:code="9"/>
          <w:pgMar w:top="907" w:right="4649" w:bottom="4508" w:left="1304" w:header="340" w:footer="227" w:gutter="0"/>
          <w:cols w:space="720"/>
          <w:titlePg/>
        </w:sectPr>
      </w:pPr>
    </w:p>
    <w:p w:rsidR="001B3CC7" w:rsidRDefault="001B3CC7" w:rsidP="0015491F">
      <w:pPr>
        <w:pStyle w:val="Rubrik1"/>
      </w:pPr>
      <w:r>
        <w:t>BALANSRÄKNING OCH RESULTATRÄKNING</w:t>
      </w:r>
      <w:bookmarkEnd w:id="28"/>
      <w:bookmarkEnd w:id="29"/>
    </w:p>
    <w:p w:rsidR="001A14F1" w:rsidRDefault="001A14F1" w:rsidP="001A14F1">
      <w:pPr>
        <w:pStyle w:val="Rubrik1"/>
        <w:spacing w:after="120"/>
      </w:pPr>
      <w:bookmarkStart w:id="30" w:name="_Toc408946423"/>
      <w:r w:rsidRPr="0075592B">
        <w:t>Redovisningsprinciper</w:t>
      </w:r>
      <w:bookmarkEnd w:id="30"/>
    </w:p>
    <w:p w:rsidR="00DB0C99" w:rsidRPr="001B717C" w:rsidRDefault="00DB0C99" w:rsidP="00DB0C99">
      <w:r w:rsidRPr="00294203">
        <w:t>Riksbankens balansräkning och resultaträkning har upprättats enligt riks</w:t>
      </w:r>
      <w:r>
        <w:softHyphen/>
      </w:r>
      <w:r w:rsidRPr="00294203">
        <w:t>banks</w:t>
      </w:r>
      <w:r>
        <w:softHyphen/>
      </w:r>
      <w:r w:rsidRPr="00294203">
        <w:t xml:space="preserve">lagen med tillämpning av Regler för bokföring och årsredovisning i </w:t>
      </w:r>
      <w:r w:rsidRPr="005C6B91">
        <w:t xml:space="preserve">Sveriges riksbank som fastställdes av direktionen </w:t>
      </w:r>
      <w:r w:rsidR="00C703AB">
        <w:t>den 7 december 2011 (dnr </w:t>
      </w:r>
      <w:r w:rsidRPr="001B717C">
        <w:t xml:space="preserve">2011-780-ADM) och trädde i kraft den 31 december 2011. </w:t>
      </w:r>
    </w:p>
    <w:p w:rsidR="00DB0C99" w:rsidRPr="001B717C" w:rsidRDefault="00DB0C99" w:rsidP="00C703AB">
      <w:pPr>
        <w:pStyle w:val="Normaltindrag"/>
        <w:suppressAutoHyphens/>
      </w:pPr>
      <w:r w:rsidRPr="001B717C">
        <w:t>Reglerna för löpande bokföring hänvisar till förordningen (2000:606) om myndigheters bokföring</w:t>
      </w:r>
      <w:r>
        <w:t>,</w:t>
      </w:r>
      <w:r w:rsidRPr="001B717C">
        <w:t xml:space="preserve"> och reglerna för årsredovisning hänvisar till Europeiska centralbankssystemets riktlinjer för redovisning (ECB/2010/20). Riksbanken ska enligt 10 kap. 3 § riksbankslagen i de delar som nu är aktuella tillämpa Europeiska centralbankssystemets </w:t>
      </w:r>
      <w:r>
        <w:t xml:space="preserve">(ECBS) </w:t>
      </w:r>
      <w:r w:rsidRPr="001B717C">
        <w:t>riktlinjer för redovisning.</w:t>
      </w:r>
    </w:p>
    <w:p w:rsidR="00DB0C99" w:rsidRPr="001B717C" w:rsidRDefault="00DB0C99" w:rsidP="00DB0C99">
      <w:pPr>
        <w:pStyle w:val="R4"/>
        <w:outlineLvl w:val="0"/>
      </w:pPr>
      <w:r w:rsidRPr="001B717C">
        <w:t>Ändrade redovisningsprinciper</w:t>
      </w:r>
    </w:p>
    <w:p w:rsidR="00DB0C99" w:rsidRDefault="00DB0C99" w:rsidP="00DB0C99">
      <w:r>
        <w:t>Inget byte av redovisningsprinciper har gjorts under 201</w:t>
      </w:r>
      <w:r w:rsidR="00AE5D8F">
        <w:t>4</w:t>
      </w:r>
      <w:r>
        <w:t>.</w:t>
      </w:r>
    </w:p>
    <w:p w:rsidR="00DB0C99" w:rsidRPr="00294203" w:rsidRDefault="00DB0C99" w:rsidP="00DB0C99">
      <w:pPr>
        <w:pStyle w:val="R4"/>
        <w:outlineLvl w:val="0"/>
      </w:pPr>
      <w:r w:rsidRPr="00294203">
        <w:t>Grundläggande redovisningsprinciper</w:t>
      </w:r>
    </w:p>
    <w:p w:rsidR="00DB0C99" w:rsidRPr="00185426" w:rsidRDefault="00DB0C99" w:rsidP="00DB0C99">
      <w:r w:rsidRPr="00185426">
        <w:t>Följande grundläggande redovisningsprinciper har tillämpats:</w:t>
      </w:r>
    </w:p>
    <w:p w:rsidR="00DB0C99" w:rsidRPr="00294203" w:rsidRDefault="00DB0C99" w:rsidP="00526BCB">
      <w:pPr>
        <w:numPr>
          <w:ilvl w:val="0"/>
          <w:numId w:val="14"/>
        </w:numPr>
        <w:ind w:left="380" w:hanging="284"/>
      </w:pPr>
      <w:r w:rsidRPr="00294203">
        <w:t>Redovisningen ska återspegla den ekonomiska verkligheten och präglas av öppenhet.</w:t>
      </w:r>
    </w:p>
    <w:p w:rsidR="00DB0C99" w:rsidRPr="00294203" w:rsidRDefault="00DB0C99" w:rsidP="00526BCB">
      <w:pPr>
        <w:numPr>
          <w:ilvl w:val="0"/>
          <w:numId w:val="14"/>
        </w:numPr>
        <w:ind w:left="380" w:hanging="284"/>
      </w:pPr>
      <w:r w:rsidRPr="00294203">
        <w:t>Värdering</w:t>
      </w:r>
      <w:r>
        <w:t>en</w:t>
      </w:r>
      <w:r w:rsidRPr="00294203">
        <w:t xml:space="preserve"> av tillgångar och skulder liksom resultatavräkningen ska präglas av försiktighet.</w:t>
      </w:r>
    </w:p>
    <w:p w:rsidR="00DB0C99" w:rsidRPr="00294203" w:rsidRDefault="00DB0C99" w:rsidP="00526BCB">
      <w:pPr>
        <w:numPr>
          <w:ilvl w:val="0"/>
          <w:numId w:val="14"/>
        </w:numPr>
        <w:ind w:left="380" w:hanging="284"/>
      </w:pPr>
      <w:r w:rsidRPr="00294203">
        <w:t>Tillgångar och skulder ska justeras så att hänsyn tas till händelser som inträffar mellan räkenskapsårets utgång och den dag då direktionen go</w:t>
      </w:r>
      <w:r w:rsidRPr="00294203">
        <w:t>d</w:t>
      </w:r>
      <w:r w:rsidRPr="00294203">
        <w:t>känner årsredovisningen</w:t>
      </w:r>
      <w:r>
        <w:t>,</w:t>
      </w:r>
      <w:r w:rsidRPr="00294203">
        <w:t xml:space="preserve"> förutsatt att dessa händelser påverkat värdet på tillgångarna eller skulderna </w:t>
      </w:r>
      <w:r>
        <w:t>per</w:t>
      </w:r>
      <w:r w:rsidRPr="00294203">
        <w:t xml:space="preserve"> bokslutsdagen.</w:t>
      </w:r>
    </w:p>
    <w:p w:rsidR="00DB0C99" w:rsidRPr="00294203" w:rsidRDefault="00DB0C99" w:rsidP="00526BCB">
      <w:pPr>
        <w:numPr>
          <w:ilvl w:val="0"/>
          <w:numId w:val="14"/>
        </w:numPr>
        <w:ind w:left="380" w:hanging="284"/>
      </w:pPr>
      <w:r w:rsidRPr="00294203">
        <w:t>Vid värderingen av tillgångar och skulder ska det förutsättas att ver</w:t>
      </w:r>
      <w:r w:rsidRPr="00294203">
        <w:t>k</w:t>
      </w:r>
      <w:r w:rsidRPr="00294203">
        <w:t>samheten kommer att fortsätta.</w:t>
      </w:r>
    </w:p>
    <w:p w:rsidR="00DB0C99" w:rsidRPr="00294203" w:rsidRDefault="00DB0C99" w:rsidP="00526BCB">
      <w:pPr>
        <w:numPr>
          <w:ilvl w:val="0"/>
          <w:numId w:val="14"/>
        </w:numPr>
        <w:ind w:left="380" w:hanging="284"/>
      </w:pPr>
      <w:r w:rsidRPr="00294203">
        <w:t>Inkomster och utgifter ska redovisas som intäkter och kostnader på den redovisningsperiod då de intjänas eller uppkommer oavsett tidpunkten</w:t>
      </w:r>
      <w:r>
        <w:t xml:space="preserve"> för betalning</w:t>
      </w:r>
      <w:r w:rsidRPr="00294203">
        <w:t>.</w:t>
      </w:r>
    </w:p>
    <w:p w:rsidR="00DB0C99" w:rsidRPr="00294203" w:rsidRDefault="00DB0C99" w:rsidP="00526BCB">
      <w:pPr>
        <w:numPr>
          <w:ilvl w:val="0"/>
          <w:numId w:val="14"/>
        </w:numPr>
        <w:ind w:left="380" w:hanging="284"/>
      </w:pPr>
      <w:r w:rsidRPr="00294203">
        <w:t>Kriterierna för värdering av balansräkningsposter och för resultatav</w:t>
      </w:r>
      <w:r w:rsidR="00C703AB">
        <w:softHyphen/>
      </w:r>
      <w:r w:rsidRPr="00294203">
        <w:t>rä</w:t>
      </w:r>
      <w:r w:rsidRPr="00294203">
        <w:t>k</w:t>
      </w:r>
      <w:r w:rsidRPr="00294203">
        <w:t>ning ska tillämpas konsekvent.</w:t>
      </w:r>
    </w:p>
    <w:p w:rsidR="00DB0C99" w:rsidRPr="00294203" w:rsidRDefault="00DB0C99" w:rsidP="00DB0C99">
      <w:pPr>
        <w:pStyle w:val="R4"/>
        <w:outlineLvl w:val="0"/>
      </w:pPr>
      <w:r w:rsidRPr="00294203">
        <w:t>Redovisning av tillgångar och skulder</w:t>
      </w:r>
    </w:p>
    <w:p w:rsidR="00DB0C99" w:rsidRPr="00294203" w:rsidRDefault="00DB0C99" w:rsidP="00DB0C99">
      <w:r w:rsidRPr="00294203">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w:t>
      </w:r>
    </w:p>
    <w:p w:rsidR="00DB0C99" w:rsidRPr="00294203" w:rsidRDefault="00DB0C99" w:rsidP="00DB0C99">
      <w:pPr>
        <w:pStyle w:val="R4"/>
        <w:outlineLvl w:val="0"/>
      </w:pPr>
      <w:r w:rsidRPr="00294203">
        <w:t xml:space="preserve">Affärsdagsredovisning </w:t>
      </w:r>
    </w:p>
    <w:p w:rsidR="00DB0C99" w:rsidRPr="00294203" w:rsidRDefault="00DB0C99" w:rsidP="00DB0C99">
      <w:r w:rsidRPr="00185426">
        <w:t xml:space="preserve">Valutatransaktioner och värdepapperstransaktioner bokförs i balansräkningen på </w:t>
      </w:r>
      <w:r w:rsidRPr="00294203">
        <w:t>likviddagen. Realiserade vinster och förluster från nettoförsäljningar bo</w:t>
      </w:r>
      <w:r w:rsidRPr="00294203">
        <w:t>k</w:t>
      </w:r>
      <w:r w:rsidRPr="00294203">
        <w:t>förs på affärsdagen.</w:t>
      </w:r>
    </w:p>
    <w:p w:rsidR="00DB0C99" w:rsidRPr="00294203" w:rsidRDefault="00DB0C99" w:rsidP="00DB0C99">
      <w:pPr>
        <w:pStyle w:val="R4"/>
        <w:outlineLvl w:val="0"/>
      </w:pPr>
      <w:r w:rsidRPr="00294203">
        <w:t>Värderingsregler för balansräkningen</w:t>
      </w:r>
    </w:p>
    <w:p w:rsidR="00DB0C99" w:rsidRPr="005C6B91" w:rsidRDefault="00DB0C99" w:rsidP="00DB0C99">
      <w:pPr>
        <w:spacing w:after="120"/>
      </w:pPr>
      <w:r w:rsidRPr="00294203">
        <w:t xml:space="preserve">Guld och värdepapper värderas till de valutakurser och priser som råder på </w:t>
      </w:r>
      <w:r w:rsidRPr="005C6B91">
        <w:t>bokslutsdagen. Nedanstående valutakurser användes för omvärdering vid årets slut.</w:t>
      </w:r>
      <w:r>
        <w:t xml:space="preserve"> I tabellen nedan har kurserna avrundats till fyra decimaler.</w:t>
      </w:r>
    </w:p>
    <w:tbl>
      <w:tblPr>
        <w:tblW w:w="5984" w:type="dxa"/>
        <w:tblInd w:w="71" w:type="dxa"/>
        <w:tblLayout w:type="fixed"/>
        <w:tblCellMar>
          <w:left w:w="71" w:type="dxa"/>
          <w:right w:w="71" w:type="dxa"/>
        </w:tblCellMar>
        <w:tblLook w:val="0000" w:firstRow="0" w:lastRow="0" w:firstColumn="0" w:lastColumn="0" w:noHBand="0" w:noVBand="0"/>
      </w:tblPr>
      <w:tblGrid>
        <w:gridCol w:w="3260"/>
        <w:gridCol w:w="1361"/>
        <w:gridCol w:w="1363"/>
      </w:tblGrid>
      <w:tr w:rsidR="00DB0C99" w:rsidRPr="005C6B91" w:rsidTr="006247DF">
        <w:trPr>
          <w:cantSplit/>
          <w:trHeight w:val="295"/>
        </w:trPr>
        <w:tc>
          <w:tcPr>
            <w:tcW w:w="3260" w:type="dxa"/>
            <w:tcBorders>
              <w:top w:val="single" w:sz="4" w:space="0" w:color="auto"/>
            </w:tcBorders>
          </w:tcPr>
          <w:p w:rsidR="00DB0C99" w:rsidRPr="005C6B91" w:rsidRDefault="00DB0C99" w:rsidP="006247DF">
            <w:pPr>
              <w:spacing w:line="200" w:lineRule="exact"/>
              <w:jc w:val="right"/>
            </w:pPr>
          </w:p>
        </w:tc>
        <w:tc>
          <w:tcPr>
            <w:tcW w:w="1361" w:type="dxa"/>
            <w:tcBorders>
              <w:top w:val="single" w:sz="4" w:space="0" w:color="auto"/>
            </w:tcBorders>
            <w:vAlign w:val="center"/>
          </w:tcPr>
          <w:p w:rsidR="00DB0C99" w:rsidRPr="005C6B91" w:rsidRDefault="00DB0C99" w:rsidP="00AE5D8F">
            <w:pPr>
              <w:spacing w:line="200" w:lineRule="exact"/>
              <w:jc w:val="right"/>
            </w:pPr>
            <w:r w:rsidRPr="004B53AA">
              <w:t>201</w:t>
            </w:r>
            <w:r w:rsidR="00AE5D8F">
              <w:t>4</w:t>
            </w:r>
            <w:r w:rsidRPr="004B53AA">
              <w:t>-12-31</w:t>
            </w:r>
          </w:p>
        </w:tc>
        <w:tc>
          <w:tcPr>
            <w:tcW w:w="1363" w:type="dxa"/>
            <w:tcBorders>
              <w:top w:val="single" w:sz="4" w:space="0" w:color="auto"/>
            </w:tcBorders>
            <w:vAlign w:val="center"/>
          </w:tcPr>
          <w:p w:rsidR="00DB0C99" w:rsidRPr="005C6B91" w:rsidRDefault="00DB0C99" w:rsidP="00AE5D8F">
            <w:pPr>
              <w:spacing w:line="200" w:lineRule="exact"/>
              <w:jc w:val="right"/>
            </w:pPr>
            <w:r w:rsidRPr="005C6B91">
              <w:t>201</w:t>
            </w:r>
            <w:r w:rsidR="00AE5D8F">
              <w:t>3</w:t>
            </w:r>
            <w:r w:rsidRPr="005C6B91">
              <w:t>-12-31</w:t>
            </w:r>
          </w:p>
        </w:tc>
      </w:tr>
      <w:tr w:rsidR="00AE5D8F" w:rsidRPr="005C6B91" w:rsidTr="006247DF">
        <w:trPr>
          <w:cantSplit/>
        </w:trPr>
        <w:tc>
          <w:tcPr>
            <w:tcW w:w="3260" w:type="dxa"/>
            <w:tcBorders>
              <w:top w:val="single" w:sz="4" w:space="0" w:color="auto"/>
            </w:tcBorders>
          </w:tcPr>
          <w:p w:rsidR="00AE5D8F" w:rsidRPr="005C6B91" w:rsidRDefault="00AE5D8F" w:rsidP="006247DF">
            <w:pPr>
              <w:spacing w:line="200" w:lineRule="exact"/>
            </w:pPr>
            <w:r w:rsidRPr="005C6B91">
              <w:t>EUR/SEK</w:t>
            </w:r>
          </w:p>
        </w:tc>
        <w:tc>
          <w:tcPr>
            <w:tcW w:w="1361" w:type="dxa"/>
            <w:tcBorders>
              <w:top w:val="single" w:sz="4" w:space="0" w:color="auto"/>
            </w:tcBorders>
          </w:tcPr>
          <w:p w:rsidR="00AE5D8F" w:rsidRPr="00E7637B" w:rsidRDefault="00AE5D8F" w:rsidP="006247DF">
            <w:pPr>
              <w:spacing w:line="200" w:lineRule="exact"/>
              <w:jc w:val="right"/>
            </w:pPr>
            <w:r>
              <w:t>9,4807</w:t>
            </w:r>
          </w:p>
        </w:tc>
        <w:tc>
          <w:tcPr>
            <w:tcW w:w="1363" w:type="dxa"/>
            <w:tcBorders>
              <w:top w:val="single" w:sz="4" w:space="0" w:color="auto"/>
            </w:tcBorders>
          </w:tcPr>
          <w:p w:rsidR="00AE5D8F" w:rsidRPr="00E7637B" w:rsidRDefault="00AE5D8F" w:rsidP="006247DF">
            <w:pPr>
              <w:spacing w:line="200" w:lineRule="exact"/>
              <w:jc w:val="right"/>
            </w:pPr>
            <w:r>
              <w:t>8,8538</w:t>
            </w:r>
          </w:p>
        </w:tc>
      </w:tr>
      <w:tr w:rsidR="00AE5D8F" w:rsidRPr="005C6B91" w:rsidTr="006247DF">
        <w:trPr>
          <w:cantSplit/>
        </w:trPr>
        <w:tc>
          <w:tcPr>
            <w:tcW w:w="3260" w:type="dxa"/>
          </w:tcPr>
          <w:p w:rsidR="00AE5D8F" w:rsidRPr="005C6B91" w:rsidRDefault="00AE5D8F" w:rsidP="006247DF">
            <w:pPr>
              <w:spacing w:line="200" w:lineRule="exact"/>
            </w:pPr>
            <w:r w:rsidRPr="005C6B91">
              <w:t>USD/SEK</w:t>
            </w:r>
          </w:p>
        </w:tc>
        <w:tc>
          <w:tcPr>
            <w:tcW w:w="1361" w:type="dxa"/>
          </w:tcPr>
          <w:p w:rsidR="00AE5D8F" w:rsidRPr="00E7637B" w:rsidRDefault="00AE5D8F" w:rsidP="006247DF">
            <w:pPr>
              <w:spacing w:line="200" w:lineRule="exact"/>
              <w:jc w:val="right"/>
            </w:pPr>
            <w:r>
              <w:t>7,8274</w:t>
            </w:r>
          </w:p>
        </w:tc>
        <w:tc>
          <w:tcPr>
            <w:tcW w:w="1363" w:type="dxa"/>
          </w:tcPr>
          <w:p w:rsidR="00AE5D8F" w:rsidRPr="00E7637B" w:rsidRDefault="00AE5D8F" w:rsidP="006247DF">
            <w:pPr>
              <w:spacing w:line="200" w:lineRule="exact"/>
              <w:jc w:val="right"/>
            </w:pPr>
            <w:r>
              <w:t>6,4286</w:t>
            </w:r>
          </w:p>
        </w:tc>
      </w:tr>
      <w:tr w:rsidR="00AE5D8F" w:rsidRPr="005C6B91" w:rsidTr="006247DF">
        <w:trPr>
          <w:cantSplit/>
        </w:trPr>
        <w:tc>
          <w:tcPr>
            <w:tcW w:w="3260" w:type="dxa"/>
          </w:tcPr>
          <w:p w:rsidR="00AE5D8F" w:rsidRPr="005C6B91" w:rsidRDefault="00AE5D8F" w:rsidP="006247DF">
            <w:pPr>
              <w:spacing w:line="200" w:lineRule="exact"/>
            </w:pPr>
            <w:r w:rsidRPr="005C6B91">
              <w:t>GBP/SEK</w:t>
            </w:r>
          </w:p>
        </w:tc>
        <w:tc>
          <w:tcPr>
            <w:tcW w:w="1361" w:type="dxa"/>
          </w:tcPr>
          <w:p w:rsidR="00AE5D8F" w:rsidRPr="00E7637B" w:rsidRDefault="00AE5D8F" w:rsidP="006247DF">
            <w:pPr>
              <w:spacing w:line="200" w:lineRule="exact"/>
              <w:jc w:val="right"/>
            </w:pPr>
            <w:r>
              <w:t>12,</w:t>
            </w:r>
            <w:r w:rsidR="00C77015">
              <w:t>1</w:t>
            </w:r>
            <w:r>
              <w:t>991</w:t>
            </w:r>
          </w:p>
        </w:tc>
        <w:tc>
          <w:tcPr>
            <w:tcW w:w="1363" w:type="dxa"/>
          </w:tcPr>
          <w:p w:rsidR="00AE5D8F" w:rsidRPr="00E7637B" w:rsidRDefault="00AE5D8F" w:rsidP="006247DF">
            <w:pPr>
              <w:spacing w:line="200" w:lineRule="exact"/>
              <w:jc w:val="right"/>
            </w:pPr>
            <w:r>
              <w:t>10,6499</w:t>
            </w:r>
          </w:p>
        </w:tc>
      </w:tr>
      <w:tr w:rsidR="00AE5D8F" w:rsidRPr="005C6B91" w:rsidTr="006247DF">
        <w:trPr>
          <w:cantSplit/>
        </w:trPr>
        <w:tc>
          <w:tcPr>
            <w:tcW w:w="3260" w:type="dxa"/>
          </w:tcPr>
          <w:p w:rsidR="00AE5D8F" w:rsidRPr="005C6B91" w:rsidRDefault="00AE5D8F" w:rsidP="006247DF">
            <w:pPr>
              <w:spacing w:line="200" w:lineRule="exact"/>
            </w:pPr>
            <w:r w:rsidRPr="005C6B91">
              <w:t xml:space="preserve">AUD/SEK </w:t>
            </w:r>
          </w:p>
        </w:tc>
        <w:tc>
          <w:tcPr>
            <w:tcW w:w="1361" w:type="dxa"/>
          </w:tcPr>
          <w:p w:rsidR="00AE5D8F" w:rsidRPr="00E7637B" w:rsidRDefault="00AE5D8F" w:rsidP="006247DF">
            <w:pPr>
              <w:spacing w:line="200" w:lineRule="exact"/>
              <w:jc w:val="right"/>
            </w:pPr>
            <w:r>
              <w:t>6,4059</w:t>
            </w:r>
          </w:p>
        </w:tc>
        <w:tc>
          <w:tcPr>
            <w:tcW w:w="1363" w:type="dxa"/>
          </w:tcPr>
          <w:p w:rsidR="00AE5D8F" w:rsidRPr="00E7637B" w:rsidRDefault="00AE5D8F" w:rsidP="006247DF">
            <w:pPr>
              <w:spacing w:line="200" w:lineRule="exact"/>
              <w:jc w:val="right"/>
            </w:pPr>
            <w:r>
              <w:t>5,7501</w:t>
            </w:r>
          </w:p>
        </w:tc>
      </w:tr>
      <w:tr w:rsidR="00AE5D8F" w:rsidRPr="005C6B91" w:rsidTr="006247DF">
        <w:trPr>
          <w:cantSplit/>
        </w:trPr>
        <w:tc>
          <w:tcPr>
            <w:tcW w:w="3260" w:type="dxa"/>
          </w:tcPr>
          <w:p w:rsidR="00AE5D8F" w:rsidRPr="005C6B91" w:rsidRDefault="00AE5D8F" w:rsidP="006247DF">
            <w:pPr>
              <w:spacing w:line="200" w:lineRule="exact"/>
            </w:pPr>
            <w:r w:rsidRPr="005C6B91">
              <w:t>CAD/SEK</w:t>
            </w:r>
          </w:p>
        </w:tc>
        <w:tc>
          <w:tcPr>
            <w:tcW w:w="1361" w:type="dxa"/>
          </w:tcPr>
          <w:p w:rsidR="00AE5D8F" w:rsidRPr="00E7637B" w:rsidRDefault="00AE5D8F" w:rsidP="006247DF">
            <w:pPr>
              <w:spacing w:line="200" w:lineRule="exact"/>
              <w:jc w:val="right"/>
            </w:pPr>
            <w:r>
              <w:t>6</w:t>
            </w:r>
            <w:r w:rsidR="00C77015">
              <w:t>,</w:t>
            </w:r>
            <w:r>
              <w:t>7585</w:t>
            </w:r>
          </w:p>
        </w:tc>
        <w:tc>
          <w:tcPr>
            <w:tcW w:w="1363" w:type="dxa"/>
          </w:tcPr>
          <w:p w:rsidR="00AE5D8F" w:rsidRPr="00E7637B" w:rsidRDefault="00AE5D8F" w:rsidP="006247DF">
            <w:pPr>
              <w:spacing w:line="200" w:lineRule="exact"/>
              <w:jc w:val="right"/>
            </w:pPr>
            <w:r>
              <w:t>6,0510</w:t>
            </w:r>
          </w:p>
        </w:tc>
      </w:tr>
      <w:tr w:rsidR="00AE5D8F" w:rsidRPr="005C6B91" w:rsidTr="006247DF">
        <w:trPr>
          <w:cantSplit/>
        </w:trPr>
        <w:tc>
          <w:tcPr>
            <w:tcW w:w="3260" w:type="dxa"/>
          </w:tcPr>
          <w:p w:rsidR="00AE5D8F" w:rsidRPr="005C6B91" w:rsidRDefault="00AE5D8F" w:rsidP="006247DF">
            <w:pPr>
              <w:spacing w:line="200" w:lineRule="exact"/>
            </w:pPr>
            <w:r w:rsidRPr="005C6B91">
              <w:t>SDR/SEK</w:t>
            </w:r>
          </w:p>
        </w:tc>
        <w:tc>
          <w:tcPr>
            <w:tcW w:w="1361" w:type="dxa"/>
          </w:tcPr>
          <w:p w:rsidR="00AE5D8F" w:rsidRPr="00E7637B" w:rsidRDefault="00AE5D8F" w:rsidP="006247DF">
            <w:pPr>
              <w:spacing w:line="200" w:lineRule="exact"/>
              <w:jc w:val="right"/>
            </w:pPr>
            <w:r>
              <w:t>11,3404</w:t>
            </w:r>
          </w:p>
        </w:tc>
        <w:tc>
          <w:tcPr>
            <w:tcW w:w="1363" w:type="dxa"/>
          </w:tcPr>
          <w:p w:rsidR="00AE5D8F" w:rsidRPr="00E7637B" w:rsidRDefault="00AE5D8F" w:rsidP="006247DF">
            <w:pPr>
              <w:spacing w:line="200" w:lineRule="exact"/>
              <w:jc w:val="right"/>
            </w:pPr>
            <w:r>
              <w:t>9,9000</w:t>
            </w:r>
          </w:p>
        </w:tc>
      </w:tr>
      <w:tr w:rsidR="00AE5D8F" w:rsidRPr="005C6B91" w:rsidTr="006247DF">
        <w:trPr>
          <w:cantSplit/>
        </w:trPr>
        <w:tc>
          <w:tcPr>
            <w:tcW w:w="3260" w:type="dxa"/>
          </w:tcPr>
          <w:p w:rsidR="00AE5D8F" w:rsidRPr="005C6B91" w:rsidRDefault="00AE5D8F" w:rsidP="006247DF">
            <w:pPr>
              <w:spacing w:line="200" w:lineRule="exact"/>
            </w:pPr>
            <w:r w:rsidRPr="005C6B91">
              <w:t>NOK/SEK</w:t>
            </w:r>
          </w:p>
        </w:tc>
        <w:tc>
          <w:tcPr>
            <w:tcW w:w="1361" w:type="dxa"/>
          </w:tcPr>
          <w:p w:rsidR="00AE5D8F" w:rsidRPr="00E7637B" w:rsidRDefault="00AE5D8F" w:rsidP="006247DF">
            <w:pPr>
              <w:spacing w:line="200" w:lineRule="exact"/>
              <w:jc w:val="right"/>
            </w:pPr>
            <w:r>
              <w:t>1,0463</w:t>
            </w:r>
          </w:p>
        </w:tc>
        <w:tc>
          <w:tcPr>
            <w:tcW w:w="1363" w:type="dxa"/>
          </w:tcPr>
          <w:p w:rsidR="00AE5D8F" w:rsidRPr="00E7637B" w:rsidRDefault="00AE5D8F" w:rsidP="006247DF">
            <w:pPr>
              <w:spacing w:line="200" w:lineRule="exact"/>
              <w:jc w:val="right"/>
            </w:pPr>
            <w:r>
              <w:t>1,0587</w:t>
            </w:r>
          </w:p>
        </w:tc>
      </w:tr>
      <w:tr w:rsidR="00AE5D8F" w:rsidRPr="005826B2" w:rsidTr="006247DF">
        <w:trPr>
          <w:cantSplit/>
        </w:trPr>
        <w:tc>
          <w:tcPr>
            <w:tcW w:w="3260" w:type="dxa"/>
            <w:tcBorders>
              <w:bottom w:val="single" w:sz="4" w:space="0" w:color="auto"/>
            </w:tcBorders>
          </w:tcPr>
          <w:p w:rsidR="00AE5D8F" w:rsidRPr="005C6B91" w:rsidRDefault="00AE5D8F" w:rsidP="006247DF">
            <w:pPr>
              <w:spacing w:line="200" w:lineRule="exact"/>
            </w:pPr>
            <w:r w:rsidRPr="005C6B91">
              <w:t>JPY/SEK</w:t>
            </w:r>
          </w:p>
        </w:tc>
        <w:tc>
          <w:tcPr>
            <w:tcW w:w="1361" w:type="dxa"/>
            <w:tcBorders>
              <w:bottom w:val="single" w:sz="4" w:space="0" w:color="auto"/>
            </w:tcBorders>
          </w:tcPr>
          <w:p w:rsidR="00AE5D8F" w:rsidRPr="00E7637B" w:rsidRDefault="00AE5D8F" w:rsidP="006247DF">
            <w:pPr>
              <w:spacing w:line="200" w:lineRule="exact"/>
              <w:jc w:val="right"/>
            </w:pPr>
            <w:r>
              <w:t>0,0653</w:t>
            </w:r>
          </w:p>
        </w:tc>
        <w:tc>
          <w:tcPr>
            <w:tcW w:w="1363" w:type="dxa"/>
            <w:tcBorders>
              <w:bottom w:val="single" w:sz="4" w:space="0" w:color="auto"/>
            </w:tcBorders>
          </w:tcPr>
          <w:p w:rsidR="00AE5D8F" w:rsidRPr="00E7637B" w:rsidRDefault="00AE5D8F" w:rsidP="006247DF">
            <w:pPr>
              <w:spacing w:line="200" w:lineRule="exact"/>
              <w:jc w:val="right"/>
            </w:pPr>
            <w:r>
              <w:t>0,0611</w:t>
            </w:r>
          </w:p>
        </w:tc>
      </w:tr>
    </w:tbl>
    <w:p w:rsidR="00DB0C99" w:rsidRDefault="00DB0C99" w:rsidP="00DB0C99">
      <w:pPr>
        <w:spacing w:before="120"/>
      </w:pPr>
      <w:r w:rsidRPr="00294203">
        <w:t xml:space="preserve">Fordringar, tillgodohavanden </w:t>
      </w:r>
      <w:r>
        <w:t>och</w:t>
      </w:r>
      <w:r w:rsidRPr="00294203">
        <w:t xml:space="preserve"> skulder värderas till det nominella värdet. Belopp i utländsk valuta omräknas till bokslutsdagens valutakurs med unda</w:t>
      </w:r>
      <w:r w:rsidRPr="00294203">
        <w:t>n</w:t>
      </w:r>
      <w:r w:rsidRPr="00294203">
        <w:t xml:space="preserve">tag </w:t>
      </w:r>
      <w:r>
        <w:t>för</w:t>
      </w:r>
      <w:r w:rsidRPr="00294203">
        <w:t xml:space="preserve"> fordringar och skulde</w:t>
      </w:r>
      <w:r>
        <w:t>r som redovisas under posterna Övriga tillgångar och Ö</w:t>
      </w:r>
      <w:r w:rsidRPr="00294203">
        <w:t xml:space="preserve">vriga skulder. Dessa värderas till affärsdagens valutakurs. </w:t>
      </w:r>
    </w:p>
    <w:p w:rsidR="00DB0C99" w:rsidRPr="00693052" w:rsidRDefault="00DB0C99" w:rsidP="00DB0C99">
      <w:pPr>
        <w:pStyle w:val="Normaltindrag"/>
      </w:pPr>
      <w:r w:rsidRPr="00693052">
        <w:t>Aktier och andelar värderas till anskaffningsvärdet.</w:t>
      </w:r>
    </w:p>
    <w:p w:rsidR="00DB0C99" w:rsidRPr="00693052" w:rsidRDefault="00DB0C99" w:rsidP="00DB0C99">
      <w:pPr>
        <w:pStyle w:val="Normaltindrag"/>
      </w:pPr>
      <w:r w:rsidRPr="00693052">
        <w:t>Materiella och immateriella anläggningstillgångar värderas till anskaf</w:t>
      </w:r>
      <w:r w:rsidRPr="00693052">
        <w:t>f</w:t>
      </w:r>
      <w:r w:rsidRPr="00693052">
        <w:t>ningsvärdet och skrivs av enligt plan. Avskri</w:t>
      </w:r>
      <w:r w:rsidR="00C703AB">
        <w:t>vningstiden för byggnader är 50 </w:t>
      </w:r>
      <w:r w:rsidRPr="00693052">
        <w:t>år och för övriga fastighetsanläggningar 5–10 år. Avskrivningstiden för maskiner och inventarier inklusive datorer är 3–7 år. Direkta personalkostn</w:t>
      </w:r>
      <w:r w:rsidRPr="00693052">
        <w:t>a</w:t>
      </w:r>
      <w:r w:rsidRPr="00693052">
        <w:t xml:space="preserve">der </w:t>
      </w:r>
      <w:r>
        <w:t>som kan hänföras</w:t>
      </w:r>
      <w:r w:rsidRPr="00693052">
        <w:t xml:space="preserve"> till egenutvecklade </w:t>
      </w:r>
      <w:r w:rsidR="00F25D6F">
        <w:t>it</w:t>
      </w:r>
      <w:r w:rsidRPr="00693052">
        <w:t>-investeringar räknas</w:t>
      </w:r>
      <w:r>
        <w:t xml:space="preserve"> in</w:t>
      </w:r>
      <w:r w:rsidRPr="00693052">
        <w:t xml:space="preserve"> i anskaff</w:t>
      </w:r>
      <w:r w:rsidR="002E25F4">
        <w:softHyphen/>
      </w:r>
      <w:r w:rsidRPr="00693052">
        <w:t>nin</w:t>
      </w:r>
      <w:r w:rsidRPr="00693052">
        <w:t>g</w:t>
      </w:r>
      <w:r w:rsidRPr="00693052">
        <w:t>svärdet för tillgången.</w:t>
      </w:r>
    </w:p>
    <w:p w:rsidR="00DB0C99" w:rsidRPr="00294203" w:rsidRDefault="00DB0C99" w:rsidP="00DB0C99">
      <w:pPr>
        <w:pStyle w:val="R4"/>
        <w:outlineLvl w:val="0"/>
      </w:pPr>
      <w:r w:rsidRPr="00294203">
        <w:t>Reverserade transaktioner</w:t>
      </w:r>
    </w:p>
    <w:p w:rsidR="00DB0C99" w:rsidRPr="00294203" w:rsidRDefault="00DB0C99" w:rsidP="00DB0C99">
      <w:r w:rsidRPr="00294203">
        <w:t>Repoavtal redovisas som lånetransaktioner i stället för att påverka värdepa</w:t>
      </w:r>
      <w:r w:rsidRPr="00294203">
        <w:t>p</w:t>
      </w:r>
      <w:r w:rsidRPr="00294203">
        <w:t xml:space="preserve">pers- eller guldinnehavet. Med repoavtal avses ett avtal om försäljning av tillgångar, såsom värdepapper och guld, där säljaren samtidigt förbinder sig att </w:t>
      </w:r>
      <w:r>
        <w:t>köpa tillbaka</w:t>
      </w:r>
      <w:r w:rsidRPr="00294203">
        <w:t xml:space="preserve"> motsvarande tillgångar till ett överenskommet pris vid en framtida tidpunkt. </w:t>
      </w:r>
    </w:p>
    <w:p w:rsidR="00DB0C99" w:rsidRPr="00693052" w:rsidRDefault="00DB0C99" w:rsidP="00C703AB">
      <w:pPr>
        <w:pStyle w:val="Normaltindrag"/>
        <w:suppressAutoHyphens/>
      </w:pPr>
      <w:r w:rsidRPr="00693052">
        <w:t xml:space="preserve">De tillgångar som Riksbanken lämnar som säkerhet vid inlåningsrepor redovisas </w:t>
      </w:r>
      <w:r>
        <w:t>även i fortsättningen</w:t>
      </w:r>
      <w:r w:rsidRPr="00693052">
        <w:t xml:space="preserve"> i balansräkningen och värderas enligt de regler som gäller för Riksbankens övriga värdepappers- och guldinnehav. Belopp som motsvarar erhållen köpeskilling redovisas som skuld, och de överförda tillgångarna redovisas inom linjen.</w:t>
      </w:r>
    </w:p>
    <w:p w:rsidR="00DB0C99" w:rsidRPr="00693052" w:rsidRDefault="00DB0C99" w:rsidP="00C703AB">
      <w:pPr>
        <w:pStyle w:val="Normaltindrag"/>
        <w:suppressAutoHyphens/>
      </w:pPr>
      <w:r w:rsidRPr="00693052">
        <w:t>Tillgångar som Riksbanken erhåller vid utlåningsrepor redovisas inte i balansräkningen eftersom de är att betrakta som säkerhet för lån. Belopp som motsvarar erlagd köpeskilling redovisas som en fordran. Skillnaden mellan repans båda likvidbelopp (avista och termin) periodiseras över repans löptid.</w:t>
      </w:r>
    </w:p>
    <w:p w:rsidR="00DB0C99" w:rsidRPr="00693052" w:rsidRDefault="00DB0C99" w:rsidP="00C703AB">
      <w:pPr>
        <w:pStyle w:val="Normaltindrag"/>
        <w:suppressAutoHyphens/>
      </w:pPr>
      <w:r w:rsidRPr="00693052">
        <w:t>Transaktioner som genomförs inom ra</w:t>
      </w:r>
      <w:r>
        <w:t xml:space="preserve">men för avtal om automatiserade </w:t>
      </w:r>
      <w:r w:rsidRPr="00693052">
        <w:t>repor redovisas i balansräkningen endast om säkerhet ställts i form av kon</w:t>
      </w:r>
      <w:r>
        <w:t>-</w:t>
      </w:r>
      <w:r w:rsidRPr="00693052">
        <w:t xml:space="preserve">tanter </w:t>
      </w:r>
      <w:r w:rsidR="001D109C">
        <w:t>som inbetalats till ett konto hos Riksbanken</w:t>
      </w:r>
      <w:r w:rsidRPr="00693052">
        <w:t>.</w:t>
      </w:r>
    </w:p>
    <w:p w:rsidR="00DB0C99" w:rsidRPr="00294203" w:rsidRDefault="00DB0C99" w:rsidP="00DB0C99">
      <w:pPr>
        <w:pStyle w:val="R4"/>
        <w:outlineLvl w:val="0"/>
      </w:pPr>
      <w:r w:rsidRPr="00294203">
        <w:t>Sedlar och mynt</w:t>
      </w:r>
    </w:p>
    <w:p w:rsidR="00DB0C99" w:rsidRPr="00294203" w:rsidRDefault="00DB0C99" w:rsidP="00DB0C99">
      <w:r w:rsidRPr="00294203">
        <w:t xml:space="preserve">Balansräkningsposten </w:t>
      </w:r>
      <w:r w:rsidR="00F60079">
        <w:t>U</w:t>
      </w:r>
      <w:r w:rsidRPr="00294203">
        <w:t xml:space="preserve">telöpande sedlar och mynt </w:t>
      </w:r>
      <w:r w:rsidRPr="00E7637B">
        <w:t>motsvaras av det nomi</w:t>
      </w:r>
      <w:r w:rsidR="005B7BAB">
        <w:softHyphen/>
      </w:r>
      <w:r w:rsidRPr="00E7637B">
        <w:t>ne</w:t>
      </w:r>
      <w:r w:rsidRPr="00E7637B">
        <w:t>l</w:t>
      </w:r>
      <w:r w:rsidRPr="00E7637B">
        <w:t xml:space="preserve">la värdet och </w:t>
      </w:r>
      <w:r w:rsidRPr="00294203">
        <w:t xml:space="preserve">beräknas genom att värdet motsvarande de sedlar och mynt </w:t>
      </w:r>
      <w:r>
        <w:t xml:space="preserve">som </w:t>
      </w:r>
      <w:r w:rsidRPr="00294203">
        <w:t xml:space="preserve">Riksbanken </w:t>
      </w:r>
      <w:r>
        <w:t>har tagit emot</w:t>
      </w:r>
      <w:r w:rsidRPr="00294203">
        <w:t xml:space="preserve"> från tillverkarna reduceras dels med värdet mo</w:t>
      </w:r>
      <w:r w:rsidRPr="00294203">
        <w:t>t</w:t>
      </w:r>
      <w:r w:rsidRPr="00294203">
        <w:t xml:space="preserve">svarande de sedlar och mynt som ingår i Riksbankens lager, dels med värdet motsvarande de sedlar och mynt </w:t>
      </w:r>
      <w:r>
        <w:t xml:space="preserve">som </w:t>
      </w:r>
      <w:r w:rsidRPr="00294203">
        <w:t xml:space="preserve">Riksbanken </w:t>
      </w:r>
      <w:r>
        <w:t xml:space="preserve">har </w:t>
      </w:r>
      <w:r w:rsidRPr="00294203">
        <w:t xml:space="preserve">makulerat och avskrivit. Utelöpande sedlar och mynt som </w:t>
      </w:r>
      <w:r>
        <w:t xml:space="preserve">har </w:t>
      </w:r>
      <w:r w:rsidRPr="00294203">
        <w:t>upphört att vara lagliga beta</w:t>
      </w:r>
      <w:r w:rsidRPr="00294203">
        <w:t>l</w:t>
      </w:r>
      <w:r w:rsidRPr="00294203">
        <w:t>ningsmedel förs till resultaträkningen senast då dessa inte lä</w:t>
      </w:r>
      <w:r>
        <w:t xml:space="preserve">ngre löses in av Riksbanken. De ska </w:t>
      </w:r>
      <w:r w:rsidRPr="00294203">
        <w:t xml:space="preserve">dock föras till resultaträkningen tidigare </w:t>
      </w:r>
      <w:r>
        <w:t>om</w:t>
      </w:r>
      <w:r w:rsidRPr="00294203">
        <w:t xml:space="preserve"> endast ett mindre belopp förväntas återstå att lösa in</w:t>
      </w:r>
      <w:r w:rsidRPr="00E10F09">
        <w:t xml:space="preserve"> </w:t>
      </w:r>
      <w:r>
        <w:t xml:space="preserve">och det samtidigt görs en </w:t>
      </w:r>
      <w:r w:rsidRPr="005C6B91">
        <w:t>avsät</w:t>
      </w:r>
      <w:r w:rsidRPr="005C6B91">
        <w:t>t</w:t>
      </w:r>
      <w:r w:rsidRPr="005C6B91">
        <w:t>ning för detta belopp. Utelöpande minnesmynt och minnessedlar ska föras till resultaträ</w:t>
      </w:r>
      <w:r w:rsidRPr="005C6B91">
        <w:t>k</w:t>
      </w:r>
      <w:r w:rsidRPr="005C6B91">
        <w:t>ningen när utgåvan varit utelöpande i över tio år.</w:t>
      </w:r>
    </w:p>
    <w:p w:rsidR="00DB0C99" w:rsidRPr="00294203" w:rsidRDefault="00DB0C99" w:rsidP="00DB0C99">
      <w:pPr>
        <w:pStyle w:val="R4"/>
        <w:outlineLvl w:val="0"/>
      </w:pPr>
      <w:r w:rsidRPr="00294203">
        <w:t>Resultatavräkning</w:t>
      </w:r>
    </w:p>
    <w:p w:rsidR="00DB0C99" w:rsidRPr="00294203" w:rsidRDefault="00DB0C99" w:rsidP="00DB0C99">
      <w:r w:rsidRPr="00294203">
        <w:t>Realiserade vinster och realiserade förluster förs till resultaträkningen.</w:t>
      </w:r>
    </w:p>
    <w:p w:rsidR="00DB0C99" w:rsidRPr="00693052" w:rsidRDefault="00DB0C99" w:rsidP="00DB0C99">
      <w:pPr>
        <w:pStyle w:val="Normaltindrag"/>
      </w:pPr>
      <w:r w:rsidRPr="00693052">
        <w:t>Orealiserade vinster förs till ett värderegleringskonto i balansräkningen.</w:t>
      </w:r>
    </w:p>
    <w:p w:rsidR="00DB0C99" w:rsidRPr="00693052" w:rsidRDefault="00DB0C99" w:rsidP="00DB0C99">
      <w:pPr>
        <w:pStyle w:val="Normaltindrag"/>
      </w:pPr>
      <w:r w:rsidRPr="00693052">
        <w:t>Orealiserade förluster förs till resultaträkningen om de överstiger oreali</w:t>
      </w:r>
      <w:r w:rsidR="005B7BAB">
        <w:softHyphen/>
      </w:r>
      <w:r w:rsidRPr="00693052">
        <w:t>s</w:t>
      </w:r>
      <w:r w:rsidRPr="00693052">
        <w:t>e</w:t>
      </w:r>
      <w:r w:rsidRPr="00693052">
        <w:t>rade vinster som eventuellt tidigare finns bokförda på det korresponderande värderegleringskontot. Orealiserade förluster som förs till resultaträkningen får inte återföras mot nya orealiserade vinster de påföljande åren. Oreali</w:t>
      </w:r>
      <w:r w:rsidR="005B7BAB">
        <w:softHyphen/>
      </w:r>
      <w:r w:rsidRPr="00693052">
        <w:t>ser</w:t>
      </w:r>
      <w:r w:rsidRPr="00693052">
        <w:t>a</w:t>
      </w:r>
      <w:r w:rsidRPr="00693052">
        <w:t xml:space="preserve">de förluster i ett visst värdepapper, en viss valuta eller guld nettas inte mot orealiserade vinster i andra värdepapper, valutor eller guld. </w:t>
      </w:r>
    </w:p>
    <w:p w:rsidR="00DB0C99" w:rsidRPr="00693052" w:rsidRDefault="00DB0C99" w:rsidP="00C703AB">
      <w:pPr>
        <w:pStyle w:val="Normaltindrag"/>
        <w:suppressAutoHyphens/>
      </w:pPr>
      <w:r w:rsidRPr="00693052">
        <w:t xml:space="preserve">Överkurser och underkurser på förvärvade värdepapper beräknas och redovisas som en del av ränteintäkterna och skrivs av under värdepapperens återstående löptid. </w:t>
      </w:r>
    </w:p>
    <w:p w:rsidR="00DB0C99" w:rsidRPr="00294203" w:rsidRDefault="00DB0C99" w:rsidP="00DB0C99">
      <w:pPr>
        <w:pStyle w:val="R4"/>
        <w:outlineLvl w:val="0"/>
      </w:pPr>
      <w:r w:rsidRPr="00294203">
        <w:t>Transaktionskostnader</w:t>
      </w:r>
    </w:p>
    <w:p w:rsidR="00DB0C99" w:rsidRPr="00294203" w:rsidRDefault="00DB0C99" w:rsidP="00C703AB">
      <w:pPr>
        <w:suppressAutoHyphens/>
      </w:pPr>
      <w:r w:rsidRPr="00294203">
        <w:t>För guld, instrument i utländsk valuta och värdepapper används genomsnittsmetoden dagligen för att fastställa anskaffningskostnaden för sålda poster</w:t>
      </w:r>
      <w:r>
        <w:t xml:space="preserve"> när</w:t>
      </w:r>
      <w:r w:rsidRPr="00294203">
        <w:t xml:space="preserve"> valutakurs- och priseffekter</w:t>
      </w:r>
      <w:r>
        <w:t xml:space="preserve"> beräknas</w:t>
      </w:r>
      <w:r w:rsidRPr="00294203">
        <w:t xml:space="preserve">. Vid nettoförvärv av valuta och guld läggs den genomsnittliga anskaffningskostnaden för dagens förvärv av varje enskild valuta och guld till den föregående dagens innehav så att ett nytt vägt genomsnitt av valutakursen </w:t>
      </w:r>
      <w:r>
        <w:t>eller</w:t>
      </w:r>
      <w:r w:rsidRPr="00294203">
        <w:t xml:space="preserve"> guldpriset erhålls. Vid nettoförsäljning</w:t>
      </w:r>
      <w:r w:rsidDel="00F60079">
        <w:t xml:space="preserve"> </w:t>
      </w:r>
      <w:r w:rsidRPr="00294203">
        <w:t>beräknas det realiserade resultatet baserat på den genomsnittliga anskaffning</w:t>
      </w:r>
      <w:r w:rsidRPr="00294203">
        <w:t>s</w:t>
      </w:r>
      <w:r w:rsidRPr="00294203">
        <w:t xml:space="preserve">kostnaden den föregående dagen för innehavet i fråga. </w:t>
      </w:r>
    </w:p>
    <w:p w:rsidR="00DB0C99" w:rsidRPr="00294203" w:rsidRDefault="00DB0C99" w:rsidP="00DB0C99">
      <w:pPr>
        <w:pStyle w:val="R4"/>
        <w:outlineLvl w:val="0"/>
      </w:pPr>
      <w:r w:rsidRPr="00294203">
        <w:t>Derivatinstrument</w:t>
      </w:r>
    </w:p>
    <w:p w:rsidR="00DB0C99" w:rsidRPr="00294203" w:rsidRDefault="00DB0C99" w:rsidP="00DB0C99">
      <w:r w:rsidRPr="00294203">
        <w:t xml:space="preserve">Derivatinstrument värderas kontrakt för kontrakt inom varje </w:t>
      </w:r>
      <w:r>
        <w:t xml:space="preserve">grupp av </w:t>
      </w:r>
      <w:r w:rsidRPr="00294203">
        <w:t>deriva</w:t>
      </w:r>
      <w:r w:rsidRPr="00294203">
        <w:t>t</w:t>
      </w:r>
      <w:r w:rsidRPr="00294203">
        <w:t xml:space="preserve">instrument. </w:t>
      </w:r>
      <w:r>
        <w:t>Grupper</w:t>
      </w:r>
      <w:r w:rsidRPr="00294203">
        <w:t xml:space="preserve"> med positivt värde redovisas som tillgång och </w:t>
      </w:r>
      <w:r>
        <w:t xml:space="preserve">grupper </w:t>
      </w:r>
      <w:r w:rsidRPr="00294203">
        <w:t xml:space="preserve">med negativt </w:t>
      </w:r>
      <w:r>
        <w:t xml:space="preserve">värde </w:t>
      </w:r>
      <w:r w:rsidRPr="00294203">
        <w:t>som skuld.</w:t>
      </w:r>
    </w:p>
    <w:p w:rsidR="00DB0C99" w:rsidRPr="00693052" w:rsidRDefault="00DB0C99" w:rsidP="00DB0C99">
      <w:pPr>
        <w:pStyle w:val="Normaltindrag"/>
      </w:pPr>
      <w:r w:rsidRPr="00693052">
        <w:t>Valutaterminer bokförs till ett värde som motsvarar kontraktets valuta</w:t>
      </w:r>
      <w:r w:rsidR="00C703AB">
        <w:softHyphen/>
      </w:r>
      <w:r w:rsidRPr="00693052">
        <w:t>b</w:t>
      </w:r>
      <w:r w:rsidRPr="00693052">
        <w:t>e</w:t>
      </w:r>
      <w:r w:rsidRPr="00693052">
        <w:t>lopp multiplicerat med skillnaden mellan bokslutsdagens och affärsdagens valutakurs (avista). Skillnaden mellan affärsdagens valutakurs (avista) och den avtalade terminsvalutakursen periodiseras som ränta under kontraktets löptid. På affärsdagen bokförs såld valuta, multiplicera</w:t>
      </w:r>
      <w:r>
        <w:t>d</w:t>
      </w:r>
      <w:r w:rsidRPr="00693052">
        <w:t xml:space="preserve"> med skillnaden me</w:t>
      </w:r>
      <w:r w:rsidRPr="00693052">
        <w:t>l</w:t>
      </w:r>
      <w:r w:rsidRPr="00693052">
        <w:t>lan affärsdagens valutakurs (avista) och den genomsnittliga anskaffnings</w:t>
      </w:r>
      <w:r w:rsidR="00C703AB">
        <w:softHyphen/>
      </w:r>
      <w:r w:rsidRPr="00693052">
        <w:t>ku</w:t>
      </w:r>
      <w:r w:rsidRPr="00693052">
        <w:t>r</w:t>
      </w:r>
      <w:r w:rsidRPr="00693052">
        <w:t>sen</w:t>
      </w:r>
      <w:r>
        <w:t>,</w:t>
      </w:r>
      <w:r w:rsidRPr="00693052">
        <w:t xml:space="preserve"> som realiserat resultat.</w:t>
      </w:r>
    </w:p>
    <w:p w:rsidR="00DB0C99" w:rsidRPr="00693052" w:rsidRDefault="00DB0C99" w:rsidP="00C703AB">
      <w:pPr>
        <w:pStyle w:val="Normaltindrag"/>
        <w:suppressAutoHyphens/>
      </w:pPr>
      <w:r w:rsidRPr="00693052">
        <w:t>Avistaledet i valutaswappar bokförs på likviddagen till affärsdagens valu</w:t>
      </w:r>
      <w:r>
        <w:softHyphen/>
      </w:r>
      <w:r w:rsidRPr="00693052">
        <w:t>takurs (avista). Terminsledet i valutaswappar bokförs på samma sätt som valutaterminer, det vill säga till ett värde som motsvarar kontraktets valuta</w:t>
      </w:r>
      <w:r w:rsidR="00C703AB">
        <w:softHyphen/>
      </w:r>
      <w:r w:rsidRPr="00693052">
        <w:t>b</w:t>
      </w:r>
      <w:r w:rsidRPr="00693052">
        <w:t>e</w:t>
      </w:r>
      <w:r w:rsidRPr="00693052">
        <w:t xml:space="preserve">lopp multiplicerat med skillnaden mellan bokslutsdagens och affärsdagens valutakurs (avista). Skillnaden mellan affärsdagens valutakurs (avista) och den avtalade terminsvalutakursen periodiseras som ränta under kontraktets löptid. Till skillnad </w:t>
      </w:r>
      <w:r>
        <w:t>från</w:t>
      </w:r>
      <w:r w:rsidRPr="00693052">
        <w:t xml:space="preserve"> vid valutaterminer uppkommer inga realiserade valutakursresultat vid bokföring av valutaswappar.</w:t>
      </w:r>
    </w:p>
    <w:p w:rsidR="00DB0C99" w:rsidRPr="00693052" w:rsidRDefault="00DB0C99" w:rsidP="00DB0C99">
      <w:pPr>
        <w:pStyle w:val="Normaltindrag"/>
      </w:pPr>
      <w:r w:rsidRPr="00693052">
        <w:t>Ränteswappar bokförs, för både de inkommande och utgående transak</w:t>
      </w:r>
      <w:r w:rsidR="005B7BAB">
        <w:softHyphen/>
      </w:r>
      <w:r w:rsidRPr="00693052">
        <w:t>ti</w:t>
      </w:r>
      <w:r w:rsidRPr="00693052">
        <w:t>o</w:t>
      </w:r>
      <w:r w:rsidRPr="00693052">
        <w:t>nerna, till ett värde som motsvarar skillnaden mellan kontraktets nominella belopp och det nominella beloppet omräknat till bokslutsdagens pris. Det framräknade beloppet omräknas till kronor med bokslutsdagens valutakurs.</w:t>
      </w:r>
    </w:p>
    <w:p w:rsidR="00DB0C99" w:rsidRPr="00693052" w:rsidRDefault="00DB0C99" w:rsidP="009340DF">
      <w:pPr>
        <w:pStyle w:val="Normaltindrag"/>
        <w:suppressAutoHyphens/>
      </w:pPr>
      <w:r w:rsidRPr="00693052">
        <w:t>Guldoptioner bokförs på affärsdagen till ett belopp som motsvarar erlagd alternativt erhållen premie. Vid bokslut justeras det bokförda värdet till ett värde som motsvarar kontraktets antal uns omräknat till bokslutsdagens optionspris och valutakurs. Optionspriset beräknas utifrån en vedertagen beräkningsmodell.</w:t>
      </w:r>
    </w:p>
    <w:p w:rsidR="00DB0C99" w:rsidRDefault="00DB0C99" w:rsidP="00DB0C99">
      <w:pPr>
        <w:pStyle w:val="Normaltindrag"/>
      </w:pPr>
      <w:r w:rsidRPr="00693052">
        <w:t>Futurekontrakt bokförs dagligen som realiserat resultat till ett belopp som motsvarar det värde som beräknats vid den dagliga avräkningen.</w:t>
      </w:r>
    </w:p>
    <w:p w:rsidR="00DB0C99" w:rsidRDefault="00DB0C99" w:rsidP="00DB0C99">
      <w:pPr>
        <w:pStyle w:val="PunktlistaBomb"/>
        <w:rPr>
          <w:highlight w:val="yellow"/>
        </w:rPr>
      </w:pPr>
    </w:p>
    <w:p w:rsidR="001A14F1" w:rsidRDefault="00DB0C99" w:rsidP="00DB0C99">
      <w:pPr>
        <w:pStyle w:val="Rubrik1"/>
        <w:spacing w:after="120"/>
      </w:pPr>
      <w:r>
        <w:br w:type="page"/>
      </w:r>
      <w:bookmarkStart w:id="31" w:name="_Toc315964143"/>
      <w:bookmarkStart w:id="32" w:name="_Toc346871156"/>
      <w:bookmarkStart w:id="33" w:name="_Toc378286251"/>
      <w:bookmarkStart w:id="34" w:name="_Toc408946424"/>
      <w:bookmarkStart w:id="35" w:name="_Toc370402763"/>
      <w:bookmarkStart w:id="36" w:name="_Toc372277690"/>
      <w:r w:rsidR="001A14F1" w:rsidRPr="008E18CC">
        <w:t>Balansräkning</w:t>
      </w:r>
      <w:bookmarkEnd w:id="31"/>
      <w:bookmarkEnd w:id="32"/>
      <w:bookmarkEnd w:id="33"/>
      <w:bookmarkEnd w:id="34"/>
    </w:p>
    <w:p w:rsidR="006247DF" w:rsidRPr="00E7637B" w:rsidRDefault="006247DF" w:rsidP="006247DF">
      <w:bookmarkStart w:id="37" w:name="_Toc370402764"/>
      <w:bookmarkStart w:id="38" w:name="_Toc372277691"/>
      <w:r w:rsidRPr="00E7637B">
        <w:rPr>
          <w:i/>
          <w:sz w:val="20"/>
        </w:rPr>
        <w:t>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3099"/>
        <w:gridCol w:w="686"/>
        <w:gridCol w:w="6"/>
        <w:gridCol w:w="1042"/>
        <w:gridCol w:w="193"/>
        <w:gridCol w:w="1041"/>
      </w:tblGrid>
      <w:tr w:rsidR="006247DF" w:rsidRPr="00E7637B" w:rsidTr="006247DF">
        <w:trPr>
          <w:cantSplit/>
        </w:trPr>
        <w:tc>
          <w:tcPr>
            <w:tcW w:w="3099" w:type="dxa"/>
            <w:tcBorders>
              <w:bottom w:val="single" w:sz="4" w:space="0" w:color="auto"/>
            </w:tcBorders>
          </w:tcPr>
          <w:p w:rsidR="006247DF" w:rsidRPr="00E7637B" w:rsidRDefault="006247DF" w:rsidP="006247DF">
            <w:pPr>
              <w:jc w:val="left"/>
              <w:rPr>
                <w:b/>
                <w:sz w:val="16"/>
                <w:szCs w:val="16"/>
              </w:rPr>
            </w:pPr>
            <w:r w:rsidRPr="00E7637B">
              <w:rPr>
                <w:b/>
                <w:sz w:val="16"/>
                <w:szCs w:val="16"/>
              </w:rPr>
              <w:t>Tillgångar</w:t>
            </w:r>
          </w:p>
        </w:tc>
        <w:tc>
          <w:tcPr>
            <w:tcW w:w="686" w:type="dxa"/>
            <w:tcBorders>
              <w:bottom w:val="single" w:sz="4" w:space="0" w:color="auto"/>
            </w:tcBorders>
          </w:tcPr>
          <w:p w:rsidR="006247DF" w:rsidRPr="00E7637B" w:rsidRDefault="006247DF" w:rsidP="006247DF">
            <w:pPr>
              <w:rPr>
                <w:sz w:val="16"/>
                <w:szCs w:val="16"/>
              </w:rPr>
            </w:pPr>
          </w:p>
        </w:tc>
        <w:tc>
          <w:tcPr>
            <w:tcW w:w="1048" w:type="dxa"/>
            <w:gridSpan w:val="2"/>
            <w:tcBorders>
              <w:bottom w:val="single" w:sz="4" w:space="0" w:color="auto"/>
            </w:tcBorders>
          </w:tcPr>
          <w:p w:rsidR="006247DF" w:rsidRPr="00E7637B" w:rsidRDefault="006247DF" w:rsidP="006247DF">
            <w:pPr>
              <w:rPr>
                <w:sz w:val="16"/>
                <w:szCs w:val="16"/>
              </w:rPr>
            </w:pPr>
          </w:p>
        </w:tc>
        <w:tc>
          <w:tcPr>
            <w:tcW w:w="193" w:type="dxa"/>
            <w:tcBorders>
              <w:bottom w:val="single" w:sz="4" w:space="0" w:color="auto"/>
            </w:tcBorders>
          </w:tcPr>
          <w:p w:rsidR="006247DF" w:rsidRPr="00E7637B" w:rsidRDefault="006247DF" w:rsidP="006247DF">
            <w:pPr>
              <w:rPr>
                <w:sz w:val="16"/>
                <w:szCs w:val="16"/>
              </w:rPr>
            </w:pPr>
          </w:p>
        </w:tc>
        <w:tc>
          <w:tcPr>
            <w:tcW w:w="1041" w:type="dxa"/>
            <w:tcBorders>
              <w:bottom w:val="single" w:sz="4" w:space="0" w:color="auto"/>
            </w:tcBorders>
          </w:tcPr>
          <w:p w:rsidR="006247DF" w:rsidRPr="00E7637B" w:rsidRDefault="006247DF" w:rsidP="006247DF">
            <w:pPr>
              <w:rPr>
                <w:sz w:val="16"/>
                <w:szCs w:val="16"/>
              </w:rPr>
            </w:pPr>
          </w:p>
        </w:tc>
      </w:tr>
      <w:tr w:rsidR="006247DF" w:rsidRPr="00E7637B" w:rsidTr="006247DF">
        <w:trPr>
          <w:cantSplit/>
        </w:trPr>
        <w:tc>
          <w:tcPr>
            <w:tcW w:w="3099" w:type="dxa"/>
          </w:tcPr>
          <w:p w:rsidR="006247DF" w:rsidRPr="00E7637B" w:rsidRDefault="006247DF" w:rsidP="006247DF">
            <w:pPr>
              <w:jc w:val="left"/>
              <w:rPr>
                <w:sz w:val="16"/>
                <w:szCs w:val="16"/>
              </w:rPr>
            </w:pPr>
          </w:p>
        </w:tc>
        <w:tc>
          <w:tcPr>
            <w:tcW w:w="686" w:type="dxa"/>
          </w:tcPr>
          <w:p w:rsidR="006247DF" w:rsidRPr="00E7637B" w:rsidRDefault="006247DF" w:rsidP="006247DF">
            <w:pPr>
              <w:jc w:val="right"/>
              <w:rPr>
                <w:sz w:val="16"/>
                <w:szCs w:val="16"/>
              </w:rPr>
            </w:pPr>
          </w:p>
        </w:tc>
        <w:tc>
          <w:tcPr>
            <w:tcW w:w="1048" w:type="dxa"/>
            <w:gridSpan w:val="2"/>
            <w:tcBorders>
              <w:bottom w:val="single" w:sz="4" w:space="0" w:color="auto"/>
            </w:tcBorders>
          </w:tcPr>
          <w:p w:rsidR="006247DF" w:rsidRPr="00E7637B" w:rsidRDefault="006247DF" w:rsidP="00A32BA1">
            <w:pPr>
              <w:jc w:val="right"/>
              <w:rPr>
                <w:spacing w:val="-2"/>
                <w:sz w:val="16"/>
                <w:szCs w:val="16"/>
              </w:rPr>
            </w:pPr>
            <w:r w:rsidRPr="00E75E3C">
              <w:rPr>
                <w:spacing w:val="-2"/>
                <w:sz w:val="16"/>
                <w:szCs w:val="16"/>
              </w:rPr>
              <w:t>201</w:t>
            </w:r>
            <w:r w:rsidR="00A32BA1">
              <w:rPr>
                <w:spacing w:val="-2"/>
                <w:sz w:val="16"/>
                <w:szCs w:val="16"/>
              </w:rPr>
              <w:t>4</w:t>
            </w:r>
            <w:r w:rsidRPr="00E75E3C">
              <w:rPr>
                <w:spacing w:val="-2"/>
                <w:sz w:val="16"/>
                <w:szCs w:val="16"/>
              </w:rPr>
              <w:t>-12-31</w:t>
            </w:r>
          </w:p>
        </w:tc>
        <w:tc>
          <w:tcPr>
            <w:tcW w:w="193" w:type="dxa"/>
            <w:tcBorders>
              <w:bottom w:val="single" w:sz="4" w:space="0" w:color="auto"/>
            </w:tcBorders>
          </w:tcPr>
          <w:p w:rsidR="006247DF" w:rsidRPr="00E7637B" w:rsidRDefault="006247DF" w:rsidP="006247DF">
            <w:pPr>
              <w:jc w:val="right"/>
              <w:rPr>
                <w:sz w:val="16"/>
                <w:szCs w:val="16"/>
              </w:rPr>
            </w:pPr>
          </w:p>
        </w:tc>
        <w:tc>
          <w:tcPr>
            <w:tcW w:w="1041" w:type="dxa"/>
            <w:tcBorders>
              <w:bottom w:val="single" w:sz="4" w:space="0" w:color="auto"/>
            </w:tcBorders>
          </w:tcPr>
          <w:p w:rsidR="006247DF" w:rsidRPr="00E7637B" w:rsidRDefault="006247DF" w:rsidP="00A32BA1">
            <w:pPr>
              <w:jc w:val="right"/>
              <w:rPr>
                <w:spacing w:val="-2"/>
                <w:sz w:val="16"/>
                <w:szCs w:val="16"/>
              </w:rPr>
            </w:pPr>
            <w:r>
              <w:rPr>
                <w:spacing w:val="-2"/>
                <w:sz w:val="16"/>
                <w:szCs w:val="16"/>
              </w:rPr>
              <w:t>201</w:t>
            </w:r>
            <w:r w:rsidR="00A32BA1">
              <w:rPr>
                <w:spacing w:val="-2"/>
                <w:sz w:val="16"/>
                <w:szCs w:val="16"/>
              </w:rPr>
              <w:t>3</w:t>
            </w:r>
            <w:r>
              <w:rPr>
                <w:spacing w:val="-2"/>
                <w:sz w:val="16"/>
                <w:szCs w:val="16"/>
              </w:rPr>
              <w:t>-12-31</w:t>
            </w:r>
          </w:p>
        </w:tc>
      </w:tr>
      <w:tr w:rsidR="006247DF" w:rsidRPr="00E7637B" w:rsidTr="006247DF">
        <w:trPr>
          <w:cantSplit/>
          <w:trHeight w:val="314"/>
        </w:trPr>
        <w:tc>
          <w:tcPr>
            <w:tcW w:w="3099" w:type="dxa"/>
          </w:tcPr>
          <w:p w:rsidR="006247DF" w:rsidRPr="00E7637B" w:rsidRDefault="006247DF" w:rsidP="006247DF">
            <w:pPr>
              <w:jc w:val="left"/>
              <w:rPr>
                <w:sz w:val="16"/>
                <w:szCs w:val="16"/>
              </w:rPr>
            </w:pPr>
          </w:p>
        </w:tc>
        <w:tc>
          <w:tcPr>
            <w:tcW w:w="686" w:type="dxa"/>
          </w:tcPr>
          <w:p w:rsidR="006247DF" w:rsidRPr="00E7637B" w:rsidRDefault="006247DF" w:rsidP="006247DF">
            <w:pPr>
              <w:jc w:val="right"/>
              <w:rPr>
                <w:sz w:val="16"/>
                <w:szCs w:val="16"/>
              </w:rPr>
            </w:pPr>
          </w:p>
        </w:tc>
        <w:tc>
          <w:tcPr>
            <w:tcW w:w="1048" w:type="dxa"/>
            <w:gridSpan w:val="2"/>
          </w:tcPr>
          <w:p w:rsidR="006247DF" w:rsidRPr="00E7637B" w:rsidRDefault="006247DF" w:rsidP="006247DF">
            <w:pPr>
              <w:jc w:val="right"/>
              <w:rPr>
                <w:sz w:val="16"/>
                <w:szCs w:val="16"/>
              </w:rPr>
            </w:pPr>
          </w:p>
        </w:tc>
        <w:tc>
          <w:tcPr>
            <w:tcW w:w="193" w:type="dxa"/>
          </w:tcPr>
          <w:p w:rsidR="006247DF" w:rsidRPr="00E7637B" w:rsidRDefault="006247DF" w:rsidP="006247DF">
            <w:pPr>
              <w:jc w:val="right"/>
              <w:rPr>
                <w:sz w:val="16"/>
                <w:szCs w:val="16"/>
              </w:rPr>
            </w:pPr>
          </w:p>
        </w:tc>
        <w:tc>
          <w:tcPr>
            <w:tcW w:w="1041" w:type="dxa"/>
          </w:tcPr>
          <w:p w:rsidR="006247DF" w:rsidRPr="00E7637B" w:rsidRDefault="006247DF" w:rsidP="006247DF">
            <w:pPr>
              <w:jc w:val="right"/>
              <w:rPr>
                <w:sz w:val="16"/>
                <w:szCs w:val="16"/>
              </w:rPr>
            </w:pPr>
          </w:p>
        </w:tc>
      </w:tr>
      <w:tr w:rsidR="00A32BA1" w:rsidRPr="00E7637B" w:rsidTr="006247DF">
        <w:trPr>
          <w:cantSplit/>
        </w:trPr>
        <w:tc>
          <w:tcPr>
            <w:tcW w:w="3099" w:type="dxa"/>
          </w:tcPr>
          <w:p w:rsidR="00A32BA1" w:rsidRPr="00E7637B" w:rsidRDefault="00A32BA1" w:rsidP="006247DF">
            <w:pPr>
              <w:jc w:val="left"/>
              <w:rPr>
                <w:b/>
                <w:sz w:val="16"/>
                <w:szCs w:val="16"/>
              </w:rPr>
            </w:pPr>
            <w:r w:rsidRPr="00E7637B">
              <w:rPr>
                <w:b/>
                <w:sz w:val="16"/>
                <w:szCs w:val="16"/>
              </w:rPr>
              <w:t>Guld</w:t>
            </w:r>
          </w:p>
        </w:tc>
        <w:tc>
          <w:tcPr>
            <w:tcW w:w="686" w:type="dxa"/>
          </w:tcPr>
          <w:p w:rsidR="00A32BA1" w:rsidRPr="00E7637B" w:rsidRDefault="00A32BA1" w:rsidP="006247DF">
            <w:pPr>
              <w:jc w:val="right"/>
              <w:rPr>
                <w:sz w:val="16"/>
                <w:szCs w:val="16"/>
              </w:rPr>
            </w:pPr>
            <w:r w:rsidRPr="00E7637B">
              <w:rPr>
                <w:sz w:val="16"/>
                <w:szCs w:val="16"/>
              </w:rPr>
              <w:t xml:space="preserve">Not 1 </w:t>
            </w:r>
          </w:p>
        </w:tc>
        <w:tc>
          <w:tcPr>
            <w:tcW w:w="1048" w:type="dxa"/>
            <w:gridSpan w:val="2"/>
          </w:tcPr>
          <w:p w:rsidR="00A32BA1" w:rsidRPr="00E7637B" w:rsidRDefault="00A32BA1" w:rsidP="00A32BA1">
            <w:pPr>
              <w:jc w:val="right"/>
              <w:rPr>
                <w:sz w:val="16"/>
                <w:szCs w:val="16"/>
              </w:rPr>
            </w:pPr>
            <w:r>
              <w:rPr>
                <w:sz w:val="16"/>
                <w:szCs w:val="16"/>
              </w:rPr>
              <w:t>37 529</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t>31 425</w:t>
            </w:r>
          </w:p>
        </w:tc>
      </w:tr>
      <w:tr w:rsidR="00A32BA1" w:rsidRPr="00E7637B" w:rsidTr="006247DF">
        <w:trPr>
          <w:cantSplit/>
        </w:trPr>
        <w:tc>
          <w:tcPr>
            <w:tcW w:w="3099" w:type="dxa"/>
          </w:tcPr>
          <w:p w:rsidR="00A32BA1" w:rsidRPr="00E7637B" w:rsidRDefault="00A32BA1" w:rsidP="006247DF">
            <w:pPr>
              <w:jc w:val="left"/>
              <w:rPr>
                <w:b/>
                <w:sz w:val="16"/>
                <w:szCs w:val="16"/>
              </w:rPr>
            </w:pP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6247DF">
            <w:pPr>
              <w:jc w:val="right"/>
              <w:rPr>
                <w:sz w:val="16"/>
                <w:szCs w:val="16"/>
              </w:rPr>
            </w:pP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p>
        </w:tc>
      </w:tr>
      <w:tr w:rsidR="00A32BA1" w:rsidRPr="00E7637B" w:rsidTr="006247DF">
        <w:trPr>
          <w:cantSplit/>
        </w:trPr>
        <w:tc>
          <w:tcPr>
            <w:tcW w:w="3099" w:type="dxa"/>
          </w:tcPr>
          <w:p w:rsidR="00A32BA1" w:rsidRPr="00E7637B" w:rsidRDefault="00A32BA1" w:rsidP="006247DF">
            <w:pPr>
              <w:spacing w:before="60" w:line="200" w:lineRule="exact"/>
              <w:jc w:val="left"/>
              <w:rPr>
                <w:b/>
                <w:sz w:val="16"/>
                <w:szCs w:val="16"/>
              </w:rPr>
            </w:pPr>
            <w:r w:rsidRPr="00E7637B">
              <w:rPr>
                <w:b/>
                <w:sz w:val="16"/>
                <w:szCs w:val="16"/>
              </w:rPr>
              <w:t xml:space="preserve">Fordringar i utländsk valuta på </w:t>
            </w:r>
            <w:r w:rsidRPr="00E7637B">
              <w:rPr>
                <w:b/>
                <w:sz w:val="16"/>
                <w:szCs w:val="16"/>
              </w:rPr>
              <w:br/>
              <w:t>hemmahörande utanför Sverige</w:t>
            </w: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6247DF">
            <w:pPr>
              <w:jc w:val="right"/>
              <w:rPr>
                <w:sz w:val="16"/>
                <w:szCs w:val="16"/>
              </w:rPr>
            </w:pP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 xml:space="preserve">Fordringar på IMF </w:t>
            </w:r>
          </w:p>
        </w:tc>
        <w:tc>
          <w:tcPr>
            <w:tcW w:w="686" w:type="dxa"/>
          </w:tcPr>
          <w:p w:rsidR="00A32BA1" w:rsidRPr="00E7637B" w:rsidRDefault="00A32BA1" w:rsidP="006247DF">
            <w:pPr>
              <w:jc w:val="right"/>
              <w:rPr>
                <w:sz w:val="16"/>
                <w:szCs w:val="16"/>
              </w:rPr>
            </w:pPr>
            <w:r w:rsidRPr="00E7637B">
              <w:rPr>
                <w:sz w:val="16"/>
                <w:szCs w:val="16"/>
              </w:rPr>
              <w:t>Not 2</w:t>
            </w:r>
          </w:p>
        </w:tc>
        <w:tc>
          <w:tcPr>
            <w:tcW w:w="1048" w:type="dxa"/>
            <w:gridSpan w:val="2"/>
          </w:tcPr>
          <w:p w:rsidR="00A32BA1" w:rsidRPr="00E7637B" w:rsidRDefault="00A32BA1" w:rsidP="00A32BA1">
            <w:pPr>
              <w:jc w:val="right"/>
              <w:rPr>
                <w:sz w:val="16"/>
                <w:szCs w:val="16"/>
              </w:rPr>
            </w:pPr>
            <w:r>
              <w:rPr>
                <w:sz w:val="16"/>
                <w:szCs w:val="16"/>
              </w:rPr>
              <w:t>34 684</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t>32 873</w:t>
            </w:r>
          </w:p>
        </w:tc>
      </w:tr>
      <w:tr w:rsidR="00A32BA1" w:rsidRPr="00E7637B" w:rsidTr="006247DF">
        <w:trPr>
          <w:cantSplit/>
        </w:trPr>
        <w:tc>
          <w:tcPr>
            <w:tcW w:w="3099" w:type="dxa"/>
            <w:vAlign w:val="bottom"/>
          </w:tcPr>
          <w:p w:rsidR="00A32BA1" w:rsidRPr="00E7637B" w:rsidRDefault="00A32BA1" w:rsidP="006247DF">
            <w:pPr>
              <w:spacing w:before="60" w:line="200" w:lineRule="exact"/>
              <w:jc w:val="left"/>
              <w:rPr>
                <w:spacing w:val="-2"/>
                <w:sz w:val="16"/>
                <w:szCs w:val="16"/>
              </w:rPr>
            </w:pPr>
            <w:r w:rsidRPr="00E7637B">
              <w:rPr>
                <w:spacing w:val="-2"/>
                <w:sz w:val="16"/>
                <w:szCs w:val="16"/>
              </w:rPr>
              <w:t>Banktillgodohavanden</w:t>
            </w:r>
            <w:r>
              <w:rPr>
                <w:spacing w:val="-2"/>
                <w:sz w:val="16"/>
                <w:szCs w:val="16"/>
              </w:rPr>
              <w:t>, lån</w:t>
            </w:r>
            <w:r w:rsidRPr="00E7637B">
              <w:rPr>
                <w:spacing w:val="-2"/>
                <w:sz w:val="16"/>
                <w:szCs w:val="16"/>
              </w:rPr>
              <w:t xml:space="preserve"> och värdepapper</w:t>
            </w:r>
          </w:p>
        </w:tc>
        <w:tc>
          <w:tcPr>
            <w:tcW w:w="686" w:type="dxa"/>
            <w:vAlign w:val="bottom"/>
          </w:tcPr>
          <w:p w:rsidR="00A32BA1" w:rsidRPr="00E7637B" w:rsidRDefault="00A32BA1" w:rsidP="006247DF">
            <w:pPr>
              <w:jc w:val="right"/>
              <w:rPr>
                <w:sz w:val="16"/>
                <w:szCs w:val="16"/>
              </w:rPr>
            </w:pPr>
            <w:r w:rsidRPr="00E7637B">
              <w:rPr>
                <w:sz w:val="16"/>
                <w:szCs w:val="16"/>
              </w:rPr>
              <w:t>Not 3</w:t>
            </w:r>
          </w:p>
        </w:tc>
        <w:tc>
          <w:tcPr>
            <w:tcW w:w="1048" w:type="dxa"/>
            <w:gridSpan w:val="2"/>
            <w:tcBorders>
              <w:bottom w:val="single" w:sz="4" w:space="0" w:color="auto"/>
            </w:tcBorders>
            <w:vAlign w:val="bottom"/>
          </w:tcPr>
          <w:p w:rsidR="00A32BA1" w:rsidRPr="00E7637B" w:rsidRDefault="00A32BA1" w:rsidP="00A32BA1">
            <w:pPr>
              <w:jc w:val="right"/>
              <w:rPr>
                <w:sz w:val="16"/>
                <w:szCs w:val="16"/>
              </w:rPr>
            </w:pPr>
            <w:r>
              <w:rPr>
                <w:sz w:val="16"/>
                <w:szCs w:val="16"/>
              </w:rPr>
              <w:t>414 156</w:t>
            </w:r>
          </w:p>
        </w:tc>
        <w:tc>
          <w:tcPr>
            <w:tcW w:w="193" w:type="dxa"/>
            <w:tcBorders>
              <w:bottom w:val="single" w:sz="4" w:space="0" w:color="auto"/>
            </w:tcBorders>
            <w:vAlign w:val="bottom"/>
          </w:tcPr>
          <w:p w:rsidR="00A32BA1" w:rsidRPr="00E7637B" w:rsidRDefault="00A32BA1" w:rsidP="006247DF">
            <w:pPr>
              <w:jc w:val="right"/>
              <w:rPr>
                <w:sz w:val="16"/>
                <w:szCs w:val="16"/>
              </w:rPr>
            </w:pPr>
          </w:p>
        </w:tc>
        <w:tc>
          <w:tcPr>
            <w:tcW w:w="1041" w:type="dxa"/>
            <w:tcBorders>
              <w:bottom w:val="single" w:sz="4" w:space="0" w:color="auto"/>
            </w:tcBorders>
            <w:vAlign w:val="bottom"/>
          </w:tcPr>
          <w:p w:rsidR="00A32BA1" w:rsidRPr="00E7637B" w:rsidRDefault="00A32BA1" w:rsidP="006247DF">
            <w:pPr>
              <w:jc w:val="right"/>
              <w:rPr>
                <w:sz w:val="16"/>
                <w:szCs w:val="16"/>
              </w:rPr>
            </w:pPr>
            <w:r>
              <w:rPr>
                <w:sz w:val="16"/>
                <w:szCs w:val="16"/>
              </w:rPr>
              <w:t>352 911</w:t>
            </w:r>
          </w:p>
        </w:tc>
      </w:tr>
      <w:tr w:rsidR="00A32BA1" w:rsidRPr="00E7637B" w:rsidTr="006247DF">
        <w:trPr>
          <w:cantSplit/>
        </w:trPr>
        <w:tc>
          <w:tcPr>
            <w:tcW w:w="3099" w:type="dxa"/>
          </w:tcPr>
          <w:p w:rsidR="00A32BA1" w:rsidRPr="00E7637B" w:rsidRDefault="00A32BA1" w:rsidP="006247DF">
            <w:pPr>
              <w:jc w:val="left"/>
              <w:rPr>
                <w:b/>
                <w:sz w:val="16"/>
                <w:szCs w:val="16"/>
              </w:rPr>
            </w:pP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A32BA1">
            <w:pPr>
              <w:jc w:val="right"/>
              <w:rPr>
                <w:sz w:val="16"/>
                <w:szCs w:val="16"/>
              </w:rPr>
            </w:pPr>
            <w:r>
              <w:rPr>
                <w:sz w:val="16"/>
                <w:szCs w:val="16"/>
              </w:rPr>
              <w:t>448 840</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t>385 784</w:t>
            </w:r>
          </w:p>
        </w:tc>
      </w:tr>
      <w:tr w:rsidR="00A32BA1" w:rsidRPr="00E7637B" w:rsidTr="006247DF">
        <w:trPr>
          <w:cantSplit/>
        </w:trPr>
        <w:tc>
          <w:tcPr>
            <w:tcW w:w="3099" w:type="dxa"/>
            <w:vAlign w:val="bottom"/>
          </w:tcPr>
          <w:p w:rsidR="00A32BA1" w:rsidRPr="00E7637B" w:rsidRDefault="00A32BA1" w:rsidP="006247DF">
            <w:pPr>
              <w:spacing w:before="60" w:line="200" w:lineRule="exact"/>
              <w:jc w:val="left"/>
              <w:rPr>
                <w:b/>
                <w:sz w:val="16"/>
                <w:szCs w:val="16"/>
              </w:rPr>
            </w:pPr>
          </w:p>
        </w:tc>
        <w:tc>
          <w:tcPr>
            <w:tcW w:w="686" w:type="dxa"/>
            <w:vAlign w:val="bottom"/>
          </w:tcPr>
          <w:p w:rsidR="00A32BA1" w:rsidRPr="00E7637B" w:rsidRDefault="00A32BA1" w:rsidP="006247DF">
            <w:pPr>
              <w:jc w:val="right"/>
              <w:rPr>
                <w:sz w:val="16"/>
                <w:szCs w:val="16"/>
              </w:rPr>
            </w:pPr>
          </w:p>
        </w:tc>
        <w:tc>
          <w:tcPr>
            <w:tcW w:w="1048" w:type="dxa"/>
            <w:gridSpan w:val="2"/>
            <w:vAlign w:val="bottom"/>
          </w:tcPr>
          <w:p w:rsidR="00A32BA1" w:rsidRPr="00E7637B" w:rsidRDefault="00A32BA1" w:rsidP="006247DF">
            <w:pPr>
              <w:jc w:val="right"/>
              <w:rPr>
                <w:sz w:val="16"/>
                <w:szCs w:val="16"/>
              </w:rPr>
            </w:pPr>
          </w:p>
        </w:tc>
        <w:tc>
          <w:tcPr>
            <w:tcW w:w="193" w:type="dxa"/>
            <w:vAlign w:val="bottom"/>
          </w:tcPr>
          <w:p w:rsidR="00A32BA1" w:rsidRPr="00E7637B" w:rsidRDefault="00A32BA1" w:rsidP="006247DF">
            <w:pPr>
              <w:jc w:val="right"/>
              <w:rPr>
                <w:sz w:val="16"/>
                <w:szCs w:val="16"/>
              </w:rPr>
            </w:pPr>
          </w:p>
        </w:tc>
        <w:tc>
          <w:tcPr>
            <w:tcW w:w="1041" w:type="dxa"/>
            <w:vAlign w:val="bottom"/>
          </w:tcPr>
          <w:p w:rsidR="00A32BA1" w:rsidRPr="00E7637B" w:rsidRDefault="00A32BA1" w:rsidP="006247DF">
            <w:pPr>
              <w:jc w:val="right"/>
              <w:rPr>
                <w:sz w:val="16"/>
                <w:szCs w:val="16"/>
              </w:rPr>
            </w:pPr>
          </w:p>
        </w:tc>
      </w:tr>
      <w:tr w:rsidR="00A32BA1" w:rsidRPr="00E7637B" w:rsidTr="006247DF">
        <w:trPr>
          <w:cantSplit/>
        </w:trPr>
        <w:tc>
          <w:tcPr>
            <w:tcW w:w="3099" w:type="dxa"/>
          </w:tcPr>
          <w:p w:rsidR="00A32BA1" w:rsidRPr="00E7637B" w:rsidRDefault="00A32BA1" w:rsidP="006247DF">
            <w:pPr>
              <w:spacing w:before="60" w:line="200" w:lineRule="exact"/>
              <w:jc w:val="left"/>
              <w:rPr>
                <w:b/>
                <w:sz w:val="16"/>
                <w:szCs w:val="16"/>
              </w:rPr>
            </w:pPr>
            <w:r w:rsidRPr="00E7637B">
              <w:rPr>
                <w:b/>
                <w:sz w:val="16"/>
                <w:szCs w:val="16"/>
              </w:rPr>
              <w:t xml:space="preserve">Utlåning i svenska kronor till </w:t>
            </w:r>
            <w:r w:rsidRPr="00E7637B">
              <w:rPr>
                <w:b/>
                <w:sz w:val="16"/>
                <w:szCs w:val="16"/>
              </w:rPr>
              <w:br/>
              <w:t xml:space="preserve">kreditinstitut i Sverige relaterad till </w:t>
            </w:r>
            <w:r>
              <w:rPr>
                <w:b/>
                <w:sz w:val="16"/>
                <w:szCs w:val="16"/>
              </w:rPr>
              <w:br/>
            </w:r>
            <w:r w:rsidRPr="00E7637B">
              <w:rPr>
                <w:b/>
                <w:sz w:val="16"/>
                <w:szCs w:val="16"/>
              </w:rPr>
              <w:t xml:space="preserve">penningpolitiska transaktioner </w:t>
            </w: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6247DF">
            <w:pPr>
              <w:jc w:val="right"/>
              <w:rPr>
                <w:sz w:val="16"/>
                <w:szCs w:val="16"/>
              </w:rPr>
            </w:pP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Strukturella transaktioner</w:t>
            </w:r>
          </w:p>
        </w:tc>
        <w:tc>
          <w:tcPr>
            <w:tcW w:w="686" w:type="dxa"/>
          </w:tcPr>
          <w:p w:rsidR="00A32BA1" w:rsidRPr="00E7637B" w:rsidRDefault="00A32BA1" w:rsidP="006247DF">
            <w:pPr>
              <w:jc w:val="right"/>
              <w:rPr>
                <w:sz w:val="16"/>
                <w:szCs w:val="16"/>
              </w:rPr>
            </w:pPr>
            <w:r w:rsidRPr="00E7637B">
              <w:rPr>
                <w:sz w:val="16"/>
                <w:szCs w:val="16"/>
              </w:rPr>
              <w:t xml:space="preserve">Not </w:t>
            </w:r>
            <w:r>
              <w:rPr>
                <w:sz w:val="16"/>
                <w:szCs w:val="16"/>
              </w:rPr>
              <w:t>4</w:t>
            </w:r>
          </w:p>
        </w:tc>
        <w:tc>
          <w:tcPr>
            <w:tcW w:w="1048" w:type="dxa"/>
            <w:gridSpan w:val="2"/>
            <w:vAlign w:val="bottom"/>
          </w:tcPr>
          <w:p w:rsidR="00A32BA1" w:rsidRPr="00E7637B" w:rsidRDefault="00A32BA1" w:rsidP="00A32BA1">
            <w:pPr>
              <w:jc w:val="right"/>
              <w:rPr>
                <w:sz w:val="16"/>
                <w:szCs w:val="16"/>
              </w:rPr>
            </w:pPr>
            <w:r>
              <w:rPr>
                <w:sz w:val="16"/>
                <w:szCs w:val="16"/>
              </w:rPr>
              <w:t>–</w:t>
            </w:r>
          </w:p>
        </w:tc>
        <w:tc>
          <w:tcPr>
            <w:tcW w:w="193" w:type="dxa"/>
            <w:vAlign w:val="bottom"/>
          </w:tcPr>
          <w:p w:rsidR="00A32BA1" w:rsidRPr="00262BC2" w:rsidRDefault="00A32BA1" w:rsidP="006247DF">
            <w:pPr>
              <w:jc w:val="right"/>
              <w:rPr>
                <w:sz w:val="16"/>
                <w:szCs w:val="16"/>
              </w:rPr>
            </w:pPr>
          </w:p>
        </w:tc>
        <w:tc>
          <w:tcPr>
            <w:tcW w:w="1041" w:type="dxa"/>
            <w:vAlign w:val="bottom"/>
          </w:tcPr>
          <w:p w:rsidR="00A32BA1" w:rsidRPr="00E7637B" w:rsidRDefault="00A32BA1" w:rsidP="006247DF">
            <w:pPr>
              <w:jc w:val="right"/>
              <w:rPr>
                <w:sz w:val="16"/>
                <w:szCs w:val="16"/>
              </w:rPr>
            </w:pPr>
            <w:r>
              <w:rPr>
                <w:sz w:val="16"/>
                <w:szCs w:val="16"/>
              </w:rPr>
              <w:t>–</w:t>
            </w: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Utlåningsfacilitet</w:t>
            </w:r>
          </w:p>
        </w:tc>
        <w:tc>
          <w:tcPr>
            <w:tcW w:w="686" w:type="dxa"/>
          </w:tcPr>
          <w:p w:rsidR="00A32BA1" w:rsidRPr="00E7637B" w:rsidRDefault="00A32BA1" w:rsidP="006247DF">
            <w:pPr>
              <w:jc w:val="right"/>
              <w:rPr>
                <w:sz w:val="16"/>
                <w:szCs w:val="16"/>
              </w:rPr>
            </w:pPr>
            <w:r w:rsidRPr="00E7637B">
              <w:rPr>
                <w:sz w:val="16"/>
                <w:szCs w:val="16"/>
              </w:rPr>
              <w:t xml:space="preserve">Not </w:t>
            </w:r>
            <w:r>
              <w:rPr>
                <w:sz w:val="16"/>
                <w:szCs w:val="16"/>
              </w:rPr>
              <w:t>5</w:t>
            </w:r>
          </w:p>
        </w:tc>
        <w:tc>
          <w:tcPr>
            <w:tcW w:w="1048" w:type="dxa"/>
            <w:gridSpan w:val="2"/>
            <w:tcBorders>
              <w:bottom w:val="single" w:sz="4" w:space="0" w:color="auto"/>
            </w:tcBorders>
          </w:tcPr>
          <w:p w:rsidR="00A32BA1" w:rsidRPr="00E7637B" w:rsidRDefault="00A32BA1" w:rsidP="006247DF">
            <w:pPr>
              <w:jc w:val="right"/>
              <w:rPr>
                <w:sz w:val="16"/>
                <w:szCs w:val="16"/>
              </w:rPr>
            </w:pPr>
            <w:r>
              <w:rPr>
                <w:sz w:val="16"/>
                <w:szCs w:val="16"/>
              </w:rPr>
              <w:t>33</w:t>
            </w:r>
          </w:p>
        </w:tc>
        <w:tc>
          <w:tcPr>
            <w:tcW w:w="193" w:type="dxa"/>
            <w:tcBorders>
              <w:bottom w:val="single" w:sz="4" w:space="0" w:color="auto"/>
            </w:tcBorders>
          </w:tcPr>
          <w:p w:rsidR="00A32BA1" w:rsidRPr="00262BC2" w:rsidRDefault="00A32BA1" w:rsidP="006247DF">
            <w:pPr>
              <w:jc w:val="right"/>
              <w:rPr>
                <w:sz w:val="16"/>
                <w:szCs w:val="16"/>
              </w:rPr>
            </w:pPr>
          </w:p>
        </w:tc>
        <w:tc>
          <w:tcPr>
            <w:tcW w:w="1041" w:type="dxa"/>
            <w:tcBorders>
              <w:bottom w:val="single" w:sz="4" w:space="0" w:color="auto"/>
            </w:tcBorders>
          </w:tcPr>
          <w:p w:rsidR="00A32BA1" w:rsidRPr="00E7637B" w:rsidRDefault="00A32BA1" w:rsidP="006247DF">
            <w:pPr>
              <w:jc w:val="right"/>
              <w:rPr>
                <w:sz w:val="16"/>
                <w:szCs w:val="16"/>
              </w:rPr>
            </w:pPr>
            <w:r>
              <w:rPr>
                <w:sz w:val="16"/>
                <w:szCs w:val="16"/>
              </w:rPr>
              <w:t>–</w:t>
            </w:r>
          </w:p>
        </w:tc>
      </w:tr>
      <w:tr w:rsidR="00A32BA1" w:rsidRPr="00E7637B" w:rsidTr="006247DF">
        <w:trPr>
          <w:cantSplit/>
        </w:trPr>
        <w:tc>
          <w:tcPr>
            <w:tcW w:w="3099" w:type="dxa"/>
          </w:tcPr>
          <w:p w:rsidR="00A32BA1" w:rsidRPr="00E7637B" w:rsidRDefault="00A32BA1" w:rsidP="006247DF">
            <w:pPr>
              <w:jc w:val="left"/>
              <w:rPr>
                <w:sz w:val="16"/>
                <w:szCs w:val="16"/>
              </w:rPr>
            </w:pPr>
          </w:p>
        </w:tc>
        <w:tc>
          <w:tcPr>
            <w:tcW w:w="686" w:type="dxa"/>
          </w:tcPr>
          <w:p w:rsidR="00A32BA1" w:rsidRPr="00E7637B" w:rsidRDefault="00A32BA1" w:rsidP="006247DF">
            <w:pPr>
              <w:jc w:val="right"/>
              <w:rPr>
                <w:sz w:val="16"/>
                <w:szCs w:val="16"/>
              </w:rPr>
            </w:pPr>
          </w:p>
        </w:tc>
        <w:tc>
          <w:tcPr>
            <w:tcW w:w="1048" w:type="dxa"/>
            <w:gridSpan w:val="2"/>
            <w:tcBorders>
              <w:top w:val="single" w:sz="4" w:space="0" w:color="auto"/>
            </w:tcBorders>
          </w:tcPr>
          <w:p w:rsidR="00A32BA1" w:rsidRPr="00E7637B" w:rsidRDefault="00A32BA1" w:rsidP="00A32BA1">
            <w:pPr>
              <w:jc w:val="right"/>
              <w:rPr>
                <w:sz w:val="16"/>
                <w:szCs w:val="16"/>
              </w:rPr>
            </w:pPr>
            <w:r>
              <w:rPr>
                <w:sz w:val="16"/>
                <w:szCs w:val="16"/>
              </w:rPr>
              <w:t>33</w:t>
            </w:r>
          </w:p>
        </w:tc>
        <w:tc>
          <w:tcPr>
            <w:tcW w:w="193" w:type="dxa"/>
            <w:tcBorders>
              <w:top w:val="single" w:sz="4" w:space="0" w:color="auto"/>
            </w:tcBorders>
          </w:tcPr>
          <w:p w:rsidR="00A32BA1" w:rsidRPr="00E7637B" w:rsidRDefault="00A32BA1" w:rsidP="006247DF">
            <w:pPr>
              <w:jc w:val="right"/>
              <w:rPr>
                <w:sz w:val="16"/>
                <w:szCs w:val="16"/>
              </w:rPr>
            </w:pPr>
          </w:p>
        </w:tc>
        <w:tc>
          <w:tcPr>
            <w:tcW w:w="1041" w:type="dxa"/>
            <w:tcBorders>
              <w:top w:val="single" w:sz="4" w:space="0" w:color="auto"/>
            </w:tcBorders>
          </w:tcPr>
          <w:p w:rsidR="00A32BA1" w:rsidRPr="00E7637B" w:rsidRDefault="00A32BA1" w:rsidP="006247DF">
            <w:pPr>
              <w:jc w:val="right"/>
              <w:rPr>
                <w:sz w:val="16"/>
                <w:szCs w:val="16"/>
              </w:rPr>
            </w:pPr>
            <w:r>
              <w:rPr>
                <w:sz w:val="16"/>
                <w:szCs w:val="16"/>
              </w:rPr>
              <w:t>–</w:t>
            </w:r>
          </w:p>
        </w:tc>
      </w:tr>
      <w:tr w:rsidR="00A32BA1" w:rsidRPr="00E7637B" w:rsidTr="006247DF">
        <w:trPr>
          <w:cantSplit/>
        </w:trPr>
        <w:tc>
          <w:tcPr>
            <w:tcW w:w="3099" w:type="dxa"/>
            <w:vAlign w:val="bottom"/>
          </w:tcPr>
          <w:p w:rsidR="00A32BA1" w:rsidRPr="00E7637B" w:rsidRDefault="00A32BA1" w:rsidP="006247DF">
            <w:pPr>
              <w:spacing w:before="40" w:line="200" w:lineRule="exact"/>
              <w:jc w:val="left"/>
              <w:rPr>
                <w:b/>
                <w:sz w:val="16"/>
                <w:szCs w:val="16"/>
              </w:rPr>
            </w:pPr>
            <w:r>
              <w:rPr>
                <w:b/>
                <w:sz w:val="16"/>
                <w:szCs w:val="16"/>
              </w:rPr>
              <w:t>Värdepapper i svenska kronor utgivna</w:t>
            </w:r>
            <w:r w:rsidRPr="00E7637B">
              <w:rPr>
                <w:b/>
                <w:sz w:val="16"/>
                <w:szCs w:val="16"/>
              </w:rPr>
              <w:t xml:space="preserve"> </w:t>
            </w:r>
            <w:r>
              <w:rPr>
                <w:b/>
                <w:sz w:val="16"/>
                <w:szCs w:val="16"/>
              </w:rPr>
              <w:br/>
              <w:t xml:space="preserve">av </w:t>
            </w:r>
            <w:r w:rsidRPr="00E7637B">
              <w:rPr>
                <w:b/>
                <w:sz w:val="16"/>
                <w:szCs w:val="16"/>
              </w:rPr>
              <w:t>hemma</w:t>
            </w:r>
            <w:r w:rsidRPr="00E7637B">
              <w:rPr>
                <w:b/>
                <w:sz w:val="16"/>
                <w:szCs w:val="16"/>
              </w:rPr>
              <w:softHyphen/>
              <w:t xml:space="preserve">hörande </w:t>
            </w:r>
            <w:r>
              <w:rPr>
                <w:b/>
                <w:sz w:val="16"/>
                <w:szCs w:val="16"/>
              </w:rPr>
              <w:t>i</w:t>
            </w:r>
            <w:r w:rsidRPr="00E7637B">
              <w:rPr>
                <w:b/>
                <w:sz w:val="16"/>
                <w:szCs w:val="16"/>
              </w:rPr>
              <w:t xml:space="preserve"> Sverige</w:t>
            </w:r>
            <w:r w:rsidRPr="00E7637B">
              <w:rPr>
                <w:sz w:val="16"/>
                <w:szCs w:val="16"/>
              </w:rPr>
              <w:t xml:space="preserve"> </w:t>
            </w:r>
          </w:p>
        </w:tc>
        <w:tc>
          <w:tcPr>
            <w:tcW w:w="692" w:type="dxa"/>
            <w:gridSpan w:val="2"/>
            <w:vAlign w:val="bottom"/>
          </w:tcPr>
          <w:p w:rsidR="00A32BA1" w:rsidRPr="00E7637B" w:rsidRDefault="00A32BA1" w:rsidP="006247DF">
            <w:pPr>
              <w:spacing w:before="40" w:line="200" w:lineRule="exact"/>
              <w:jc w:val="right"/>
              <w:rPr>
                <w:sz w:val="16"/>
                <w:szCs w:val="16"/>
              </w:rPr>
            </w:pPr>
            <w:r w:rsidRPr="00E7637B">
              <w:rPr>
                <w:sz w:val="16"/>
                <w:szCs w:val="16"/>
              </w:rPr>
              <w:t xml:space="preserve">Not </w:t>
            </w:r>
            <w:r>
              <w:rPr>
                <w:sz w:val="16"/>
                <w:szCs w:val="16"/>
              </w:rPr>
              <w:t>6</w:t>
            </w:r>
          </w:p>
        </w:tc>
        <w:tc>
          <w:tcPr>
            <w:tcW w:w="1042" w:type="dxa"/>
            <w:vAlign w:val="bottom"/>
          </w:tcPr>
          <w:p w:rsidR="00A32BA1" w:rsidRPr="00E7637B" w:rsidRDefault="00A32BA1" w:rsidP="00A32BA1">
            <w:pPr>
              <w:spacing w:before="40" w:line="200" w:lineRule="exact"/>
              <w:jc w:val="right"/>
              <w:rPr>
                <w:sz w:val="16"/>
                <w:szCs w:val="16"/>
              </w:rPr>
            </w:pPr>
            <w:r>
              <w:rPr>
                <w:sz w:val="16"/>
                <w:szCs w:val="16"/>
              </w:rPr>
              <w:t>11 126</w:t>
            </w:r>
          </w:p>
        </w:tc>
        <w:tc>
          <w:tcPr>
            <w:tcW w:w="193" w:type="dxa"/>
            <w:vAlign w:val="bottom"/>
          </w:tcPr>
          <w:p w:rsidR="00A32BA1" w:rsidRPr="00E7637B" w:rsidRDefault="00A32BA1" w:rsidP="006247DF">
            <w:pPr>
              <w:spacing w:before="40" w:line="200" w:lineRule="exact"/>
              <w:jc w:val="right"/>
              <w:rPr>
                <w:sz w:val="16"/>
                <w:szCs w:val="16"/>
              </w:rPr>
            </w:pPr>
          </w:p>
        </w:tc>
        <w:tc>
          <w:tcPr>
            <w:tcW w:w="1041" w:type="dxa"/>
            <w:vAlign w:val="bottom"/>
          </w:tcPr>
          <w:p w:rsidR="00A32BA1" w:rsidRPr="00E7637B" w:rsidRDefault="00A32BA1" w:rsidP="006247DF">
            <w:pPr>
              <w:spacing w:before="40" w:line="200" w:lineRule="exact"/>
              <w:jc w:val="right"/>
              <w:rPr>
                <w:sz w:val="16"/>
                <w:szCs w:val="16"/>
              </w:rPr>
            </w:pPr>
            <w:r>
              <w:rPr>
                <w:sz w:val="16"/>
                <w:szCs w:val="16"/>
              </w:rPr>
              <w:t>9 534</w:t>
            </w:r>
          </w:p>
        </w:tc>
      </w:tr>
      <w:tr w:rsidR="00A32BA1" w:rsidRPr="00E7637B" w:rsidTr="006247DF">
        <w:trPr>
          <w:cantSplit/>
        </w:trPr>
        <w:tc>
          <w:tcPr>
            <w:tcW w:w="3099" w:type="dxa"/>
            <w:vAlign w:val="bottom"/>
          </w:tcPr>
          <w:p w:rsidR="00A32BA1" w:rsidRPr="00E7637B" w:rsidRDefault="00A32BA1" w:rsidP="006247DF">
            <w:pPr>
              <w:spacing w:before="40" w:line="200" w:lineRule="exact"/>
              <w:jc w:val="left"/>
              <w:rPr>
                <w:b/>
                <w:sz w:val="16"/>
                <w:szCs w:val="16"/>
              </w:rPr>
            </w:pPr>
          </w:p>
        </w:tc>
        <w:tc>
          <w:tcPr>
            <w:tcW w:w="692" w:type="dxa"/>
            <w:gridSpan w:val="2"/>
            <w:vAlign w:val="bottom"/>
          </w:tcPr>
          <w:p w:rsidR="00A32BA1" w:rsidRPr="00E7637B" w:rsidRDefault="00A32BA1" w:rsidP="006247DF">
            <w:pPr>
              <w:spacing w:before="40" w:line="200" w:lineRule="exact"/>
              <w:jc w:val="right"/>
              <w:rPr>
                <w:sz w:val="16"/>
                <w:szCs w:val="16"/>
              </w:rPr>
            </w:pPr>
          </w:p>
        </w:tc>
        <w:tc>
          <w:tcPr>
            <w:tcW w:w="1042" w:type="dxa"/>
            <w:vAlign w:val="bottom"/>
          </w:tcPr>
          <w:p w:rsidR="00A32BA1" w:rsidRPr="00E7637B" w:rsidRDefault="00A32BA1" w:rsidP="006247DF">
            <w:pPr>
              <w:spacing w:before="40" w:line="200" w:lineRule="exact"/>
              <w:jc w:val="right"/>
              <w:rPr>
                <w:sz w:val="16"/>
                <w:szCs w:val="16"/>
              </w:rPr>
            </w:pPr>
          </w:p>
        </w:tc>
        <w:tc>
          <w:tcPr>
            <w:tcW w:w="193" w:type="dxa"/>
            <w:vAlign w:val="bottom"/>
          </w:tcPr>
          <w:p w:rsidR="00A32BA1" w:rsidRPr="00E7637B" w:rsidRDefault="00A32BA1" w:rsidP="006247DF">
            <w:pPr>
              <w:spacing w:before="40" w:line="200" w:lineRule="exact"/>
              <w:jc w:val="right"/>
              <w:rPr>
                <w:sz w:val="16"/>
                <w:szCs w:val="16"/>
              </w:rPr>
            </w:pPr>
          </w:p>
        </w:tc>
        <w:tc>
          <w:tcPr>
            <w:tcW w:w="1041" w:type="dxa"/>
            <w:vAlign w:val="bottom"/>
          </w:tcPr>
          <w:p w:rsidR="00A32BA1" w:rsidRPr="00E7637B" w:rsidRDefault="00A32BA1" w:rsidP="006247DF">
            <w:pPr>
              <w:spacing w:before="40" w:line="200" w:lineRule="exact"/>
              <w:jc w:val="right"/>
              <w:rPr>
                <w:sz w:val="16"/>
                <w:szCs w:val="16"/>
              </w:rPr>
            </w:pPr>
          </w:p>
        </w:tc>
      </w:tr>
      <w:tr w:rsidR="00A32BA1" w:rsidRPr="00E7637B" w:rsidTr="006247DF">
        <w:trPr>
          <w:cantSplit/>
        </w:trPr>
        <w:tc>
          <w:tcPr>
            <w:tcW w:w="3099" w:type="dxa"/>
          </w:tcPr>
          <w:p w:rsidR="00A32BA1" w:rsidRPr="00E7637B" w:rsidRDefault="00A32BA1" w:rsidP="006247DF">
            <w:pPr>
              <w:spacing w:before="60" w:line="200" w:lineRule="exact"/>
              <w:jc w:val="left"/>
              <w:rPr>
                <w:b/>
                <w:sz w:val="16"/>
                <w:szCs w:val="16"/>
              </w:rPr>
            </w:pPr>
            <w:r w:rsidRPr="00E7637B">
              <w:rPr>
                <w:b/>
                <w:sz w:val="16"/>
                <w:szCs w:val="16"/>
              </w:rPr>
              <w:t>Övriga tillgångar</w:t>
            </w:r>
          </w:p>
        </w:tc>
        <w:tc>
          <w:tcPr>
            <w:tcW w:w="686" w:type="dxa"/>
            <w:vAlign w:val="bottom"/>
          </w:tcPr>
          <w:p w:rsidR="00A32BA1" w:rsidRPr="00E7637B" w:rsidRDefault="00A32BA1" w:rsidP="006247DF">
            <w:pPr>
              <w:spacing w:before="40" w:line="200" w:lineRule="exact"/>
              <w:jc w:val="right"/>
              <w:rPr>
                <w:sz w:val="16"/>
                <w:szCs w:val="16"/>
              </w:rPr>
            </w:pPr>
          </w:p>
        </w:tc>
        <w:tc>
          <w:tcPr>
            <w:tcW w:w="1048" w:type="dxa"/>
            <w:gridSpan w:val="2"/>
            <w:vAlign w:val="bottom"/>
          </w:tcPr>
          <w:p w:rsidR="00A32BA1" w:rsidRPr="00E7637B" w:rsidRDefault="00A32BA1" w:rsidP="006247DF">
            <w:pPr>
              <w:spacing w:before="40" w:line="200" w:lineRule="exact"/>
              <w:jc w:val="right"/>
              <w:rPr>
                <w:sz w:val="16"/>
                <w:szCs w:val="16"/>
              </w:rPr>
            </w:pPr>
          </w:p>
        </w:tc>
        <w:tc>
          <w:tcPr>
            <w:tcW w:w="193" w:type="dxa"/>
            <w:vAlign w:val="bottom"/>
          </w:tcPr>
          <w:p w:rsidR="00A32BA1" w:rsidRPr="00E7637B" w:rsidRDefault="00A32BA1" w:rsidP="006247DF">
            <w:pPr>
              <w:spacing w:before="40" w:line="200" w:lineRule="exact"/>
              <w:jc w:val="right"/>
              <w:rPr>
                <w:sz w:val="16"/>
                <w:szCs w:val="16"/>
              </w:rPr>
            </w:pPr>
          </w:p>
        </w:tc>
        <w:tc>
          <w:tcPr>
            <w:tcW w:w="1041" w:type="dxa"/>
            <w:vAlign w:val="bottom"/>
          </w:tcPr>
          <w:p w:rsidR="00A32BA1" w:rsidRPr="00E7637B" w:rsidRDefault="00A32BA1" w:rsidP="006247DF">
            <w:pPr>
              <w:spacing w:before="40" w:line="200" w:lineRule="exact"/>
              <w:jc w:val="right"/>
              <w:rPr>
                <w:sz w:val="16"/>
                <w:szCs w:val="16"/>
              </w:rPr>
            </w:pPr>
          </w:p>
        </w:tc>
      </w:tr>
      <w:tr w:rsidR="00A32BA1" w:rsidRPr="00E7637B" w:rsidTr="006247DF">
        <w:trPr>
          <w:cantSplit/>
          <w:trHeight w:val="318"/>
        </w:trPr>
        <w:tc>
          <w:tcPr>
            <w:tcW w:w="3099" w:type="dxa"/>
          </w:tcPr>
          <w:p w:rsidR="00A32BA1" w:rsidRPr="00E7637B" w:rsidRDefault="00A32BA1" w:rsidP="006247DF">
            <w:pPr>
              <w:spacing w:before="60" w:line="200" w:lineRule="exact"/>
              <w:jc w:val="left"/>
              <w:rPr>
                <w:sz w:val="16"/>
                <w:szCs w:val="16"/>
              </w:rPr>
            </w:pPr>
            <w:r w:rsidRPr="00E7637B">
              <w:rPr>
                <w:sz w:val="16"/>
                <w:szCs w:val="16"/>
              </w:rPr>
              <w:t xml:space="preserve">Materiella och immateriella </w:t>
            </w:r>
            <w:r w:rsidRPr="00E7637B">
              <w:rPr>
                <w:sz w:val="16"/>
                <w:szCs w:val="16"/>
              </w:rPr>
              <w:br/>
              <w:t xml:space="preserve">anläggningstillgångar </w:t>
            </w:r>
          </w:p>
        </w:tc>
        <w:tc>
          <w:tcPr>
            <w:tcW w:w="686" w:type="dxa"/>
          </w:tcPr>
          <w:p w:rsidR="00A32BA1" w:rsidRDefault="00A32BA1" w:rsidP="006247DF">
            <w:pPr>
              <w:jc w:val="right"/>
              <w:rPr>
                <w:spacing w:val="-2"/>
                <w:sz w:val="16"/>
                <w:szCs w:val="16"/>
              </w:rPr>
            </w:pPr>
          </w:p>
          <w:p w:rsidR="00A32BA1" w:rsidRPr="00E7637B" w:rsidRDefault="00A32BA1" w:rsidP="006247DF">
            <w:pPr>
              <w:spacing w:before="0" w:line="240" w:lineRule="auto"/>
              <w:jc w:val="right"/>
              <w:rPr>
                <w:spacing w:val="-2"/>
                <w:sz w:val="16"/>
                <w:szCs w:val="16"/>
              </w:rPr>
            </w:pPr>
            <w:r>
              <w:rPr>
                <w:spacing w:val="-2"/>
                <w:sz w:val="16"/>
                <w:szCs w:val="16"/>
              </w:rPr>
              <w:t>Not 7</w:t>
            </w:r>
          </w:p>
        </w:tc>
        <w:tc>
          <w:tcPr>
            <w:tcW w:w="1048" w:type="dxa"/>
            <w:gridSpan w:val="2"/>
          </w:tcPr>
          <w:p w:rsidR="00A32BA1" w:rsidRDefault="00A32BA1" w:rsidP="006247DF">
            <w:pPr>
              <w:jc w:val="right"/>
              <w:rPr>
                <w:sz w:val="16"/>
                <w:szCs w:val="16"/>
              </w:rPr>
            </w:pPr>
          </w:p>
          <w:p w:rsidR="00A32BA1" w:rsidRPr="00E7637B" w:rsidRDefault="00A32BA1" w:rsidP="00A32BA1">
            <w:pPr>
              <w:spacing w:before="0" w:line="240" w:lineRule="auto"/>
              <w:jc w:val="right"/>
              <w:rPr>
                <w:sz w:val="16"/>
                <w:szCs w:val="16"/>
              </w:rPr>
            </w:pPr>
            <w:r>
              <w:rPr>
                <w:sz w:val="16"/>
                <w:szCs w:val="16"/>
              </w:rPr>
              <w:t>671</w:t>
            </w:r>
          </w:p>
        </w:tc>
        <w:tc>
          <w:tcPr>
            <w:tcW w:w="193" w:type="dxa"/>
          </w:tcPr>
          <w:p w:rsidR="00A32BA1" w:rsidRDefault="00A32BA1" w:rsidP="006247DF">
            <w:pPr>
              <w:jc w:val="right"/>
              <w:rPr>
                <w:sz w:val="16"/>
                <w:szCs w:val="16"/>
              </w:rPr>
            </w:pPr>
          </w:p>
          <w:p w:rsidR="00A32BA1" w:rsidRPr="00E7637B" w:rsidRDefault="00A32BA1" w:rsidP="006247DF">
            <w:pPr>
              <w:spacing w:before="0" w:line="240" w:lineRule="auto"/>
              <w:jc w:val="right"/>
              <w:rPr>
                <w:sz w:val="16"/>
                <w:szCs w:val="16"/>
              </w:rPr>
            </w:pPr>
          </w:p>
        </w:tc>
        <w:tc>
          <w:tcPr>
            <w:tcW w:w="1041" w:type="dxa"/>
          </w:tcPr>
          <w:p w:rsidR="00A32BA1" w:rsidRDefault="00A32BA1" w:rsidP="00ED1D38">
            <w:pPr>
              <w:jc w:val="right"/>
              <w:rPr>
                <w:sz w:val="16"/>
                <w:szCs w:val="16"/>
              </w:rPr>
            </w:pPr>
          </w:p>
          <w:p w:rsidR="00A32BA1" w:rsidRPr="00E7637B" w:rsidRDefault="00A32BA1" w:rsidP="006247DF">
            <w:pPr>
              <w:spacing w:before="0" w:line="240" w:lineRule="auto"/>
              <w:jc w:val="right"/>
              <w:rPr>
                <w:sz w:val="16"/>
                <w:szCs w:val="16"/>
              </w:rPr>
            </w:pPr>
            <w:r>
              <w:rPr>
                <w:sz w:val="16"/>
                <w:szCs w:val="16"/>
              </w:rPr>
              <w:t>690</w:t>
            </w: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 xml:space="preserve">Finansiella tillgångar </w:t>
            </w:r>
          </w:p>
        </w:tc>
        <w:tc>
          <w:tcPr>
            <w:tcW w:w="686" w:type="dxa"/>
          </w:tcPr>
          <w:p w:rsidR="00A32BA1" w:rsidRPr="00E7637B" w:rsidRDefault="00A32BA1" w:rsidP="006247DF">
            <w:pPr>
              <w:jc w:val="right"/>
              <w:rPr>
                <w:spacing w:val="-2"/>
                <w:sz w:val="16"/>
                <w:szCs w:val="16"/>
              </w:rPr>
            </w:pPr>
            <w:r w:rsidRPr="00E7637B">
              <w:rPr>
                <w:spacing w:val="-2"/>
                <w:sz w:val="16"/>
                <w:szCs w:val="16"/>
              </w:rPr>
              <w:t xml:space="preserve">Not </w:t>
            </w:r>
            <w:r>
              <w:rPr>
                <w:spacing w:val="-2"/>
                <w:sz w:val="16"/>
                <w:szCs w:val="16"/>
              </w:rPr>
              <w:t>8</w:t>
            </w:r>
          </w:p>
        </w:tc>
        <w:tc>
          <w:tcPr>
            <w:tcW w:w="1048" w:type="dxa"/>
            <w:gridSpan w:val="2"/>
          </w:tcPr>
          <w:p w:rsidR="00A32BA1" w:rsidRPr="00E7637B" w:rsidRDefault="00A32BA1" w:rsidP="006247DF">
            <w:pPr>
              <w:jc w:val="right"/>
              <w:rPr>
                <w:sz w:val="16"/>
                <w:szCs w:val="16"/>
              </w:rPr>
            </w:pPr>
            <w:r>
              <w:rPr>
                <w:sz w:val="16"/>
                <w:szCs w:val="16"/>
              </w:rPr>
              <w:t>522</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t>522</w:t>
            </w: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Derivatinstrument</w:t>
            </w:r>
          </w:p>
        </w:tc>
        <w:tc>
          <w:tcPr>
            <w:tcW w:w="686" w:type="dxa"/>
          </w:tcPr>
          <w:p w:rsidR="00A32BA1" w:rsidRPr="00E7637B" w:rsidRDefault="00A32BA1" w:rsidP="006247DF">
            <w:pPr>
              <w:jc w:val="right"/>
              <w:rPr>
                <w:spacing w:val="-2"/>
                <w:sz w:val="16"/>
                <w:szCs w:val="16"/>
              </w:rPr>
            </w:pPr>
            <w:r w:rsidRPr="00E7637B">
              <w:rPr>
                <w:spacing w:val="-2"/>
                <w:sz w:val="16"/>
                <w:szCs w:val="16"/>
              </w:rPr>
              <w:t xml:space="preserve">Not </w:t>
            </w:r>
            <w:r>
              <w:rPr>
                <w:spacing w:val="-2"/>
                <w:sz w:val="16"/>
                <w:szCs w:val="16"/>
              </w:rPr>
              <w:t>9</w:t>
            </w:r>
          </w:p>
        </w:tc>
        <w:tc>
          <w:tcPr>
            <w:tcW w:w="1048" w:type="dxa"/>
            <w:gridSpan w:val="2"/>
          </w:tcPr>
          <w:p w:rsidR="00A32BA1" w:rsidRPr="00E7637B" w:rsidRDefault="00A32BA1" w:rsidP="006247DF">
            <w:pPr>
              <w:jc w:val="right"/>
              <w:rPr>
                <w:sz w:val="16"/>
                <w:szCs w:val="16"/>
              </w:rPr>
            </w:pPr>
            <w:r>
              <w:rPr>
                <w:sz w:val="16"/>
                <w:szCs w:val="16"/>
              </w:rPr>
              <w:softHyphen/>
              <w:t>–</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softHyphen/>
              <w:t>–</w:t>
            </w: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 xml:space="preserve">Förutbetalda kostnader och </w:t>
            </w:r>
            <w:r w:rsidRPr="00E7637B">
              <w:rPr>
                <w:sz w:val="16"/>
                <w:szCs w:val="16"/>
              </w:rPr>
              <w:br/>
              <w:t>upplupna intäkter</w:t>
            </w:r>
          </w:p>
        </w:tc>
        <w:tc>
          <w:tcPr>
            <w:tcW w:w="686" w:type="dxa"/>
          </w:tcPr>
          <w:p w:rsidR="00A32BA1" w:rsidRPr="00E7637B" w:rsidRDefault="00A32BA1" w:rsidP="006247DF">
            <w:pPr>
              <w:jc w:val="right"/>
              <w:rPr>
                <w:spacing w:val="-2"/>
                <w:sz w:val="16"/>
                <w:szCs w:val="16"/>
              </w:rPr>
            </w:pPr>
          </w:p>
          <w:p w:rsidR="00A32BA1" w:rsidRPr="00E7637B" w:rsidRDefault="00A32BA1" w:rsidP="006247DF">
            <w:pPr>
              <w:spacing w:before="0" w:line="240" w:lineRule="auto"/>
              <w:jc w:val="right"/>
              <w:rPr>
                <w:spacing w:val="-2"/>
                <w:sz w:val="16"/>
                <w:szCs w:val="16"/>
              </w:rPr>
            </w:pPr>
            <w:r>
              <w:rPr>
                <w:spacing w:val="-2"/>
                <w:sz w:val="16"/>
                <w:szCs w:val="16"/>
              </w:rPr>
              <w:t>Not 10</w:t>
            </w:r>
          </w:p>
        </w:tc>
        <w:tc>
          <w:tcPr>
            <w:tcW w:w="1048" w:type="dxa"/>
            <w:gridSpan w:val="2"/>
          </w:tcPr>
          <w:p w:rsidR="00A32BA1" w:rsidRPr="00E7637B" w:rsidRDefault="00A32BA1" w:rsidP="006247DF">
            <w:pPr>
              <w:jc w:val="right"/>
              <w:rPr>
                <w:spacing w:val="-2"/>
                <w:sz w:val="16"/>
                <w:szCs w:val="16"/>
              </w:rPr>
            </w:pPr>
          </w:p>
          <w:p w:rsidR="00A32BA1" w:rsidRPr="00E7637B" w:rsidRDefault="00A32BA1" w:rsidP="00A32BA1">
            <w:pPr>
              <w:spacing w:before="0" w:line="240" w:lineRule="auto"/>
              <w:jc w:val="right"/>
              <w:rPr>
                <w:sz w:val="16"/>
                <w:szCs w:val="16"/>
              </w:rPr>
            </w:pPr>
            <w:r>
              <w:rPr>
                <w:sz w:val="16"/>
                <w:szCs w:val="16"/>
              </w:rPr>
              <w:t>3 323</w:t>
            </w:r>
          </w:p>
        </w:tc>
        <w:tc>
          <w:tcPr>
            <w:tcW w:w="193" w:type="dxa"/>
          </w:tcPr>
          <w:p w:rsidR="00A32BA1" w:rsidRPr="00E7637B" w:rsidRDefault="00A32BA1" w:rsidP="006247DF">
            <w:pPr>
              <w:spacing w:before="0" w:line="240" w:lineRule="auto"/>
              <w:rPr>
                <w:sz w:val="16"/>
                <w:szCs w:val="16"/>
              </w:rPr>
            </w:pPr>
          </w:p>
        </w:tc>
        <w:tc>
          <w:tcPr>
            <w:tcW w:w="1041" w:type="dxa"/>
          </w:tcPr>
          <w:p w:rsidR="00A32BA1" w:rsidRPr="00E7637B" w:rsidRDefault="00A32BA1" w:rsidP="00ED1D38">
            <w:pPr>
              <w:jc w:val="right"/>
              <w:rPr>
                <w:spacing w:val="-2"/>
                <w:sz w:val="16"/>
                <w:szCs w:val="16"/>
              </w:rPr>
            </w:pPr>
          </w:p>
          <w:p w:rsidR="00A32BA1" w:rsidRPr="00E7637B" w:rsidRDefault="00A32BA1" w:rsidP="006247DF">
            <w:pPr>
              <w:spacing w:before="0" w:line="240" w:lineRule="auto"/>
              <w:jc w:val="right"/>
              <w:rPr>
                <w:sz w:val="16"/>
                <w:szCs w:val="16"/>
              </w:rPr>
            </w:pPr>
            <w:r>
              <w:rPr>
                <w:sz w:val="16"/>
                <w:szCs w:val="16"/>
              </w:rPr>
              <w:t>3 314</w:t>
            </w:r>
          </w:p>
        </w:tc>
      </w:tr>
      <w:tr w:rsidR="00A32BA1" w:rsidRPr="00E7637B" w:rsidTr="006247DF">
        <w:trPr>
          <w:cantSplit/>
        </w:trPr>
        <w:tc>
          <w:tcPr>
            <w:tcW w:w="3099" w:type="dxa"/>
          </w:tcPr>
          <w:p w:rsidR="00A32BA1" w:rsidRPr="00E7637B" w:rsidRDefault="00A32BA1" w:rsidP="006247DF">
            <w:pPr>
              <w:spacing w:before="60" w:line="200" w:lineRule="exact"/>
              <w:jc w:val="left"/>
              <w:rPr>
                <w:sz w:val="16"/>
                <w:szCs w:val="16"/>
              </w:rPr>
            </w:pPr>
            <w:r w:rsidRPr="00E7637B">
              <w:rPr>
                <w:sz w:val="16"/>
                <w:szCs w:val="16"/>
              </w:rPr>
              <w:t xml:space="preserve">Övriga tillgångar </w:t>
            </w:r>
          </w:p>
        </w:tc>
        <w:tc>
          <w:tcPr>
            <w:tcW w:w="686" w:type="dxa"/>
          </w:tcPr>
          <w:p w:rsidR="00A32BA1" w:rsidRPr="00E7637B" w:rsidRDefault="00A32BA1" w:rsidP="006247DF">
            <w:pPr>
              <w:jc w:val="right"/>
              <w:rPr>
                <w:spacing w:val="-2"/>
                <w:sz w:val="16"/>
                <w:szCs w:val="16"/>
              </w:rPr>
            </w:pPr>
            <w:r>
              <w:rPr>
                <w:spacing w:val="-2"/>
                <w:sz w:val="16"/>
                <w:szCs w:val="16"/>
              </w:rPr>
              <w:t>Not 11</w:t>
            </w:r>
          </w:p>
        </w:tc>
        <w:tc>
          <w:tcPr>
            <w:tcW w:w="1048" w:type="dxa"/>
            <w:gridSpan w:val="2"/>
            <w:tcBorders>
              <w:bottom w:val="single" w:sz="4" w:space="0" w:color="auto"/>
            </w:tcBorders>
          </w:tcPr>
          <w:p w:rsidR="00A32BA1" w:rsidRPr="00E7637B" w:rsidRDefault="00A32BA1" w:rsidP="00A32BA1">
            <w:pPr>
              <w:jc w:val="right"/>
              <w:rPr>
                <w:sz w:val="16"/>
                <w:szCs w:val="16"/>
              </w:rPr>
            </w:pPr>
            <w:r>
              <w:rPr>
                <w:sz w:val="16"/>
                <w:szCs w:val="16"/>
              </w:rPr>
              <w:t>357</w:t>
            </w:r>
          </w:p>
        </w:tc>
        <w:tc>
          <w:tcPr>
            <w:tcW w:w="193" w:type="dxa"/>
            <w:tcBorders>
              <w:bottom w:val="single" w:sz="4" w:space="0" w:color="auto"/>
            </w:tcBorders>
          </w:tcPr>
          <w:p w:rsidR="00A32BA1" w:rsidRPr="00E7637B" w:rsidRDefault="00A32BA1" w:rsidP="006247DF">
            <w:pPr>
              <w:jc w:val="right"/>
              <w:rPr>
                <w:sz w:val="16"/>
                <w:szCs w:val="16"/>
              </w:rPr>
            </w:pPr>
          </w:p>
        </w:tc>
        <w:tc>
          <w:tcPr>
            <w:tcW w:w="1041" w:type="dxa"/>
            <w:tcBorders>
              <w:bottom w:val="single" w:sz="4" w:space="0" w:color="auto"/>
            </w:tcBorders>
          </w:tcPr>
          <w:p w:rsidR="00A32BA1" w:rsidRPr="00E7637B" w:rsidRDefault="00A32BA1" w:rsidP="006247DF">
            <w:pPr>
              <w:jc w:val="right"/>
              <w:rPr>
                <w:sz w:val="16"/>
                <w:szCs w:val="16"/>
              </w:rPr>
            </w:pPr>
            <w:r>
              <w:rPr>
                <w:sz w:val="16"/>
                <w:szCs w:val="16"/>
              </w:rPr>
              <w:t>358</w:t>
            </w:r>
          </w:p>
        </w:tc>
      </w:tr>
      <w:tr w:rsidR="00A32BA1" w:rsidRPr="00E7637B" w:rsidTr="006247DF">
        <w:trPr>
          <w:cantSplit/>
        </w:trPr>
        <w:tc>
          <w:tcPr>
            <w:tcW w:w="3099" w:type="dxa"/>
          </w:tcPr>
          <w:p w:rsidR="00A32BA1" w:rsidRPr="00E7637B" w:rsidRDefault="00A32BA1" w:rsidP="006247DF">
            <w:pPr>
              <w:jc w:val="left"/>
              <w:rPr>
                <w:sz w:val="16"/>
                <w:szCs w:val="16"/>
              </w:rPr>
            </w:pP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A32BA1">
            <w:pPr>
              <w:jc w:val="right"/>
              <w:rPr>
                <w:sz w:val="16"/>
                <w:szCs w:val="16"/>
              </w:rPr>
            </w:pPr>
            <w:r>
              <w:rPr>
                <w:sz w:val="16"/>
                <w:szCs w:val="16"/>
              </w:rPr>
              <w:t>4 873</w:t>
            </w: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r>
              <w:rPr>
                <w:sz w:val="16"/>
                <w:szCs w:val="16"/>
              </w:rPr>
              <w:t>4 884</w:t>
            </w:r>
          </w:p>
        </w:tc>
      </w:tr>
      <w:tr w:rsidR="00A32BA1" w:rsidRPr="00E7637B" w:rsidTr="006247DF">
        <w:trPr>
          <w:cantSplit/>
        </w:trPr>
        <w:tc>
          <w:tcPr>
            <w:tcW w:w="3099" w:type="dxa"/>
          </w:tcPr>
          <w:p w:rsidR="00A32BA1" w:rsidRPr="00E7637B" w:rsidRDefault="00A32BA1" w:rsidP="006247DF">
            <w:pPr>
              <w:jc w:val="left"/>
              <w:rPr>
                <w:sz w:val="16"/>
                <w:szCs w:val="16"/>
              </w:rPr>
            </w:pPr>
          </w:p>
        </w:tc>
        <w:tc>
          <w:tcPr>
            <w:tcW w:w="686" w:type="dxa"/>
          </w:tcPr>
          <w:p w:rsidR="00A32BA1" w:rsidRPr="00E7637B" w:rsidRDefault="00A32BA1" w:rsidP="006247DF">
            <w:pPr>
              <w:jc w:val="right"/>
              <w:rPr>
                <w:sz w:val="16"/>
                <w:szCs w:val="16"/>
              </w:rPr>
            </w:pPr>
          </w:p>
        </w:tc>
        <w:tc>
          <w:tcPr>
            <w:tcW w:w="1048" w:type="dxa"/>
            <w:gridSpan w:val="2"/>
          </w:tcPr>
          <w:p w:rsidR="00A32BA1" w:rsidRPr="00E7637B" w:rsidRDefault="00A32BA1" w:rsidP="006247DF">
            <w:pPr>
              <w:jc w:val="right"/>
              <w:rPr>
                <w:sz w:val="16"/>
                <w:szCs w:val="16"/>
              </w:rPr>
            </w:pPr>
          </w:p>
        </w:tc>
        <w:tc>
          <w:tcPr>
            <w:tcW w:w="193" w:type="dxa"/>
          </w:tcPr>
          <w:p w:rsidR="00A32BA1" w:rsidRPr="00E7637B" w:rsidRDefault="00A32BA1" w:rsidP="006247DF">
            <w:pPr>
              <w:jc w:val="right"/>
              <w:rPr>
                <w:sz w:val="16"/>
                <w:szCs w:val="16"/>
              </w:rPr>
            </w:pPr>
          </w:p>
        </w:tc>
        <w:tc>
          <w:tcPr>
            <w:tcW w:w="1041" w:type="dxa"/>
          </w:tcPr>
          <w:p w:rsidR="00A32BA1" w:rsidRPr="00E7637B" w:rsidRDefault="00A32BA1" w:rsidP="006247DF">
            <w:pPr>
              <w:jc w:val="right"/>
              <w:rPr>
                <w:sz w:val="16"/>
                <w:szCs w:val="16"/>
              </w:rPr>
            </w:pPr>
          </w:p>
        </w:tc>
      </w:tr>
      <w:tr w:rsidR="00A32BA1" w:rsidRPr="00E7637B" w:rsidTr="006247DF">
        <w:trPr>
          <w:cantSplit/>
        </w:trPr>
        <w:tc>
          <w:tcPr>
            <w:tcW w:w="3099" w:type="dxa"/>
            <w:tcBorders>
              <w:bottom w:val="single" w:sz="4" w:space="0" w:color="auto"/>
            </w:tcBorders>
          </w:tcPr>
          <w:p w:rsidR="00A32BA1" w:rsidRPr="00E7637B" w:rsidRDefault="00A32BA1" w:rsidP="006247DF">
            <w:pPr>
              <w:jc w:val="left"/>
              <w:rPr>
                <w:b/>
                <w:sz w:val="16"/>
                <w:szCs w:val="16"/>
              </w:rPr>
            </w:pPr>
            <w:r w:rsidRPr="00E7637B">
              <w:rPr>
                <w:b/>
                <w:sz w:val="16"/>
                <w:szCs w:val="16"/>
              </w:rPr>
              <w:t>Summa tillgångar</w:t>
            </w:r>
          </w:p>
        </w:tc>
        <w:tc>
          <w:tcPr>
            <w:tcW w:w="686" w:type="dxa"/>
            <w:tcBorders>
              <w:bottom w:val="single" w:sz="4" w:space="0" w:color="auto"/>
            </w:tcBorders>
          </w:tcPr>
          <w:p w:rsidR="00A32BA1" w:rsidRPr="00E7637B" w:rsidRDefault="00A32BA1" w:rsidP="006247DF">
            <w:pPr>
              <w:jc w:val="right"/>
              <w:rPr>
                <w:sz w:val="16"/>
                <w:szCs w:val="16"/>
              </w:rPr>
            </w:pPr>
          </w:p>
        </w:tc>
        <w:tc>
          <w:tcPr>
            <w:tcW w:w="1048" w:type="dxa"/>
            <w:gridSpan w:val="2"/>
            <w:tcBorders>
              <w:top w:val="single" w:sz="4" w:space="0" w:color="auto"/>
              <w:bottom w:val="single" w:sz="4" w:space="0" w:color="auto"/>
            </w:tcBorders>
          </w:tcPr>
          <w:p w:rsidR="00A32BA1" w:rsidRPr="00E7637B" w:rsidRDefault="00A32BA1" w:rsidP="00A32BA1">
            <w:pPr>
              <w:jc w:val="right"/>
              <w:rPr>
                <w:b/>
                <w:sz w:val="16"/>
                <w:szCs w:val="16"/>
              </w:rPr>
            </w:pPr>
            <w:r>
              <w:rPr>
                <w:b/>
                <w:sz w:val="16"/>
                <w:szCs w:val="16"/>
              </w:rPr>
              <w:t>502 401</w:t>
            </w:r>
          </w:p>
        </w:tc>
        <w:tc>
          <w:tcPr>
            <w:tcW w:w="193" w:type="dxa"/>
            <w:tcBorders>
              <w:top w:val="single" w:sz="4" w:space="0" w:color="auto"/>
              <w:bottom w:val="single" w:sz="4" w:space="0" w:color="auto"/>
            </w:tcBorders>
          </w:tcPr>
          <w:p w:rsidR="00A32BA1" w:rsidRPr="00E7637B" w:rsidRDefault="00A32BA1" w:rsidP="006247DF">
            <w:pPr>
              <w:jc w:val="right"/>
              <w:rPr>
                <w:b/>
                <w:sz w:val="16"/>
                <w:szCs w:val="16"/>
              </w:rPr>
            </w:pPr>
          </w:p>
        </w:tc>
        <w:tc>
          <w:tcPr>
            <w:tcW w:w="1041" w:type="dxa"/>
            <w:tcBorders>
              <w:top w:val="single" w:sz="4" w:space="0" w:color="auto"/>
              <w:bottom w:val="single" w:sz="4" w:space="0" w:color="auto"/>
            </w:tcBorders>
          </w:tcPr>
          <w:p w:rsidR="00A32BA1" w:rsidRPr="00E7637B" w:rsidRDefault="00A32BA1" w:rsidP="006247DF">
            <w:pPr>
              <w:jc w:val="right"/>
              <w:rPr>
                <w:b/>
                <w:sz w:val="16"/>
                <w:szCs w:val="16"/>
              </w:rPr>
            </w:pPr>
            <w:r>
              <w:rPr>
                <w:b/>
                <w:sz w:val="16"/>
                <w:szCs w:val="16"/>
              </w:rPr>
              <w:t>431 627</w:t>
            </w:r>
          </w:p>
        </w:tc>
      </w:tr>
      <w:tr w:rsidR="00A32BA1" w:rsidRPr="00E7637B" w:rsidTr="006247DF">
        <w:trPr>
          <w:cantSplit/>
        </w:trPr>
        <w:tc>
          <w:tcPr>
            <w:tcW w:w="3099" w:type="dxa"/>
          </w:tcPr>
          <w:p w:rsidR="00A32BA1" w:rsidRPr="00E7637B" w:rsidRDefault="00A32BA1" w:rsidP="006247DF">
            <w:pPr>
              <w:jc w:val="left"/>
              <w:rPr>
                <w:sz w:val="16"/>
                <w:szCs w:val="16"/>
              </w:rPr>
            </w:pPr>
          </w:p>
        </w:tc>
        <w:tc>
          <w:tcPr>
            <w:tcW w:w="686" w:type="dxa"/>
          </w:tcPr>
          <w:p w:rsidR="00A32BA1" w:rsidRPr="00E7637B" w:rsidRDefault="00A32BA1" w:rsidP="006247DF">
            <w:pPr>
              <w:rPr>
                <w:sz w:val="16"/>
                <w:szCs w:val="16"/>
              </w:rPr>
            </w:pPr>
          </w:p>
        </w:tc>
        <w:tc>
          <w:tcPr>
            <w:tcW w:w="1048" w:type="dxa"/>
            <w:gridSpan w:val="2"/>
          </w:tcPr>
          <w:p w:rsidR="00A32BA1" w:rsidRPr="00E7637B" w:rsidRDefault="00A32BA1" w:rsidP="006247DF">
            <w:pPr>
              <w:rPr>
                <w:sz w:val="16"/>
                <w:szCs w:val="16"/>
              </w:rPr>
            </w:pPr>
          </w:p>
        </w:tc>
        <w:tc>
          <w:tcPr>
            <w:tcW w:w="193" w:type="dxa"/>
          </w:tcPr>
          <w:p w:rsidR="00A32BA1" w:rsidRPr="00E7637B" w:rsidRDefault="00A32BA1" w:rsidP="006247DF">
            <w:pPr>
              <w:rPr>
                <w:sz w:val="16"/>
                <w:szCs w:val="16"/>
              </w:rPr>
            </w:pPr>
          </w:p>
        </w:tc>
        <w:tc>
          <w:tcPr>
            <w:tcW w:w="1041" w:type="dxa"/>
          </w:tcPr>
          <w:p w:rsidR="00A32BA1" w:rsidRPr="00E7637B" w:rsidRDefault="00A32BA1" w:rsidP="006247DF">
            <w:pPr>
              <w:rPr>
                <w:sz w:val="16"/>
                <w:szCs w:val="16"/>
              </w:rPr>
            </w:pPr>
          </w:p>
        </w:tc>
      </w:tr>
    </w:tbl>
    <w:p w:rsidR="006247DF" w:rsidRPr="00E7637B" w:rsidRDefault="006247DF" w:rsidP="006247DF">
      <w:pPr>
        <w:pStyle w:val="Normaltindrag"/>
        <w:ind w:firstLine="0"/>
      </w:pPr>
    </w:p>
    <w:tbl>
      <w:tblPr>
        <w:tblW w:w="6260" w:type="dxa"/>
        <w:tblInd w:w="23" w:type="dxa"/>
        <w:tblLayout w:type="fixed"/>
        <w:tblCellMar>
          <w:left w:w="71" w:type="dxa"/>
          <w:right w:w="71" w:type="dxa"/>
        </w:tblCellMar>
        <w:tblLook w:val="0000" w:firstRow="0" w:lastRow="0" w:firstColumn="0" w:lastColumn="0" w:noHBand="0" w:noVBand="0"/>
      </w:tblPr>
      <w:tblGrid>
        <w:gridCol w:w="3100"/>
        <w:gridCol w:w="692"/>
        <w:gridCol w:w="1041"/>
        <w:gridCol w:w="193"/>
        <w:gridCol w:w="1041"/>
        <w:gridCol w:w="193"/>
      </w:tblGrid>
      <w:tr w:rsidR="006247DF" w:rsidRPr="00E7637B" w:rsidTr="00ED1D38">
        <w:trPr>
          <w:gridAfter w:val="1"/>
          <w:wAfter w:w="193" w:type="dxa"/>
          <w:cantSplit/>
        </w:trPr>
        <w:tc>
          <w:tcPr>
            <w:tcW w:w="3100" w:type="dxa"/>
            <w:tcBorders>
              <w:bottom w:val="single" w:sz="4" w:space="0" w:color="auto"/>
            </w:tcBorders>
          </w:tcPr>
          <w:p w:rsidR="006247DF" w:rsidRPr="00E7637B" w:rsidRDefault="006247DF" w:rsidP="006247DF">
            <w:pPr>
              <w:pageBreakBefore/>
              <w:spacing w:before="0"/>
              <w:jc w:val="left"/>
              <w:rPr>
                <w:b/>
                <w:sz w:val="16"/>
                <w:szCs w:val="16"/>
              </w:rPr>
            </w:pPr>
            <w:r w:rsidRPr="00E7637B">
              <w:br w:type="page"/>
            </w:r>
            <w:r w:rsidRPr="00E7637B">
              <w:rPr>
                <w:sz w:val="16"/>
                <w:szCs w:val="16"/>
              </w:rPr>
              <w:br w:type="column"/>
            </w:r>
            <w:r w:rsidRPr="00E7637B">
              <w:rPr>
                <w:b/>
                <w:sz w:val="16"/>
                <w:szCs w:val="16"/>
              </w:rPr>
              <w:t>Skulder och eget kapital</w:t>
            </w:r>
          </w:p>
        </w:tc>
        <w:tc>
          <w:tcPr>
            <w:tcW w:w="692" w:type="dxa"/>
            <w:tcBorders>
              <w:bottom w:val="single" w:sz="4" w:space="0" w:color="auto"/>
            </w:tcBorders>
          </w:tcPr>
          <w:p w:rsidR="006247DF" w:rsidRPr="00E7637B" w:rsidRDefault="006247DF" w:rsidP="006247DF">
            <w:pPr>
              <w:spacing w:before="0"/>
              <w:rPr>
                <w:sz w:val="16"/>
                <w:szCs w:val="16"/>
              </w:rPr>
            </w:pPr>
          </w:p>
        </w:tc>
        <w:tc>
          <w:tcPr>
            <w:tcW w:w="1041" w:type="dxa"/>
          </w:tcPr>
          <w:p w:rsidR="006247DF" w:rsidRPr="00E7637B" w:rsidRDefault="006247DF" w:rsidP="006247DF">
            <w:pPr>
              <w:spacing w:before="0"/>
              <w:rPr>
                <w:sz w:val="16"/>
                <w:szCs w:val="16"/>
              </w:rPr>
            </w:pPr>
          </w:p>
        </w:tc>
        <w:tc>
          <w:tcPr>
            <w:tcW w:w="193" w:type="dxa"/>
          </w:tcPr>
          <w:p w:rsidR="006247DF" w:rsidRPr="00E7637B" w:rsidRDefault="006247DF" w:rsidP="006247DF">
            <w:pPr>
              <w:spacing w:before="0"/>
              <w:rPr>
                <w:sz w:val="16"/>
                <w:szCs w:val="16"/>
              </w:rPr>
            </w:pPr>
          </w:p>
        </w:tc>
        <w:tc>
          <w:tcPr>
            <w:tcW w:w="1041" w:type="dxa"/>
          </w:tcPr>
          <w:p w:rsidR="006247DF" w:rsidRPr="00E7637B" w:rsidRDefault="006247DF" w:rsidP="006247DF">
            <w:pPr>
              <w:spacing w:before="0"/>
              <w:rPr>
                <w:sz w:val="16"/>
                <w:szCs w:val="16"/>
              </w:rPr>
            </w:pPr>
          </w:p>
        </w:tc>
      </w:tr>
      <w:tr w:rsidR="006247DF" w:rsidRPr="00E7637B" w:rsidTr="00ED1D38">
        <w:trPr>
          <w:gridAfter w:val="1"/>
          <w:wAfter w:w="193" w:type="dxa"/>
          <w:cantSplit/>
        </w:trPr>
        <w:tc>
          <w:tcPr>
            <w:tcW w:w="3100" w:type="dxa"/>
          </w:tcPr>
          <w:p w:rsidR="006247DF" w:rsidRPr="00E7637B" w:rsidRDefault="006247DF" w:rsidP="006247DF">
            <w:pPr>
              <w:spacing w:before="20"/>
              <w:jc w:val="left"/>
              <w:rPr>
                <w:sz w:val="16"/>
                <w:szCs w:val="16"/>
              </w:rPr>
            </w:pPr>
          </w:p>
        </w:tc>
        <w:tc>
          <w:tcPr>
            <w:tcW w:w="692" w:type="dxa"/>
          </w:tcPr>
          <w:p w:rsidR="006247DF" w:rsidRPr="00E7637B" w:rsidRDefault="006247DF" w:rsidP="006247DF">
            <w:pPr>
              <w:spacing w:before="20"/>
              <w:jc w:val="right"/>
              <w:rPr>
                <w:sz w:val="16"/>
                <w:szCs w:val="16"/>
              </w:rPr>
            </w:pPr>
          </w:p>
        </w:tc>
        <w:tc>
          <w:tcPr>
            <w:tcW w:w="1041" w:type="dxa"/>
            <w:tcBorders>
              <w:top w:val="single" w:sz="4" w:space="0" w:color="auto"/>
              <w:bottom w:val="single" w:sz="4" w:space="0" w:color="auto"/>
            </w:tcBorders>
          </w:tcPr>
          <w:p w:rsidR="006247DF" w:rsidRPr="00E7637B" w:rsidRDefault="006247DF" w:rsidP="00ED1D38">
            <w:pPr>
              <w:spacing w:before="20"/>
              <w:jc w:val="right"/>
              <w:rPr>
                <w:sz w:val="16"/>
                <w:szCs w:val="16"/>
              </w:rPr>
            </w:pPr>
            <w:r>
              <w:rPr>
                <w:sz w:val="16"/>
                <w:szCs w:val="16"/>
              </w:rPr>
              <w:t>201</w:t>
            </w:r>
            <w:r w:rsidR="00ED1D38">
              <w:rPr>
                <w:sz w:val="16"/>
                <w:szCs w:val="16"/>
              </w:rPr>
              <w:t>4</w:t>
            </w:r>
            <w:r>
              <w:rPr>
                <w:sz w:val="16"/>
                <w:szCs w:val="16"/>
              </w:rPr>
              <w:t>-12-31</w:t>
            </w:r>
          </w:p>
        </w:tc>
        <w:tc>
          <w:tcPr>
            <w:tcW w:w="193" w:type="dxa"/>
            <w:tcBorders>
              <w:top w:val="single" w:sz="4" w:space="0" w:color="auto"/>
              <w:bottom w:val="single" w:sz="4" w:space="0" w:color="auto"/>
            </w:tcBorders>
          </w:tcPr>
          <w:p w:rsidR="006247DF" w:rsidRPr="00E7637B" w:rsidRDefault="006247DF" w:rsidP="006247DF">
            <w:pPr>
              <w:spacing w:before="20"/>
              <w:jc w:val="right"/>
              <w:rPr>
                <w:sz w:val="16"/>
                <w:szCs w:val="16"/>
              </w:rPr>
            </w:pPr>
          </w:p>
        </w:tc>
        <w:tc>
          <w:tcPr>
            <w:tcW w:w="1041" w:type="dxa"/>
            <w:tcBorders>
              <w:top w:val="single" w:sz="4" w:space="0" w:color="auto"/>
              <w:bottom w:val="single" w:sz="4" w:space="0" w:color="auto"/>
            </w:tcBorders>
          </w:tcPr>
          <w:p w:rsidR="006247DF" w:rsidRPr="00E7637B" w:rsidRDefault="006247DF" w:rsidP="00ED1D38">
            <w:pPr>
              <w:spacing w:before="20"/>
              <w:jc w:val="right"/>
              <w:rPr>
                <w:sz w:val="16"/>
                <w:szCs w:val="16"/>
              </w:rPr>
            </w:pPr>
            <w:r>
              <w:rPr>
                <w:sz w:val="16"/>
                <w:szCs w:val="16"/>
              </w:rPr>
              <w:t>201</w:t>
            </w:r>
            <w:r w:rsidR="00ED1D38">
              <w:rPr>
                <w:sz w:val="16"/>
                <w:szCs w:val="16"/>
              </w:rPr>
              <w:t>3</w:t>
            </w:r>
            <w:r>
              <w:rPr>
                <w:sz w:val="16"/>
                <w:szCs w:val="16"/>
              </w:rPr>
              <w:t>-12-31</w:t>
            </w:r>
          </w:p>
        </w:tc>
      </w:tr>
      <w:tr w:rsidR="006247DF" w:rsidRPr="00E7637B" w:rsidTr="00ED1D38">
        <w:trPr>
          <w:gridAfter w:val="1"/>
          <w:wAfter w:w="193" w:type="dxa"/>
          <w:cantSplit/>
        </w:trPr>
        <w:tc>
          <w:tcPr>
            <w:tcW w:w="3100" w:type="dxa"/>
            <w:vAlign w:val="bottom"/>
          </w:tcPr>
          <w:p w:rsidR="006247DF" w:rsidRPr="00E7637B" w:rsidRDefault="006247DF" w:rsidP="006247DF">
            <w:pPr>
              <w:spacing w:before="40"/>
              <w:jc w:val="left"/>
              <w:rPr>
                <w:b/>
                <w:sz w:val="16"/>
                <w:szCs w:val="16"/>
              </w:rPr>
            </w:pPr>
            <w:r w:rsidRPr="00E7637B">
              <w:rPr>
                <w:b/>
                <w:sz w:val="16"/>
                <w:szCs w:val="16"/>
              </w:rPr>
              <w:t>Utelöpande sedlar och mynt</w:t>
            </w:r>
          </w:p>
        </w:tc>
        <w:tc>
          <w:tcPr>
            <w:tcW w:w="692" w:type="dxa"/>
            <w:vAlign w:val="bottom"/>
          </w:tcPr>
          <w:p w:rsidR="006247DF" w:rsidRPr="00E7637B" w:rsidRDefault="006247DF" w:rsidP="006247DF">
            <w:pPr>
              <w:jc w:val="right"/>
              <w:rPr>
                <w:sz w:val="16"/>
                <w:szCs w:val="16"/>
              </w:rPr>
            </w:pPr>
          </w:p>
        </w:tc>
        <w:tc>
          <w:tcPr>
            <w:tcW w:w="1041" w:type="dxa"/>
            <w:vAlign w:val="bottom"/>
          </w:tcPr>
          <w:p w:rsidR="006247DF" w:rsidRPr="00E7637B" w:rsidRDefault="006247DF" w:rsidP="006247DF">
            <w:pPr>
              <w:jc w:val="right"/>
              <w:rPr>
                <w:sz w:val="16"/>
                <w:szCs w:val="16"/>
              </w:rPr>
            </w:pPr>
          </w:p>
        </w:tc>
        <w:tc>
          <w:tcPr>
            <w:tcW w:w="193" w:type="dxa"/>
            <w:vAlign w:val="bottom"/>
          </w:tcPr>
          <w:p w:rsidR="006247DF" w:rsidRPr="00E7637B" w:rsidRDefault="006247DF" w:rsidP="006247DF">
            <w:pPr>
              <w:jc w:val="right"/>
              <w:rPr>
                <w:sz w:val="16"/>
                <w:szCs w:val="16"/>
              </w:rPr>
            </w:pPr>
          </w:p>
        </w:tc>
        <w:tc>
          <w:tcPr>
            <w:tcW w:w="1041" w:type="dxa"/>
            <w:vAlign w:val="bottom"/>
          </w:tcPr>
          <w:p w:rsidR="006247DF" w:rsidRPr="00E7637B" w:rsidRDefault="006247DF" w:rsidP="006247DF">
            <w:pPr>
              <w:jc w:val="right"/>
              <w:rPr>
                <w:sz w:val="16"/>
                <w:szCs w:val="16"/>
              </w:rPr>
            </w:pPr>
          </w:p>
        </w:tc>
      </w:tr>
      <w:tr w:rsidR="00ED1D38" w:rsidRPr="00E7637B" w:rsidTr="001836A5">
        <w:trPr>
          <w:cantSplit/>
        </w:trPr>
        <w:tc>
          <w:tcPr>
            <w:tcW w:w="3100" w:type="dxa"/>
            <w:vAlign w:val="bottom"/>
          </w:tcPr>
          <w:p w:rsidR="00ED1D38" w:rsidRPr="00E7637B" w:rsidRDefault="00ED1D38" w:rsidP="006247DF">
            <w:pPr>
              <w:jc w:val="left"/>
              <w:rPr>
                <w:sz w:val="16"/>
                <w:szCs w:val="16"/>
              </w:rPr>
            </w:pPr>
            <w:r w:rsidRPr="00E7637B">
              <w:rPr>
                <w:sz w:val="16"/>
                <w:szCs w:val="16"/>
              </w:rPr>
              <w:t xml:space="preserve">Sedlar </w:t>
            </w:r>
          </w:p>
        </w:tc>
        <w:tc>
          <w:tcPr>
            <w:tcW w:w="692" w:type="dxa"/>
            <w:vAlign w:val="bottom"/>
          </w:tcPr>
          <w:p w:rsidR="00ED1D38" w:rsidRPr="00E7637B" w:rsidRDefault="00ED1D38" w:rsidP="006247DF">
            <w:pPr>
              <w:jc w:val="right"/>
              <w:rPr>
                <w:sz w:val="16"/>
                <w:szCs w:val="16"/>
              </w:rPr>
            </w:pPr>
            <w:r w:rsidRPr="00E7637B">
              <w:rPr>
                <w:sz w:val="16"/>
                <w:szCs w:val="16"/>
              </w:rPr>
              <w:t>Not 1</w:t>
            </w:r>
            <w:r>
              <w:rPr>
                <w:sz w:val="16"/>
                <w:szCs w:val="16"/>
              </w:rPr>
              <w:t>2</w:t>
            </w:r>
          </w:p>
        </w:tc>
        <w:tc>
          <w:tcPr>
            <w:tcW w:w="1041" w:type="dxa"/>
            <w:vAlign w:val="bottom"/>
          </w:tcPr>
          <w:p w:rsidR="00ED1D38" w:rsidRPr="00E7637B" w:rsidRDefault="001836A5" w:rsidP="001836A5">
            <w:pPr>
              <w:jc w:val="right"/>
              <w:rPr>
                <w:sz w:val="16"/>
                <w:szCs w:val="16"/>
              </w:rPr>
            </w:pPr>
            <w:r>
              <w:rPr>
                <w:sz w:val="16"/>
                <w:szCs w:val="16"/>
              </w:rPr>
              <w:t>77 887</w:t>
            </w:r>
          </w:p>
        </w:tc>
        <w:tc>
          <w:tcPr>
            <w:tcW w:w="193" w:type="dxa"/>
            <w:vAlign w:val="bottom"/>
          </w:tcPr>
          <w:p w:rsidR="00ED1D38" w:rsidRPr="00E7637B" w:rsidRDefault="00ED1D38" w:rsidP="006247DF">
            <w:pPr>
              <w:jc w:val="right"/>
              <w:rPr>
                <w:sz w:val="16"/>
                <w:szCs w:val="16"/>
              </w:rPr>
            </w:pPr>
          </w:p>
        </w:tc>
        <w:tc>
          <w:tcPr>
            <w:tcW w:w="1041" w:type="dxa"/>
            <w:vAlign w:val="bottom"/>
          </w:tcPr>
          <w:p w:rsidR="00ED1D38" w:rsidRPr="00E7637B" w:rsidRDefault="00ED1D38" w:rsidP="006247DF">
            <w:pPr>
              <w:jc w:val="right"/>
              <w:rPr>
                <w:sz w:val="16"/>
                <w:szCs w:val="16"/>
              </w:rPr>
            </w:pPr>
            <w:r>
              <w:rPr>
                <w:sz w:val="16"/>
                <w:szCs w:val="16"/>
              </w:rPr>
              <w:t>80 294</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jc w:val="left"/>
              <w:rPr>
                <w:sz w:val="16"/>
                <w:szCs w:val="16"/>
              </w:rPr>
            </w:pPr>
            <w:r w:rsidRPr="00E7637B">
              <w:rPr>
                <w:sz w:val="16"/>
                <w:szCs w:val="16"/>
              </w:rPr>
              <w:t xml:space="preserve">Mynt </w:t>
            </w:r>
          </w:p>
        </w:tc>
        <w:tc>
          <w:tcPr>
            <w:tcW w:w="692" w:type="dxa"/>
            <w:vAlign w:val="bottom"/>
          </w:tcPr>
          <w:p w:rsidR="00ED1D38" w:rsidRPr="00E7637B" w:rsidRDefault="00ED1D38" w:rsidP="006247DF">
            <w:pPr>
              <w:jc w:val="right"/>
              <w:rPr>
                <w:sz w:val="16"/>
                <w:szCs w:val="16"/>
              </w:rPr>
            </w:pPr>
            <w:r w:rsidRPr="00E7637B">
              <w:rPr>
                <w:sz w:val="16"/>
                <w:szCs w:val="16"/>
              </w:rPr>
              <w:t>Not 1</w:t>
            </w:r>
            <w:r>
              <w:rPr>
                <w:sz w:val="16"/>
                <w:szCs w:val="16"/>
              </w:rPr>
              <w:t>3</w:t>
            </w:r>
          </w:p>
        </w:tc>
        <w:tc>
          <w:tcPr>
            <w:tcW w:w="1041" w:type="dxa"/>
            <w:tcBorders>
              <w:bottom w:val="single" w:sz="4" w:space="0" w:color="auto"/>
            </w:tcBorders>
            <w:vAlign w:val="bottom"/>
          </w:tcPr>
          <w:p w:rsidR="00ED1D38" w:rsidRPr="00E7637B" w:rsidRDefault="00ED1D38" w:rsidP="001836A5">
            <w:pPr>
              <w:jc w:val="right"/>
              <w:rPr>
                <w:sz w:val="16"/>
                <w:szCs w:val="16"/>
              </w:rPr>
            </w:pPr>
            <w:r>
              <w:rPr>
                <w:sz w:val="16"/>
                <w:szCs w:val="16"/>
              </w:rPr>
              <w:t xml:space="preserve">5 </w:t>
            </w:r>
            <w:r w:rsidR="001836A5">
              <w:rPr>
                <w:sz w:val="16"/>
                <w:szCs w:val="16"/>
              </w:rPr>
              <w:t>337</w:t>
            </w:r>
          </w:p>
        </w:tc>
        <w:tc>
          <w:tcPr>
            <w:tcW w:w="193" w:type="dxa"/>
            <w:tcBorders>
              <w:bottom w:val="single" w:sz="4" w:space="0" w:color="auto"/>
            </w:tcBorders>
            <w:vAlign w:val="bottom"/>
          </w:tcPr>
          <w:p w:rsidR="00ED1D38" w:rsidRPr="00E7637B" w:rsidRDefault="00ED1D38" w:rsidP="006247DF">
            <w:pPr>
              <w:jc w:val="right"/>
              <w:rPr>
                <w:sz w:val="16"/>
                <w:szCs w:val="16"/>
              </w:rPr>
            </w:pPr>
          </w:p>
        </w:tc>
        <w:tc>
          <w:tcPr>
            <w:tcW w:w="1041" w:type="dxa"/>
            <w:tcBorders>
              <w:bottom w:val="single" w:sz="4" w:space="0" w:color="auto"/>
            </w:tcBorders>
            <w:vAlign w:val="bottom"/>
          </w:tcPr>
          <w:p w:rsidR="00ED1D38" w:rsidRPr="00E7637B" w:rsidRDefault="00ED1D38" w:rsidP="006247DF">
            <w:pPr>
              <w:jc w:val="right"/>
              <w:rPr>
                <w:sz w:val="16"/>
                <w:szCs w:val="16"/>
              </w:rPr>
            </w:pPr>
            <w:r>
              <w:rPr>
                <w:sz w:val="16"/>
                <w:szCs w:val="16"/>
              </w:rPr>
              <w:t>5 406</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jc w:val="left"/>
              <w:rPr>
                <w:sz w:val="16"/>
                <w:szCs w:val="16"/>
              </w:rPr>
            </w:pPr>
          </w:p>
        </w:tc>
        <w:tc>
          <w:tcPr>
            <w:tcW w:w="692" w:type="dxa"/>
            <w:vAlign w:val="bottom"/>
          </w:tcPr>
          <w:p w:rsidR="00ED1D38" w:rsidRPr="00E7637B" w:rsidRDefault="00ED1D38" w:rsidP="006247DF">
            <w:pPr>
              <w:spacing w:before="40"/>
              <w:jc w:val="right"/>
              <w:rPr>
                <w:sz w:val="16"/>
                <w:szCs w:val="16"/>
              </w:rPr>
            </w:pPr>
          </w:p>
        </w:tc>
        <w:tc>
          <w:tcPr>
            <w:tcW w:w="1041" w:type="dxa"/>
            <w:vAlign w:val="bottom"/>
          </w:tcPr>
          <w:p w:rsidR="00ED1D38" w:rsidRPr="00E7637B" w:rsidRDefault="00ED1D38" w:rsidP="001836A5">
            <w:pPr>
              <w:spacing w:before="40"/>
              <w:jc w:val="right"/>
              <w:rPr>
                <w:sz w:val="16"/>
                <w:szCs w:val="16"/>
              </w:rPr>
            </w:pPr>
            <w:r>
              <w:rPr>
                <w:sz w:val="16"/>
                <w:szCs w:val="16"/>
              </w:rPr>
              <w:t>8</w:t>
            </w:r>
            <w:r w:rsidR="001836A5">
              <w:rPr>
                <w:sz w:val="16"/>
                <w:szCs w:val="16"/>
              </w:rPr>
              <w:t>3</w:t>
            </w:r>
            <w:r>
              <w:rPr>
                <w:sz w:val="16"/>
                <w:szCs w:val="16"/>
              </w:rPr>
              <w:t xml:space="preserve"> </w:t>
            </w:r>
            <w:r w:rsidR="001836A5">
              <w:rPr>
                <w:sz w:val="16"/>
                <w:szCs w:val="16"/>
              </w:rPr>
              <w:t>224</w:t>
            </w:r>
          </w:p>
        </w:tc>
        <w:tc>
          <w:tcPr>
            <w:tcW w:w="193" w:type="dxa"/>
            <w:vAlign w:val="bottom"/>
          </w:tcPr>
          <w:p w:rsidR="00ED1D38" w:rsidRPr="00E7637B" w:rsidRDefault="00ED1D38" w:rsidP="006247DF">
            <w:pPr>
              <w:spacing w:before="40"/>
              <w:jc w:val="right"/>
              <w:rPr>
                <w:sz w:val="16"/>
                <w:szCs w:val="16"/>
              </w:rPr>
            </w:pPr>
          </w:p>
        </w:tc>
        <w:tc>
          <w:tcPr>
            <w:tcW w:w="1041" w:type="dxa"/>
            <w:vAlign w:val="bottom"/>
          </w:tcPr>
          <w:p w:rsidR="00ED1D38" w:rsidRPr="00E7637B" w:rsidRDefault="00ED1D38" w:rsidP="006247DF">
            <w:pPr>
              <w:spacing w:before="40"/>
              <w:jc w:val="right"/>
              <w:rPr>
                <w:sz w:val="16"/>
                <w:szCs w:val="16"/>
              </w:rPr>
            </w:pPr>
            <w:r>
              <w:rPr>
                <w:sz w:val="16"/>
                <w:szCs w:val="16"/>
              </w:rPr>
              <w:t>85 700</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r w:rsidRPr="00E7637B">
              <w:rPr>
                <w:b/>
                <w:sz w:val="16"/>
                <w:szCs w:val="16"/>
              </w:rPr>
              <w:t xml:space="preserve">Skulder i svenska kronor till </w:t>
            </w:r>
            <w:r w:rsidRPr="00E7637B">
              <w:rPr>
                <w:b/>
                <w:sz w:val="16"/>
                <w:szCs w:val="16"/>
              </w:rPr>
              <w:br/>
              <w:t xml:space="preserve">kreditinstitut i Sverige relaterade till penningpolitiska transaktioner </w:t>
            </w:r>
          </w:p>
        </w:tc>
        <w:tc>
          <w:tcPr>
            <w:tcW w:w="692" w:type="dxa"/>
            <w:vAlign w:val="bottom"/>
          </w:tcPr>
          <w:p w:rsidR="00ED1D38" w:rsidRPr="00E7637B" w:rsidRDefault="00ED1D38" w:rsidP="006247DF">
            <w:pPr>
              <w:jc w:val="right"/>
              <w:rPr>
                <w:sz w:val="16"/>
                <w:szCs w:val="16"/>
              </w:rPr>
            </w:pPr>
          </w:p>
        </w:tc>
        <w:tc>
          <w:tcPr>
            <w:tcW w:w="1041" w:type="dxa"/>
            <w:vAlign w:val="bottom"/>
          </w:tcPr>
          <w:p w:rsidR="00ED1D38" w:rsidRPr="00E7637B" w:rsidRDefault="00ED1D38" w:rsidP="006247DF">
            <w:pPr>
              <w:jc w:val="right"/>
              <w:rPr>
                <w:sz w:val="16"/>
                <w:szCs w:val="16"/>
              </w:rPr>
            </w:pPr>
          </w:p>
        </w:tc>
        <w:tc>
          <w:tcPr>
            <w:tcW w:w="193" w:type="dxa"/>
            <w:vAlign w:val="bottom"/>
          </w:tcPr>
          <w:p w:rsidR="00ED1D38" w:rsidRPr="00E7637B" w:rsidRDefault="00ED1D38" w:rsidP="006247DF">
            <w:pPr>
              <w:jc w:val="right"/>
              <w:rPr>
                <w:sz w:val="16"/>
                <w:szCs w:val="16"/>
              </w:rPr>
            </w:pPr>
          </w:p>
        </w:tc>
        <w:tc>
          <w:tcPr>
            <w:tcW w:w="1041" w:type="dxa"/>
            <w:vAlign w:val="bottom"/>
          </w:tcPr>
          <w:p w:rsidR="00ED1D38" w:rsidRPr="00E7637B" w:rsidRDefault="00ED1D38" w:rsidP="006247DF">
            <w:pPr>
              <w:jc w:val="right"/>
              <w:rPr>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60" w:line="200" w:lineRule="exact"/>
              <w:jc w:val="left"/>
              <w:rPr>
                <w:sz w:val="16"/>
                <w:szCs w:val="16"/>
              </w:rPr>
            </w:pPr>
            <w:r w:rsidRPr="00E7637B">
              <w:rPr>
                <w:sz w:val="16"/>
                <w:szCs w:val="16"/>
              </w:rPr>
              <w:t xml:space="preserve">Inlåningsfacilitet </w:t>
            </w:r>
          </w:p>
        </w:tc>
        <w:tc>
          <w:tcPr>
            <w:tcW w:w="692" w:type="dxa"/>
            <w:vAlign w:val="bottom"/>
          </w:tcPr>
          <w:p w:rsidR="00ED1D38" w:rsidRPr="00E7637B" w:rsidRDefault="00ED1D38" w:rsidP="006247DF">
            <w:pPr>
              <w:spacing w:before="60" w:line="200" w:lineRule="exact"/>
              <w:jc w:val="right"/>
              <w:rPr>
                <w:sz w:val="16"/>
                <w:szCs w:val="16"/>
              </w:rPr>
            </w:pPr>
            <w:r w:rsidRPr="00E7637B">
              <w:rPr>
                <w:sz w:val="16"/>
                <w:szCs w:val="16"/>
              </w:rPr>
              <w:t>Not 1</w:t>
            </w:r>
            <w:r>
              <w:rPr>
                <w:sz w:val="16"/>
                <w:szCs w:val="16"/>
              </w:rPr>
              <w:t>4</w:t>
            </w:r>
          </w:p>
        </w:tc>
        <w:tc>
          <w:tcPr>
            <w:tcW w:w="1041" w:type="dxa"/>
            <w:vAlign w:val="bottom"/>
          </w:tcPr>
          <w:p w:rsidR="00ED1D38" w:rsidRPr="00E7637B" w:rsidRDefault="001836A5" w:rsidP="001836A5">
            <w:pPr>
              <w:jc w:val="right"/>
              <w:rPr>
                <w:sz w:val="16"/>
                <w:szCs w:val="16"/>
              </w:rPr>
            </w:pPr>
            <w:r>
              <w:rPr>
                <w:sz w:val="16"/>
                <w:szCs w:val="16"/>
              </w:rPr>
              <w:t>130</w:t>
            </w:r>
          </w:p>
        </w:tc>
        <w:tc>
          <w:tcPr>
            <w:tcW w:w="193" w:type="dxa"/>
            <w:vAlign w:val="bottom"/>
          </w:tcPr>
          <w:p w:rsidR="00ED1D38" w:rsidRPr="00E7637B" w:rsidRDefault="00ED1D38" w:rsidP="006247DF">
            <w:pPr>
              <w:jc w:val="right"/>
              <w:rPr>
                <w:sz w:val="16"/>
                <w:szCs w:val="16"/>
              </w:rPr>
            </w:pPr>
          </w:p>
        </w:tc>
        <w:tc>
          <w:tcPr>
            <w:tcW w:w="1041" w:type="dxa"/>
            <w:vAlign w:val="bottom"/>
          </w:tcPr>
          <w:p w:rsidR="00ED1D38" w:rsidRPr="00E7637B" w:rsidRDefault="00ED1D38" w:rsidP="006247DF">
            <w:pPr>
              <w:jc w:val="right"/>
              <w:rPr>
                <w:sz w:val="16"/>
                <w:szCs w:val="16"/>
              </w:rPr>
            </w:pPr>
            <w:r>
              <w:rPr>
                <w:sz w:val="16"/>
                <w:szCs w:val="16"/>
              </w:rPr>
              <w:t>580</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60" w:line="200" w:lineRule="exact"/>
              <w:jc w:val="left"/>
              <w:rPr>
                <w:sz w:val="16"/>
                <w:szCs w:val="16"/>
              </w:rPr>
            </w:pPr>
            <w:r w:rsidRPr="00E7637B">
              <w:rPr>
                <w:sz w:val="16"/>
                <w:szCs w:val="16"/>
              </w:rPr>
              <w:t xml:space="preserve">Finjusterande transaktioner </w:t>
            </w:r>
          </w:p>
        </w:tc>
        <w:tc>
          <w:tcPr>
            <w:tcW w:w="692" w:type="dxa"/>
            <w:vAlign w:val="bottom"/>
          </w:tcPr>
          <w:p w:rsidR="00ED1D38" w:rsidRPr="00E7637B" w:rsidRDefault="00ED1D38" w:rsidP="006247DF">
            <w:pPr>
              <w:spacing w:before="60" w:line="200" w:lineRule="exact"/>
              <w:jc w:val="right"/>
              <w:rPr>
                <w:sz w:val="16"/>
                <w:szCs w:val="16"/>
              </w:rPr>
            </w:pPr>
            <w:r w:rsidRPr="00E7637B">
              <w:rPr>
                <w:sz w:val="16"/>
                <w:szCs w:val="16"/>
              </w:rPr>
              <w:t>Not 1</w:t>
            </w:r>
            <w:r>
              <w:rPr>
                <w:sz w:val="16"/>
                <w:szCs w:val="16"/>
              </w:rPr>
              <w:t>5</w:t>
            </w:r>
          </w:p>
        </w:tc>
        <w:tc>
          <w:tcPr>
            <w:tcW w:w="1041" w:type="dxa"/>
            <w:tcBorders>
              <w:bottom w:val="single" w:sz="4" w:space="0" w:color="auto"/>
            </w:tcBorders>
            <w:vAlign w:val="bottom"/>
          </w:tcPr>
          <w:p w:rsidR="00ED1D38" w:rsidRPr="00E7637B" w:rsidRDefault="001836A5" w:rsidP="001836A5">
            <w:pPr>
              <w:jc w:val="right"/>
              <w:rPr>
                <w:sz w:val="16"/>
                <w:szCs w:val="16"/>
              </w:rPr>
            </w:pPr>
            <w:r>
              <w:rPr>
                <w:sz w:val="16"/>
                <w:szCs w:val="16"/>
              </w:rPr>
              <w:t>14 673</w:t>
            </w:r>
          </w:p>
        </w:tc>
        <w:tc>
          <w:tcPr>
            <w:tcW w:w="193" w:type="dxa"/>
            <w:tcBorders>
              <w:bottom w:val="single" w:sz="4" w:space="0" w:color="auto"/>
            </w:tcBorders>
            <w:vAlign w:val="bottom"/>
          </w:tcPr>
          <w:p w:rsidR="00ED1D38" w:rsidRPr="00E7637B" w:rsidRDefault="00ED1D38" w:rsidP="006247DF">
            <w:pPr>
              <w:jc w:val="right"/>
              <w:rPr>
                <w:sz w:val="16"/>
                <w:szCs w:val="16"/>
              </w:rPr>
            </w:pPr>
          </w:p>
        </w:tc>
        <w:tc>
          <w:tcPr>
            <w:tcW w:w="1041" w:type="dxa"/>
            <w:tcBorders>
              <w:bottom w:val="single" w:sz="4" w:space="0" w:color="auto"/>
            </w:tcBorders>
            <w:vAlign w:val="bottom"/>
          </w:tcPr>
          <w:p w:rsidR="00ED1D38" w:rsidRPr="00E7637B" w:rsidRDefault="00ED1D38" w:rsidP="006247DF">
            <w:pPr>
              <w:jc w:val="right"/>
              <w:rPr>
                <w:sz w:val="16"/>
                <w:szCs w:val="16"/>
              </w:rPr>
            </w:pPr>
            <w:r>
              <w:rPr>
                <w:sz w:val="16"/>
                <w:szCs w:val="16"/>
              </w:rPr>
              <w:t>21 085</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20"/>
              <w:jc w:val="left"/>
              <w:rPr>
                <w:sz w:val="16"/>
                <w:szCs w:val="16"/>
              </w:rPr>
            </w:pPr>
          </w:p>
        </w:tc>
        <w:tc>
          <w:tcPr>
            <w:tcW w:w="692" w:type="dxa"/>
            <w:vAlign w:val="bottom"/>
          </w:tcPr>
          <w:p w:rsidR="00ED1D38" w:rsidRPr="00E7637B" w:rsidRDefault="00ED1D38" w:rsidP="006247DF">
            <w:pPr>
              <w:spacing w:before="20"/>
              <w:jc w:val="right"/>
              <w:rPr>
                <w:sz w:val="16"/>
                <w:szCs w:val="16"/>
              </w:rPr>
            </w:pPr>
          </w:p>
        </w:tc>
        <w:tc>
          <w:tcPr>
            <w:tcW w:w="1041" w:type="dxa"/>
            <w:vAlign w:val="bottom"/>
          </w:tcPr>
          <w:p w:rsidR="00ED1D38" w:rsidRPr="00E7637B" w:rsidRDefault="001836A5" w:rsidP="001836A5">
            <w:pPr>
              <w:spacing w:before="20"/>
              <w:jc w:val="right"/>
              <w:rPr>
                <w:sz w:val="16"/>
                <w:szCs w:val="16"/>
              </w:rPr>
            </w:pPr>
            <w:r>
              <w:rPr>
                <w:sz w:val="16"/>
                <w:szCs w:val="16"/>
              </w:rPr>
              <w:t>14 803</w:t>
            </w:r>
          </w:p>
        </w:tc>
        <w:tc>
          <w:tcPr>
            <w:tcW w:w="193" w:type="dxa"/>
            <w:vAlign w:val="bottom"/>
          </w:tcPr>
          <w:p w:rsidR="00ED1D38" w:rsidRPr="00E7637B" w:rsidRDefault="00ED1D38" w:rsidP="006247DF">
            <w:pPr>
              <w:spacing w:before="20"/>
              <w:jc w:val="right"/>
              <w:rPr>
                <w:sz w:val="16"/>
                <w:szCs w:val="16"/>
              </w:rPr>
            </w:pPr>
          </w:p>
        </w:tc>
        <w:tc>
          <w:tcPr>
            <w:tcW w:w="1041" w:type="dxa"/>
            <w:vAlign w:val="bottom"/>
          </w:tcPr>
          <w:p w:rsidR="00ED1D38" w:rsidRPr="00E7637B" w:rsidRDefault="00ED1D38" w:rsidP="006247DF">
            <w:pPr>
              <w:spacing w:before="20"/>
              <w:jc w:val="right"/>
              <w:rPr>
                <w:sz w:val="16"/>
                <w:szCs w:val="16"/>
              </w:rPr>
            </w:pPr>
            <w:r>
              <w:rPr>
                <w:sz w:val="16"/>
                <w:szCs w:val="16"/>
              </w:rPr>
              <w:t>21 665</w:t>
            </w:r>
          </w:p>
        </w:tc>
        <w:tc>
          <w:tcPr>
            <w:tcW w:w="193" w:type="dxa"/>
            <w:vAlign w:val="bottom"/>
          </w:tcPr>
          <w:p w:rsidR="00ED1D38" w:rsidRPr="00E7637B" w:rsidRDefault="00ED1D38">
            <w:pPr>
              <w:spacing w:before="0" w:line="240" w:lineRule="auto"/>
              <w:jc w:val="left"/>
            </w:pPr>
          </w:p>
        </w:tc>
      </w:tr>
      <w:tr w:rsidR="00ED1D38" w:rsidRPr="00904341" w:rsidTr="001836A5">
        <w:trPr>
          <w:cantSplit/>
        </w:trPr>
        <w:tc>
          <w:tcPr>
            <w:tcW w:w="3100" w:type="dxa"/>
            <w:vAlign w:val="bottom"/>
          </w:tcPr>
          <w:p w:rsidR="00ED1D38" w:rsidRPr="00904341" w:rsidRDefault="00ED1D38" w:rsidP="006247DF">
            <w:pPr>
              <w:spacing w:before="0" w:line="200" w:lineRule="exact"/>
              <w:jc w:val="left"/>
              <w:rPr>
                <w:b/>
                <w:sz w:val="15"/>
                <w:szCs w:val="15"/>
              </w:rPr>
            </w:pPr>
          </w:p>
        </w:tc>
        <w:tc>
          <w:tcPr>
            <w:tcW w:w="692" w:type="dxa"/>
            <w:vAlign w:val="bottom"/>
          </w:tcPr>
          <w:p w:rsidR="00ED1D38" w:rsidRPr="00904341" w:rsidRDefault="00ED1D38" w:rsidP="006247DF">
            <w:pPr>
              <w:spacing w:before="0" w:line="200" w:lineRule="exact"/>
              <w:jc w:val="right"/>
              <w:rPr>
                <w:b/>
                <w:sz w:val="15"/>
                <w:szCs w:val="15"/>
              </w:rPr>
            </w:pPr>
          </w:p>
        </w:tc>
        <w:tc>
          <w:tcPr>
            <w:tcW w:w="1041" w:type="dxa"/>
            <w:vAlign w:val="bottom"/>
          </w:tcPr>
          <w:p w:rsidR="00ED1D38" w:rsidRPr="00904341" w:rsidRDefault="00ED1D38" w:rsidP="006247DF">
            <w:pPr>
              <w:spacing w:before="0" w:line="200" w:lineRule="exact"/>
              <w:jc w:val="left"/>
              <w:rPr>
                <w:b/>
                <w:sz w:val="15"/>
                <w:szCs w:val="15"/>
              </w:rPr>
            </w:pPr>
          </w:p>
        </w:tc>
        <w:tc>
          <w:tcPr>
            <w:tcW w:w="193" w:type="dxa"/>
            <w:vAlign w:val="bottom"/>
          </w:tcPr>
          <w:p w:rsidR="00ED1D38" w:rsidRPr="00904341" w:rsidRDefault="00ED1D38" w:rsidP="006247DF">
            <w:pPr>
              <w:spacing w:before="0" w:line="200" w:lineRule="exact"/>
              <w:jc w:val="left"/>
              <w:rPr>
                <w:b/>
                <w:sz w:val="15"/>
                <w:szCs w:val="15"/>
              </w:rPr>
            </w:pPr>
          </w:p>
        </w:tc>
        <w:tc>
          <w:tcPr>
            <w:tcW w:w="1041" w:type="dxa"/>
            <w:vAlign w:val="bottom"/>
          </w:tcPr>
          <w:p w:rsidR="00ED1D38" w:rsidRPr="00904341" w:rsidRDefault="00ED1D38" w:rsidP="006247DF">
            <w:pPr>
              <w:spacing w:before="0" w:line="200" w:lineRule="exact"/>
              <w:jc w:val="left"/>
              <w:rPr>
                <w:b/>
                <w:sz w:val="15"/>
                <w:szCs w:val="15"/>
              </w:rPr>
            </w:pPr>
          </w:p>
        </w:tc>
        <w:tc>
          <w:tcPr>
            <w:tcW w:w="193" w:type="dxa"/>
            <w:vAlign w:val="bottom"/>
          </w:tcPr>
          <w:p w:rsidR="00ED1D38" w:rsidRPr="00904341" w:rsidRDefault="00ED1D38">
            <w:pPr>
              <w:spacing w:before="0" w:line="240" w:lineRule="auto"/>
              <w:jc w:val="left"/>
              <w:rPr>
                <w:sz w:val="15"/>
                <w:szCs w:val="15"/>
              </w:rPr>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r w:rsidRPr="00E7637B">
              <w:rPr>
                <w:b/>
                <w:sz w:val="16"/>
                <w:szCs w:val="16"/>
              </w:rPr>
              <w:t>Emitterade skuldcertifikat</w:t>
            </w:r>
          </w:p>
        </w:tc>
        <w:tc>
          <w:tcPr>
            <w:tcW w:w="692" w:type="dxa"/>
            <w:vAlign w:val="bottom"/>
          </w:tcPr>
          <w:p w:rsidR="00ED1D38" w:rsidRPr="00E7637B" w:rsidRDefault="00ED1D38" w:rsidP="006247DF">
            <w:pPr>
              <w:spacing w:before="40" w:line="200" w:lineRule="exact"/>
              <w:jc w:val="right"/>
              <w:rPr>
                <w:sz w:val="16"/>
                <w:szCs w:val="16"/>
              </w:rPr>
            </w:pPr>
            <w:r w:rsidRPr="00E7637B">
              <w:rPr>
                <w:sz w:val="16"/>
                <w:szCs w:val="16"/>
              </w:rPr>
              <w:t>Not 1</w:t>
            </w:r>
            <w:r>
              <w:rPr>
                <w:sz w:val="16"/>
                <w:szCs w:val="16"/>
              </w:rPr>
              <w:t>6</w:t>
            </w:r>
          </w:p>
        </w:tc>
        <w:tc>
          <w:tcPr>
            <w:tcW w:w="1041" w:type="dxa"/>
            <w:vAlign w:val="bottom"/>
          </w:tcPr>
          <w:p w:rsidR="00ED1D38" w:rsidRPr="00262BC2" w:rsidRDefault="001836A5" w:rsidP="001836A5">
            <w:pPr>
              <w:spacing w:before="40" w:line="200" w:lineRule="exact"/>
              <w:jc w:val="right"/>
              <w:rPr>
                <w:sz w:val="16"/>
                <w:szCs w:val="16"/>
              </w:rPr>
            </w:pPr>
            <w:r>
              <w:rPr>
                <w:sz w:val="16"/>
                <w:szCs w:val="16"/>
              </w:rPr>
              <w:t>35 004</w:t>
            </w: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262BC2" w:rsidRDefault="00ED1D38" w:rsidP="006247DF">
            <w:pPr>
              <w:spacing w:before="40" w:line="200" w:lineRule="exact"/>
              <w:jc w:val="right"/>
              <w:rPr>
                <w:sz w:val="16"/>
                <w:szCs w:val="16"/>
              </w:rPr>
            </w:pPr>
            <w:r>
              <w:rPr>
                <w:sz w:val="16"/>
                <w:szCs w:val="16"/>
              </w:rPr>
              <w:t>24 989</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sz w:val="16"/>
                <w:szCs w:val="16"/>
              </w:rPr>
            </w:pPr>
          </w:p>
        </w:tc>
        <w:tc>
          <w:tcPr>
            <w:tcW w:w="692"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0" w:line="200" w:lineRule="exact"/>
              <w:jc w:val="left"/>
              <w:rPr>
                <w:b/>
                <w:sz w:val="16"/>
                <w:szCs w:val="16"/>
              </w:rPr>
            </w:pPr>
          </w:p>
        </w:tc>
        <w:tc>
          <w:tcPr>
            <w:tcW w:w="692"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r w:rsidRPr="00E7637B">
              <w:rPr>
                <w:b/>
                <w:sz w:val="16"/>
                <w:szCs w:val="16"/>
              </w:rPr>
              <w:t xml:space="preserve">Skulder i svenska kronor till </w:t>
            </w:r>
            <w:r>
              <w:rPr>
                <w:b/>
                <w:sz w:val="16"/>
                <w:szCs w:val="16"/>
              </w:rPr>
              <w:br/>
            </w:r>
            <w:r w:rsidRPr="00E7637B">
              <w:rPr>
                <w:b/>
                <w:sz w:val="16"/>
                <w:szCs w:val="16"/>
              </w:rPr>
              <w:t>hemma</w:t>
            </w:r>
            <w:r w:rsidRPr="00E7637B">
              <w:rPr>
                <w:b/>
                <w:sz w:val="16"/>
                <w:szCs w:val="16"/>
              </w:rPr>
              <w:softHyphen/>
              <w:t>hörande utanför Sverige</w:t>
            </w:r>
            <w:r w:rsidRPr="00E7637B">
              <w:rPr>
                <w:sz w:val="16"/>
                <w:szCs w:val="16"/>
              </w:rPr>
              <w:t xml:space="preserve"> </w:t>
            </w:r>
          </w:p>
        </w:tc>
        <w:tc>
          <w:tcPr>
            <w:tcW w:w="692" w:type="dxa"/>
            <w:vAlign w:val="bottom"/>
          </w:tcPr>
          <w:p w:rsidR="00ED1D38" w:rsidRPr="00E7637B" w:rsidRDefault="00ED1D38" w:rsidP="006247DF">
            <w:pPr>
              <w:spacing w:before="40" w:line="200" w:lineRule="exact"/>
              <w:jc w:val="right"/>
              <w:rPr>
                <w:sz w:val="16"/>
                <w:szCs w:val="16"/>
              </w:rPr>
            </w:pPr>
            <w:r w:rsidRPr="00E7637B">
              <w:rPr>
                <w:sz w:val="16"/>
                <w:szCs w:val="16"/>
              </w:rPr>
              <w:t>Not 1</w:t>
            </w:r>
            <w:r>
              <w:rPr>
                <w:sz w:val="16"/>
                <w:szCs w:val="16"/>
              </w:rPr>
              <w:t>7</w:t>
            </w:r>
          </w:p>
        </w:tc>
        <w:tc>
          <w:tcPr>
            <w:tcW w:w="1041" w:type="dxa"/>
            <w:vAlign w:val="bottom"/>
          </w:tcPr>
          <w:p w:rsidR="00ED1D38" w:rsidRPr="00E7637B" w:rsidRDefault="001836A5" w:rsidP="001836A5">
            <w:pPr>
              <w:spacing w:before="40" w:line="200" w:lineRule="exact"/>
              <w:jc w:val="right"/>
              <w:rPr>
                <w:sz w:val="16"/>
                <w:szCs w:val="16"/>
              </w:rPr>
            </w:pPr>
            <w:r>
              <w:rPr>
                <w:sz w:val="16"/>
                <w:szCs w:val="16"/>
              </w:rPr>
              <w:t>1 983</w:t>
            </w: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r>
              <w:rPr>
                <w:sz w:val="16"/>
                <w:szCs w:val="16"/>
              </w:rPr>
              <w:t>707</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0" w:line="200" w:lineRule="exact"/>
              <w:jc w:val="left"/>
              <w:rPr>
                <w:b/>
                <w:sz w:val="16"/>
                <w:szCs w:val="16"/>
              </w:rPr>
            </w:pPr>
          </w:p>
        </w:tc>
        <w:tc>
          <w:tcPr>
            <w:tcW w:w="692"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r w:rsidRPr="00E7637B">
              <w:rPr>
                <w:b/>
                <w:sz w:val="16"/>
                <w:szCs w:val="16"/>
              </w:rPr>
              <w:t xml:space="preserve">Skulder i utländsk valuta till </w:t>
            </w:r>
            <w:r>
              <w:rPr>
                <w:b/>
                <w:sz w:val="16"/>
                <w:szCs w:val="16"/>
              </w:rPr>
              <w:br/>
            </w:r>
            <w:r w:rsidRPr="00E7637B">
              <w:rPr>
                <w:b/>
                <w:sz w:val="16"/>
                <w:szCs w:val="16"/>
              </w:rPr>
              <w:t>hemma</w:t>
            </w:r>
            <w:r w:rsidRPr="00E7637B">
              <w:rPr>
                <w:b/>
                <w:sz w:val="16"/>
                <w:szCs w:val="16"/>
              </w:rPr>
              <w:softHyphen/>
              <w:t>hörande i Sverige</w:t>
            </w:r>
            <w:r w:rsidRPr="00E7637B">
              <w:rPr>
                <w:sz w:val="16"/>
                <w:szCs w:val="16"/>
              </w:rPr>
              <w:t xml:space="preserve"> </w:t>
            </w:r>
          </w:p>
        </w:tc>
        <w:tc>
          <w:tcPr>
            <w:tcW w:w="692" w:type="dxa"/>
            <w:vAlign w:val="bottom"/>
          </w:tcPr>
          <w:p w:rsidR="00ED1D38" w:rsidRPr="00E7637B" w:rsidRDefault="00ED1D38" w:rsidP="006247DF">
            <w:pPr>
              <w:spacing w:before="40" w:line="200" w:lineRule="exact"/>
              <w:jc w:val="right"/>
              <w:rPr>
                <w:sz w:val="16"/>
                <w:szCs w:val="16"/>
              </w:rPr>
            </w:pPr>
            <w:r w:rsidRPr="00E7637B">
              <w:rPr>
                <w:sz w:val="16"/>
                <w:szCs w:val="16"/>
              </w:rPr>
              <w:t xml:space="preserve">Not </w:t>
            </w:r>
            <w:r>
              <w:rPr>
                <w:sz w:val="16"/>
                <w:szCs w:val="16"/>
              </w:rPr>
              <w:t>18</w:t>
            </w:r>
          </w:p>
        </w:tc>
        <w:tc>
          <w:tcPr>
            <w:tcW w:w="1041" w:type="dxa"/>
            <w:vAlign w:val="bottom"/>
          </w:tcPr>
          <w:p w:rsidR="00ED1D38" w:rsidRPr="00E7637B" w:rsidRDefault="001836A5" w:rsidP="001836A5">
            <w:pPr>
              <w:spacing w:before="40" w:line="200" w:lineRule="exact"/>
              <w:jc w:val="right"/>
              <w:rPr>
                <w:sz w:val="16"/>
                <w:szCs w:val="16"/>
              </w:rPr>
            </w:pPr>
            <w:r>
              <w:rPr>
                <w:sz w:val="16"/>
                <w:szCs w:val="16"/>
              </w:rPr>
              <w:t>228 331</w:t>
            </w: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r>
              <w:rPr>
                <w:sz w:val="16"/>
                <w:szCs w:val="16"/>
              </w:rPr>
              <w:t>193 117</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0" w:line="200" w:lineRule="exact"/>
              <w:jc w:val="left"/>
              <w:rPr>
                <w:b/>
                <w:sz w:val="16"/>
                <w:szCs w:val="16"/>
              </w:rPr>
            </w:pPr>
          </w:p>
        </w:tc>
        <w:tc>
          <w:tcPr>
            <w:tcW w:w="692"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Height w:val="327"/>
        </w:trPr>
        <w:tc>
          <w:tcPr>
            <w:tcW w:w="3100" w:type="dxa"/>
            <w:vAlign w:val="bottom"/>
          </w:tcPr>
          <w:p w:rsidR="00ED1D38" w:rsidRPr="00E7637B" w:rsidRDefault="00ED1D38" w:rsidP="006247DF">
            <w:pPr>
              <w:spacing w:before="40" w:line="200" w:lineRule="exact"/>
              <w:jc w:val="left"/>
              <w:rPr>
                <w:sz w:val="16"/>
                <w:szCs w:val="16"/>
              </w:rPr>
            </w:pPr>
            <w:r w:rsidRPr="00E7637B">
              <w:rPr>
                <w:b/>
                <w:sz w:val="16"/>
                <w:szCs w:val="16"/>
              </w:rPr>
              <w:t xml:space="preserve">Skulder i utländsk valuta till </w:t>
            </w:r>
            <w:r>
              <w:rPr>
                <w:b/>
                <w:sz w:val="16"/>
                <w:szCs w:val="16"/>
              </w:rPr>
              <w:br/>
            </w:r>
            <w:r w:rsidRPr="00E7637B">
              <w:rPr>
                <w:b/>
                <w:sz w:val="16"/>
                <w:szCs w:val="16"/>
              </w:rPr>
              <w:t>hemma</w:t>
            </w:r>
            <w:r w:rsidRPr="00E7637B">
              <w:rPr>
                <w:b/>
                <w:sz w:val="16"/>
                <w:szCs w:val="16"/>
              </w:rPr>
              <w:softHyphen/>
              <w:t>hörande utanför Sverige</w:t>
            </w:r>
            <w:r w:rsidRPr="00E7637B">
              <w:rPr>
                <w:sz w:val="16"/>
                <w:szCs w:val="16"/>
              </w:rPr>
              <w:t xml:space="preserve"> </w:t>
            </w:r>
          </w:p>
        </w:tc>
        <w:tc>
          <w:tcPr>
            <w:tcW w:w="692" w:type="dxa"/>
            <w:vAlign w:val="bottom"/>
          </w:tcPr>
          <w:p w:rsidR="00ED1D38" w:rsidRPr="00E7637B" w:rsidRDefault="00ED1D38" w:rsidP="006247DF">
            <w:pPr>
              <w:spacing w:before="40" w:line="200" w:lineRule="exact"/>
              <w:jc w:val="right"/>
              <w:rPr>
                <w:sz w:val="16"/>
                <w:szCs w:val="16"/>
              </w:rPr>
            </w:pPr>
            <w:r w:rsidRPr="00E7637B">
              <w:rPr>
                <w:sz w:val="16"/>
                <w:szCs w:val="16"/>
              </w:rPr>
              <w:t xml:space="preserve">Not </w:t>
            </w:r>
            <w:r>
              <w:rPr>
                <w:sz w:val="16"/>
                <w:szCs w:val="16"/>
              </w:rPr>
              <w:t>19</w:t>
            </w:r>
          </w:p>
        </w:tc>
        <w:tc>
          <w:tcPr>
            <w:tcW w:w="1041" w:type="dxa"/>
            <w:vAlign w:val="bottom"/>
          </w:tcPr>
          <w:p w:rsidR="00ED1D38" w:rsidRPr="00E7637B" w:rsidRDefault="00ED1D38" w:rsidP="006247DF">
            <w:pPr>
              <w:spacing w:before="40" w:line="200" w:lineRule="exact"/>
              <w:jc w:val="right"/>
              <w:rPr>
                <w:sz w:val="16"/>
                <w:szCs w:val="16"/>
              </w:rPr>
            </w:pPr>
            <w:r>
              <w:rPr>
                <w:sz w:val="16"/>
                <w:szCs w:val="16"/>
              </w:rPr>
              <w:t>–</w:t>
            </w: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r>
              <w:rPr>
                <w:sz w:val="16"/>
                <w:szCs w:val="16"/>
              </w:rPr>
              <w:t>–</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p>
        </w:tc>
        <w:tc>
          <w:tcPr>
            <w:tcW w:w="692" w:type="dxa"/>
            <w:vAlign w:val="bottom"/>
          </w:tcPr>
          <w:p w:rsidR="00ED1D38" w:rsidRPr="00E7637B" w:rsidRDefault="00ED1D38" w:rsidP="006247DF">
            <w:pPr>
              <w:spacing w:before="40" w:line="200" w:lineRule="exact"/>
              <w:jc w:val="right"/>
              <w:rPr>
                <w:b/>
                <w:sz w:val="16"/>
                <w:szCs w:val="16"/>
              </w:rPr>
            </w:pPr>
          </w:p>
        </w:tc>
        <w:tc>
          <w:tcPr>
            <w:tcW w:w="1041" w:type="dxa"/>
            <w:vAlign w:val="bottom"/>
          </w:tcPr>
          <w:p w:rsidR="00ED1D38" w:rsidRPr="00E7637B" w:rsidRDefault="00ED1D38" w:rsidP="006247DF">
            <w:pPr>
              <w:spacing w:before="40" w:line="200" w:lineRule="exact"/>
              <w:jc w:val="right"/>
              <w:rPr>
                <w:b/>
                <w:sz w:val="16"/>
                <w:szCs w:val="16"/>
              </w:rPr>
            </w:pPr>
          </w:p>
        </w:tc>
        <w:tc>
          <w:tcPr>
            <w:tcW w:w="193" w:type="dxa"/>
            <w:vAlign w:val="bottom"/>
          </w:tcPr>
          <w:p w:rsidR="00ED1D38" w:rsidRPr="00E7637B" w:rsidRDefault="00ED1D38" w:rsidP="006247DF">
            <w:pPr>
              <w:spacing w:before="40" w:line="200" w:lineRule="exact"/>
              <w:jc w:val="right"/>
              <w:rPr>
                <w:b/>
                <w:sz w:val="16"/>
                <w:szCs w:val="16"/>
              </w:rPr>
            </w:pPr>
          </w:p>
        </w:tc>
        <w:tc>
          <w:tcPr>
            <w:tcW w:w="1041" w:type="dxa"/>
            <w:vAlign w:val="bottom"/>
          </w:tcPr>
          <w:p w:rsidR="00ED1D38" w:rsidRPr="00E7637B" w:rsidRDefault="00ED1D38" w:rsidP="006247DF">
            <w:pPr>
              <w:spacing w:before="40" w:line="200" w:lineRule="exact"/>
              <w:jc w:val="right"/>
              <w:rPr>
                <w:b/>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sz w:val="16"/>
                <w:szCs w:val="16"/>
              </w:rPr>
            </w:pPr>
            <w:r w:rsidRPr="00E7637B">
              <w:rPr>
                <w:b/>
                <w:sz w:val="16"/>
                <w:szCs w:val="16"/>
              </w:rPr>
              <w:t xml:space="preserve">Motpost till särskilda dragningsrätter </w:t>
            </w:r>
            <w:r>
              <w:rPr>
                <w:b/>
                <w:sz w:val="16"/>
                <w:szCs w:val="16"/>
              </w:rPr>
              <w:br/>
            </w:r>
            <w:r w:rsidRPr="00E7637B">
              <w:rPr>
                <w:b/>
                <w:sz w:val="16"/>
                <w:szCs w:val="16"/>
              </w:rPr>
              <w:t xml:space="preserve">som tilldelats av IMF </w:t>
            </w:r>
          </w:p>
        </w:tc>
        <w:tc>
          <w:tcPr>
            <w:tcW w:w="692" w:type="dxa"/>
            <w:vAlign w:val="bottom"/>
          </w:tcPr>
          <w:p w:rsidR="00ED1D38" w:rsidRPr="00E7637B" w:rsidRDefault="00ED1D38" w:rsidP="006247DF">
            <w:pPr>
              <w:spacing w:before="40" w:line="200" w:lineRule="exact"/>
              <w:jc w:val="right"/>
              <w:rPr>
                <w:sz w:val="16"/>
                <w:szCs w:val="16"/>
              </w:rPr>
            </w:pPr>
            <w:r w:rsidRPr="00E7637B">
              <w:rPr>
                <w:sz w:val="16"/>
                <w:szCs w:val="16"/>
              </w:rPr>
              <w:t>Not 2</w:t>
            </w:r>
            <w:r>
              <w:rPr>
                <w:sz w:val="16"/>
                <w:szCs w:val="16"/>
              </w:rPr>
              <w:t>0</w:t>
            </w:r>
          </w:p>
        </w:tc>
        <w:tc>
          <w:tcPr>
            <w:tcW w:w="1041" w:type="dxa"/>
            <w:vAlign w:val="bottom"/>
          </w:tcPr>
          <w:p w:rsidR="00ED1D38" w:rsidRPr="00E7637B" w:rsidRDefault="00ED1D38" w:rsidP="001836A5">
            <w:pPr>
              <w:spacing w:before="40" w:line="200" w:lineRule="exact"/>
              <w:jc w:val="right"/>
              <w:rPr>
                <w:sz w:val="16"/>
                <w:szCs w:val="16"/>
              </w:rPr>
            </w:pPr>
            <w:r>
              <w:rPr>
                <w:sz w:val="16"/>
                <w:szCs w:val="16"/>
              </w:rPr>
              <w:t>2</w:t>
            </w:r>
            <w:r w:rsidR="001836A5">
              <w:rPr>
                <w:sz w:val="16"/>
                <w:szCs w:val="16"/>
              </w:rPr>
              <w:t>5</w:t>
            </w:r>
            <w:r>
              <w:rPr>
                <w:sz w:val="16"/>
                <w:szCs w:val="16"/>
              </w:rPr>
              <w:t xml:space="preserve"> </w:t>
            </w:r>
            <w:r w:rsidR="001836A5">
              <w:rPr>
                <w:sz w:val="16"/>
                <w:szCs w:val="16"/>
              </w:rPr>
              <w:t>504</w:t>
            </w: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r>
              <w:rPr>
                <w:sz w:val="16"/>
                <w:szCs w:val="16"/>
              </w:rPr>
              <w:t>22 265</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0" w:line="200" w:lineRule="exact"/>
              <w:jc w:val="left"/>
              <w:rPr>
                <w:b/>
                <w:sz w:val="16"/>
                <w:szCs w:val="16"/>
              </w:rPr>
            </w:pPr>
          </w:p>
        </w:tc>
        <w:tc>
          <w:tcPr>
            <w:tcW w:w="692" w:type="dxa"/>
            <w:vAlign w:val="bottom"/>
          </w:tcPr>
          <w:p w:rsidR="00ED1D38" w:rsidRPr="00E7637B" w:rsidRDefault="00ED1D38" w:rsidP="006247DF">
            <w:pPr>
              <w:spacing w:before="0" w:line="200" w:lineRule="exact"/>
              <w:jc w:val="right"/>
              <w:rPr>
                <w:sz w:val="16"/>
                <w:szCs w:val="16"/>
              </w:rPr>
            </w:pPr>
          </w:p>
        </w:tc>
        <w:tc>
          <w:tcPr>
            <w:tcW w:w="1041" w:type="dxa"/>
            <w:vAlign w:val="bottom"/>
          </w:tcPr>
          <w:p w:rsidR="00ED1D38" w:rsidRPr="00E7637B" w:rsidRDefault="00ED1D38" w:rsidP="006247DF">
            <w:pPr>
              <w:spacing w:before="0" w:line="200" w:lineRule="exact"/>
              <w:jc w:val="right"/>
              <w:rPr>
                <w:sz w:val="16"/>
                <w:szCs w:val="16"/>
              </w:rPr>
            </w:pPr>
          </w:p>
        </w:tc>
        <w:tc>
          <w:tcPr>
            <w:tcW w:w="193" w:type="dxa"/>
            <w:vAlign w:val="bottom"/>
          </w:tcPr>
          <w:p w:rsidR="00ED1D38" w:rsidRPr="00E7637B" w:rsidRDefault="00ED1D38" w:rsidP="006247DF">
            <w:pPr>
              <w:spacing w:before="0" w:line="200" w:lineRule="exact"/>
              <w:jc w:val="right"/>
              <w:rPr>
                <w:sz w:val="16"/>
                <w:szCs w:val="16"/>
              </w:rPr>
            </w:pPr>
          </w:p>
        </w:tc>
        <w:tc>
          <w:tcPr>
            <w:tcW w:w="1041" w:type="dxa"/>
            <w:vAlign w:val="bottom"/>
          </w:tcPr>
          <w:p w:rsidR="00ED1D38" w:rsidRPr="00E7637B" w:rsidRDefault="00ED1D38" w:rsidP="006247DF">
            <w:pPr>
              <w:spacing w:before="0" w:line="200" w:lineRule="exact"/>
              <w:jc w:val="right"/>
              <w:rPr>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40" w:line="200" w:lineRule="exact"/>
              <w:jc w:val="left"/>
              <w:rPr>
                <w:b/>
                <w:sz w:val="16"/>
                <w:szCs w:val="16"/>
              </w:rPr>
            </w:pPr>
            <w:r w:rsidRPr="00E7637B">
              <w:rPr>
                <w:b/>
                <w:sz w:val="16"/>
                <w:szCs w:val="16"/>
              </w:rPr>
              <w:t>Övriga skulder</w:t>
            </w:r>
          </w:p>
        </w:tc>
        <w:tc>
          <w:tcPr>
            <w:tcW w:w="692" w:type="dxa"/>
            <w:vAlign w:val="bottom"/>
          </w:tcPr>
          <w:p w:rsidR="00ED1D38" w:rsidRPr="00E7637B" w:rsidRDefault="00ED1D38" w:rsidP="006247DF">
            <w:pPr>
              <w:spacing w:before="40" w:line="200" w:lineRule="exact"/>
              <w:jc w:val="left"/>
              <w:rPr>
                <w:sz w:val="16"/>
                <w:szCs w:val="16"/>
              </w:rPr>
            </w:pPr>
          </w:p>
        </w:tc>
        <w:tc>
          <w:tcPr>
            <w:tcW w:w="1041" w:type="dxa"/>
            <w:vAlign w:val="bottom"/>
          </w:tcPr>
          <w:p w:rsidR="00ED1D38" w:rsidRPr="00E7637B" w:rsidRDefault="00ED1D38" w:rsidP="006247DF">
            <w:pPr>
              <w:spacing w:before="40" w:line="200" w:lineRule="exact"/>
              <w:jc w:val="right"/>
              <w:rPr>
                <w:sz w:val="16"/>
                <w:szCs w:val="16"/>
              </w:rPr>
            </w:pPr>
          </w:p>
        </w:tc>
        <w:tc>
          <w:tcPr>
            <w:tcW w:w="193" w:type="dxa"/>
            <w:vAlign w:val="bottom"/>
          </w:tcPr>
          <w:p w:rsidR="00ED1D38" w:rsidRPr="00E7637B" w:rsidRDefault="00ED1D38" w:rsidP="006247DF">
            <w:pPr>
              <w:spacing w:before="40" w:line="200" w:lineRule="exact"/>
              <w:jc w:val="right"/>
              <w:rPr>
                <w:sz w:val="16"/>
                <w:szCs w:val="16"/>
              </w:rPr>
            </w:pPr>
          </w:p>
        </w:tc>
        <w:tc>
          <w:tcPr>
            <w:tcW w:w="1041" w:type="dxa"/>
            <w:vAlign w:val="bottom"/>
          </w:tcPr>
          <w:p w:rsidR="00ED1D38" w:rsidRPr="00E7637B" w:rsidRDefault="00ED1D38" w:rsidP="006247DF">
            <w:pPr>
              <w:spacing w:before="40" w:line="200" w:lineRule="exact"/>
              <w:jc w:val="right"/>
              <w:rPr>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60" w:line="200" w:lineRule="exact"/>
              <w:jc w:val="left"/>
              <w:rPr>
                <w:sz w:val="16"/>
                <w:szCs w:val="16"/>
              </w:rPr>
            </w:pPr>
            <w:r w:rsidRPr="00E7637B">
              <w:rPr>
                <w:sz w:val="16"/>
                <w:szCs w:val="16"/>
              </w:rPr>
              <w:t xml:space="preserve">Derivatinstrument </w:t>
            </w:r>
          </w:p>
        </w:tc>
        <w:tc>
          <w:tcPr>
            <w:tcW w:w="692" w:type="dxa"/>
            <w:vAlign w:val="bottom"/>
          </w:tcPr>
          <w:p w:rsidR="00ED1D38" w:rsidRPr="00E7637B" w:rsidRDefault="00ED1D38" w:rsidP="006247DF">
            <w:pPr>
              <w:jc w:val="right"/>
              <w:rPr>
                <w:sz w:val="16"/>
                <w:szCs w:val="16"/>
              </w:rPr>
            </w:pPr>
            <w:r w:rsidRPr="00E7637B">
              <w:rPr>
                <w:sz w:val="16"/>
                <w:szCs w:val="16"/>
              </w:rPr>
              <w:t>Not 2</w:t>
            </w:r>
            <w:r>
              <w:rPr>
                <w:sz w:val="16"/>
                <w:szCs w:val="16"/>
              </w:rPr>
              <w:t>1</w:t>
            </w:r>
          </w:p>
        </w:tc>
        <w:tc>
          <w:tcPr>
            <w:tcW w:w="1041" w:type="dxa"/>
            <w:vAlign w:val="bottom"/>
          </w:tcPr>
          <w:p w:rsidR="00ED1D38" w:rsidRPr="00262BC2" w:rsidRDefault="001836A5" w:rsidP="001836A5">
            <w:pPr>
              <w:jc w:val="right"/>
              <w:rPr>
                <w:sz w:val="16"/>
                <w:szCs w:val="16"/>
              </w:rPr>
            </w:pPr>
            <w:r>
              <w:rPr>
                <w:sz w:val="16"/>
                <w:szCs w:val="16"/>
              </w:rPr>
              <w:t>2 905</w:t>
            </w:r>
          </w:p>
        </w:tc>
        <w:tc>
          <w:tcPr>
            <w:tcW w:w="193" w:type="dxa"/>
            <w:vAlign w:val="bottom"/>
          </w:tcPr>
          <w:p w:rsidR="00ED1D38" w:rsidRPr="00E7637B" w:rsidRDefault="00ED1D38" w:rsidP="006247DF">
            <w:pPr>
              <w:jc w:val="right"/>
              <w:rPr>
                <w:sz w:val="16"/>
                <w:szCs w:val="16"/>
              </w:rPr>
            </w:pPr>
          </w:p>
        </w:tc>
        <w:tc>
          <w:tcPr>
            <w:tcW w:w="1041" w:type="dxa"/>
            <w:vAlign w:val="bottom"/>
          </w:tcPr>
          <w:p w:rsidR="00ED1D38" w:rsidRPr="00262BC2" w:rsidRDefault="00ED1D38" w:rsidP="006247DF">
            <w:pPr>
              <w:jc w:val="right"/>
              <w:rPr>
                <w:sz w:val="16"/>
                <w:szCs w:val="16"/>
              </w:rPr>
            </w:pPr>
            <w:r>
              <w:rPr>
                <w:sz w:val="16"/>
                <w:szCs w:val="16"/>
              </w:rPr>
              <w:t>197</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60" w:line="200" w:lineRule="exact"/>
              <w:jc w:val="left"/>
              <w:rPr>
                <w:sz w:val="16"/>
                <w:szCs w:val="16"/>
              </w:rPr>
            </w:pPr>
            <w:r w:rsidRPr="00E7637B">
              <w:rPr>
                <w:sz w:val="16"/>
                <w:szCs w:val="16"/>
              </w:rPr>
              <w:t xml:space="preserve">Upplupna kostnader och förutbetalda intäkter </w:t>
            </w:r>
          </w:p>
        </w:tc>
        <w:tc>
          <w:tcPr>
            <w:tcW w:w="692" w:type="dxa"/>
            <w:vAlign w:val="bottom"/>
          </w:tcPr>
          <w:p w:rsidR="00ED1D38" w:rsidRPr="00E7637B" w:rsidRDefault="00ED1D38" w:rsidP="006247DF">
            <w:pPr>
              <w:jc w:val="right"/>
              <w:rPr>
                <w:sz w:val="16"/>
                <w:szCs w:val="16"/>
              </w:rPr>
            </w:pPr>
            <w:r w:rsidRPr="00E7637B">
              <w:rPr>
                <w:sz w:val="16"/>
                <w:szCs w:val="16"/>
              </w:rPr>
              <w:t>Not 2</w:t>
            </w:r>
            <w:r>
              <w:rPr>
                <w:sz w:val="16"/>
                <w:szCs w:val="16"/>
              </w:rPr>
              <w:t>2</w:t>
            </w:r>
          </w:p>
        </w:tc>
        <w:tc>
          <w:tcPr>
            <w:tcW w:w="1041" w:type="dxa"/>
            <w:vAlign w:val="bottom"/>
          </w:tcPr>
          <w:p w:rsidR="00ED1D38" w:rsidRPr="00E7637B" w:rsidRDefault="001836A5" w:rsidP="001836A5">
            <w:pPr>
              <w:jc w:val="right"/>
              <w:rPr>
                <w:sz w:val="16"/>
                <w:szCs w:val="16"/>
              </w:rPr>
            </w:pPr>
            <w:r>
              <w:rPr>
                <w:sz w:val="16"/>
                <w:szCs w:val="16"/>
              </w:rPr>
              <w:t>1 063</w:t>
            </w:r>
          </w:p>
        </w:tc>
        <w:tc>
          <w:tcPr>
            <w:tcW w:w="193" w:type="dxa"/>
            <w:vAlign w:val="bottom"/>
          </w:tcPr>
          <w:p w:rsidR="00ED1D38" w:rsidRPr="00E7637B" w:rsidRDefault="00ED1D38" w:rsidP="006247DF">
            <w:pPr>
              <w:jc w:val="right"/>
              <w:rPr>
                <w:sz w:val="16"/>
                <w:szCs w:val="16"/>
              </w:rPr>
            </w:pPr>
          </w:p>
        </w:tc>
        <w:tc>
          <w:tcPr>
            <w:tcW w:w="1041" w:type="dxa"/>
            <w:vAlign w:val="bottom"/>
          </w:tcPr>
          <w:p w:rsidR="00ED1D38" w:rsidRPr="00E7637B" w:rsidRDefault="00ED1D38" w:rsidP="006247DF">
            <w:pPr>
              <w:jc w:val="right"/>
              <w:rPr>
                <w:sz w:val="16"/>
                <w:szCs w:val="16"/>
              </w:rPr>
            </w:pPr>
            <w:r>
              <w:rPr>
                <w:sz w:val="16"/>
                <w:szCs w:val="16"/>
              </w:rPr>
              <w:t>763</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60" w:line="200" w:lineRule="exact"/>
              <w:jc w:val="left"/>
              <w:rPr>
                <w:sz w:val="16"/>
                <w:szCs w:val="16"/>
              </w:rPr>
            </w:pPr>
            <w:r w:rsidRPr="00E7637B">
              <w:rPr>
                <w:sz w:val="16"/>
                <w:szCs w:val="16"/>
              </w:rPr>
              <w:t>Övriga skulder</w:t>
            </w:r>
          </w:p>
        </w:tc>
        <w:tc>
          <w:tcPr>
            <w:tcW w:w="692" w:type="dxa"/>
            <w:vAlign w:val="bottom"/>
          </w:tcPr>
          <w:p w:rsidR="00ED1D38" w:rsidRPr="00E7637B" w:rsidRDefault="00ED1D38" w:rsidP="006247DF">
            <w:pPr>
              <w:jc w:val="right"/>
              <w:rPr>
                <w:sz w:val="16"/>
                <w:szCs w:val="16"/>
              </w:rPr>
            </w:pPr>
            <w:r w:rsidRPr="00E7637B">
              <w:rPr>
                <w:sz w:val="16"/>
                <w:szCs w:val="16"/>
              </w:rPr>
              <w:t>Not 2</w:t>
            </w:r>
            <w:r>
              <w:rPr>
                <w:sz w:val="16"/>
                <w:szCs w:val="16"/>
              </w:rPr>
              <w:t>3</w:t>
            </w:r>
          </w:p>
        </w:tc>
        <w:tc>
          <w:tcPr>
            <w:tcW w:w="1041" w:type="dxa"/>
            <w:tcBorders>
              <w:bottom w:val="single" w:sz="4" w:space="0" w:color="auto"/>
            </w:tcBorders>
            <w:vAlign w:val="bottom"/>
          </w:tcPr>
          <w:p w:rsidR="00ED1D38" w:rsidRPr="00E7637B" w:rsidRDefault="001836A5" w:rsidP="001836A5">
            <w:pPr>
              <w:jc w:val="right"/>
              <w:rPr>
                <w:sz w:val="16"/>
                <w:szCs w:val="16"/>
              </w:rPr>
            </w:pPr>
            <w:r>
              <w:rPr>
                <w:sz w:val="16"/>
                <w:szCs w:val="16"/>
              </w:rPr>
              <w:t>64</w:t>
            </w:r>
          </w:p>
        </w:tc>
        <w:tc>
          <w:tcPr>
            <w:tcW w:w="193" w:type="dxa"/>
            <w:tcBorders>
              <w:bottom w:val="single" w:sz="4" w:space="0" w:color="auto"/>
            </w:tcBorders>
            <w:vAlign w:val="bottom"/>
          </w:tcPr>
          <w:p w:rsidR="00ED1D38" w:rsidRPr="00E7637B" w:rsidRDefault="00ED1D38" w:rsidP="006247DF">
            <w:pPr>
              <w:jc w:val="right"/>
              <w:rPr>
                <w:sz w:val="16"/>
                <w:szCs w:val="16"/>
              </w:rPr>
            </w:pPr>
          </w:p>
        </w:tc>
        <w:tc>
          <w:tcPr>
            <w:tcW w:w="1041" w:type="dxa"/>
            <w:tcBorders>
              <w:bottom w:val="single" w:sz="4" w:space="0" w:color="auto"/>
            </w:tcBorders>
            <w:vAlign w:val="bottom"/>
          </w:tcPr>
          <w:p w:rsidR="00ED1D38" w:rsidRPr="00E7637B" w:rsidRDefault="00ED1D38" w:rsidP="006247DF">
            <w:pPr>
              <w:jc w:val="right"/>
              <w:rPr>
                <w:sz w:val="16"/>
                <w:szCs w:val="16"/>
              </w:rPr>
            </w:pPr>
            <w:r>
              <w:rPr>
                <w:sz w:val="16"/>
                <w:szCs w:val="16"/>
              </w:rPr>
              <w:t>48</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20"/>
              <w:jc w:val="left"/>
              <w:rPr>
                <w:sz w:val="16"/>
                <w:szCs w:val="16"/>
              </w:rPr>
            </w:pPr>
          </w:p>
        </w:tc>
        <w:tc>
          <w:tcPr>
            <w:tcW w:w="692" w:type="dxa"/>
            <w:vAlign w:val="bottom"/>
          </w:tcPr>
          <w:p w:rsidR="00ED1D38" w:rsidRPr="00E7637B" w:rsidRDefault="00ED1D38" w:rsidP="006247DF">
            <w:pPr>
              <w:spacing w:before="20"/>
              <w:jc w:val="right"/>
              <w:rPr>
                <w:sz w:val="16"/>
                <w:szCs w:val="16"/>
              </w:rPr>
            </w:pPr>
          </w:p>
        </w:tc>
        <w:tc>
          <w:tcPr>
            <w:tcW w:w="1041" w:type="dxa"/>
            <w:vAlign w:val="bottom"/>
          </w:tcPr>
          <w:p w:rsidR="00ED1D38" w:rsidRPr="00E7637B" w:rsidRDefault="001836A5" w:rsidP="001836A5">
            <w:pPr>
              <w:spacing w:before="20"/>
              <w:jc w:val="right"/>
              <w:rPr>
                <w:sz w:val="16"/>
                <w:szCs w:val="16"/>
              </w:rPr>
            </w:pPr>
            <w:r>
              <w:rPr>
                <w:sz w:val="16"/>
                <w:szCs w:val="16"/>
              </w:rPr>
              <w:t>4 032</w:t>
            </w:r>
          </w:p>
        </w:tc>
        <w:tc>
          <w:tcPr>
            <w:tcW w:w="193" w:type="dxa"/>
            <w:vAlign w:val="bottom"/>
          </w:tcPr>
          <w:p w:rsidR="00ED1D38" w:rsidRPr="00E7637B" w:rsidRDefault="00ED1D38" w:rsidP="006247DF">
            <w:pPr>
              <w:spacing w:before="20"/>
              <w:jc w:val="right"/>
              <w:rPr>
                <w:sz w:val="16"/>
                <w:szCs w:val="16"/>
              </w:rPr>
            </w:pPr>
          </w:p>
        </w:tc>
        <w:tc>
          <w:tcPr>
            <w:tcW w:w="1041" w:type="dxa"/>
            <w:vAlign w:val="bottom"/>
          </w:tcPr>
          <w:p w:rsidR="00ED1D38" w:rsidRPr="00E7637B" w:rsidRDefault="00ED1D38" w:rsidP="006247DF">
            <w:pPr>
              <w:spacing w:before="20"/>
              <w:jc w:val="right"/>
              <w:rPr>
                <w:sz w:val="16"/>
                <w:szCs w:val="16"/>
              </w:rPr>
            </w:pPr>
            <w:r>
              <w:rPr>
                <w:sz w:val="16"/>
                <w:szCs w:val="16"/>
              </w:rPr>
              <w:t>1 008</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0" w:line="200" w:lineRule="exact"/>
              <w:jc w:val="left"/>
              <w:rPr>
                <w:b/>
                <w:sz w:val="16"/>
                <w:szCs w:val="16"/>
              </w:rPr>
            </w:pPr>
          </w:p>
        </w:tc>
        <w:tc>
          <w:tcPr>
            <w:tcW w:w="692"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rsidP="006247DF">
            <w:pPr>
              <w:spacing w:before="0" w:line="200" w:lineRule="exact"/>
              <w:jc w:val="right"/>
              <w:rPr>
                <w:b/>
                <w:sz w:val="16"/>
                <w:szCs w:val="16"/>
              </w:rPr>
            </w:pPr>
          </w:p>
        </w:tc>
        <w:tc>
          <w:tcPr>
            <w:tcW w:w="1041" w:type="dxa"/>
            <w:vAlign w:val="bottom"/>
          </w:tcPr>
          <w:p w:rsidR="00ED1D38" w:rsidRPr="00E7637B" w:rsidRDefault="00ED1D38" w:rsidP="006247DF">
            <w:pPr>
              <w:spacing w:before="0" w:line="200" w:lineRule="exact"/>
              <w:jc w:val="right"/>
              <w:rPr>
                <w:b/>
                <w:sz w:val="16"/>
                <w:szCs w:val="16"/>
              </w:rPr>
            </w:pP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120" w:line="200" w:lineRule="exact"/>
              <w:jc w:val="left"/>
              <w:rPr>
                <w:sz w:val="16"/>
                <w:szCs w:val="16"/>
              </w:rPr>
            </w:pPr>
            <w:r w:rsidRPr="00E7637B">
              <w:rPr>
                <w:b/>
                <w:sz w:val="16"/>
                <w:szCs w:val="16"/>
              </w:rPr>
              <w:t>Avsättningar</w:t>
            </w:r>
          </w:p>
        </w:tc>
        <w:tc>
          <w:tcPr>
            <w:tcW w:w="692" w:type="dxa"/>
            <w:vAlign w:val="bottom"/>
          </w:tcPr>
          <w:p w:rsidR="00ED1D38" w:rsidRPr="00E7637B" w:rsidRDefault="00ED1D38" w:rsidP="006247DF">
            <w:pPr>
              <w:spacing w:before="120" w:line="200" w:lineRule="exact"/>
              <w:jc w:val="right"/>
              <w:rPr>
                <w:sz w:val="16"/>
                <w:szCs w:val="16"/>
              </w:rPr>
            </w:pPr>
            <w:r w:rsidRPr="00E7637B">
              <w:rPr>
                <w:sz w:val="16"/>
                <w:szCs w:val="16"/>
              </w:rPr>
              <w:t>Not 2</w:t>
            </w:r>
            <w:r>
              <w:rPr>
                <w:sz w:val="16"/>
                <w:szCs w:val="16"/>
              </w:rPr>
              <w:t>4</w:t>
            </w:r>
          </w:p>
        </w:tc>
        <w:tc>
          <w:tcPr>
            <w:tcW w:w="1041" w:type="dxa"/>
            <w:vAlign w:val="bottom"/>
          </w:tcPr>
          <w:p w:rsidR="00ED1D38" w:rsidRPr="00E7637B" w:rsidRDefault="001836A5" w:rsidP="001836A5">
            <w:pPr>
              <w:spacing w:before="120" w:line="200" w:lineRule="exact"/>
              <w:jc w:val="right"/>
              <w:rPr>
                <w:sz w:val="16"/>
                <w:szCs w:val="16"/>
              </w:rPr>
            </w:pPr>
            <w:r>
              <w:rPr>
                <w:sz w:val="16"/>
                <w:szCs w:val="16"/>
              </w:rPr>
              <w:t>112</w:t>
            </w:r>
          </w:p>
        </w:tc>
        <w:tc>
          <w:tcPr>
            <w:tcW w:w="193" w:type="dxa"/>
            <w:vAlign w:val="bottom"/>
          </w:tcPr>
          <w:p w:rsidR="00ED1D38" w:rsidRPr="00E7637B" w:rsidRDefault="00ED1D38" w:rsidP="006247DF">
            <w:pPr>
              <w:spacing w:before="120" w:line="200" w:lineRule="exact"/>
              <w:jc w:val="right"/>
              <w:rPr>
                <w:sz w:val="16"/>
                <w:szCs w:val="16"/>
              </w:rPr>
            </w:pPr>
          </w:p>
        </w:tc>
        <w:tc>
          <w:tcPr>
            <w:tcW w:w="1041" w:type="dxa"/>
            <w:vAlign w:val="bottom"/>
          </w:tcPr>
          <w:p w:rsidR="00ED1D38" w:rsidRPr="00E7637B" w:rsidRDefault="00ED1D38" w:rsidP="006247DF">
            <w:pPr>
              <w:spacing w:before="120" w:line="200" w:lineRule="exact"/>
              <w:jc w:val="right"/>
              <w:rPr>
                <w:sz w:val="16"/>
                <w:szCs w:val="16"/>
              </w:rPr>
            </w:pPr>
            <w:r>
              <w:rPr>
                <w:sz w:val="16"/>
                <w:szCs w:val="16"/>
              </w:rPr>
              <w:t>169</w:t>
            </w:r>
          </w:p>
        </w:tc>
        <w:tc>
          <w:tcPr>
            <w:tcW w:w="193" w:type="dxa"/>
            <w:vAlign w:val="bottom"/>
          </w:tcPr>
          <w:p w:rsidR="00ED1D38" w:rsidRPr="00E7637B" w:rsidRDefault="00ED1D38">
            <w:pPr>
              <w:spacing w:before="0" w:line="240" w:lineRule="auto"/>
              <w:jc w:val="left"/>
            </w:pPr>
          </w:p>
        </w:tc>
      </w:tr>
      <w:tr w:rsidR="00ED1D38" w:rsidRPr="00E7637B" w:rsidTr="001836A5">
        <w:trPr>
          <w:cantSplit/>
        </w:trPr>
        <w:tc>
          <w:tcPr>
            <w:tcW w:w="3100" w:type="dxa"/>
            <w:vAlign w:val="bottom"/>
          </w:tcPr>
          <w:p w:rsidR="00ED1D38" w:rsidRPr="00E7637B" w:rsidRDefault="00ED1D38" w:rsidP="006247DF">
            <w:pPr>
              <w:spacing w:before="120" w:line="200" w:lineRule="exact"/>
              <w:jc w:val="left"/>
              <w:rPr>
                <w:sz w:val="16"/>
                <w:szCs w:val="16"/>
              </w:rPr>
            </w:pPr>
            <w:r w:rsidRPr="00E7637B">
              <w:rPr>
                <w:b/>
                <w:sz w:val="16"/>
                <w:szCs w:val="16"/>
              </w:rPr>
              <w:t>Värderegleringskonton</w:t>
            </w:r>
          </w:p>
        </w:tc>
        <w:tc>
          <w:tcPr>
            <w:tcW w:w="692" w:type="dxa"/>
            <w:vAlign w:val="bottom"/>
          </w:tcPr>
          <w:p w:rsidR="00ED1D38" w:rsidRPr="00E7637B" w:rsidRDefault="00ED1D38" w:rsidP="006247DF">
            <w:pPr>
              <w:spacing w:before="120" w:line="200" w:lineRule="exact"/>
              <w:jc w:val="right"/>
              <w:rPr>
                <w:sz w:val="16"/>
                <w:szCs w:val="16"/>
              </w:rPr>
            </w:pPr>
            <w:r w:rsidRPr="00E7637B">
              <w:rPr>
                <w:sz w:val="16"/>
                <w:szCs w:val="16"/>
              </w:rPr>
              <w:t>Not 2</w:t>
            </w:r>
            <w:r>
              <w:rPr>
                <w:sz w:val="16"/>
                <w:szCs w:val="16"/>
              </w:rPr>
              <w:t>5</w:t>
            </w:r>
          </w:p>
        </w:tc>
        <w:tc>
          <w:tcPr>
            <w:tcW w:w="1041" w:type="dxa"/>
            <w:vAlign w:val="bottom"/>
          </w:tcPr>
          <w:p w:rsidR="00ED1D38" w:rsidRPr="00E7637B" w:rsidRDefault="001836A5" w:rsidP="001836A5">
            <w:pPr>
              <w:spacing w:before="120" w:line="200" w:lineRule="exact"/>
              <w:jc w:val="right"/>
              <w:rPr>
                <w:sz w:val="16"/>
                <w:szCs w:val="16"/>
              </w:rPr>
            </w:pPr>
            <w:r>
              <w:rPr>
                <w:sz w:val="16"/>
                <w:szCs w:val="16"/>
              </w:rPr>
              <w:t>53 111</w:t>
            </w:r>
          </w:p>
        </w:tc>
        <w:tc>
          <w:tcPr>
            <w:tcW w:w="193" w:type="dxa"/>
            <w:vAlign w:val="bottom"/>
          </w:tcPr>
          <w:p w:rsidR="00ED1D38" w:rsidRPr="00E7637B" w:rsidRDefault="00ED1D38" w:rsidP="006247DF">
            <w:pPr>
              <w:spacing w:before="120" w:line="200" w:lineRule="exact"/>
              <w:jc w:val="right"/>
              <w:rPr>
                <w:sz w:val="16"/>
                <w:szCs w:val="16"/>
              </w:rPr>
            </w:pPr>
          </w:p>
        </w:tc>
        <w:tc>
          <w:tcPr>
            <w:tcW w:w="1041" w:type="dxa"/>
            <w:vAlign w:val="bottom"/>
          </w:tcPr>
          <w:p w:rsidR="00ED1D38" w:rsidRPr="00E7637B" w:rsidRDefault="00ED1D38" w:rsidP="006247DF">
            <w:pPr>
              <w:spacing w:before="120" w:line="200" w:lineRule="exact"/>
              <w:jc w:val="right"/>
              <w:rPr>
                <w:sz w:val="16"/>
                <w:szCs w:val="16"/>
              </w:rPr>
            </w:pPr>
            <w:r>
              <w:rPr>
                <w:sz w:val="16"/>
                <w:szCs w:val="16"/>
              </w:rPr>
              <w:t>25 677</w:t>
            </w:r>
          </w:p>
        </w:tc>
        <w:tc>
          <w:tcPr>
            <w:tcW w:w="193" w:type="dxa"/>
            <w:vAlign w:val="bottom"/>
          </w:tcPr>
          <w:p w:rsidR="00ED1D38" w:rsidRPr="00E7637B" w:rsidRDefault="00ED1D38">
            <w:pPr>
              <w:spacing w:before="0" w:line="240" w:lineRule="auto"/>
              <w:jc w:val="left"/>
            </w:pPr>
          </w:p>
        </w:tc>
      </w:tr>
      <w:tr w:rsidR="00ED1D38" w:rsidRPr="00E7637B" w:rsidTr="00ED1D38">
        <w:trPr>
          <w:cantSplit/>
        </w:trPr>
        <w:tc>
          <w:tcPr>
            <w:tcW w:w="3100" w:type="dxa"/>
          </w:tcPr>
          <w:p w:rsidR="00ED1D38" w:rsidRPr="00E7637B" w:rsidRDefault="00ED1D38" w:rsidP="006247DF">
            <w:pPr>
              <w:spacing w:before="120" w:line="200" w:lineRule="exact"/>
              <w:jc w:val="left"/>
              <w:rPr>
                <w:b/>
                <w:sz w:val="16"/>
                <w:szCs w:val="16"/>
              </w:rPr>
            </w:pPr>
            <w:r w:rsidRPr="00E7637B">
              <w:rPr>
                <w:b/>
                <w:sz w:val="16"/>
                <w:szCs w:val="16"/>
              </w:rPr>
              <w:t>Eget kapital</w:t>
            </w:r>
          </w:p>
        </w:tc>
        <w:tc>
          <w:tcPr>
            <w:tcW w:w="692" w:type="dxa"/>
          </w:tcPr>
          <w:p w:rsidR="00ED1D38" w:rsidRPr="00E7637B" w:rsidRDefault="00ED1D38" w:rsidP="006247DF">
            <w:pPr>
              <w:spacing w:before="120" w:line="200" w:lineRule="exact"/>
              <w:jc w:val="left"/>
              <w:rPr>
                <w:sz w:val="16"/>
                <w:szCs w:val="16"/>
              </w:rPr>
            </w:pPr>
          </w:p>
        </w:tc>
        <w:tc>
          <w:tcPr>
            <w:tcW w:w="1041" w:type="dxa"/>
          </w:tcPr>
          <w:p w:rsidR="00ED1D38" w:rsidRPr="00E7637B" w:rsidRDefault="00ED1D38" w:rsidP="006247DF">
            <w:pPr>
              <w:spacing w:before="120" w:line="200" w:lineRule="exact"/>
              <w:jc w:val="right"/>
              <w:rPr>
                <w:sz w:val="16"/>
                <w:szCs w:val="16"/>
              </w:rPr>
            </w:pPr>
          </w:p>
        </w:tc>
        <w:tc>
          <w:tcPr>
            <w:tcW w:w="193" w:type="dxa"/>
          </w:tcPr>
          <w:p w:rsidR="00ED1D38" w:rsidRPr="00E7637B" w:rsidRDefault="00ED1D38" w:rsidP="006247DF">
            <w:pPr>
              <w:spacing w:before="120" w:line="200" w:lineRule="exact"/>
              <w:jc w:val="right"/>
              <w:rPr>
                <w:sz w:val="16"/>
                <w:szCs w:val="16"/>
              </w:rPr>
            </w:pPr>
          </w:p>
        </w:tc>
        <w:tc>
          <w:tcPr>
            <w:tcW w:w="1041" w:type="dxa"/>
          </w:tcPr>
          <w:p w:rsidR="00ED1D38" w:rsidRPr="00E7637B" w:rsidRDefault="00ED1D38" w:rsidP="006247DF">
            <w:pPr>
              <w:spacing w:before="120" w:line="200" w:lineRule="exact"/>
              <w:jc w:val="right"/>
              <w:rPr>
                <w:sz w:val="16"/>
                <w:szCs w:val="16"/>
              </w:rPr>
            </w:pPr>
          </w:p>
        </w:tc>
        <w:tc>
          <w:tcPr>
            <w:tcW w:w="193" w:type="dxa"/>
          </w:tcPr>
          <w:p w:rsidR="00ED1D38" w:rsidRPr="00E7637B" w:rsidRDefault="00ED1D38">
            <w:pPr>
              <w:spacing w:before="0" w:line="240" w:lineRule="auto"/>
              <w:jc w:val="left"/>
            </w:pPr>
          </w:p>
        </w:tc>
      </w:tr>
      <w:tr w:rsidR="00ED1D38" w:rsidRPr="00E7637B" w:rsidTr="00ED1D38">
        <w:trPr>
          <w:cantSplit/>
        </w:trPr>
        <w:tc>
          <w:tcPr>
            <w:tcW w:w="3100" w:type="dxa"/>
          </w:tcPr>
          <w:p w:rsidR="00ED1D38" w:rsidRPr="00E7637B" w:rsidRDefault="00ED1D38" w:rsidP="006247DF">
            <w:pPr>
              <w:jc w:val="left"/>
              <w:rPr>
                <w:sz w:val="16"/>
                <w:szCs w:val="16"/>
              </w:rPr>
            </w:pPr>
            <w:r w:rsidRPr="00E7637B">
              <w:rPr>
                <w:sz w:val="16"/>
                <w:szCs w:val="16"/>
              </w:rPr>
              <w:t>Grundfond</w:t>
            </w:r>
          </w:p>
        </w:tc>
        <w:tc>
          <w:tcPr>
            <w:tcW w:w="692" w:type="dxa"/>
          </w:tcPr>
          <w:p w:rsidR="00ED1D38" w:rsidRPr="00E7637B" w:rsidRDefault="00ED1D38" w:rsidP="006247DF">
            <w:pPr>
              <w:jc w:val="right"/>
              <w:rPr>
                <w:sz w:val="16"/>
                <w:szCs w:val="16"/>
              </w:rPr>
            </w:pPr>
            <w:r w:rsidRPr="00E7637B">
              <w:rPr>
                <w:sz w:val="16"/>
                <w:szCs w:val="16"/>
              </w:rPr>
              <w:t>Not 2</w:t>
            </w:r>
            <w:r>
              <w:rPr>
                <w:sz w:val="16"/>
                <w:szCs w:val="16"/>
              </w:rPr>
              <w:t>6</w:t>
            </w:r>
          </w:p>
        </w:tc>
        <w:tc>
          <w:tcPr>
            <w:tcW w:w="1041" w:type="dxa"/>
          </w:tcPr>
          <w:p w:rsidR="00ED1D38" w:rsidRPr="00E7637B" w:rsidRDefault="00ED1D38" w:rsidP="006247DF">
            <w:pPr>
              <w:jc w:val="right"/>
              <w:rPr>
                <w:sz w:val="16"/>
                <w:szCs w:val="16"/>
              </w:rPr>
            </w:pPr>
            <w:r>
              <w:rPr>
                <w:sz w:val="16"/>
                <w:szCs w:val="16"/>
              </w:rPr>
              <w:t>1 000</w:t>
            </w:r>
          </w:p>
        </w:tc>
        <w:tc>
          <w:tcPr>
            <w:tcW w:w="193" w:type="dxa"/>
          </w:tcPr>
          <w:p w:rsidR="00ED1D38" w:rsidRPr="00E7637B" w:rsidRDefault="00ED1D38" w:rsidP="006247DF">
            <w:pPr>
              <w:jc w:val="right"/>
              <w:rPr>
                <w:sz w:val="16"/>
                <w:szCs w:val="16"/>
              </w:rPr>
            </w:pPr>
          </w:p>
        </w:tc>
        <w:tc>
          <w:tcPr>
            <w:tcW w:w="1041" w:type="dxa"/>
          </w:tcPr>
          <w:p w:rsidR="00ED1D38" w:rsidRPr="00E7637B" w:rsidRDefault="00ED1D38" w:rsidP="006247DF">
            <w:pPr>
              <w:jc w:val="right"/>
              <w:rPr>
                <w:sz w:val="16"/>
                <w:szCs w:val="16"/>
              </w:rPr>
            </w:pPr>
            <w:r>
              <w:rPr>
                <w:sz w:val="16"/>
                <w:szCs w:val="16"/>
              </w:rPr>
              <w:t>1 000</w:t>
            </w:r>
          </w:p>
        </w:tc>
        <w:tc>
          <w:tcPr>
            <w:tcW w:w="193" w:type="dxa"/>
          </w:tcPr>
          <w:p w:rsidR="00ED1D38" w:rsidRPr="00E7637B" w:rsidRDefault="00ED1D38">
            <w:pPr>
              <w:spacing w:before="0" w:line="240" w:lineRule="auto"/>
              <w:jc w:val="left"/>
            </w:pPr>
          </w:p>
        </w:tc>
      </w:tr>
      <w:tr w:rsidR="00ED1D38" w:rsidRPr="00E7637B" w:rsidTr="00ED1D38">
        <w:trPr>
          <w:cantSplit/>
        </w:trPr>
        <w:tc>
          <w:tcPr>
            <w:tcW w:w="3100" w:type="dxa"/>
          </w:tcPr>
          <w:p w:rsidR="00ED1D38" w:rsidRPr="00E7637B" w:rsidRDefault="00ED1D38" w:rsidP="006247DF">
            <w:pPr>
              <w:jc w:val="left"/>
              <w:rPr>
                <w:sz w:val="16"/>
                <w:szCs w:val="16"/>
              </w:rPr>
            </w:pPr>
            <w:r w:rsidRPr="00E7637B">
              <w:rPr>
                <w:sz w:val="16"/>
                <w:szCs w:val="16"/>
              </w:rPr>
              <w:t>Reserver</w:t>
            </w:r>
          </w:p>
        </w:tc>
        <w:tc>
          <w:tcPr>
            <w:tcW w:w="692" w:type="dxa"/>
          </w:tcPr>
          <w:p w:rsidR="00ED1D38" w:rsidRPr="00E7637B" w:rsidRDefault="00ED1D38" w:rsidP="006247DF">
            <w:pPr>
              <w:jc w:val="right"/>
              <w:rPr>
                <w:sz w:val="16"/>
                <w:szCs w:val="16"/>
              </w:rPr>
            </w:pPr>
            <w:r w:rsidRPr="00E7637B">
              <w:rPr>
                <w:sz w:val="16"/>
                <w:szCs w:val="16"/>
              </w:rPr>
              <w:t>Not 2</w:t>
            </w:r>
            <w:r>
              <w:rPr>
                <w:sz w:val="16"/>
                <w:szCs w:val="16"/>
              </w:rPr>
              <w:t>7</w:t>
            </w:r>
          </w:p>
        </w:tc>
        <w:tc>
          <w:tcPr>
            <w:tcW w:w="1041" w:type="dxa"/>
            <w:tcBorders>
              <w:bottom w:val="single" w:sz="4" w:space="0" w:color="auto"/>
            </w:tcBorders>
          </w:tcPr>
          <w:p w:rsidR="00ED1D38" w:rsidRPr="00E7637B" w:rsidRDefault="00ED1D38" w:rsidP="001836A5">
            <w:pPr>
              <w:jc w:val="right"/>
              <w:rPr>
                <w:sz w:val="16"/>
                <w:szCs w:val="16"/>
              </w:rPr>
            </w:pPr>
            <w:r>
              <w:rPr>
                <w:sz w:val="16"/>
                <w:szCs w:val="16"/>
              </w:rPr>
              <w:t>5</w:t>
            </w:r>
            <w:r w:rsidR="001836A5">
              <w:rPr>
                <w:sz w:val="16"/>
                <w:szCs w:val="16"/>
              </w:rPr>
              <w:t>2</w:t>
            </w:r>
            <w:r>
              <w:rPr>
                <w:sz w:val="16"/>
                <w:szCs w:val="16"/>
              </w:rPr>
              <w:t xml:space="preserve"> </w:t>
            </w:r>
            <w:r w:rsidR="001836A5">
              <w:rPr>
                <w:sz w:val="16"/>
                <w:szCs w:val="16"/>
              </w:rPr>
              <w:t>030</w:t>
            </w:r>
          </w:p>
        </w:tc>
        <w:tc>
          <w:tcPr>
            <w:tcW w:w="193" w:type="dxa"/>
            <w:tcBorders>
              <w:bottom w:val="single" w:sz="4" w:space="0" w:color="auto"/>
            </w:tcBorders>
          </w:tcPr>
          <w:p w:rsidR="00ED1D38" w:rsidRPr="00E7637B" w:rsidRDefault="00ED1D38" w:rsidP="006247DF">
            <w:pPr>
              <w:jc w:val="right"/>
              <w:rPr>
                <w:sz w:val="16"/>
                <w:szCs w:val="16"/>
              </w:rPr>
            </w:pPr>
          </w:p>
        </w:tc>
        <w:tc>
          <w:tcPr>
            <w:tcW w:w="1041" w:type="dxa"/>
            <w:tcBorders>
              <w:bottom w:val="single" w:sz="4" w:space="0" w:color="auto"/>
            </w:tcBorders>
          </w:tcPr>
          <w:p w:rsidR="00ED1D38" w:rsidRPr="00E7637B" w:rsidRDefault="00ED1D38" w:rsidP="006247DF">
            <w:pPr>
              <w:jc w:val="right"/>
              <w:rPr>
                <w:sz w:val="16"/>
                <w:szCs w:val="16"/>
              </w:rPr>
            </w:pPr>
            <w:r>
              <w:rPr>
                <w:sz w:val="16"/>
                <w:szCs w:val="16"/>
              </w:rPr>
              <w:t>57 341</w:t>
            </w:r>
          </w:p>
        </w:tc>
        <w:tc>
          <w:tcPr>
            <w:tcW w:w="193" w:type="dxa"/>
          </w:tcPr>
          <w:p w:rsidR="00ED1D38" w:rsidRPr="00E7637B" w:rsidRDefault="00ED1D38">
            <w:pPr>
              <w:spacing w:before="0" w:line="240" w:lineRule="auto"/>
              <w:jc w:val="left"/>
            </w:pPr>
          </w:p>
        </w:tc>
      </w:tr>
      <w:tr w:rsidR="00ED1D38" w:rsidRPr="00E7637B" w:rsidTr="00ED1D38">
        <w:trPr>
          <w:cantSplit/>
        </w:trPr>
        <w:tc>
          <w:tcPr>
            <w:tcW w:w="3100" w:type="dxa"/>
          </w:tcPr>
          <w:p w:rsidR="00ED1D38" w:rsidRPr="00E7637B" w:rsidRDefault="00ED1D38" w:rsidP="006247DF">
            <w:pPr>
              <w:spacing w:before="20"/>
              <w:jc w:val="left"/>
              <w:rPr>
                <w:sz w:val="16"/>
                <w:szCs w:val="16"/>
              </w:rPr>
            </w:pPr>
          </w:p>
        </w:tc>
        <w:tc>
          <w:tcPr>
            <w:tcW w:w="692" w:type="dxa"/>
          </w:tcPr>
          <w:p w:rsidR="00ED1D38" w:rsidRPr="00E7637B" w:rsidRDefault="00ED1D38" w:rsidP="006247DF">
            <w:pPr>
              <w:spacing w:before="20"/>
              <w:jc w:val="right"/>
              <w:rPr>
                <w:sz w:val="16"/>
                <w:szCs w:val="16"/>
              </w:rPr>
            </w:pPr>
          </w:p>
        </w:tc>
        <w:tc>
          <w:tcPr>
            <w:tcW w:w="1041" w:type="dxa"/>
          </w:tcPr>
          <w:p w:rsidR="00ED1D38" w:rsidRPr="00E7637B" w:rsidRDefault="00ED1D38" w:rsidP="001836A5">
            <w:pPr>
              <w:spacing w:before="20"/>
              <w:jc w:val="right"/>
              <w:rPr>
                <w:sz w:val="16"/>
                <w:szCs w:val="16"/>
              </w:rPr>
            </w:pPr>
            <w:r>
              <w:rPr>
                <w:sz w:val="16"/>
                <w:szCs w:val="16"/>
              </w:rPr>
              <w:t>5</w:t>
            </w:r>
            <w:r w:rsidR="001836A5">
              <w:rPr>
                <w:sz w:val="16"/>
                <w:szCs w:val="16"/>
              </w:rPr>
              <w:t>3</w:t>
            </w:r>
            <w:r w:rsidR="005D28C2">
              <w:rPr>
                <w:sz w:val="16"/>
                <w:szCs w:val="16"/>
              </w:rPr>
              <w:t xml:space="preserve"> </w:t>
            </w:r>
            <w:r w:rsidR="001836A5">
              <w:rPr>
                <w:sz w:val="16"/>
                <w:szCs w:val="16"/>
              </w:rPr>
              <w:t>030</w:t>
            </w:r>
          </w:p>
        </w:tc>
        <w:tc>
          <w:tcPr>
            <w:tcW w:w="193" w:type="dxa"/>
          </w:tcPr>
          <w:p w:rsidR="00ED1D38" w:rsidRPr="00E7637B" w:rsidRDefault="00ED1D38" w:rsidP="006247DF">
            <w:pPr>
              <w:spacing w:before="20"/>
              <w:jc w:val="right"/>
              <w:rPr>
                <w:sz w:val="16"/>
                <w:szCs w:val="16"/>
              </w:rPr>
            </w:pPr>
          </w:p>
        </w:tc>
        <w:tc>
          <w:tcPr>
            <w:tcW w:w="1041" w:type="dxa"/>
          </w:tcPr>
          <w:p w:rsidR="00ED1D38" w:rsidRPr="00E7637B" w:rsidRDefault="00ED1D38" w:rsidP="006247DF">
            <w:pPr>
              <w:spacing w:before="20"/>
              <w:jc w:val="right"/>
              <w:rPr>
                <w:sz w:val="16"/>
                <w:szCs w:val="16"/>
              </w:rPr>
            </w:pPr>
            <w:r>
              <w:rPr>
                <w:sz w:val="16"/>
                <w:szCs w:val="16"/>
              </w:rPr>
              <w:t>58 341</w:t>
            </w:r>
          </w:p>
        </w:tc>
        <w:tc>
          <w:tcPr>
            <w:tcW w:w="193" w:type="dxa"/>
          </w:tcPr>
          <w:p w:rsidR="00ED1D38" w:rsidRPr="00E7637B" w:rsidRDefault="00ED1D38">
            <w:pPr>
              <w:spacing w:before="0" w:line="240" w:lineRule="auto"/>
              <w:jc w:val="left"/>
            </w:pPr>
          </w:p>
        </w:tc>
      </w:tr>
      <w:tr w:rsidR="00ED1D38" w:rsidRPr="00E7637B" w:rsidTr="00ED1D38">
        <w:trPr>
          <w:cantSplit/>
          <w:trHeight w:val="70"/>
        </w:trPr>
        <w:tc>
          <w:tcPr>
            <w:tcW w:w="3100" w:type="dxa"/>
          </w:tcPr>
          <w:p w:rsidR="00ED1D38" w:rsidRPr="00E7637B" w:rsidRDefault="00ED1D38" w:rsidP="006247DF">
            <w:pPr>
              <w:spacing w:before="0" w:line="200" w:lineRule="exact"/>
              <w:jc w:val="left"/>
              <w:rPr>
                <w:b/>
                <w:sz w:val="16"/>
                <w:szCs w:val="16"/>
              </w:rPr>
            </w:pPr>
          </w:p>
        </w:tc>
        <w:tc>
          <w:tcPr>
            <w:tcW w:w="692" w:type="dxa"/>
          </w:tcPr>
          <w:p w:rsidR="00ED1D38" w:rsidRPr="00E7637B" w:rsidRDefault="00ED1D38" w:rsidP="006247DF">
            <w:pPr>
              <w:spacing w:before="0" w:line="200" w:lineRule="exact"/>
              <w:jc w:val="left"/>
              <w:rPr>
                <w:b/>
                <w:sz w:val="16"/>
                <w:szCs w:val="16"/>
              </w:rPr>
            </w:pPr>
          </w:p>
        </w:tc>
        <w:tc>
          <w:tcPr>
            <w:tcW w:w="1041" w:type="dxa"/>
          </w:tcPr>
          <w:p w:rsidR="00ED1D38" w:rsidRPr="00E7637B" w:rsidRDefault="00ED1D38" w:rsidP="006247DF">
            <w:pPr>
              <w:spacing w:before="0" w:line="200" w:lineRule="exact"/>
              <w:jc w:val="left"/>
              <w:rPr>
                <w:b/>
                <w:sz w:val="16"/>
                <w:szCs w:val="16"/>
              </w:rPr>
            </w:pPr>
          </w:p>
        </w:tc>
        <w:tc>
          <w:tcPr>
            <w:tcW w:w="193" w:type="dxa"/>
          </w:tcPr>
          <w:p w:rsidR="00ED1D38" w:rsidRPr="00E7637B" w:rsidRDefault="00ED1D38" w:rsidP="006247DF">
            <w:pPr>
              <w:spacing w:before="0" w:line="200" w:lineRule="exact"/>
              <w:jc w:val="left"/>
              <w:rPr>
                <w:b/>
                <w:sz w:val="16"/>
                <w:szCs w:val="16"/>
              </w:rPr>
            </w:pPr>
          </w:p>
        </w:tc>
        <w:tc>
          <w:tcPr>
            <w:tcW w:w="1041" w:type="dxa"/>
          </w:tcPr>
          <w:p w:rsidR="00ED1D38" w:rsidRPr="00E7637B" w:rsidRDefault="00ED1D38" w:rsidP="006247DF">
            <w:pPr>
              <w:spacing w:before="0" w:line="200" w:lineRule="exact"/>
              <w:jc w:val="left"/>
              <w:rPr>
                <w:b/>
                <w:sz w:val="16"/>
                <w:szCs w:val="16"/>
              </w:rPr>
            </w:pPr>
          </w:p>
        </w:tc>
        <w:tc>
          <w:tcPr>
            <w:tcW w:w="193" w:type="dxa"/>
          </w:tcPr>
          <w:p w:rsidR="00ED1D38" w:rsidRPr="00E7637B" w:rsidRDefault="00ED1D38">
            <w:pPr>
              <w:spacing w:before="0" w:line="240" w:lineRule="auto"/>
              <w:jc w:val="left"/>
            </w:pPr>
          </w:p>
        </w:tc>
      </w:tr>
      <w:tr w:rsidR="00ED1D38" w:rsidRPr="00E7637B" w:rsidTr="00ED1D38">
        <w:trPr>
          <w:cantSplit/>
        </w:trPr>
        <w:tc>
          <w:tcPr>
            <w:tcW w:w="3100" w:type="dxa"/>
          </w:tcPr>
          <w:p w:rsidR="00ED1D38" w:rsidRPr="00E7637B" w:rsidRDefault="00ED1D38" w:rsidP="006247DF">
            <w:pPr>
              <w:spacing w:before="40" w:line="200" w:lineRule="exact"/>
              <w:jc w:val="left"/>
              <w:rPr>
                <w:b/>
                <w:sz w:val="16"/>
                <w:szCs w:val="16"/>
              </w:rPr>
            </w:pPr>
            <w:r w:rsidRPr="00E7637B">
              <w:rPr>
                <w:b/>
                <w:sz w:val="16"/>
                <w:szCs w:val="16"/>
              </w:rPr>
              <w:t>Årets resultat</w:t>
            </w:r>
          </w:p>
        </w:tc>
        <w:tc>
          <w:tcPr>
            <w:tcW w:w="692" w:type="dxa"/>
          </w:tcPr>
          <w:p w:rsidR="00ED1D38" w:rsidRPr="00E7637B" w:rsidRDefault="00ED1D38" w:rsidP="006247DF">
            <w:pPr>
              <w:spacing w:before="40" w:line="200" w:lineRule="exact"/>
              <w:jc w:val="left"/>
              <w:rPr>
                <w:sz w:val="16"/>
                <w:szCs w:val="16"/>
              </w:rPr>
            </w:pPr>
          </w:p>
        </w:tc>
        <w:tc>
          <w:tcPr>
            <w:tcW w:w="1041" w:type="dxa"/>
          </w:tcPr>
          <w:p w:rsidR="00ED1D38" w:rsidRPr="00E7637B" w:rsidRDefault="001836A5" w:rsidP="001836A5">
            <w:pPr>
              <w:spacing w:before="40" w:line="200" w:lineRule="exact"/>
              <w:jc w:val="right"/>
              <w:rPr>
                <w:sz w:val="16"/>
                <w:szCs w:val="16"/>
              </w:rPr>
            </w:pPr>
            <w:r>
              <w:rPr>
                <w:sz w:val="16"/>
                <w:szCs w:val="16"/>
              </w:rPr>
              <w:t>3 267</w:t>
            </w:r>
          </w:p>
        </w:tc>
        <w:tc>
          <w:tcPr>
            <w:tcW w:w="193" w:type="dxa"/>
          </w:tcPr>
          <w:p w:rsidR="00ED1D38" w:rsidRPr="00E7637B" w:rsidRDefault="00ED1D38" w:rsidP="006247DF">
            <w:pPr>
              <w:spacing w:before="40" w:line="200" w:lineRule="exact"/>
              <w:jc w:val="right"/>
              <w:rPr>
                <w:sz w:val="16"/>
                <w:szCs w:val="16"/>
              </w:rPr>
            </w:pPr>
          </w:p>
        </w:tc>
        <w:tc>
          <w:tcPr>
            <w:tcW w:w="1041" w:type="dxa"/>
          </w:tcPr>
          <w:p w:rsidR="00ED1D38" w:rsidRPr="00E7637B" w:rsidRDefault="00ED1D38" w:rsidP="006247DF">
            <w:pPr>
              <w:spacing w:before="40" w:line="200" w:lineRule="exact"/>
              <w:jc w:val="right"/>
              <w:rPr>
                <w:sz w:val="16"/>
                <w:szCs w:val="16"/>
              </w:rPr>
            </w:pPr>
            <w:r>
              <w:rPr>
                <w:sz w:val="16"/>
                <w:szCs w:val="16"/>
              </w:rPr>
              <w:t>–2 011</w:t>
            </w:r>
          </w:p>
        </w:tc>
        <w:tc>
          <w:tcPr>
            <w:tcW w:w="193" w:type="dxa"/>
          </w:tcPr>
          <w:p w:rsidR="00ED1D38" w:rsidRPr="00E7637B" w:rsidRDefault="00ED1D38">
            <w:pPr>
              <w:spacing w:before="0" w:line="240" w:lineRule="auto"/>
              <w:jc w:val="left"/>
            </w:pPr>
          </w:p>
        </w:tc>
      </w:tr>
      <w:tr w:rsidR="00ED1D38" w:rsidRPr="00E7637B" w:rsidTr="00ED1D38">
        <w:trPr>
          <w:cantSplit/>
        </w:trPr>
        <w:tc>
          <w:tcPr>
            <w:tcW w:w="3100" w:type="dxa"/>
            <w:tcBorders>
              <w:bottom w:val="single" w:sz="4" w:space="0" w:color="auto"/>
            </w:tcBorders>
          </w:tcPr>
          <w:p w:rsidR="00ED1D38" w:rsidRPr="00E7637B" w:rsidRDefault="00ED1D38" w:rsidP="006247DF">
            <w:pPr>
              <w:spacing w:before="0" w:line="200" w:lineRule="exact"/>
              <w:jc w:val="left"/>
              <w:rPr>
                <w:b/>
                <w:sz w:val="16"/>
                <w:szCs w:val="16"/>
              </w:rPr>
            </w:pPr>
            <w:r w:rsidRPr="00E7637B">
              <w:rPr>
                <w:b/>
                <w:sz w:val="16"/>
                <w:szCs w:val="16"/>
              </w:rPr>
              <w:t>Summa skulder och eget kapital</w:t>
            </w:r>
          </w:p>
        </w:tc>
        <w:tc>
          <w:tcPr>
            <w:tcW w:w="692" w:type="dxa"/>
            <w:tcBorders>
              <w:bottom w:val="single" w:sz="4" w:space="0" w:color="auto"/>
            </w:tcBorders>
          </w:tcPr>
          <w:p w:rsidR="00ED1D38" w:rsidRPr="00E7637B" w:rsidRDefault="00ED1D38" w:rsidP="006247DF">
            <w:pPr>
              <w:spacing w:before="0" w:line="200" w:lineRule="exact"/>
              <w:jc w:val="left"/>
              <w:rPr>
                <w:b/>
                <w:sz w:val="16"/>
                <w:szCs w:val="16"/>
              </w:rPr>
            </w:pPr>
          </w:p>
        </w:tc>
        <w:tc>
          <w:tcPr>
            <w:tcW w:w="1041" w:type="dxa"/>
            <w:tcBorders>
              <w:bottom w:val="single" w:sz="4" w:space="0" w:color="auto"/>
            </w:tcBorders>
          </w:tcPr>
          <w:p w:rsidR="00ED1D38" w:rsidRPr="00E7637B" w:rsidRDefault="001836A5" w:rsidP="001836A5">
            <w:pPr>
              <w:spacing w:before="0" w:line="200" w:lineRule="exact"/>
              <w:jc w:val="right"/>
              <w:rPr>
                <w:b/>
                <w:sz w:val="16"/>
                <w:szCs w:val="16"/>
              </w:rPr>
            </w:pPr>
            <w:r>
              <w:rPr>
                <w:b/>
                <w:sz w:val="16"/>
                <w:szCs w:val="16"/>
              </w:rPr>
              <w:t>502 401</w:t>
            </w:r>
          </w:p>
        </w:tc>
        <w:tc>
          <w:tcPr>
            <w:tcW w:w="193" w:type="dxa"/>
            <w:tcBorders>
              <w:bottom w:val="single" w:sz="4" w:space="0" w:color="auto"/>
            </w:tcBorders>
          </w:tcPr>
          <w:p w:rsidR="00ED1D38" w:rsidRPr="00E7637B" w:rsidRDefault="00ED1D38" w:rsidP="006247DF">
            <w:pPr>
              <w:spacing w:before="0" w:line="200" w:lineRule="exact"/>
              <w:jc w:val="right"/>
              <w:rPr>
                <w:b/>
                <w:sz w:val="16"/>
                <w:szCs w:val="16"/>
              </w:rPr>
            </w:pPr>
          </w:p>
        </w:tc>
        <w:tc>
          <w:tcPr>
            <w:tcW w:w="1041" w:type="dxa"/>
            <w:tcBorders>
              <w:bottom w:val="single" w:sz="4" w:space="0" w:color="auto"/>
            </w:tcBorders>
          </w:tcPr>
          <w:p w:rsidR="00ED1D38" w:rsidRPr="00E7637B" w:rsidRDefault="00ED1D38" w:rsidP="006247DF">
            <w:pPr>
              <w:spacing w:before="0" w:line="200" w:lineRule="exact"/>
              <w:jc w:val="right"/>
              <w:rPr>
                <w:b/>
                <w:sz w:val="16"/>
                <w:szCs w:val="16"/>
              </w:rPr>
            </w:pPr>
            <w:r>
              <w:rPr>
                <w:b/>
                <w:sz w:val="16"/>
                <w:szCs w:val="16"/>
              </w:rPr>
              <w:t>431 627</w:t>
            </w:r>
          </w:p>
        </w:tc>
        <w:tc>
          <w:tcPr>
            <w:tcW w:w="193" w:type="dxa"/>
          </w:tcPr>
          <w:p w:rsidR="00ED1D38" w:rsidRPr="00E7637B" w:rsidRDefault="00ED1D38">
            <w:pPr>
              <w:spacing w:before="0" w:line="240" w:lineRule="auto"/>
              <w:jc w:val="left"/>
            </w:pPr>
          </w:p>
        </w:tc>
      </w:tr>
    </w:tbl>
    <w:p w:rsidR="006247DF" w:rsidRPr="00E7637B" w:rsidRDefault="006247DF" w:rsidP="006247DF">
      <w:pPr>
        <w:outlineLvl w:val="0"/>
        <w:rPr>
          <w:sz w:val="16"/>
          <w:szCs w:val="16"/>
        </w:rPr>
      </w:pPr>
      <w:r w:rsidRPr="00E7637B">
        <w:rPr>
          <w:sz w:val="16"/>
          <w:szCs w:val="16"/>
        </w:rPr>
        <w:t xml:space="preserve">Inom linjen förda poster, se not </w:t>
      </w:r>
      <w:r>
        <w:rPr>
          <w:sz w:val="16"/>
          <w:szCs w:val="16"/>
        </w:rPr>
        <w:t>39</w:t>
      </w:r>
      <w:r w:rsidRPr="00E7637B">
        <w:rPr>
          <w:sz w:val="16"/>
          <w:szCs w:val="16"/>
        </w:rPr>
        <w:t>.</w:t>
      </w:r>
    </w:p>
    <w:p w:rsidR="001A14F1" w:rsidRDefault="001A14F1" w:rsidP="001A14F1">
      <w:pPr>
        <w:pStyle w:val="Rubrik1"/>
        <w:spacing w:after="120"/>
      </w:pPr>
      <w:bookmarkStart w:id="39" w:name="_Toc220149244"/>
      <w:bookmarkStart w:id="40" w:name="_Toc284574504"/>
      <w:bookmarkStart w:id="41" w:name="_Toc315964144"/>
      <w:bookmarkStart w:id="42" w:name="_Toc346871157"/>
      <w:bookmarkStart w:id="43" w:name="_Toc378286252"/>
      <w:bookmarkStart w:id="44" w:name="_Toc408946425"/>
      <w:bookmarkStart w:id="45" w:name="_Toc370402765"/>
      <w:bookmarkStart w:id="46" w:name="_Toc372277692"/>
      <w:bookmarkEnd w:id="35"/>
      <w:bookmarkEnd w:id="36"/>
      <w:bookmarkEnd w:id="37"/>
      <w:bookmarkEnd w:id="38"/>
      <w:r w:rsidRPr="00F41577">
        <w:t>Resultaträkning</w:t>
      </w:r>
      <w:bookmarkEnd w:id="39"/>
      <w:bookmarkEnd w:id="40"/>
      <w:bookmarkEnd w:id="41"/>
      <w:bookmarkEnd w:id="42"/>
      <w:bookmarkEnd w:id="43"/>
      <w:bookmarkEnd w:id="44"/>
    </w:p>
    <w:p w:rsidR="006247DF" w:rsidRPr="00E7637B" w:rsidRDefault="006247DF" w:rsidP="006247DF">
      <w:pPr>
        <w:spacing w:before="0"/>
        <w:rPr>
          <w:i/>
        </w:rPr>
      </w:pPr>
      <w:r w:rsidRPr="00E7637B">
        <w:rPr>
          <w:i/>
          <w:sz w:val="20"/>
        </w:rPr>
        <w:t>Miljoner kronor</w:t>
      </w:r>
      <w:r w:rsidRPr="00E7637B">
        <w:rPr>
          <w:i/>
          <w:sz w:val="20"/>
        </w:rPr>
        <w:tab/>
      </w:r>
    </w:p>
    <w:tbl>
      <w:tblPr>
        <w:tblW w:w="5904" w:type="dxa"/>
        <w:tblInd w:w="-24" w:type="dxa"/>
        <w:tblLayout w:type="fixed"/>
        <w:tblCellMar>
          <w:left w:w="71" w:type="dxa"/>
          <w:right w:w="71" w:type="dxa"/>
        </w:tblCellMar>
        <w:tblLook w:val="0000" w:firstRow="0" w:lastRow="0" w:firstColumn="0" w:lastColumn="0" w:noHBand="0" w:noVBand="0"/>
      </w:tblPr>
      <w:tblGrid>
        <w:gridCol w:w="3277"/>
        <w:gridCol w:w="805"/>
        <w:gridCol w:w="911"/>
        <w:gridCol w:w="911"/>
      </w:tblGrid>
      <w:tr w:rsidR="006247DF" w:rsidRPr="00E7637B" w:rsidTr="006247DF">
        <w:trPr>
          <w:cantSplit/>
        </w:trPr>
        <w:tc>
          <w:tcPr>
            <w:tcW w:w="3277" w:type="dxa"/>
            <w:tcBorders>
              <w:top w:val="single" w:sz="4" w:space="0" w:color="auto"/>
            </w:tcBorders>
          </w:tcPr>
          <w:p w:rsidR="006247DF" w:rsidRPr="00E7637B" w:rsidRDefault="006247DF" w:rsidP="006247DF">
            <w:pPr>
              <w:jc w:val="left"/>
              <w:rPr>
                <w:sz w:val="16"/>
                <w:szCs w:val="16"/>
              </w:rPr>
            </w:pPr>
          </w:p>
        </w:tc>
        <w:tc>
          <w:tcPr>
            <w:tcW w:w="805" w:type="dxa"/>
            <w:tcBorders>
              <w:top w:val="single" w:sz="4" w:space="0" w:color="auto"/>
            </w:tcBorders>
          </w:tcPr>
          <w:p w:rsidR="006247DF" w:rsidRPr="00E7637B" w:rsidRDefault="006247DF" w:rsidP="006247DF">
            <w:pPr>
              <w:rPr>
                <w:sz w:val="16"/>
                <w:szCs w:val="16"/>
              </w:rPr>
            </w:pPr>
          </w:p>
        </w:tc>
        <w:tc>
          <w:tcPr>
            <w:tcW w:w="911" w:type="dxa"/>
            <w:tcBorders>
              <w:top w:val="single" w:sz="4" w:space="0" w:color="auto"/>
              <w:bottom w:val="single" w:sz="4" w:space="0" w:color="auto"/>
            </w:tcBorders>
          </w:tcPr>
          <w:p w:rsidR="006247DF" w:rsidRPr="00E7637B" w:rsidRDefault="006247DF" w:rsidP="00764560">
            <w:pPr>
              <w:jc w:val="right"/>
              <w:rPr>
                <w:sz w:val="16"/>
                <w:szCs w:val="16"/>
              </w:rPr>
            </w:pPr>
            <w:r>
              <w:rPr>
                <w:sz w:val="16"/>
                <w:szCs w:val="16"/>
              </w:rPr>
              <w:t>201</w:t>
            </w:r>
            <w:r w:rsidR="00764560">
              <w:rPr>
                <w:sz w:val="16"/>
                <w:szCs w:val="16"/>
              </w:rPr>
              <w:t>4</w:t>
            </w:r>
          </w:p>
        </w:tc>
        <w:tc>
          <w:tcPr>
            <w:tcW w:w="911" w:type="dxa"/>
            <w:tcBorders>
              <w:top w:val="single" w:sz="4" w:space="0" w:color="auto"/>
              <w:bottom w:val="single" w:sz="4" w:space="0" w:color="auto"/>
            </w:tcBorders>
          </w:tcPr>
          <w:p w:rsidR="006247DF" w:rsidRPr="00E7637B" w:rsidRDefault="006247DF" w:rsidP="00764560">
            <w:pPr>
              <w:jc w:val="right"/>
              <w:rPr>
                <w:sz w:val="16"/>
                <w:szCs w:val="16"/>
              </w:rPr>
            </w:pPr>
            <w:r>
              <w:rPr>
                <w:sz w:val="16"/>
                <w:szCs w:val="16"/>
              </w:rPr>
              <w:t>201</w:t>
            </w:r>
            <w:r w:rsidR="00764560">
              <w:rPr>
                <w:sz w:val="16"/>
                <w:szCs w:val="16"/>
              </w:rPr>
              <w:t>3</w:t>
            </w:r>
          </w:p>
        </w:tc>
      </w:tr>
      <w:tr w:rsidR="006247DF" w:rsidRPr="00E7637B" w:rsidTr="006247DF">
        <w:trPr>
          <w:cantSplit/>
        </w:trPr>
        <w:tc>
          <w:tcPr>
            <w:tcW w:w="3277" w:type="dxa"/>
          </w:tcPr>
          <w:p w:rsidR="006247DF" w:rsidRPr="00E7637B" w:rsidRDefault="006247DF" w:rsidP="006247DF">
            <w:pPr>
              <w:jc w:val="left"/>
              <w:rPr>
                <w:sz w:val="16"/>
                <w:szCs w:val="16"/>
              </w:rPr>
            </w:pPr>
          </w:p>
        </w:tc>
        <w:tc>
          <w:tcPr>
            <w:tcW w:w="805" w:type="dxa"/>
          </w:tcPr>
          <w:p w:rsidR="006247DF" w:rsidRPr="00E7637B" w:rsidRDefault="006247DF" w:rsidP="006247DF">
            <w:pPr>
              <w:rPr>
                <w:sz w:val="16"/>
                <w:szCs w:val="16"/>
              </w:rPr>
            </w:pPr>
          </w:p>
        </w:tc>
        <w:tc>
          <w:tcPr>
            <w:tcW w:w="911" w:type="dxa"/>
          </w:tcPr>
          <w:p w:rsidR="006247DF" w:rsidRPr="00E7637B" w:rsidRDefault="006247DF" w:rsidP="006247DF">
            <w:pPr>
              <w:jc w:val="right"/>
              <w:rPr>
                <w:sz w:val="16"/>
                <w:szCs w:val="16"/>
              </w:rPr>
            </w:pPr>
          </w:p>
        </w:tc>
        <w:tc>
          <w:tcPr>
            <w:tcW w:w="911" w:type="dxa"/>
          </w:tcPr>
          <w:p w:rsidR="006247DF" w:rsidRPr="00E7637B" w:rsidRDefault="006247DF" w:rsidP="006247DF">
            <w:pPr>
              <w:jc w:val="right"/>
              <w:rPr>
                <w:sz w:val="16"/>
                <w:szCs w:val="16"/>
              </w:rPr>
            </w:pP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 xml:space="preserve">Ränteintäkter </w:t>
            </w:r>
          </w:p>
        </w:tc>
        <w:tc>
          <w:tcPr>
            <w:tcW w:w="805" w:type="dxa"/>
          </w:tcPr>
          <w:p w:rsidR="00764560" w:rsidRPr="00E7637B" w:rsidRDefault="00764560" w:rsidP="006247DF">
            <w:pPr>
              <w:rPr>
                <w:sz w:val="16"/>
                <w:szCs w:val="16"/>
              </w:rPr>
            </w:pPr>
            <w:r w:rsidRPr="00E7637B">
              <w:rPr>
                <w:sz w:val="16"/>
                <w:szCs w:val="16"/>
              </w:rPr>
              <w:t xml:space="preserve">Not </w:t>
            </w:r>
            <w:r>
              <w:rPr>
                <w:sz w:val="16"/>
                <w:szCs w:val="16"/>
              </w:rPr>
              <w:t>28</w:t>
            </w:r>
          </w:p>
        </w:tc>
        <w:tc>
          <w:tcPr>
            <w:tcW w:w="911" w:type="dxa"/>
          </w:tcPr>
          <w:p w:rsidR="00764560" w:rsidRPr="00E7637B" w:rsidRDefault="00764560" w:rsidP="00764560">
            <w:pPr>
              <w:jc w:val="right"/>
              <w:rPr>
                <w:sz w:val="16"/>
                <w:szCs w:val="16"/>
              </w:rPr>
            </w:pPr>
            <w:r>
              <w:rPr>
                <w:sz w:val="16"/>
                <w:szCs w:val="16"/>
              </w:rPr>
              <w:t>4 193</w:t>
            </w:r>
          </w:p>
        </w:tc>
        <w:tc>
          <w:tcPr>
            <w:tcW w:w="911" w:type="dxa"/>
          </w:tcPr>
          <w:p w:rsidR="00764560" w:rsidRPr="00E7637B" w:rsidRDefault="00764560" w:rsidP="006247DF">
            <w:pPr>
              <w:jc w:val="right"/>
              <w:rPr>
                <w:sz w:val="16"/>
                <w:szCs w:val="16"/>
              </w:rPr>
            </w:pPr>
            <w:r>
              <w:rPr>
                <w:sz w:val="16"/>
                <w:szCs w:val="16"/>
              </w:rPr>
              <w:t>4 113</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Räntekostnader</w:t>
            </w:r>
          </w:p>
        </w:tc>
        <w:tc>
          <w:tcPr>
            <w:tcW w:w="805" w:type="dxa"/>
          </w:tcPr>
          <w:p w:rsidR="00764560" w:rsidRPr="00E7637B" w:rsidRDefault="00764560" w:rsidP="006247DF">
            <w:pPr>
              <w:rPr>
                <w:sz w:val="16"/>
                <w:szCs w:val="16"/>
              </w:rPr>
            </w:pPr>
            <w:r w:rsidRPr="00E7637B">
              <w:rPr>
                <w:sz w:val="16"/>
                <w:szCs w:val="16"/>
              </w:rPr>
              <w:t xml:space="preserve">Not </w:t>
            </w:r>
            <w:r>
              <w:rPr>
                <w:sz w:val="16"/>
                <w:szCs w:val="16"/>
              </w:rPr>
              <w:t>29</w:t>
            </w:r>
          </w:p>
        </w:tc>
        <w:tc>
          <w:tcPr>
            <w:tcW w:w="911" w:type="dxa"/>
          </w:tcPr>
          <w:p w:rsidR="00764560" w:rsidRPr="00E7637B" w:rsidRDefault="00764560" w:rsidP="00764560">
            <w:pPr>
              <w:jc w:val="right"/>
              <w:rPr>
                <w:sz w:val="16"/>
                <w:szCs w:val="16"/>
              </w:rPr>
            </w:pPr>
            <w:r>
              <w:rPr>
                <w:sz w:val="16"/>
                <w:szCs w:val="16"/>
              </w:rPr>
              <w:t>–1 761</w:t>
            </w:r>
          </w:p>
        </w:tc>
        <w:tc>
          <w:tcPr>
            <w:tcW w:w="911" w:type="dxa"/>
          </w:tcPr>
          <w:p w:rsidR="00764560" w:rsidRPr="00E7637B" w:rsidRDefault="00764560" w:rsidP="006247DF">
            <w:pPr>
              <w:jc w:val="right"/>
              <w:rPr>
                <w:sz w:val="16"/>
                <w:szCs w:val="16"/>
              </w:rPr>
            </w:pPr>
            <w:r>
              <w:rPr>
                <w:sz w:val="16"/>
                <w:szCs w:val="16"/>
              </w:rPr>
              <w:t>–1 684</w:t>
            </w:r>
          </w:p>
        </w:tc>
      </w:tr>
      <w:tr w:rsidR="00764560" w:rsidRPr="00E7637B" w:rsidTr="006247DF">
        <w:trPr>
          <w:cantSplit/>
        </w:trPr>
        <w:tc>
          <w:tcPr>
            <w:tcW w:w="3277" w:type="dxa"/>
          </w:tcPr>
          <w:p w:rsidR="00764560" w:rsidRPr="00E7637B" w:rsidRDefault="00764560" w:rsidP="006247DF">
            <w:pPr>
              <w:spacing w:before="60" w:line="200" w:lineRule="exact"/>
              <w:jc w:val="left"/>
              <w:rPr>
                <w:sz w:val="16"/>
                <w:szCs w:val="16"/>
              </w:rPr>
            </w:pPr>
            <w:r>
              <w:rPr>
                <w:sz w:val="16"/>
                <w:szCs w:val="16"/>
              </w:rPr>
              <w:t>Nettoresultat av finansiella transaktioner och nedskrivningar</w:t>
            </w:r>
          </w:p>
        </w:tc>
        <w:tc>
          <w:tcPr>
            <w:tcW w:w="805" w:type="dxa"/>
          </w:tcPr>
          <w:p w:rsidR="00764560" w:rsidRPr="00E7637B" w:rsidRDefault="00764560" w:rsidP="006247DF">
            <w:pPr>
              <w:spacing w:before="60" w:line="200" w:lineRule="exact"/>
              <w:jc w:val="left"/>
              <w:rPr>
                <w:sz w:val="16"/>
                <w:szCs w:val="16"/>
              </w:rPr>
            </w:pPr>
            <w:r w:rsidRPr="00E7637B">
              <w:rPr>
                <w:sz w:val="16"/>
                <w:szCs w:val="16"/>
              </w:rPr>
              <w:br/>
              <w:t xml:space="preserve">Not </w:t>
            </w:r>
            <w:r>
              <w:rPr>
                <w:sz w:val="16"/>
                <w:szCs w:val="16"/>
              </w:rPr>
              <w:t>30</w:t>
            </w:r>
          </w:p>
        </w:tc>
        <w:tc>
          <w:tcPr>
            <w:tcW w:w="911" w:type="dxa"/>
          </w:tcPr>
          <w:p w:rsidR="00764560" w:rsidRPr="00E7637B" w:rsidRDefault="00764560" w:rsidP="00764560">
            <w:pPr>
              <w:spacing w:before="60" w:line="200" w:lineRule="exact"/>
              <w:jc w:val="right"/>
              <w:rPr>
                <w:sz w:val="16"/>
                <w:szCs w:val="16"/>
              </w:rPr>
            </w:pPr>
            <w:r>
              <w:rPr>
                <w:sz w:val="16"/>
                <w:szCs w:val="16"/>
              </w:rPr>
              <w:br/>
              <w:t>1 631</w:t>
            </w:r>
          </w:p>
        </w:tc>
        <w:tc>
          <w:tcPr>
            <w:tcW w:w="911" w:type="dxa"/>
          </w:tcPr>
          <w:p w:rsidR="00764560" w:rsidRPr="00E7637B" w:rsidRDefault="00764560" w:rsidP="006247DF">
            <w:pPr>
              <w:spacing w:before="60" w:line="200" w:lineRule="exact"/>
              <w:jc w:val="right"/>
              <w:rPr>
                <w:sz w:val="16"/>
                <w:szCs w:val="16"/>
              </w:rPr>
            </w:pPr>
            <w:r>
              <w:rPr>
                <w:sz w:val="16"/>
                <w:szCs w:val="16"/>
              </w:rPr>
              <w:br/>
              <w:t>–3 784</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Avgifts- och provisionsintäkter</w:t>
            </w:r>
          </w:p>
        </w:tc>
        <w:tc>
          <w:tcPr>
            <w:tcW w:w="805" w:type="dxa"/>
          </w:tcPr>
          <w:p w:rsidR="00764560" w:rsidRPr="00E7637B" w:rsidRDefault="00764560" w:rsidP="006247DF">
            <w:pPr>
              <w:rPr>
                <w:sz w:val="16"/>
                <w:szCs w:val="16"/>
              </w:rPr>
            </w:pPr>
            <w:r w:rsidRPr="00E7637B">
              <w:rPr>
                <w:sz w:val="16"/>
                <w:szCs w:val="16"/>
              </w:rPr>
              <w:t>Not 3</w:t>
            </w:r>
            <w:r>
              <w:rPr>
                <w:sz w:val="16"/>
                <w:szCs w:val="16"/>
              </w:rPr>
              <w:t>1</w:t>
            </w:r>
          </w:p>
        </w:tc>
        <w:tc>
          <w:tcPr>
            <w:tcW w:w="911" w:type="dxa"/>
          </w:tcPr>
          <w:p w:rsidR="00764560" w:rsidRPr="00E7637B" w:rsidRDefault="00764560" w:rsidP="00764560">
            <w:pPr>
              <w:jc w:val="right"/>
              <w:rPr>
                <w:sz w:val="16"/>
                <w:szCs w:val="16"/>
              </w:rPr>
            </w:pPr>
            <w:r>
              <w:rPr>
                <w:sz w:val="16"/>
                <w:szCs w:val="16"/>
              </w:rPr>
              <w:t>64</w:t>
            </w:r>
          </w:p>
        </w:tc>
        <w:tc>
          <w:tcPr>
            <w:tcW w:w="911" w:type="dxa"/>
          </w:tcPr>
          <w:p w:rsidR="00764560" w:rsidRPr="00E7637B" w:rsidRDefault="00764560" w:rsidP="006247DF">
            <w:pPr>
              <w:jc w:val="right"/>
              <w:rPr>
                <w:sz w:val="16"/>
                <w:szCs w:val="16"/>
              </w:rPr>
            </w:pPr>
            <w:r>
              <w:rPr>
                <w:sz w:val="16"/>
                <w:szCs w:val="16"/>
              </w:rPr>
              <w:t>65</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Avgifts- och provisionskostnader</w:t>
            </w:r>
          </w:p>
        </w:tc>
        <w:tc>
          <w:tcPr>
            <w:tcW w:w="805" w:type="dxa"/>
          </w:tcPr>
          <w:p w:rsidR="00764560" w:rsidRPr="00E7637B" w:rsidRDefault="00764560" w:rsidP="006247DF">
            <w:pPr>
              <w:rPr>
                <w:sz w:val="16"/>
                <w:szCs w:val="16"/>
              </w:rPr>
            </w:pPr>
            <w:r w:rsidRPr="00E7637B">
              <w:rPr>
                <w:sz w:val="16"/>
                <w:szCs w:val="16"/>
              </w:rPr>
              <w:t>Not 3</w:t>
            </w:r>
            <w:r>
              <w:rPr>
                <w:sz w:val="16"/>
                <w:szCs w:val="16"/>
              </w:rPr>
              <w:t>2</w:t>
            </w:r>
          </w:p>
        </w:tc>
        <w:tc>
          <w:tcPr>
            <w:tcW w:w="911" w:type="dxa"/>
          </w:tcPr>
          <w:p w:rsidR="00764560" w:rsidRPr="00E7637B" w:rsidRDefault="00764560" w:rsidP="00764560">
            <w:pPr>
              <w:jc w:val="right"/>
              <w:rPr>
                <w:sz w:val="16"/>
                <w:szCs w:val="16"/>
              </w:rPr>
            </w:pPr>
            <w:r>
              <w:rPr>
                <w:sz w:val="16"/>
                <w:szCs w:val="16"/>
              </w:rPr>
              <w:t>–15</w:t>
            </w:r>
          </w:p>
        </w:tc>
        <w:tc>
          <w:tcPr>
            <w:tcW w:w="911" w:type="dxa"/>
          </w:tcPr>
          <w:p w:rsidR="00764560" w:rsidRPr="00E7637B" w:rsidRDefault="00764560" w:rsidP="006247DF">
            <w:pPr>
              <w:jc w:val="right"/>
              <w:rPr>
                <w:sz w:val="16"/>
                <w:szCs w:val="16"/>
              </w:rPr>
            </w:pPr>
            <w:r>
              <w:rPr>
                <w:sz w:val="16"/>
                <w:szCs w:val="16"/>
              </w:rPr>
              <w:t>–12</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Erhållna utdelningar</w:t>
            </w:r>
          </w:p>
        </w:tc>
        <w:tc>
          <w:tcPr>
            <w:tcW w:w="805" w:type="dxa"/>
          </w:tcPr>
          <w:p w:rsidR="00764560" w:rsidRPr="00E7637B" w:rsidRDefault="00764560" w:rsidP="006247DF">
            <w:pPr>
              <w:rPr>
                <w:sz w:val="16"/>
                <w:szCs w:val="16"/>
              </w:rPr>
            </w:pPr>
            <w:r w:rsidRPr="00E7637B">
              <w:rPr>
                <w:sz w:val="16"/>
                <w:szCs w:val="16"/>
              </w:rPr>
              <w:t>Not 3</w:t>
            </w:r>
            <w:r>
              <w:rPr>
                <w:sz w:val="16"/>
                <w:szCs w:val="16"/>
              </w:rPr>
              <w:t>3</w:t>
            </w:r>
          </w:p>
        </w:tc>
        <w:tc>
          <w:tcPr>
            <w:tcW w:w="911" w:type="dxa"/>
          </w:tcPr>
          <w:p w:rsidR="00764560" w:rsidRPr="00E7637B" w:rsidRDefault="00764560" w:rsidP="00764560">
            <w:pPr>
              <w:jc w:val="right"/>
              <w:rPr>
                <w:sz w:val="16"/>
                <w:szCs w:val="16"/>
              </w:rPr>
            </w:pPr>
            <w:r>
              <w:rPr>
                <w:sz w:val="16"/>
                <w:szCs w:val="16"/>
              </w:rPr>
              <w:t>39</w:t>
            </w:r>
          </w:p>
        </w:tc>
        <w:tc>
          <w:tcPr>
            <w:tcW w:w="911" w:type="dxa"/>
          </w:tcPr>
          <w:p w:rsidR="00764560" w:rsidRPr="00E7637B" w:rsidRDefault="00764560" w:rsidP="006247DF">
            <w:pPr>
              <w:jc w:val="right"/>
              <w:rPr>
                <w:sz w:val="16"/>
                <w:szCs w:val="16"/>
              </w:rPr>
            </w:pPr>
            <w:r>
              <w:rPr>
                <w:sz w:val="16"/>
                <w:szCs w:val="16"/>
              </w:rPr>
              <w:t>55</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Övriga intäkter</w:t>
            </w:r>
          </w:p>
        </w:tc>
        <w:tc>
          <w:tcPr>
            <w:tcW w:w="805" w:type="dxa"/>
          </w:tcPr>
          <w:p w:rsidR="00764560" w:rsidRPr="00E7637B" w:rsidRDefault="00764560" w:rsidP="006247DF">
            <w:pPr>
              <w:rPr>
                <w:sz w:val="16"/>
                <w:szCs w:val="16"/>
              </w:rPr>
            </w:pPr>
            <w:r w:rsidRPr="00E7637B">
              <w:rPr>
                <w:sz w:val="16"/>
                <w:szCs w:val="16"/>
              </w:rPr>
              <w:t>Not 3</w:t>
            </w:r>
            <w:r>
              <w:rPr>
                <w:sz w:val="16"/>
                <w:szCs w:val="16"/>
              </w:rPr>
              <w:t>4</w:t>
            </w:r>
          </w:p>
        </w:tc>
        <w:tc>
          <w:tcPr>
            <w:tcW w:w="911" w:type="dxa"/>
            <w:tcBorders>
              <w:bottom w:val="single" w:sz="4" w:space="0" w:color="auto"/>
            </w:tcBorders>
          </w:tcPr>
          <w:p w:rsidR="00764560" w:rsidRPr="00E7637B" w:rsidRDefault="00764560" w:rsidP="00764560">
            <w:pPr>
              <w:jc w:val="right"/>
              <w:rPr>
                <w:sz w:val="16"/>
                <w:szCs w:val="16"/>
              </w:rPr>
            </w:pPr>
            <w:r>
              <w:rPr>
                <w:sz w:val="16"/>
                <w:szCs w:val="16"/>
              </w:rPr>
              <w:t>33</w:t>
            </w:r>
          </w:p>
        </w:tc>
        <w:tc>
          <w:tcPr>
            <w:tcW w:w="911" w:type="dxa"/>
            <w:tcBorders>
              <w:bottom w:val="single" w:sz="4" w:space="0" w:color="auto"/>
            </w:tcBorders>
          </w:tcPr>
          <w:p w:rsidR="00764560" w:rsidRPr="00E7637B" w:rsidRDefault="00764560" w:rsidP="006247DF">
            <w:pPr>
              <w:jc w:val="right"/>
              <w:rPr>
                <w:sz w:val="16"/>
                <w:szCs w:val="16"/>
              </w:rPr>
            </w:pPr>
            <w:r>
              <w:rPr>
                <w:sz w:val="16"/>
                <w:szCs w:val="16"/>
              </w:rPr>
              <w:t>26</w:t>
            </w:r>
          </w:p>
        </w:tc>
      </w:tr>
      <w:tr w:rsidR="00764560" w:rsidRPr="00E7637B" w:rsidTr="006247DF">
        <w:trPr>
          <w:cantSplit/>
        </w:trPr>
        <w:tc>
          <w:tcPr>
            <w:tcW w:w="3277" w:type="dxa"/>
          </w:tcPr>
          <w:p w:rsidR="00764560" w:rsidRPr="00E7637B" w:rsidRDefault="00764560" w:rsidP="006247DF">
            <w:pPr>
              <w:jc w:val="left"/>
              <w:rPr>
                <w:b/>
                <w:sz w:val="16"/>
                <w:szCs w:val="16"/>
              </w:rPr>
            </w:pPr>
            <w:r w:rsidRPr="00E7637B">
              <w:rPr>
                <w:b/>
                <w:sz w:val="16"/>
                <w:szCs w:val="16"/>
              </w:rPr>
              <w:t>Summa nettointäkter</w:t>
            </w:r>
          </w:p>
        </w:tc>
        <w:tc>
          <w:tcPr>
            <w:tcW w:w="805" w:type="dxa"/>
          </w:tcPr>
          <w:p w:rsidR="00764560" w:rsidRPr="00E7637B" w:rsidRDefault="00764560" w:rsidP="006247DF">
            <w:pPr>
              <w:rPr>
                <w:sz w:val="16"/>
                <w:szCs w:val="16"/>
              </w:rPr>
            </w:pPr>
          </w:p>
        </w:tc>
        <w:tc>
          <w:tcPr>
            <w:tcW w:w="911" w:type="dxa"/>
          </w:tcPr>
          <w:p w:rsidR="00764560" w:rsidRPr="00E7637B" w:rsidRDefault="00764560" w:rsidP="00764560">
            <w:pPr>
              <w:jc w:val="right"/>
              <w:rPr>
                <w:sz w:val="16"/>
                <w:szCs w:val="16"/>
              </w:rPr>
            </w:pPr>
            <w:r>
              <w:rPr>
                <w:sz w:val="16"/>
                <w:szCs w:val="16"/>
              </w:rPr>
              <w:t>4 184</w:t>
            </w:r>
          </w:p>
        </w:tc>
        <w:tc>
          <w:tcPr>
            <w:tcW w:w="911" w:type="dxa"/>
          </w:tcPr>
          <w:p w:rsidR="00764560" w:rsidRPr="00E7637B" w:rsidRDefault="00764560" w:rsidP="006247DF">
            <w:pPr>
              <w:jc w:val="right"/>
              <w:rPr>
                <w:sz w:val="16"/>
                <w:szCs w:val="16"/>
              </w:rPr>
            </w:pPr>
            <w:r>
              <w:rPr>
                <w:sz w:val="16"/>
                <w:szCs w:val="16"/>
              </w:rPr>
              <w:t>–1 221</w:t>
            </w:r>
          </w:p>
        </w:tc>
      </w:tr>
      <w:tr w:rsidR="00764560" w:rsidRPr="00E7637B" w:rsidTr="006247DF">
        <w:trPr>
          <w:cantSplit/>
        </w:trPr>
        <w:tc>
          <w:tcPr>
            <w:tcW w:w="3277" w:type="dxa"/>
          </w:tcPr>
          <w:p w:rsidR="00764560" w:rsidRPr="00E7637B" w:rsidRDefault="00764560" w:rsidP="006247DF">
            <w:pPr>
              <w:jc w:val="left"/>
              <w:rPr>
                <w:sz w:val="16"/>
                <w:szCs w:val="16"/>
              </w:rPr>
            </w:pPr>
          </w:p>
        </w:tc>
        <w:tc>
          <w:tcPr>
            <w:tcW w:w="805" w:type="dxa"/>
          </w:tcPr>
          <w:p w:rsidR="00764560" w:rsidRPr="00E7637B" w:rsidRDefault="00764560" w:rsidP="006247DF">
            <w:pPr>
              <w:rPr>
                <w:sz w:val="16"/>
                <w:szCs w:val="16"/>
              </w:rPr>
            </w:pPr>
          </w:p>
        </w:tc>
        <w:tc>
          <w:tcPr>
            <w:tcW w:w="911" w:type="dxa"/>
          </w:tcPr>
          <w:p w:rsidR="00764560" w:rsidRPr="00E7637B" w:rsidRDefault="00764560" w:rsidP="006247DF">
            <w:pPr>
              <w:jc w:val="right"/>
              <w:rPr>
                <w:sz w:val="16"/>
                <w:szCs w:val="16"/>
              </w:rPr>
            </w:pPr>
          </w:p>
        </w:tc>
        <w:tc>
          <w:tcPr>
            <w:tcW w:w="911" w:type="dxa"/>
          </w:tcPr>
          <w:p w:rsidR="00764560" w:rsidRPr="00E7637B" w:rsidRDefault="00764560" w:rsidP="006247DF">
            <w:pPr>
              <w:jc w:val="right"/>
              <w:rPr>
                <w:sz w:val="16"/>
                <w:szCs w:val="16"/>
              </w:rPr>
            </w:pPr>
          </w:p>
        </w:tc>
      </w:tr>
      <w:tr w:rsidR="00764560" w:rsidRPr="00E7637B" w:rsidTr="006247DF">
        <w:trPr>
          <w:cantSplit/>
        </w:trPr>
        <w:tc>
          <w:tcPr>
            <w:tcW w:w="3277" w:type="dxa"/>
          </w:tcPr>
          <w:p w:rsidR="00764560" w:rsidRPr="00E7637B" w:rsidRDefault="00764560" w:rsidP="006247DF">
            <w:pPr>
              <w:jc w:val="left"/>
              <w:rPr>
                <w:sz w:val="16"/>
                <w:szCs w:val="16"/>
              </w:rPr>
            </w:pPr>
          </w:p>
        </w:tc>
        <w:tc>
          <w:tcPr>
            <w:tcW w:w="805" w:type="dxa"/>
          </w:tcPr>
          <w:p w:rsidR="00764560" w:rsidRPr="00E7637B" w:rsidRDefault="00764560" w:rsidP="006247DF">
            <w:pPr>
              <w:rPr>
                <w:sz w:val="16"/>
                <w:szCs w:val="16"/>
              </w:rPr>
            </w:pPr>
          </w:p>
        </w:tc>
        <w:tc>
          <w:tcPr>
            <w:tcW w:w="911" w:type="dxa"/>
          </w:tcPr>
          <w:p w:rsidR="00764560" w:rsidRPr="00E7637B" w:rsidRDefault="00764560" w:rsidP="006247DF">
            <w:pPr>
              <w:jc w:val="right"/>
              <w:rPr>
                <w:sz w:val="16"/>
                <w:szCs w:val="16"/>
              </w:rPr>
            </w:pPr>
          </w:p>
        </w:tc>
        <w:tc>
          <w:tcPr>
            <w:tcW w:w="911" w:type="dxa"/>
          </w:tcPr>
          <w:p w:rsidR="00764560" w:rsidRPr="00E7637B" w:rsidRDefault="00764560" w:rsidP="006247DF">
            <w:pPr>
              <w:jc w:val="right"/>
              <w:rPr>
                <w:sz w:val="16"/>
                <w:szCs w:val="16"/>
              </w:rPr>
            </w:pP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Personalkostnader</w:t>
            </w:r>
          </w:p>
        </w:tc>
        <w:tc>
          <w:tcPr>
            <w:tcW w:w="805" w:type="dxa"/>
          </w:tcPr>
          <w:p w:rsidR="00764560" w:rsidRPr="00E7637B" w:rsidRDefault="00764560" w:rsidP="006247DF">
            <w:pPr>
              <w:rPr>
                <w:sz w:val="16"/>
                <w:szCs w:val="16"/>
              </w:rPr>
            </w:pPr>
            <w:r w:rsidRPr="00E7637B">
              <w:rPr>
                <w:sz w:val="16"/>
                <w:szCs w:val="16"/>
              </w:rPr>
              <w:t>Not 3</w:t>
            </w:r>
            <w:r>
              <w:rPr>
                <w:sz w:val="16"/>
                <w:szCs w:val="16"/>
              </w:rPr>
              <w:t>5</w:t>
            </w:r>
          </w:p>
        </w:tc>
        <w:tc>
          <w:tcPr>
            <w:tcW w:w="911" w:type="dxa"/>
          </w:tcPr>
          <w:p w:rsidR="00764560" w:rsidRPr="00E7637B" w:rsidRDefault="00764560" w:rsidP="00764560">
            <w:pPr>
              <w:jc w:val="right"/>
              <w:rPr>
                <w:sz w:val="16"/>
                <w:szCs w:val="16"/>
              </w:rPr>
            </w:pPr>
            <w:r>
              <w:rPr>
                <w:sz w:val="16"/>
                <w:szCs w:val="16"/>
              </w:rPr>
              <w:t>–361</w:t>
            </w:r>
          </w:p>
        </w:tc>
        <w:tc>
          <w:tcPr>
            <w:tcW w:w="911" w:type="dxa"/>
          </w:tcPr>
          <w:p w:rsidR="00764560" w:rsidRPr="00E7637B" w:rsidRDefault="00764560" w:rsidP="006247DF">
            <w:pPr>
              <w:jc w:val="right"/>
              <w:rPr>
                <w:sz w:val="16"/>
                <w:szCs w:val="16"/>
              </w:rPr>
            </w:pPr>
            <w:r>
              <w:rPr>
                <w:sz w:val="16"/>
                <w:szCs w:val="16"/>
              </w:rPr>
              <w:t>–375</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Administrationskostnader</w:t>
            </w:r>
          </w:p>
        </w:tc>
        <w:tc>
          <w:tcPr>
            <w:tcW w:w="805" w:type="dxa"/>
          </w:tcPr>
          <w:p w:rsidR="00764560" w:rsidRPr="00E7637B" w:rsidRDefault="00764560" w:rsidP="006247DF">
            <w:pPr>
              <w:rPr>
                <w:sz w:val="16"/>
                <w:szCs w:val="16"/>
              </w:rPr>
            </w:pPr>
            <w:r w:rsidRPr="00E7637B">
              <w:rPr>
                <w:sz w:val="16"/>
                <w:szCs w:val="16"/>
              </w:rPr>
              <w:t>Not 3</w:t>
            </w:r>
            <w:r>
              <w:rPr>
                <w:sz w:val="16"/>
                <w:szCs w:val="16"/>
              </w:rPr>
              <w:t>6</w:t>
            </w:r>
          </w:p>
        </w:tc>
        <w:tc>
          <w:tcPr>
            <w:tcW w:w="911" w:type="dxa"/>
          </w:tcPr>
          <w:p w:rsidR="00764560" w:rsidRPr="00E7637B" w:rsidRDefault="00764560" w:rsidP="00764560">
            <w:pPr>
              <w:jc w:val="right"/>
              <w:rPr>
                <w:sz w:val="16"/>
                <w:szCs w:val="16"/>
              </w:rPr>
            </w:pPr>
            <w:r>
              <w:rPr>
                <w:sz w:val="16"/>
                <w:szCs w:val="16"/>
              </w:rPr>
              <w:t>–322</w:t>
            </w:r>
          </w:p>
        </w:tc>
        <w:tc>
          <w:tcPr>
            <w:tcW w:w="911" w:type="dxa"/>
          </w:tcPr>
          <w:p w:rsidR="00764560" w:rsidRPr="00E7637B" w:rsidRDefault="00764560" w:rsidP="006247DF">
            <w:pPr>
              <w:jc w:val="right"/>
              <w:rPr>
                <w:sz w:val="16"/>
                <w:szCs w:val="16"/>
              </w:rPr>
            </w:pPr>
            <w:r>
              <w:rPr>
                <w:sz w:val="16"/>
                <w:szCs w:val="16"/>
              </w:rPr>
              <w:t>–316</w:t>
            </w:r>
          </w:p>
        </w:tc>
      </w:tr>
      <w:tr w:rsidR="00764560" w:rsidRPr="00E7637B" w:rsidTr="006247DF">
        <w:trPr>
          <w:cantSplit/>
        </w:trPr>
        <w:tc>
          <w:tcPr>
            <w:tcW w:w="3277" w:type="dxa"/>
          </w:tcPr>
          <w:p w:rsidR="00764560" w:rsidRPr="00E7637B" w:rsidRDefault="00764560" w:rsidP="006247DF">
            <w:pPr>
              <w:spacing w:before="60" w:line="200" w:lineRule="exact"/>
              <w:jc w:val="left"/>
              <w:rPr>
                <w:sz w:val="16"/>
                <w:szCs w:val="16"/>
              </w:rPr>
            </w:pPr>
            <w:r w:rsidRPr="00E7637B">
              <w:rPr>
                <w:sz w:val="16"/>
                <w:szCs w:val="16"/>
              </w:rPr>
              <w:t>Avskrivningar av materiella och immateriella anläggningstillgångar</w:t>
            </w:r>
          </w:p>
        </w:tc>
        <w:tc>
          <w:tcPr>
            <w:tcW w:w="805" w:type="dxa"/>
          </w:tcPr>
          <w:p w:rsidR="00764560" w:rsidRPr="00E7637B" w:rsidRDefault="00764560" w:rsidP="006247DF">
            <w:pPr>
              <w:spacing w:before="60" w:line="200" w:lineRule="exact"/>
              <w:jc w:val="left"/>
              <w:rPr>
                <w:sz w:val="16"/>
                <w:szCs w:val="16"/>
              </w:rPr>
            </w:pPr>
            <w:r w:rsidRPr="00E7637B">
              <w:rPr>
                <w:sz w:val="16"/>
                <w:szCs w:val="16"/>
              </w:rPr>
              <w:br/>
              <w:t>Not 3</w:t>
            </w:r>
            <w:r>
              <w:rPr>
                <w:sz w:val="16"/>
                <w:szCs w:val="16"/>
              </w:rPr>
              <w:t>7</w:t>
            </w:r>
          </w:p>
        </w:tc>
        <w:tc>
          <w:tcPr>
            <w:tcW w:w="911" w:type="dxa"/>
          </w:tcPr>
          <w:p w:rsidR="00764560" w:rsidRPr="00E7637B" w:rsidRDefault="00764560" w:rsidP="00764560">
            <w:pPr>
              <w:spacing w:before="60" w:line="200" w:lineRule="exact"/>
              <w:jc w:val="right"/>
              <w:rPr>
                <w:sz w:val="16"/>
                <w:szCs w:val="16"/>
              </w:rPr>
            </w:pPr>
            <w:r>
              <w:rPr>
                <w:sz w:val="16"/>
                <w:szCs w:val="16"/>
              </w:rPr>
              <w:br/>
              <w:t>–62</w:t>
            </w:r>
          </w:p>
        </w:tc>
        <w:tc>
          <w:tcPr>
            <w:tcW w:w="911" w:type="dxa"/>
          </w:tcPr>
          <w:p w:rsidR="00764560" w:rsidRPr="00E7637B" w:rsidRDefault="00764560" w:rsidP="006247DF">
            <w:pPr>
              <w:spacing w:before="60" w:line="200" w:lineRule="exact"/>
              <w:jc w:val="right"/>
              <w:rPr>
                <w:sz w:val="16"/>
                <w:szCs w:val="16"/>
              </w:rPr>
            </w:pPr>
            <w:r>
              <w:rPr>
                <w:sz w:val="16"/>
                <w:szCs w:val="16"/>
              </w:rPr>
              <w:br/>
              <w:t>–48</w:t>
            </w:r>
          </w:p>
        </w:tc>
      </w:tr>
      <w:tr w:rsidR="00764560" w:rsidRPr="00E7637B" w:rsidTr="006247DF">
        <w:trPr>
          <w:cantSplit/>
        </w:trPr>
        <w:tc>
          <w:tcPr>
            <w:tcW w:w="3277" w:type="dxa"/>
          </w:tcPr>
          <w:p w:rsidR="00764560" w:rsidRPr="00E7637B" w:rsidRDefault="00764560" w:rsidP="006247DF">
            <w:pPr>
              <w:jc w:val="left"/>
              <w:rPr>
                <w:sz w:val="16"/>
                <w:szCs w:val="16"/>
              </w:rPr>
            </w:pPr>
            <w:r w:rsidRPr="00E7637B">
              <w:rPr>
                <w:sz w:val="16"/>
                <w:szCs w:val="16"/>
              </w:rPr>
              <w:t>Sedel- och myntkostnader</w:t>
            </w:r>
          </w:p>
        </w:tc>
        <w:tc>
          <w:tcPr>
            <w:tcW w:w="805" w:type="dxa"/>
          </w:tcPr>
          <w:p w:rsidR="00764560" w:rsidRPr="00E7637B" w:rsidRDefault="00764560" w:rsidP="006247DF">
            <w:pPr>
              <w:rPr>
                <w:sz w:val="16"/>
                <w:szCs w:val="16"/>
              </w:rPr>
            </w:pPr>
            <w:r w:rsidRPr="00E7637B">
              <w:rPr>
                <w:sz w:val="16"/>
                <w:szCs w:val="16"/>
              </w:rPr>
              <w:t xml:space="preserve">Not </w:t>
            </w:r>
            <w:r>
              <w:rPr>
                <w:sz w:val="16"/>
                <w:szCs w:val="16"/>
              </w:rPr>
              <w:t>38</w:t>
            </w:r>
          </w:p>
        </w:tc>
        <w:tc>
          <w:tcPr>
            <w:tcW w:w="911" w:type="dxa"/>
            <w:tcBorders>
              <w:bottom w:val="single" w:sz="4" w:space="0" w:color="auto"/>
            </w:tcBorders>
          </w:tcPr>
          <w:p w:rsidR="00764560" w:rsidRPr="00E7637B" w:rsidRDefault="00764560" w:rsidP="00764560">
            <w:pPr>
              <w:jc w:val="right"/>
              <w:rPr>
                <w:sz w:val="16"/>
                <w:szCs w:val="16"/>
              </w:rPr>
            </w:pPr>
            <w:r>
              <w:rPr>
                <w:sz w:val="16"/>
                <w:szCs w:val="16"/>
              </w:rPr>
              <w:t>–172</w:t>
            </w:r>
          </w:p>
        </w:tc>
        <w:tc>
          <w:tcPr>
            <w:tcW w:w="911" w:type="dxa"/>
            <w:tcBorders>
              <w:bottom w:val="single" w:sz="4" w:space="0" w:color="auto"/>
            </w:tcBorders>
          </w:tcPr>
          <w:p w:rsidR="00764560" w:rsidRPr="00E7637B" w:rsidRDefault="00764560" w:rsidP="006247DF">
            <w:pPr>
              <w:jc w:val="right"/>
              <w:rPr>
                <w:sz w:val="16"/>
                <w:szCs w:val="16"/>
              </w:rPr>
            </w:pPr>
            <w:r>
              <w:rPr>
                <w:sz w:val="16"/>
                <w:szCs w:val="16"/>
              </w:rPr>
              <w:t>–51</w:t>
            </w:r>
          </w:p>
        </w:tc>
      </w:tr>
      <w:tr w:rsidR="00764560" w:rsidRPr="00E7637B" w:rsidTr="006247DF">
        <w:trPr>
          <w:cantSplit/>
        </w:trPr>
        <w:tc>
          <w:tcPr>
            <w:tcW w:w="3277" w:type="dxa"/>
          </w:tcPr>
          <w:p w:rsidR="00764560" w:rsidRPr="00E7637B" w:rsidRDefault="00764560" w:rsidP="006247DF">
            <w:pPr>
              <w:jc w:val="left"/>
              <w:rPr>
                <w:b/>
                <w:sz w:val="16"/>
                <w:szCs w:val="16"/>
              </w:rPr>
            </w:pPr>
            <w:r w:rsidRPr="00E7637B">
              <w:rPr>
                <w:b/>
                <w:sz w:val="16"/>
                <w:szCs w:val="16"/>
              </w:rPr>
              <w:t>Summa kostnader</w:t>
            </w:r>
          </w:p>
        </w:tc>
        <w:tc>
          <w:tcPr>
            <w:tcW w:w="805" w:type="dxa"/>
          </w:tcPr>
          <w:p w:rsidR="00764560" w:rsidRPr="00E7637B" w:rsidRDefault="00764560" w:rsidP="006247DF">
            <w:pPr>
              <w:rPr>
                <w:sz w:val="16"/>
                <w:szCs w:val="16"/>
              </w:rPr>
            </w:pPr>
          </w:p>
        </w:tc>
        <w:tc>
          <w:tcPr>
            <w:tcW w:w="911" w:type="dxa"/>
          </w:tcPr>
          <w:p w:rsidR="00764560" w:rsidRPr="00E7637B" w:rsidRDefault="00764560" w:rsidP="00764560">
            <w:pPr>
              <w:jc w:val="right"/>
              <w:rPr>
                <w:sz w:val="16"/>
                <w:szCs w:val="16"/>
              </w:rPr>
            </w:pPr>
            <w:r>
              <w:rPr>
                <w:sz w:val="16"/>
                <w:szCs w:val="16"/>
              </w:rPr>
              <w:t>–917</w:t>
            </w:r>
          </w:p>
        </w:tc>
        <w:tc>
          <w:tcPr>
            <w:tcW w:w="911" w:type="dxa"/>
          </w:tcPr>
          <w:p w:rsidR="00764560" w:rsidRPr="00E7637B" w:rsidRDefault="00764560" w:rsidP="006247DF">
            <w:pPr>
              <w:jc w:val="right"/>
              <w:rPr>
                <w:sz w:val="16"/>
                <w:szCs w:val="16"/>
              </w:rPr>
            </w:pPr>
            <w:r>
              <w:rPr>
                <w:sz w:val="16"/>
                <w:szCs w:val="16"/>
              </w:rPr>
              <w:t>–790</w:t>
            </w:r>
          </w:p>
        </w:tc>
      </w:tr>
      <w:tr w:rsidR="00764560" w:rsidRPr="00E7637B" w:rsidTr="006247DF">
        <w:trPr>
          <w:cantSplit/>
        </w:trPr>
        <w:tc>
          <w:tcPr>
            <w:tcW w:w="3277" w:type="dxa"/>
          </w:tcPr>
          <w:p w:rsidR="00764560" w:rsidRPr="00E7637B" w:rsidRDefault="00764560" w:rsidP="006247DF">
            <w:pPr>
              <w:jc w:val="left"/>
              <w:rPr>
                <w:sz w:val="16"/>
                <w:szCs w:val="16"/>
              </w:rPr>
            </w:pPr>
          </w:p>
        </w:tc>
        <w:tc>
          <w:tcPr>
            <w:tcW w:w="805" w:type="dxa"/>
          </w:tcPr>
          <w:p w:rsidR="00764560" w:rsidRPr="00E7637B" w:rsidRDefault="00764560" w:rsidP="006247DF">
            <w:pPr>
              <w:rPr>
                <w:sz w:val="16"/>
                <w:szCs w:val="16"/>
              </w:rPr>
            </w:pPr>
          </w:p>
        </w:tc>
        <w:tc>
          <w:tcPr>
            <w:tcW w:w="911" w:type="dxa"/>
          </w:tcPr>
          <w:p w:rsidR="00764560" w:rsidRPr="00E7637B" w:rsidRDefault="00764560" w:rsidP="006247DF">
            <w:pPr>
              <w:jc w:val="right"/>
              <w:rPr>
                <w:sz w:val="16"/>
                <w:szCs w:val="16"/>
              </w:rPr>
            </w:pPr>
          </w:p>
        </w:tc>
        <w:tc>
          <w:tcPr>
            <w:tcW w:w="911" w:type="dxa"/>
          </w:tcPr>
          <w:p w:rsidR="00764560" w:rsidRPr="00E7637B" w:rsidRDefault="00764560" w:rsidP="006247DF">
            <w:pPr>
              <w:jc w:val="right"/>
              <w:rPr>
                <w:sz w:val="16"/>
                <w:szCs w:val="16"/>
              </w:rPr>
            </w:pPr>
          </w:p>
        </w:tc>
      </w:tr>
      <w:tr w:rsidR="00764560" w:rsidRPr="00E7637B" w:rsidTr="006247DF">
        <w:trPr>
          <w:cantSplit/>
        </w:trPr>
        <w:tc>
          <w:tcPr>
            <w:tcW w:w="3277" w:type="dxa"/>
            <w:tcBorders>
              <w:bottom w:val="single" w:sz="4" w:space="0" w:color="auto"/>
            </w:tcBorders>
          </w:tcPr>
          <w:p w:rsidR="00764560" w:rsidRPr="00E7637B" w:rsidRDefault="00764560" w:rsidP="006247DF">
            <w:pPr>
              <w:jc w:val="left"/>
              <w:rPr>
                <w:b/>
                <w:sz w:val="16"/>
                <w:szCs w:val="16"/>
              </w:rPr>
            </w:pPr>
            <w:r w:rsidRPr="00E7637B">
              <w:rPr>
                <w:b/>
                <w:sz w:val="16"/>
                <w:szCs w:val="16"/>
              </w:rPr>
              <w:t>Årets resultat</w:t>
            </w:r>
          </w:p>
        </w:tc>
        <w:tc>
          <w:tcPr>
            <w:tcW w:w="805" w:type="dxa"/>
            <w:tcBorders>
              <w:bottom w:val="single" w:sz="4" w:space="0" w:color="auto"/>
            </w:tcBorders>
          </w:tcPr>
          <w:p w:rsidR="00764560" w:rsidRPr="00E7637B" w:rsidRDefault="00764560" w:rsidP="006247DF">
            <w:pPr>
              <w:rPr>
                <w:sz w:val="16"/>
                <w:szCs w:val="16"/>
              </w:rPr>
            </w:pPr>
          </w:p>
        </w:tc>
        <w:tc>
          <w:tcPr>
            <w:tcW w:w="911" w:type="dxa"/>
            <w:tcBorders>
              <w:top w:val="single" w:sz="4" w:space="0" w:color="auto"/>
              <w:bottom w:val="single" w:sz="4" w:space="0" w:color="auto"/>
            </w:tcBorders>
          </w:tcPr>
          <w:p w:rsidR="00764560" w:rsidRPr="000579CD" w:rsidRDefault="00764560" w:rsidP="00764560">
            <w:pPr>
              <w:jc w:val="right"/>
              <w:rPr>
                <w:b/>
                <w:sz w:val="16"/>
                <w:szCs w:val="16"/>
              </w:rPr>
            </w:pPr>
            <w:r>
              <w:rPr>
                <w:b/>
                <w:sz w:val="16"/>
                <w:szCs w:val="16"/>
              </w:rPr>
              <w:t>3 267</w:t>
            </w:r>
          </w:p>
        </w:tc>
        <w:tc>
          <w:tcPr>
            <w:tcW w:w="911" w:type="dxa"/>
            <w:tcBorders>
              <w:top w:val="single" w:sz="4" w:space="0" w:color="auto"/>
              <w:bottom w:val="single" w:sz="4" w:space="0" w:color="auto"/>
            </w:tcBorders>
          </w:tcPr>
          <w:p w:rsidR="00764560" w:rsidRPr="00E7637B" w:rsidRDefault="00764560" w:rsidP="006247DF">
            <w:pPr>
              <w:jc w:val="right"/>
              <w:rPr>
                <w:b/>
                <w:sz w:val="16"/>
                <w:szCs w:val="16"/>
              </w:rPr>
            </w:pPr>
            <w:r w:rsidRPr="000579CD">
              <w:rPr>
                <w:b/>
                <w:sz w:val="16"/>
                <w:szCs w:val="16"/>
              </w:rPr>
              <w:t>–2 011</w:t>
            </w:r>
          </w:p>
        </w:tc>
      </w:tr>
    </w:tbl>
    <w:p w:rsidR="006247DF" w:rsidRPr="00E7637B" w:rsidRDefault="006247DF" w:rsidP="006247DF">
      <w:pPr>
        <w:pStyle w:val="Normaltindrag"/>
      </w:pPr>
    </w:p>
    <w:p w:rsidR="006247DF" w:rsidRPr="00E7637B" w:rsidRDefault="006247DF" w:rsidP="006247DF">
      <w:pPr>
        <w:pStyle w:val="Rubrik1"/>
        <w:spacing w:after="120"/>
      </w:pPr>
      <w:r>
        <w:br w:type="page"/>
      </w:r>
      <w:bookmarkStart w:id="47" w:name="_Toc408946426"/>
      <w:bookmarkEnd w:id="45"/>
      <w:bookmarkEnd w:id="46"/>
      <w:r w:rsidRPr="003B0F0F">
        <w:t>Kassaflödesanalys</w:t>
      </w:r>
      <w:bookmarkEnd w:id="47"/>
    </w:p>
    <w:p w:rsidR="006247DF" w:rsidRPr="00E7637B" w:rsidRDefault="006247DF" w:rsidP="006247DF">
      <w:pPr>
        <w:rPr>
          <w:i/>
        </w:rPr>
      </w:pPr>
      <w:r w:rsidRPr="00E7637B">
        <w:rPr>
          <w:i/>
        </w:rPr>
        <w:t>Miljoner kronor</w:t>
      </w:r>
    </w:p>
    <w:tbl>
      <w:tblPr>
        <w:tblW w:w="6136" w:type="dxa"/>
        <w:tblInd w:w="70" w:type="dxa"/>
        <w:tblLayout w:type="fixed"/>
        <w:tblCellMar>
          <w:left w:w="70" w:type="dxa"/>
          <w:right w:w="70" w:type="dxa"/>
        </w:tblCellMar>
        <w:tblLook w:val="0000" w:firstRow="0" w:lastRow="0" w:firstColumn="0" w:lastColumn="0" w:noHBand="0" w:noVBand="0"/>
      </w:tblPr>
      <w:tblGrid>
        <w:gridCol w:w="3982"/>
        <w:gridCol w:w="1077"/>
        <w:gridCol w:w="1077"/>
      </w:tblGrid>
      <w:tr w:rsidR="006247DF" w:rsidRPr="00E7637B" w:rsidTr="006247DF">
        <w:trPr>
          <w:trHeight w:val="255"/>
        </w:trPr>
        <w:tc>
          <w:tcPr>
            <w:tcW w:w="3982" w:type="dxa"/>
            <w:tcBorders>
              <w:top w:val="single" w:sz="4" w:space="0" w:color="auto"/>
              <w:left w:val="nil"/>
              <w:bottom w:val="nil"/>
              <w:right w:val="nil"/>
            </w:tcBorders>
            <w:shd w:val="clear" w:color="auto" w:fill="auto"/>
            <w:noWrap/>
            <w:vAlign w:val="bottom"/>
          </w:tcPr>
          <w:p w:rsidR="006247DF" w:rsidRPr="00E7637B" w:rsidRDefault="006247DF" w:rsidP="006247DF">
            <w:pPr>
              <w:jc w:val="left"/>
              <w:rPr>
                <w:b/>
                <w:bCs/>
                <w:sz w:val="16"/>
                <w:szCs w:val="16"/>
              </w:rPr>
            </w:pPr>
            <w:r w:rsidRPr="00E7637B">
              <w:rPr>
                <w:b/>
                <w:bCs/>
                <w:sz w:val="16"/>
                <w:szCs w:val="16"/>
              </w:rPr>
              <w:t>LÖPANDE VERKSAMHET</w:t>
            </w:r>
          </w:p>
        </w:tc>
        <w:tc>
          <w:tcPr>
            <w:tcW w:w="1077" w:type="dxa"/>
            <w:tcBorders>
              <w:top w:val="single" w:sz="4" w:space="0" w:color="auto"/>
              <w:left w:val="nil"/>
              <w:bottom w:val="single" w:sz="4" w:space="0" w:color="auto"/>
              <w:right w:val="nil"/>
            </w:tcBorders>
            <w:shd w:val="clear" w:color="auto" w:fill="auto"/>
            <w:noWrap/>
            <w:vAlign w:val="bottom"/>
          </w:tcPr>
          <w:p w:rsidR="006247DF" w:rsidRPr="00E7637B" w:rsidRDefault="006247DF" w:rsidP="00375A8D">
            <w:pPr>
              <w:jc w:val="right"/>
              <w:rPr>
                <w:bCs/>
                <w:sz w:val="16"/>
                <w:szCs w:val="16"/>
              </w:rPr>
            </w:pPr>
            <w:r>
              <w:rPr>
                <w:bCs/>
                <w:sz w:val="16"/>
                <w:szCs w:val="16"/>
              </w:rPr>
              <w:t>201</w:t>
            </w:r>
            <w:r w:rsidR="00764560">
              <w:rPr>
                <w:bCs/>
                <w:sz w:val="16"/>
                <w:szCs w:val="16"/>
              </w:rPr>
              <w:t>4</w:t>
            </w:r>
            <w:r>
              <w:rPr>
                <w:bCs/>
                <w:sz w:val="16"/>
                <w:szCs w:val="16"/>
              </w:rPr>
              <w:t>-12-31</w:t>
            </w:r>
          </w:p>
        </w:tc>
        <w:tc>
          <w:tcPr>
            <w:tcW w:w="1077" w:type="dxa"/>
            <w:tcBorders>
              <w:top w:val="single" w:sz="4" w:space="0" w:color="auto"/>
              <w:left w:val="nil"/>
              <w:bottom w:val="single" w:sz="4" w:space="0" w:color="auto"/>
              <w:right w:val="nil"/>
            </w:tcBorders>
            <w:shd w:val="clear" w:color="auto" w:fill="auto"/>
            <w:noWrap/>
            <w:vAlign w:val="bottom"/>
          </w:tcPr>
          <w:p w:rsidR="006247DF" w:rsidRPr="00E7637B" w:rsidRDefault="006247DF" w:rsidP="00764560">
            <w:pPr>
              <w:jc w:val="right"/>
              <w:rPr>
                <w:bCs/>
                <w:sz w:val="16"/>
                <w:szCs w:val="16"/>
              </w:rPr>
            </w:pPr>
            <w:r>
              <w:rPr>
                <w:bCs/>
                <w:sz w:val="16"/>
                <w:szCs w:val="16"/>
              </w:rPr>
              <w:t>201</w:t>
            </w:r>
            <w:r w:rsidR="00764560">
              <w:rPr>
                <w:bCs/>
                <w:sz w:val="16"/>
                <w:szCs w:val="16"/>
              </w:rPr>
              <w:t>3</w:t>
            </w:r>
            <w:r>
              <w:rPr>
                <w:bCs/>
                <w:sz w:val="16"/>
                <w:szCs w:val="16"/>
              </w:rPr>
              <w:t>-12-31</w:t>
            </w:r>
          </w:p>
        </w:tc>
      </w:tr>
      <w:tr w:rsidR="006247DF" w:rsidRPr="00E7637B" w:rsidTr="006247DF">
        <w:trPr>
          <w:trHeight w:val="255"/>
        </w:trPr>
        <w:tc>
          <w:tcPr>
            <w:tcW w:w="3982" w:type="dxa"/>
            <w:tcBorders>
              <w:top w:val="nil"/>
              <w:left w:val="nil"/>
              <w:bottom w:val="nil"/>
              <w:right w:val="nil"/>
            </w:tcBorders>
            <w:shd w:val="clear" w:color="auto" w:fill="auto"/>
            <w:noWrap/>
            <w:vAlign w:val="bottom"/>
          </w:tcPr>
          <w:p w:rsidR="006247DF" w:rsidRPr="00E7637B" w:rsidRDefault="006247DF" w:rsidP="006247DF">
            <w:pPr>
              <w:jc w:val="left"/>
              <w:rPr>
                <w:i/>
                <w:iCs/>
                <w:sz w:val="16"/>
                <w:szCs w:val="16"/>
              </w:rPr>
            </w:pPr>
            <w:r w:rsidRPr="00E7637B">
              <w:rPr>
                <w:i/>
                <w:iCs/>
                <w:sz w:val="16"/>
                <w:szCs w:val="16"/>
              </w:rPr>
              <w:t>Kassaflöde från den löpande verksamhetens resultat</w:t>
            </w:r>
          </w:p>
        </w:tc>
        <w:tc>
          <w:tcPr>
            <w:tcW w:w="1077" w:type="dxa"/>
            <w:tcBorders>
              <w:top w:val="nil"/>
              <w:left w:val="nil"/>
              <w:bottom w:val="nil"/>
              <w:right w:val="nil"/>
            </w:tcBorders>
            <w:shd w:val="clear" w:color="auto" w:fill="auto"/>
            <w:noWrap/>
            <w:vAlign w:val="bottom"/>
          </w:tcPr>
          <w:p w:rsidR="006247DF" w:rsidRPr="00E7637B" w:rsidRDefault="006247DF" w:rsidP="006247DF">
            <w:pPr>
              <w:rPr>
                <w:sz w:val="16"/>
                <w:szCs w:val="16"/>
              </w:rPr>
            </w:pPr>
          </w:p>
        </w:tc>
        <w:tc>
          <w:tcPr>
            <w:tcW w:w="1077" w:type="dxa"/>
            <w:tcBorders>
              <w:top w:val="nil"/>
              <w:left w:val="nil"/>
              <w:bottom w:val="nil"/>
              <w:right w:val="nil"/>
            </w:tcBorders>
            <w:shd w:val="clear" w:color="auto" w:fill="auto"/>
            <w:noWrap/>
            <w:vAlign w:val="bottom"/>
          </w:tcPr>
          <w:p w:rsidR="006247DF" w:rsidRPr="00E7637B" w:rsidRDefault="006247DF" w:rsidP="006247DF">
            <w:pPr>
              <w:rPr>
                <w:sz w:val="16"/>
                <w:szCs w:val="16"/>
              </w:rPr>
            </w:pPr>
          </w:p>
        </w:tc>
      </w:tr>
      <w:tr w:rsidR="00764560" w:rsidRPr="00E7637B" w:rsidTr="006247DF">
        <w:trPr>
          <w:trHeight w:val="263"/>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Erhållna räntor</w:t>
            </w:r>
          </w:p>
        </w:tc>
        <w:tc>
          <w:tcPr>
            <w:tcW w:w="1077" w:type="dxa"/>
            <w:tcBorders>
              <w:top w:val="nil"/>
              <w:left w:val="nil"/>
              <w:bottom w:val="nil"/>
              <w:right w:val="nil"/>
            </w:tcBorders>
            <w:shd w:val="clear" w:color="auto" w:fill="auto"/>
            <w:noWrap/>
            <w:vAlign w:val="bottom"/>
          </w:tcPr>
          <w:p w:rsidR="00764560" w:rsidRPr="00C15395" w:rsidRDefault="003B0F0F" w:rsidP="003B0F0F">
            <w:pPr>
              <w:jc w:val="right"/>
              <w:rPr>
                <w:sz w:val="16"/>
                <w:szCs w:val="16"/>
              </w:rPr>
            </w:pPr>
            <w:r>
              <w:rPr>
                <w:sz w:val="16"/>
                <w:szCs w:val="16"/>
              </w:rPr>
              <w:t>4 458</w:t>
            </w:r>
          </w:p>
        </w:tc>
        <w:tc>
          <w:tcPr>
            <w:tcW w:w="1077" w:type="dxa"/>
            <w:tcBorders>
              <w:top w:val="nil"/>
              <w:left w:val="nil"/>
              <w:bottom w:val="nil"/>
              <w:right w:val="nil"/>
            </w:tcBorders>
            <w:shd w:val="clear" w:color="auto" w:fill="auto"/>
            <w:noWrap/>
            <w:vAlign w:val="bottom"/>
          </w:tcPr>
          <w:p w:rsidR="00764560" w:rsidRPr="00C15395" w:rsidRDefault="00764560" w:rsidP="006247DF">
            <w:pPr>
              <w:jc w:val="right"/>
              <w:rPr>
                <w:sz w:val="16"/>
                <w:szCs w:val="16"/>
              </w:rPr>
            </w:pPr>
            <w:r>
              <w:rPr>
                <w:sz w:val="16"/>
                <w:szCs w:val="16"/>
              </w:rPr>
              <w:t>3 434</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Betalda räntor</w:t>
            </w:r>
          </w:p>
        </w:tc>
        <w:tc>
          <w:tcPr>
            <w:tcW w:w="1077" w:type="dxa"/>
            <w:tcBorders>
              <w:top w:val="nil"/>
              <w:left w:val="nil"/>
              <w:bottom w:val="nil"/>
              <w:right w:val="nil"/>
            </w:tcBorders>
            <w:shd w:val="clear" w:color="auto" w:fill="auto"/>
            <w:noWrap/>
            <w:vAlign w:val="bottom"/>
          </w:tcPr>
          <w:p w:rsidR="00764560" w:rsidRPr="00C15395" w:rsidRDefault="003B0F0F" w:rsidP="00375A8D">
            <w:pPr>
              <w:jc w:val="right"/>
              <w:rPr>
                <w:sz w:val="16"/>
                <w:szCs w:val="16"/>
              </w:rPr>
            </w:pPr>
            <w:r>
              <w:rPr>
                <w:sz w:val="16"/>
                <w:szCs w:val="16"/>
              </w:rPr>
              <w:t>–1 573</w:t>
            </w:r>
          </w:p>
        </w:tc>
        <w:tc>
          <w:tcPr>
            <w:tcW w:w="1077" w:type="dxa"/>
            <w:tcBorders>
              <w:top w:val="nil"/>
              <w:left w:val="nil"/>
              <w:bottom w:val="nil"/>
              <w:right w:val="nil"/>
            </w:tcBorders>
            <w:shd w:val="clear" w:color="auto" w:fill="auto"/>
            <w:noWrap/>
            <w:vAlign w:val="bottom"/>
          </w:tcPr>
          <w:p w:rsidR="00764560" w:rsidRPr="00C15395" w:rsidRDefault="00764560" w:rsidP="006247DF">
            <w:pPr>
              <w:jc w:val="right"/>
              <w:rPr>
                <w:sz w:val="16"/>
                <w:szCs w:val="16"/>
              </w:rPr>
            </w:pPr>
            <w:r>
              <w:rPr>
                <w:sz w:val="16"/>
                <w:szCs w:val="16"/>
              </w:rPr>
              <w:t>–1 249</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Erhållet netto av finansiella transaktioner</w:t>
            </w:r>
          </w:p>
        </w:tc>
        <w:tc>
          <w:tcPr>
            <w:tcW w:w="1077" w:type="dxa"/>
            <w:tcBorders>
              <w:top w:val="nil"/>
              <w:left w:val="nil"/>
              <w:bottom w:val="nil"/>
              <w:right w:val="nil"/>
            </w:tcBorders>
            <w:shd w:val="clear" w:color="auto" w:fill="auto"/>
            <w:noWrap/>
            <w:vAlign w:val="bottom"/>
          </w:tcPr>
          <w:p w:rsidR="00764560" w:rsidRPr="00C15395" w:rsidRDefault="003B0F0F" w:rsidP="003B0F0F">
            <w:pPr>
              <w:jc w:val="right"/>
              <w:rPr>
                <w:sz w:val="16"/>
                <w:szCs w:val="16"/>
              </w:rPr>
            </w:pPr>
            <w:r>
              <w:rPr>
                <w:sz w:val="16"/>
                <w:szCs w:val="16"/>
              </w:rPr>
              <w:t>1 921</w:t>
            </w:r>
          </w:p>
        </w:tc>
        <w:tc>
          <w:tcPr>
            <w:tcW w:w="1077" w:type="dxa"/>
            <w:tcBorders>
              <w:top w:val="nil"/>
              <w:left w:val="nil"/>
              <w:bottom w:val="nil"/>
              <w:right w:val="nil"/>
            </w:tcBorders>
            <w:shd w:val="clear" w:color="auto" w:fill="auto"/>
            <w:noWrap/>
            <w:vAlign w:val="bottom"/>
          </w:tcPr>
          <w:p w:rsidR="00764560" w:rsidRPr="00C15395" w:rsidRDefault="00764560" w:rsidP="006247DF">
            <w:pPr>
              <w:jc w:val="right"/>
              <w:rPr>
                <w:sz w:val="16"/>
                <w:szCs w:val="16"/>
              </w:rPr>
            </w:pPr>
            <w:r>
              <w:rPr>
                <w:sz w:val="16"/>
                <w:szCs w:val="16"/>
              </w:rPr>
              <w:t>554</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Erhållna avgifter och provisioner</w:t>
            </w: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64</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65</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Betalda avgifter och provisioner</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–15</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–12</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Övriga inbetalningar</w:t>
            </w: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33</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9</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Betalda förvaltningskostnader</w:t>
            </w:r>
          </w:p>
        </w:tc>
        <w:tc>
          <w:tcPr>
            <w:tcW w:w="1077" w:type="dxa"/>
            <w:tcBorders>
              <w:top w:val="nil"/>
              <w:left w:val="nil"/>
              <w:bottom w:val="single" w:sz="4" w:space="0" w:color="auto"/>
              <w:right w:val="nil"/>
            </w:tcBorders>
            <w:shd w:val="clear" w:color="auto" w:fill="auto"/>
            <w:noWrap/>
            <w:vAlign w:val="bottom"/>
          </w:tcPr>
          <w:p w:rsidR="00764560" w:rsidRPr="00C15395" w:rsidRDefault="003B0F0F" w:rsidP="003B0F0F">
            <w:pPr>
              <w:jc w:val="right"/>
              <w:rPr>
                <w:sz w:val="16"/>
                <w:szCs w:val="16"/>
              </w:rPr>
            </w:pPr>
            <w:r>
              <w:rPr>
                <w:sz w:val="16"/>
                <w:szCs w:val="16"/>
              </w:rPr>
              <w:t>–914</w:t>
            </w:r>
          </w:p>
        </w:tc>
        <w:tc>
          <w:tcPr>
            <w:tcW w:w="1077" w:type="dxa"/>
            <w:tcBorders>
              <w:top w:val="nil"/>
              <w:left w:val="nil"/>
              <w:bottom w:val="single" w:sz="4" w:space="0" w:color="auto"/>
              <w:right w:val="nil"/>
            </w:tcBorders>
            <w:shd w:val="clear" w:color="auto" w:fill="auto"/>
            <w:noWrap/>
            <w:vAlign w:val="bottom"/>
          </w:tcPr>
          <w:p w:rsidR="00764560" w:rsidRPr="00C15395" w:rsidRDefault="00764560" w:rsidP="006247DF">
            <w:pPr>
              <w:jc w:val="right"/>
              <w:rPr>
                <w:sz w:val="16"/>
                <w:szCs w:val="16"/>
              </w:rPr>
            </w:pPr>
            <w:r>
              <w:rPr>
                <w:sz w:val="16"/>
                <w:szCs w:val="16"/>
              </w:rPr>
              <w:t>–755</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3 974</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2 046</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i/>
                <w:iCs/>
                <w:sz w:val="16"/>
                <w:szCs w:val="16"/>
              </w:rPr>
            </w:pPr>
            <w:r w:rsidRPr="00E7637B">
              <w:rPr>
                <w:i/>
                <w:iCs/>
                <w:sz w:val="16"/>
                <w:szCs w:val="16"/>
              </w:rPr>
              <w:t xml:space="preserve">Kassaflöde från den löpande verksamhetens tillgångar </w:t>
            </w: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Fordringar på IMF</w:t>
            </w: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5 397</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992</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Värdepapper</w:t>
            </w:r>
            <w:r w:rsidR="004B74DC">
              <w:rPr>
                <w:sz w:val="16"/>
                <w:szCs w:val="16"/>
              </w:rPr>
              <w:t xml:space="preserve"> i utländsk valuta</w:t>
            </w: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–13 027</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–82 273</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Pr>
                <w:sz w:val="16"/>
                <w:szCs w:val="16"/>
              </w:rPr>
              <w:t>Värdepapper i svenska kronor</w:t>
            </w:r>
          </w:p>
        </w:tc>
        <w:tc>
          <w:tcPr>
            <w:tcW w:w="1077" w:type="dxa"/>
            <w:tcBorders>
              <w:top w:val="nil"/>
              <w:left w:val="nil"/>
              <w:right w:val="nil"/>
            </w:tcBorders>
            <w:shd w:val="clear" w:color="auto" w:fill="auto"/>
            <w:noWrap/>
            <w:vAlign w:val="bottom"/>
          </w:tcPr>
          <w:p w:rsidR="00764560" w:rsidRDefault="003B0F0F" w:rsidP="003B0F0F">
            <w:pPr>
              <w:jc w:val="right"/>
              <w:rPr>
                <w:sz w:val="16"/>
                <w:szCs w:val="16"/>
              </w:rPr>
            </w:pPr>
            <w:r>
              <w:rPr>
                <w:sz w:val="16"/>
                <w:szCs w:val="16"/>
              </w:rPr>
              <w:t>–960</w:t>
            </w:r>
          </w:p>
        </w:tc>
        <w:tc>
          <w:tcPr>
            <w:tcW w:w="1077" w:type="dxa"/>
            <w:tcBorders>
              <w:top w:val="nil"/>
              <w:left w:val="nil"/>
              <w:right w:val="nil"/>
            </w:tcBorders>
            <w:shd w:val="clear" w:color="auto" w:fill="auto"/>
            <w:noWrap/>
            <w:vAlign w:val="bottom"/>
          </w:tcPr>
          <w:p w:rsidR="00764560" w:rsidRDefault="00764560" w:rsidP="006247DF">
            <w:pPr>
              <w:jc w:val="right"/>
              <w:rPr>
                <w:sz w:val="16"/>
                <w:szCs w:val="16"/>
              </w:rPr>
            </w:pPr>
            <w:r>
              <w:rPr>
                <w:sz w:val="16"/>
                <w:szCs w:val="16"/>
              </w:rPr>
              <w:t>–6 381</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Övriga tillgångsposter</w:t>
            </w:r>
          </w:p>
        </w:tc>
        <w:tc>
          <w:tcPr>
            <w:tcW w:w="1077" w:type="dxa"/>
            <w:tcBorders>
              <w:left w:val="nil"/>
              <w:bottom w:val="single" w:sz="4" w:space="0" w:color="auto"/>
              <w:right w:val="nil"/>
            </w:tcBorders>
            <w:shd w:val="clear" w:color="auto" w:fill="auto"/>
            <w:noWrap/>
            <w:vAlign w:val="bottom"/>
          </w:tcPr>
          <w:p w:rsidR="00764560" w:rsidRPr="00E7637B" w:rsidRDefault="003B0F0F" w:rsidP="003B0F0F">
            <w:pPr>
              <w:jc w:val="right"/>
              <w:rPr>
                <w:sz w:val="16"/>
                <w:szCs w:val="16"/>
              </w:rPr>
            </w:pPr>
            <w:r>
              <w:rPr>
                <w:sz w:val="16"/>
                <w:szCs w:val="16"/>
              </w:rPr>
              <w:t>2</w:t>
            </w:r>
          </w:p>
        </w:tc>
        <w:tc>
          <w:tcPr>
            <w:tcW w:w="1077" w:type="dxa"/>
            <w:tcBorders>
              <w:left w:val="nil"/>
              <w:bottom w:val="single" w:sz="4" w:space="0" w:color="auto"/>
              <w:right w:val="nil"/>
            </w:tcBorders>
            <w:shd w:val="clear" w:color="auto" w:fill="auto"/>
            <w:noWrap/>
            <w:vAlign w:val="bottom"/>
          </w:tcPr>
          <w:p w:rsidR="00764560" w:rsidRPr="00E7637B" w:rsidRDefault="00764560" w:rsidP="006247DF">
            <w:pPr>
              <w:jc w:val="right"/>
              <w:rPr>
                <w:sz w:val="16"/>
                <w:szCs w:val="16"/>
              </w:rPr>
            </w:pPr>
            <w:r>
              <w:rPr>
                <w:sz w:val="16"/>
                <w:szCs w:val="16"/>
              </w:rPr>
              <w:t>–16</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b/>
                <w:bCs/>
                <w:sz w:val="16"/>
                <w:szCs w:val="16"/>
              </w:rPr>
            </w:pP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–8 588</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–87 678</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i/>
                <w:iCs/>
                <w:sz w:val="16"/>
                <w:szCs w:val="16"/>
              </w:rPr>
            </w:pPr>
            <w:r w:rsidRPr="00E7637B">
              <w:rPr>
                <w:i/>
                <w:iCs/>
                <w:sz w:val="16"/>
                <w:szCs w:val="16"/>
              </w:rPr>
              <w:t>Kassaflöde från den löpande verksamhetens skulder</w:t>
            </w: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Utelöpande sedlar och mynt</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–2 476</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–10 724</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 xml:space="preserve">Skulder i svenska kronor till kreditinstitut i Sverige </w:t>
            </w:r>
            <w:r>
              <w:rPr>
                <w:sz w:val="16"/>
                <w:szCs w:val="16"/>
              </w:rPr>
              <w:br/>
            </w:r>
            <w:r w:rsidRPr="00E7637B">
              <w:rPr>
                <w:sz w:val="16"/>
                <w:szCs w:val="16"/>
              </w:rPr>
              <w:t>relaterade till penningpolitiska transaktioner</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–6 862</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–4 489</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Emitterade skuldcertifikat</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10 015</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21 991</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pacing w:val="-2"/>
                <w:sz w:val="16"/>
                <w:szCs w:val="16"/>
              </w:rPr>
            </w:pPr>
            <w:r w:rsidRPr="00E7637B">
              <w:rPr>
                <w:spacing w:val="-2"/>
                <w:sz w:val="16"/>
                <w:szCs w:val="16"/>
              </w:rPr>
              <w:t>Skulder i svenska kronor till hemmahörande utanför Sverige</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1 276</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551</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pacing w:val="-2"/>
                <w:sz w:val="16"/>
                <w:szCs w:val="16"/>
              </w:rPr>
            </w:pPr>
            <w:r w:rsidRPr="00E7637B">
              <w:rPr>
                <w:spacing w:val="-2"/>
                <w:sz w:val="16"/>
                <w:szCs w:val="16"/>
              </w:rPr>
              <w:t>Skulder i utländsk valuta till hemmahörande i Sverige</w:t>
            </w: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3 796</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103 356</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r w:rsidRPr="00E7637B">
              <w:rPr>
                <w:sz w:val="16"/>
                <w:szCs w:val="16"/>
              </w:rPr>
              <w:t>Övriga skuldposter</w:t>
            </w:r>
          </w:p>
        </w:tc>
        <w:tc>
          <w:tcPr>
            <w:tcW w:w="1077" w:type="dxa"/>
            <w:tcBorders>
              <w:top w:val="nil"/>
              <w:left w:val="nil"/>
              <w:bottom w:val="single" w:sz="4" w:space="0" w:color="auto"/>
              <w:right w:val="nil"/>
            </w:tcBorders>
            <w:shd w:val="clear" w:color="auto" w:fill="auto"/>
            <w:noWrap/>
            <w:vAlign w:val="bottom"/>
          </w:tcPr>
          <w:p w:rsidR="00764560" w:rsidRPr="00E7637B" w:rsidRDefault="003B0F0F" w:rsidP="003B0F0F">
            <w:pPr>
              <w:jc w:val="right"/>
              <w:rPr>
                <w:sz w:val="16"/>
                <w:szCs w:val="16"/>
              </w:rPr>
            </w:pPr>
            <w:r>
              <w:rPr>
                <w:sz w:val="16"/>
                <w:szCs w:val="16"/>
              </w:rPr>
              <w:t>–3 850</w:t>
            </w:r>
          </w:p>
        </w:tc>
        <w:tc>
          <w:tcPr>
            <w:tcW w:w="1077" w:type="dxa"/>
            <w:tcBorders>
              <w:top w:val="nil"/>
              <w:left w:val="nil"/>
              <w:bottom w:val="single" w:sz="4" w:space="0" w:color="auto"/>
              <w:right w:val="nil"/>
            </w:tcBorders>
            <w:shd w:val="clear" w:color="auto" w:fill="auto"/>
            <w:noWrap/>
            <w:vAlign w:val="bottom"/>
          </w:tcPr>
          <w:p w:rsidR="00764560" w:rsidRPr="00E7637B" w:rsidRDefault="00764560" w:rsidP="006247DF">
            <w:pPr>
              <w:jc w:val="right"/>
              <w:rPr>
                <w:sz w:val="16"/>
                <w:szCs w:val="16"/>
              </w:rPr>
            </w:pPr>
            <w:r>
              <w:rPr>
                <w:sz w:val="16"/>
                <w:szCs w:val="16"/>
              </w:rPr>
              <w:t>–346</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p>
        </w:tc>
        <w:tc>
          <w:tcPr>
            <w:tcW w:w="1077" w:type="dxa"/>
            <w:tcBorders>
              <w:top w:val="nil"/>
              <w:left w:val="nil"/>
              <w:bottom w:val="nil"/>
              <w:right w:val="nil"/>
            </w:tcBorders>
            <w:shd w:val="clear" w:color="auto" w:fill="auto"/>
            <w:noWrap/>
            <w:vAlign w:val="bottom"/>
          </w:tcPr>
          <w:p w:rsidR="00764560" w:rsidRPr="00262BC2" w:rsidRDefault="003B0F0F" w:rsidP="003B0F0F">
            <w:pPr>
              <w:jc w:val="right"/>
              <w:rPr>
                <w:sz w:val="16"/>
                <w:szCs w:val="16"/>
              </w:rPr>
            </w:pPr>
            <w:r>
              <w:rPr>
                <w:sz w:val="16"/>
                <w:szCs w:val="16"/>
              </w:rPr>
              <w:t>1 899</w:t>
            </w:r>
          </w:p>
        </w:tc>
        <w:tc>
          <w:tcPr>
            <w:tcW w:w="1077" w:type="dxa"/>
            <w:tcBorders>
              <w:top w:val="nil"/>
              <w:left w:val="nil"/>
              <w:bottom w:val="nil"/>
              <w:right w:val="nil"/>
            </w:tcBorders>
            <w:shd w:val="clear" w:color="auto" w:fill="auto"/>
            <w:noWrap/>
            <w:vAlign w:val="bottom"/>
          </w:tcPr>
          <w:p w:rsidR="00764560" w:rsidRPr="00262BC2" w:rsidRDefault="00764560" w:rsidP="006247DF">
            <w:pPr>
              <w:jc w:val="right"/>
              <w:rPr>
                <w:sz w:val="16"/>
                <w:szCs w:val="16"/>
              </w:rPr>
            </w:pPr>
            <w:r>
              <w:rPr>
                <w:sz w:val="16"/>
                <w:szCs w:val="16"/>
              </w:rPr>
              <w:t>110 339</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b/>
                <w:bCs/>
                <w:sz w:val="16"/>
                <w:szCs w:val="16"/>
              </w:rPr>
            </w:pPr>
            <w:r w:rsidRPr="00E7637B">
              <w:rPr>
                <w:b/>
                <w:bCs/>
                <w:sz w:val="16"/>
                <w:szCs w:val="16"/>
              </w:rPr>
              <w:t>Kassaflöde från den löpande verksamheten</w:t>
            </w:r>
          </w:p>
        </w:tc>
        <w:tc>
          <w:tcPr>
            <w:tcW w:w="1077" w:type="dxa"/>
            <w:tcBorders>
              <w:top w:val="nil"/>
              <w:left w:val="nil"/>
              <w:bottom w:val="nil"/>
              <w:right w:val="nil"/>
            </w:tcBorders>
            <w:shd w:val="clear" w:color="auto" w:fill="auto"/>
            <w:noWrap/>
            <w:vAlign w:val="bottom"/>
          </w:tcPr>
          <w:p w:rsidR="00764560" w:rsidRPr="00E7637B" w:rsidRDefault="003B0F0F" w:rsidP="003B0F0F">
            <w:pPr>
              <w:jc w:val="right"/>
              <w:rPr>
                <w:sz w:val="16"/>
                <w:szCs w:val="16"/>
              </w:rPr>
            </w:pPr>
            <w:r>
              <w:rPr>
                <w:sz w:val="16"/>
                <w:szCs w:val="16"/>
              </w:rPr>
              <w:t>–2 715</w:t>
            </w:r>
          </w:p>
        </w:tc>
        <w:tc>
          <w:tcPr>
            <w:tcW w:w="1077" w:type="dxa"/>
            <w:tcBorders>
              <w:top w:val="nil"/>
              <w:left w:val="nil"/>
              <w:bottom w:val="nil"/>
              <w:right w:val="nil"/>
            </w:tcBorders>
            <w:shd w:val="clear" w:color="auto" w:fill="auto"/>
            <w:noWrap/>
            <w:vAlign w:val="bottom"/>
          </w:tcPr>
          <w:p w:rsidR="00764560" w:rsidRPr="00E7637B" w:rsidRDefault="00764560" w:rsidP="006247DF">
            <w:pPr>
              <w:jc w:val="right"/>
              <w:rPr>
                <w:sz w:val="16"/>
                <w:szCs w:val="16"/>
              </w:rPr>
            </w:pPr>
            <w:r>
              <w:rPr>
                <w:sz w:val="16"/>
                <w:szCs w:val="16"/>
              </w:rPr>
              <w:t>24 707</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sz w:val="14"/>
                <w:szCs w:val="14"/>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904341" w:rsidRDefault="00764560" w:rsidP="006247DF">
            <w:pPr>
              <w:jc w:val="left"/>
              <w:rPr>
                <w:i/>
                <w:sz w:val="16"/>
                <w:szCs w:val="16"/>
              </w:rPr>
            </w:pPr>
            <w:r w:rsidRPr="00904341">
              <w:rPr>
                <w:i/>
                <w:sz w:val="16"/>
                <w:szCs w:val="16"/>
              </w:rPr>
              <w:t>Tabellen fortsätter på nästa sida.</w:t>
            </w: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nil"/>
              <w:left w:val="nil"/>
              <w:bottom w:val="nil"/>
              <w:right w:val="nil"/>
            </w:tcBorders>
            <w:shd w:val="clear" w:color="auto" w:fill="auto"/>
            <w:noWrap/>
            <w:vAlign w:val="bottom"/>
          </w:tcPr>
          <w:p w:rsidR="00764560" w:rsidRPr="00E7637B" w:rsidRDefault="00764560" w:rsidP="006247DF">
            <w:pPr>
              <w:rPr>
                <w:sz w:val="16"/>
                <w:szCs w:val="16"/>
              </w:rPr>
            </w:pP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pageBreakBefore/>
              <w:jc w:val="left"/>
              <w:rPr>
                <w:b/>
                <w:bCs/>
                <w:sz w:val="16"/>
                <w:szCs w:val="16"/>
              </w:rPr>
            </w:pPr>
          </w:p>
        </w:tc>
        <w:tc>
          <w:tcPr>
            <w:tcW w:w="1077" w:type="dxa"/>
            <w:tcBorders>
              <w:top w:val="nil"/>
              <w:left w:val="nil"/>
              <w:bottom w:val="single" w:sz="4" w:space="0" w:color="auto"/>
              <w:right w:val="nil"/>
            </w:tcBorders>
            <w:shd w:val="clear" w:color="auto" w:fill="auto"/>
            <w:noWrap/>
            <w:vAlign w:val="bottom"/>
          </w:tcPr>
          <w:p w:rsidR="00764560" w:rsidRPr="00E7637B" w:rsidRDefault="00764560" w:rsidP="00375A8D">
            <w:pPr>
              <w:jc w:val="right"/>
              <w:rPr>
                <w:bCs/>
                <w:sz w:val="16"/>
                <w:szCs w:val="16"/>
              </w:rPr>
            </w:pPr>
            <w:r>
              <w:rPr>
                <w:bCs/>
                <w:sz w:val="16"/>
                <w:szCs w:val="16"/>
              </w:rPr>
              <w:t>201</w:t>
            </w:r>
            <w:r w:rsidR="00375A8D">
              <w:rPr>
                <w:bCs/>
                <w:sz w:val="16"/>
                <w:szCs w:val="16"/>
              </w:rPr>
              <w:t>4</w:t>
            </w:r>
            <w:r>
              <w:rPr>
                <w:bCs/>
                <w:sz w:val="16"/>
                <w:szCs w:val="16"/>
              </w:rPr>
              <w:t>-12-31</w:t>
            </w:r>
          </w:p>
        </w:tc>
        <w:tc>
          <w:tcPr>
            <w:tcW w:w="1077" w:type="dxa"/>
            <w:tcBorders>
              <w:top w:val="nil"/>
              <w:left w:val="nil"/>
              <w:bottom w:val="single" w:sz="4" w:space="0" w:color="auto"/>
              <w:right w:val="nil"/>
            </w:tcBorders>
            <w:shd w:val="clear" w:color="auto" w:fill="auto"/>
            <w:noWrap/>
            <w:vAlign w:val="bottom"/>
          </w:tcPr>
          <w:p w:rsidR="00764560" w:rsidRPr="00E7637B" w:rsidRDefault="00764560" w:rsidP="00375A8D">
            <w:pPr>
              <w:jc w:val="right"/>
              <w:rPr>
                <w:bCs/>
                <w:sz w:val="16"/>
                <w:szCs w:val="16"/>
              </w:rPr>
            </w:pPr>
            <w:r>
              <w:rPr>
                <w:bCs/>
                <w:sz w:val="16"/>
                <w:szCs w:val="16"/>
              </w:rPr>
              <w:t>201</w:t>
            </w:r>
            <w:r w:rsidR="00375A8D">
              <w:rPr>
                <w:bCs/>
                <w:sz w:val="16"/>
                <w:szCs w:val="16"/>
              </w:rPr>
              <w:t>3</w:t>
            </w:r>
            <w:r>
              <w:rPr>
                <w:bCs/>
                <w:sz w:val="16"/>
                <w:szCs w:val="16"/>
              </w:rPr>
              <w:t>-12-31</w:t>
            </w:r>
          </w:p>
        </w:tc>
      </w:tr>
      <w:tr w:rsidR="00764560" w:rsidRPr="00E7637B" w:rsidTr="006247DF">
        <w:trPr>
          <w:trHeight w:val="255"/>
        </w:trPr>
        <w:tc>
          <w:tcPr>
            <w:tcW w:w="3982" w:type="dxa"/>
            <w:tcBorders>
              <w:top w:val="nil"/>
              <w:left w:val="nil"/>
              <w:bottom w:val="nil"/>
              <w:right w:val="nil"/>
            </w:tcBorders>
            <w:shd w:val="clear" w:color="auto" w:fill="auto"/>
            <w:noWrap/>
            <w:vAlign w:val="bottom"/>
          </w:tcPr>
          <w:p w:rsidR="00764560" w:rsidRPr="00E7637B" w:rsidRDefault="00764560" w:rsidP="006247DF">
            <w:pPr>
              <w:jc w:val="left"/>
              <w:rPr>
                <w:b/>
                <w:bCs/>
                <w:sz w:val="16"/>
                <w:szCs w:val="16"/>
              </w:rPr>
            </w:pPr>
            <w:r w:rsidRPr="00E7637B">
              <w:rPr>
                <w:b/>
                <w:bCs/>
                <w:sz w:val="16"/>
                <w:szCs w:val="16"/>
              </w:rPr>
              <w:t>INVESTERINGSVERKSAMHET</w:t>
            </w:r>
          </w:p>
        </w:tc>
        <w:tc>
          <w:tcPr>
            <w:tcW w:w="1077" w:type="dxa"/>
            <w:tcBorders>
              <w:top w:val="single" w:sz="4" w:space="0" w:color="auto"/>
              <w:left w:val="nil"/>
              <w:bottom w:val="nil"/>
              <w:right w:val="nil"/>
            </w:tcBorders>
            <w:shd w:val="clear" w:color="auto" w:fill="auto"/>
            <w:noWrap/>
            <w:vAlign w:val="bottom"/>
          </w:tcPr>
          <w:p w:rsidR="00764560" w:rsidRPr="00E7637B" w:rsidRDefault="00764560" w:rsidP="006247DF">
            <w:pPr>
              <w:rPr>
                <w:sz w:val="16"/>
                <w:szCs w:val="16"/>
              </w:rPr>
            </w:pPr>
          </w:p>
        </w:tc>
        <w:tc>
          <w:tcPr>
            <w:tcW w:w="1077" w:type="dxa"/>
            <w:tcBorders>
              <w:top w:val="single" w:sz="4" w:space="0" w:color="auto"/>
              <w:left w:val="nil"/>
              <w:bottom w:val="nil"/>
              <w:right w:val="nil"/>
            </w:tcBorders>
            <w:shd w:val="clear" w:color="auto" w:fill="auto"/>
            <w:noWrap/>
            <w:vAlign w:val="bottom"/>
          </w:tcPr>
          <w:p w:rsidR="00764560" w:rsidRPr="00E7637B" w:rsidRDefault="00764560" w:rsidP="006247DF">
            <w:pPr>
              <w:rPr>
                <w:sz w:val="16"/>
                <w:szCs w:val="16"/>
              </w:rPr>
            </w:pP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spacing w:before="60" w:line="200" w:lineRule="exact"/>
              <w:jc w:val="left"/>
              <w:rPr>
                <w:sz w:val="16"/>
                <w:szCs w:val="16"/>
              </w:rPr>
            </w:pPr>
            <w:r w:rsidRPr="00E7637B">
              <w:rPr>
                <w:sz w:val="16"/>
                <w:szCs w:val="16"/>
              </w:rPr>
              <w:t>Förvärv och avyttringar av materiella och immateriella anläggningstillgångar</w:t>
            </w:r>
          </w:p>
        </w:tc>
        <w:tc>
          <w:tcPr>
            <w:tcW w:w="1077" w:type="dxa"/>
            <w:tcBorders>
              <w:top w:val="nil"/>
              <w:left w:val="nil"/>
              <w:bottom w:val="nil"/>
              <w:right w:val="nil"/>
            </w:tcBorders>
            <w:shd w:val="clear" w:color="auto" w:fill="auto"/>
            <w:noWrap/>
            <w:vAlign w:val="bottom"/>
          </w:tcPr>
          <w:p w:rsidR="00375A8D" w:rsidRPr="00262BC2" w:rsidRDefault="00C81DBD" w:rsidP="00C81DBD">
            <w:pPr>
              <w:jc w:val="right"/>
              <w:rPr>
                <w:sz w:val="16"/>
                <w:szCs w:val="16"/>
              </w:rPr>
            </w:pPr>
            <w:r>
              <w:rPr>
                <w:sz w:val="16"/>
                <w:szCs w:val="16"/>
              </w:rPr>
              <w:t>–43</w:t>
            </w:r>
          </w:p>
        </w:tc>
        <w:tc>
          <w:tcPr>
            <w:tcW w:w="1077" w:type="dxa"/>
            <w:tcBorders>
              <w:top w:val="nil"/>
              <w:left w:val="nil"/>
              <w:bottom w:val="nil"/>
              <w:right w:val="nil"/>
            </w:tcBorders>
            <w:shd w:val="clear" w:color="auto" w:fill="auto"/>
            <w:noWrap/>
            <w:vAlign w:val="bottom"/>
          </w:tcPr>
          <w:p w:rsidR="00375A8D" w:rsidRPr="00262BC2" w:rsidRDefault="00375A8D" w:rsidP="006247DF">
            <w:pPr>
              <w:jc w:val="right"/>
              <w:rPr>
                <w:sz w:val="16"/>
                <w:szCs w:val="16"/>
              </w:rPr>
            </w:pPr>
            <w:r>
              <w:rPr>
                <w:sz w:val="16"/>
                <w:szCs w:val="16"/>
              </w:rPr>
              <w:t>–83</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Pr>
                <w:sz w:val="16"/>
                <w:szCs w:val="16"/>
              </w:rPr>
              <w:t>Förvärv och avyttringar av finansiella tillgångar</w:t>
            </w:r>
          </w:p>
        </w:tc>
        <w:tc>
          <w:tcPr>
            <w:tcW w:w="1077" w:type="dxa"/>
            <w:tcBorders>
              <w:top w:val="nil"/>
              <w:left w:val="nil"/>
              <w:bottom w:val="nil"/>
              <w:right w:val="nil"/>
            </w:tcBorders>
            <w:shd w:val="clear" w:color="auto" w:fill="auto"/>
            <w:noWrap/>
            <w:vAlign w:val="bottom"/>
          </w:tcPr>
          <w:p w:rsidR="00375A8D" w:rsidRPr="00E7637B" w:rsidRDefault="00C81DBD" w:rsidP="00C81DBD">
            <w:pPr>
              <w:jc w:val="right"/>
              <w:rPr>
                <w:sz w:val="16"/>
                <w:szCs w:val="16"/>
              </w:rPr>
            </w:pPr>
            <w:r>
              <w:rPr>
                <w:sz w:val="16"/>
                <w:szCs w:val="16"/>
              </w:rPr>
              <w:t>0</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–1</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Erhållen utdelning</w:t>
            </w:r>
          </w:p>
        </w:tc>
        <w:tc>
          <w:tcPr>
            <w:tcW w:w="1077" w:type="dxa"/>
            <w:tcBorders>
              <w:top w:val="nil"/>
              <w:left w:val="nil"/>
              <w:bottom w:val="single" w:sz="4" w:space="0" w:color="auto"/>
              <w:right w:val="nil"/>
            </w:tcBorders>
            <w:shd w:val="clear" w:color="auto" w:fill="auto"/>
            <w:noWrap/>
            <w:vAlign w:val="bottom"/>
          </w:tcPr>
          <w:p w:rsidR="00375A8D" w:rsidRPr="00E7637B" w:rsidRDefault="00C81DBD" w:rsidP="00C81DBD">
            <w:pPr>
              <w:jc w:val="right"/>
              <w:rPr>
                <w:sz w:val="16"/>
                <w:szCs w:val="16"/>
              </w:rPr>
            </w:pPr>
            <w:r>
              <w:rPr>
                <w:sz w:val="16"/>
                <w:szCs w:val="16"/>
              </w:rPr>
              <w:t>39</w:t>
            </w:r>
          </w:p>
        </w:tc>
        <w:tc>
          <w:tcPr>
            <w:tcW w:w="1077" w:type="dxa"/>
            <w:tcBorders>
              <w:top w:val="nil"/>
              <w:left w:val="nil"/>
              <w:bottom w:val="single" w:sz="4" w:space="0" w:color="auto"/>
              <w:right w:val="nil"/>
            </w:tcBorders>
            <w:shd w:val="clear" w:color="auto" w:fill="auto"/>
            <w:noWrap/>
            <w:vAlign w:val="bottom"/>
          </w:tcPr>
          <w:p w:rsidR="00375A8D" w:rsidRPr="00E7637B" w:rsidRDefault="00375A8D" w:rsidP="006247DF">
            <w:pPr>
              <w:jc w:val="right"/>
              <w:rPr>
                <w:sz w:val="16"/>
                <w:szCs w:val="16"/>
              </w:rPr>
            </w:pPr>
            <w:r>
              <w:rPr>
                <w:sz w:val="16"/>
                <w:szCs w:val="16"/>
              </w:rPr>
              <w:t>55</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Kassaflöde från investeringsverksamheten</w:t>
            </w:r>
          </w:p>
        </w:tc>
        <w:tc>
          <w:tcPr>
            <w:tcW w:w="1077" w:type="dxa"/>
            <w:tcBorders>
              <w:top w:val="nil"/>
              <w:left w:val="nil"/>
              <w:bottom w:val="nil"/>
              <w:right w:val="nil"/>
            </w:tcBorders>
            <w:shd w:val="clear" w:color="auto" w:fill="auto"/>
            <w:noWrap/>
            <w:vAlign w:val="bottom"/>
          </w:tcPr>
          <w:p w:rsidR="00375A8D" w:rsidRPr="00E7637B" w:rsidRDefault="00C81DBD" w:rsidP="00C81DBD">
            <w:pPr>
              <w:jc w:val="right"/>
              <w:rPr>
                <w:sz w:val="16"/>
                <w:szCs w:val="16"/>
              </w:rPr>
            </w:pPr>
            <w:r>
              <w:rPr>
                <w:sz w:val="16"/>
                <w:szCs w:val="16"/>
              </w:rPr>
              <w:t>–4</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–29</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FINANSIERINGSVERKSAMHET</w:t>
            </w: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Inleverans till stats</w:t>
            </w:r>
            <w:r>
              <w:rPr>
                <w:sz w:val="16"/>
                <w:szCs w:val="16"/>
              </w:rPr>
              <w:t>kassan</w:t>
            </w:r>
          </w:p>
        </w:tc>
        <w:tc>
          <w:tcPr>
            <w:tcW w:w="1077" w:type="dxa"/>
            <w:tcBorders>
              <w:top w:val="nil"/>
              <w:left w:val="nil"/>
              <w:bottom w:val="single" w:sz="4" w:space="0" w:color="auto"/>
              <w:right w:val="nil"/>
            </w:tcBorders>
            <w:shd w:val="clear" w:color="auto" w:fill="auto"/>
            <w:noWrap/>
            <w:vAlign w:val="bottom"/>
          </w:tcPr>
          <w:p w:rsidR="00375A8D" w:rsidRPr="00262BC2" w:rsidRDefault="00C81DBD" w:rsidP="00C81DBD">
            <w:pPr>
              <w:jc w:val="right"/>
              <w:rPr>
                <w:sz w:val="16"/>
                <w:szCs w:val="16"/>
              </w:rPr>
            </w:pPr>
            <w:r>
              <w:rPr>
                <w:sz w:val="16"/>
                <w:szCs w:val="16"/>
              </w:rPr>
              <w:t>–3 300</w:t>
            </w:r>
          </w:p>
        </w:tc>
        <w:tc>
          <w:tcPr>
            <w:tcW w:w="1077" w:type="dxa"/>
            <w:tcBorders>
              <w:top w:val="nil"/>
              <w:left w:val="nil"/>
              <w:bottom w:val="single" w:sz="4" w:space="0" w:color="auto"/>
              <w:right w:val="nil"/>
            </w:tcBorders>
            <w:shd w:val="clear" w:color="auto" w:fill="auto"/>
            <w:noWrap/>
            <w:vAlign w:val="bottom"/>
          </w:tcPr>
          <w:p w:rsidR="00375A8D" w:rsidRPr="00262BC2" w:rsidRDefault="00375A8D" w:rsidP="006247DF">
            <w:pPr>
              <w:jc w:val="right"/>
              <w:rPr>
                <w:sz w:val="16"/>
                <w:szCs w:val="16"/>
              </w:rPr>
            </w:pPr>
            <w:r>
              <w:rPr>
                <w:sz w:val="16"/>
                <w:szCs w:val="16"/>
              </w:rPr>
              <w:t>–6 800</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Kassaflöde från finansieringsverksamheten</w:t>
            </w:r>
          </w:p>
        </w:tc>
        <w:tc>
          <w:tcPr>
            <w:tcW w:w="1077" w:type="dxa"/>
            <w:tcBorders>
              <w:top w:val="nil"/>
              <w:left w:val="nil"/>
              <w:bottom w:val="nil"/>
              <w:right w:val="nil"/>
            </w:tcBorders>
            <w:shd w:val="clear" w:color="auto" w:fill="auto"/>
            <w:noWrap/>
            <w:vAlign w:val="bottom"/>
          </w:tcPr>
          <w:p w:rsidR="00375A8D" w:rsidRPr="00262BC2" w:rsidRDefault="00C81DBD" w:rsidP="00C81DBD">
            <w:pPr>
              <w:jc w:val="right"/>
              <w:rPr>
                <w:sz w:val="16"/>
                <w:szCs w:val="16"/>
              </w:rPr>
            </w:pPr>
            <w:r>
              <w:rPr>
                <w:sz w:val="16"/>
                <w:szCs w:val="16"/>
              </w:rPr>
              <w:t>–3 300</w:t>
            </w:r>
          </w:p>
        </w:tc>
        <w:tc>
          <w:tcPr>
            <w:tcW w:w="1077" w:type="dxa"/>
            <w:tcBorders>
              <w:top w:val="nil"/>
              <w:left w:val="nil"/>
              <w:bottom w:val="nil"/>
              <w:right w:val="nil"/>
            </w:tcBorders>
            <w:shd w:val="clear" w:color="auto" w:fill="auto"/>
            <w:noWrap/>
            <w:vAlign w:val="bottom"/>
          </w:tcPr>
          <w:p w:rsidR="00375A8D" w:rsidRPr="00262BC2" w:rsidRDefault="00375A8D" w:rsidP="006247DF">
            <w:pPr>
              <w:jc w:val="right"/>
              <w:rPr>
                <w:sz w:val="16"/>
                <w:szCs w:val="16"/>
              </w:rPr>
            </w:pPr>
            <w:r>
              <w:rPr>
                <w:sz w:val="16"/>
                <w:szCs w:val="16"/>
              </w:rPr>
              <w:t>–6 800</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Periodens kassaflöde</w:t>
            </w:r>
          </w:p>
        </w:tc>
        <w:tc>
          <w:tcPr>
            <w:tcW w:w="1077" w:type="dxa"/>
            <w:tcBorders>
              <w:top w:val="nil"/>
              <w:left w:val="nil"/>
              <w:bottom w:val="nil"/>
              <w:right w:val="nil"/>
            </w:tcBorders>
            <w:shd w:val="clear" w:color="auto" w:fill="auto"/>
            <w:noWrap/>
            <w:vAlign w:val="bottom"/>
          </w:tcPr>
          <w:p w:rsidR="00375A8D" w:rsidRPr="00262BC2" w:rsidRDefault="00A412CC" w:rsidP="00A412CC">
            <w:pPr>
              <w:jc w:val="right"/>
              <w:rPr>
                <w:sz w:val="16"/>
                <w:szCs w:val="16"/>
              </w:rPr>
            </w:pPr>
            <w:r>
              <w:rPr>
                <w:sz w:val="16"/>
                <w:szCs w:val="16"/>
              </w:rPr>
              <w:t>–6 019</w:t>
            </w:r>
          </w:p>
        </w:tc>
        <w:tc>
          <w:tcPr>
            <w:tcW w:w="1077" w:type="dxa"/>
            <w:tcBorders>
              <w:top w:val="nil"/>
              <w:left w:val="nil"/>
              <w:bottom w:val="nil"/>
              <w:right w:val="nil"/>
            </w:tcBorders>
            <w:shd w:val="clear" w:color="auto" w:fill="auto"/>
            <w:noWrap/>
            <w:vAlign w:val="bottom"/>
          </w:tcPr>
          <w:p w:rsidR="00375A8D" w:rsidRPr="00262BC2" w:rsidRDefault="00375A8D" w:rsidP="006247DF">
            <w:pPr>
              <w:jc w:val="right"/>
              <w:rPr>
                <w:sz w:val="16"/>
                <w:szCs w:val="16"/>
              </w:rPr>
            </w:pPr>
            <w:r>
              <w:rPr>
                <w:sz w:val="16"/>
                <w:szCs w:val="16"/>
              </w:rPr>
              <w:t>17 878</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c>
          <w:tcPr>
            <w:tcW w:w="1077" w:type="dxa"/>
            <w:tcBorders>
              <w:top w:val="nil"/>
              <w:left w:val="nil"/>
              <w:bottom w:val="nil"/>
              <w:right w:val="nil"/>
            </w:tcBorders>
            <w:shd w:val="clear" w:color="auto" w:fill="auto"/>
            <w:noWrap/>
            <w:vAlign w:val="bottom"/>
          </w:tcPr>
          <w:p w:rsidR="00375A8D" w:rsidRPr="00E7637B" w:rsidRDefault="00375A8D" w:rsidP="006247DF">
            <w:pPr>
              <w:rPr>
                <w:sz w:val="16"/>
                <w:szCs w:val="16"/>
              </w:rPr>
            </w:pP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Likvida medel vid periodens början</w:t>
            </w:r>
          </w:p>
        </w:tc>
        <w:tc>
          <w:tcPr>
            <w:tcW w:w="1077" w:type="dxa"/>
            <w:tcBorders>
              <w:top w:val="nil"/>
              <w:left w:val="nil"/>
              <w:bottom w:val="nil"/>
              <w:right w:val="nil"/>
            </w:tcBorders>
            <w:shd w:val="clear" w:color="auto" w:fill="auto"/>
            <w:noWrap/>
            <w:vAlign w:val="bottom"/>
          </w:tcPr>
          <w:p w:rsidR="00375A8D" w:rsidRPr="00E7637B" w:rsidRDefault="00A412CC" w:rsidP="00A412CC">
            <w:pPr>
              <w:jc w:val="right"/>
              <w:rPr>
                <w:sz w:val="16"/>
                <w:szCs w:val="16"/>
              </w:rPr>
            </w:pPr>
            <w:r>
              <w:rPr>
                <w:sz w:val="16"/>
                <w:szCs w:val="16"/>
              </w:rPr>
              <w:t>19 803</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3 093</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Kassaflöde från den löpande verksamheten</w:t>
            </w:r>
          </w:p>
        </w:tc>
        <w:tc>
          <w:tcPr>
            <w:tcW w:w="1077" w:type="dxa"/>
            <w:tcBorders>
              <w:top w:val="nil"/>
              <w:left w:val="nil"/>
              <w:bottom w:val="nil"/>
              <w:right w:val="nil"/>
            </w:tcBorders>
            <w:shd w:val="clear" w:color="auto" w:fill="auto"/>
            <w:noWrap/>
            <w:vAlign w:val="bottom"/>
          </w:tcPr>
          <w:p w:rsidR="00375A8D" w:rsidRPr="00E7637B" w:rsidRDefault="00A412CC" w:rsidP="00A412CC">
            <w:pPr>
              <w:jc w:val="right"/>
              <w:rPr>
                <w:sz w:val="16"/>
                <w:szCs w:val="16"/>
              </w:rPr>
            </w:pPr>
            <w:r>
              <w:rPr>
                <w:sz w:val="16"/>
                <w:szCs w:val="16"/>
              </w:rPr>
              <w:t>–2 715</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24 707</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Kassaflöde från investeringsverksamheten</w:t>
            </w:r>
          </w:p>
        </w:tc>
        <w:tc>
          <w:tcPr>
            <w:tcW w:w="1077" w:type="dxa"/>
            <w:tcBorders>
              <w:top w:val="nil"/>
              <w:left w:val="nil"/>
              <w:bottom w:val="nil"/>
              <w:right w:val="nil"/>
            </w:tcBorders>
            <w:shd w:val="clear" w:color="auto" w:fill="auto"/>
            <w:noWrap/>
            <w:vAlign w:val="bottom"/>
          </w:tcPr>
          <w:p w:rsidR="00375A8D" w:rsidRPr="00E7637B" w:rsidRDefault="00A412CC" w:rsidP="00A412CC">
            <w:pPr>
              <w:jc w:val="right"/>
              <w:rPr>
                <w:sz w:val="16"/>
                <w:szCs w:val="16"/>
              </w:rPr>
            </w:pPr>
            <w:r>
              <w:rPr>
                <w:sz w:val="16"/>
                <w:szCs w:val="16"/>
              </w:rPr>
              <w:t>–4</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–29</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Kassaflöde från finansieringsverksamheten</w:t>
            </w:r>
          </w:p>
        </w:tc>
        <w:tc>
          <w:tcPr>
            <w:tcW w:w="1077" w:type="dxa"/>
            <w:tcBorders>
              <w:top w:val="nil"/>
              <w:left w:val="nil"/>
              <w:bottom w:val="nil"/>
              <w:right w:val="nil"/>
            </w:tcBorders>
            <w:shd w:val="clear" w:color="auto" w:fill="auto"/>
            <w:noWrap/>
            <w:vAlign w:val="bottom"/>
          </w:tcPr>
          <w:p w:rsidR="00375A8D" w:rsidRPr="00E7637B" w:rsidRDefault="00A412CC" w:rsidP="00A412CC">
            <w:pPr>
              <w:jc w:val="right"/>
              <w:rPr>
                <w:sz w:val="16"/>
                <w:szCs w:val="16"/>
              </w:rPr>
            </w:pPr>
            <w:r>
              <w:rPr>
                <w:sz w:val="16"/>
                <w:szCs w:val="16"/>
              </w:rPr>
              <w:t>–3 300</w:t>
            </w:r>
          </w:p>
        </w:tc>
        <w:tc>
          <w:tcPr>
            <w:tcW w:w="1077" w:type="dxa"/>
            <w:tcBorders>
              <w:top w:val="nil"/>
              <w:left w:val="nil"/>
              <w:bottom w:val="nil"/>
              <w:right w:val="nil"/>
            </w:tcBorders>
            <w:shd w:val="clear" w:color="auto" w:fill="auto"/>
            <w:noWrap/>
            <w:vAlign w:val="bottom"/>
          </w:tcPr>
          <w:p w:rsidR="00375A8D" w:rsidRPr="00E7637B" w:rsidRDefault="00375A8D" w:rsidP="006247DF">
            <w:pPr>
              <w:jc w:val="right"/>
              <w:rPr>
                <w:sz w:val="16"/>
                <w:szCs w:val="16"/>
              </w:rPr>
            </w:pPr>
            <w:r>
              <w:rPr>
                <w:sz w:val="16"/>
                <w:szCs w:val="16"/>
              </w:rPr>
              <w:t>–6 800</w:t>
            </w:r>
          </w:p>
        </w:tc>
      </w:tr>
      <w:tr w:rsidR="00375A8D" w:rsidRPr="00E7637B" w:rsidTr="006247DF">
        <w:trPr>
          <w:trHeight w:val="255"/>
        </w:trPr>
        <w:tc>
          <w:tcPr>
            <w:tcW w:w="3982" w:type="dxa"/>
            <w:tcBorders>
              <w:top w:val="nil"/>
              <w:left w:val="nil"/>
              <w:bottom w:val="nil"/>
              <w:right w:val="nil"/>
            </w:tcBorders>
            <w:shd w:val="clear" w:color="auto" w:fill="auto"/>
            <w:noWrap/>
            <w:vAlign w:val="bottom"/>
          </w:tcPr>
          <w:p w:rsidR="00375A8D" w:rsidRPr="00E7637B" w:rsidRDefault="00375A8D" w:rsidP="006247DF">
            <w:pPr>
              <w:jc w:val="left"/>
              <w:rPr>
                <w:sz w:val="16"/>
                <w:szCs w:val="16"/>
              </w:rPr>
            </w:pPr>
            <w:r w:rsidRPr="00E7637B">
              <w:rPr>
                <w:sz w:val="16"/>
                <w:szCs w:val="16"/>
              </w:rPr>
              <w:t>Kursdifferens i likvida medel</w:t>
            </w:r>
          </w:p>
        </w:tc>
        <w:tc>
          <w:tcPr>
            <w:tcW w:w="1077" w:type="dxa"/>
            <w:tcBorders>
              <w:top w:val="nil"/>
              <w:left w:val="nil"/>
              <w:bottom w:val="single" w:sz="4" w:space="0" w:color="auto"/>
              <w:right w:val="nil"/>
            </w:tcBorders>
            <w:shd w:val="clear" w:color="auto" w:fill="auto"/>
            <w:noWrap/>
            <w:vAlign w:val="bottom"/>
          </w:tcPr>
          <w:p w:rsidR="00375A8D" w:rsidRPr="00262BC2" w:rsidRDefault="00A412CC" w:rsidP="00A412CC">
            <w:pPr>
              <w:jc w:val="right"/>
              <w:rPr>
                <w:sz w:val="16"/>
                <w:szCs w:val="16"/>
              </w:rPr>
            </w:pPr>
            <w:r>
              <w:rPr>
                <w:sz w:val="16"/>
                <w:szCs w:val="16"/>
              </w:rPr>
              <w:t>2 332</w:t>
            </w:r>
          </w:p>
        </w:tc>
        <w:tc>
          <w:tcPr>
            <w:tcW w:w="1077" w:type="dxa"/>
            <w:tcBorders>
              <w:top w:val="nil"/>
              <w:left w:val="nil"/>
              <w:bottom w:val="single" w:sz="4" w:space="0" w:color="auto"/>
              <w:right w:val="nil"/>
            </w:tcBorders>
            <w:shd w:val="clear" w:color="auto" w:fill="auto"/>
            <w:noWrap/>
            <w:vAlign w:val="bottom"/>
          </w:tcPr>
          <w:p w:rsidR="00375A8D" w:rsidRPr="00262BC2" w:rsidRDefault="00375A8D" w:rsidP="006247DF">
            <w:pPr>
              <w:jc w:val="right"/>
              <w:rPr>
                <w:sz w:val="16"/>
                <w:szCs w:val="16"/>
              </w:rPr>
            </w:pPr>
            <w:r>
              <w:rPr>
                <w:sz w:val="16"/>
                <w:szCs w:val="16"/>
              </w:rPr>
              <w:t>–1 168</w:t>
            </w:r>
          </w:p>
        </w:tc>
      </w:tr>
      <w:tr w:rsidR="00375A8D" w:rsidRPr="00E7637B" w:rsidTr="006247DF">
        <w:trPr>
          <w:trHeight w:val="255"/>
        </w:trPr>
        <w:tc>
          <w:tcPr>
            <w:tcW w:w="3982" w:type="dxa"/>
            <w:tcBorders>
              <w:top w:val="nil"/>
              <w:left w:val="nil"/>
              <w:bottom w:val="single" w:sz="4" w:space="0" w:color="auto"/>
              <w:right w:val="nil"/>
            </w:tcBorders>
            <w:shd w:val="clear" w:color="auto" w:fill="auto"/>
            <w:noWrap/>
            <w:vAlign w:val="bottom"/>
          </w:tcPr>
          <w:p w:rsidR="00375A8D" w:rsidRPr="00E7637B" w:rsidRDefault="00375A8D" w:rsidP="006247DF">
            <w:pPr>
              <w:jc w:val="left"/>
              <w:rPr>
                <w:b/>
                <w:bCs/>
                <w:sz w:val="16"/>
                <w:szCs w:val="16"/>
              </w:rPr>
            </w:pPr>
            <w:r w:rsidRPr="00E7637B">
              <w:rPr>
                <w:b/>
                <w:bCs/>
                <w:sz w:val="16"/>
                <w:szCs w:val="16"/>
              </w:rPr>
              <w:t>Likvida medel vid periodens slut</w:t>
            </w:r>
          </w:p>
        </w:tc>
        <w:tc>
          <w:tcPr>
            <w:tcW w:w="1077" w:type="dxa"/>
            <w:tcBorders>
              <w:top w:val="nil"/>
              <w:left w:val="nil"/>
              <w:bottom w:val="single" w:sz="4" w:space="0" w:color="auto"/>
              <w:right w:val="nil"/>
            </w:tcBorders>
            <w:shd w:val="clear" w:color="auto" w:fill="auto"/>
            <w:noWrap/>
            <w:vAlign w:val="bottom"/>
          </w:tcPr>
          <w:p w:rsidR="00375A8D" w:rsidRPr="00E7637B" w:rsidRDefault="00A412CC" w:rsidP="00A412CC">
            <w:pPr>
              <w:jc w:val="right"/>
              <w:rPr>
                <w:sz w:val="16"/>
                <w:szCs w:val="16"/>
              </w:rPr>
            </w:pPr>
            <w:r>
              <w:rPr>
                <w:sz w:val="16"/>
                <w:szCs w:val="16"/>
              </w:rPr>
              <w:t>16 116</w:t>
            </w:r>
          </w:p>
        </w:tc>
        <w:tc>
          <w:tcPr>
            <w:tcW w:w="1077" w:type="dxa"/>
            <w:tcBorders>
              <w:top w:val="nil"/>
              <w:left w:val="nil"/>
              <w:bottom w:val="single" w:sz="4" w:space="0" w:color="auto"/>
              <w:right w:val="nil"/>
            </w:tcBorders>
            <w:shd w:val="clear" w:color="auto" w:fill="auto"/>
            <w:noWrap/>
            <w:vAlign w:val="bottom"/>
          </w:tcPr>
          <w:p w:rsidR="00375A8D" w:rsidRPr="00E7637B" w:rsidRDefault="00375A8D" w:rsidP="006247DF">
            <w:pPr>
              <w:jc w:val="right"/>
              <w:rPr>
                <w:sz w:val="16"/>
                <w:szCs w:val="16"/>
              </w:rPr>
            </w:pPr>
            <w:r>
              <w:rPr>
                <w:sz w:val="16"/>
                <w:szCs w:val="16"/>
              </w:rPr>
              <w:t>19 803</w:t>
            </w:r>
          </w:p>
        </w:tc>
      </w:tr>
    </w:tbl>
    <w:p w:rsidR="006247DF" w:rsidRPr="00E7637B" w:rsidRDefault="006247DF" w:rsidP="006247DF">
      <w:pPr>
        <w:pStyle w:val="Normaltindrag"/>
      </w:pPr>
    </w:p>
    <w:tbl>
      <w:tblPr>
        <w:tblW w:w="6136" w:type="dxa"/>
        <w:tblInd w:w="70" w:type="dxa"/>
        <w:tblLayout w:type="fixed"/>
        <w:tblCellMar>
          <w:left w:w="70" w:type="dxa"/>
          <w:right w:w="70" w:type="dxa"/>
        </w:tblCellMar>
        <w:tblLook w:val="0000" w:firstRow="0" w:lastRow="0" w:firstColumn="0" w:lastColumn="0" w:noHBand="0" w:noVBand="0"/>
      </w:tblPr>
      <w:tblGrid>
        <w:gridCol w:w="3982"/>
        <w:gridCol w:w="1077"/>
        <w:gridCol w:w="1077"/>
      </w:tblGrid>
      <w:tr w:rsidR="006247DF" w:rsidRPr="00E7637B" w:rsidTr="006247DF">
        <w:trPr>
          <w:trHeight w:val="255"/>
        </w:trPr>
        <w:tc>
          <w:tcPr>
            <w:tcW w:w="3982" w:type="dxa"/>
            <w:tcBorders>
              <w:top w:val="single" w:sz="4" w:space="0" w:color="auto"/>
              <w:left w:val="nil"/>
              <w:bottom w:val="nil"/>
              <w:right w:val="nil"/>
            </w:tcBorders>
            <w:shd w:val="clear" w:color="auto" w:fill="auto"/>
            <w:noWrap/>
            <w:vAlign w:val="bottom"/>
          </w:tcPr>
          <w:p w:rsidR="006247DF" w:rsidRPr="00E7637B" w:rsidRDefault="006247DF" w:rsidP="006247DF">
            <w:pPr>
              <w:rPr>
                <w:b/>
                <w:bCs/>
                <w:sz w:val="16"/>
                <w:szCs w:val="16"/>
              </w:rPr>
            </w:pPr>
            <w:r w:rsidRPr="00E7637B">
              <w:rPr>
                <w:b/>
                <w:bCs/>
                <w:sz w:val="16"/>
                <w:szCs w:val="16"/>
              </w:rPr>
              <w:t>Specifikation av likvida medel</w:t>
            </w:r>
          </w:p>
        </w:tc>
        <w:tc>
          <w:tcPr>
            <w:tcW w:w="1077" w:type="dxa"/>
            <w:tcBorders>
              <w:top w:val="single" w:sz="4" w:space="0" w:color="auto"/>
              <w:left w:val="nil"/>
              <w:bottom w:val="single" w:sz="4" w:space="0" w:color="auto"/>
              <w:right w:val="nil"/>
            </w:tcBorders>
            <w:shd w:val="clear" w:color="auto" w:fill="auto"/>
            <w:noWrap/>
            <w:vAlign w:val="bottom"/>
          </w:tcPr>
          <w:p w:rsidR="006247DF" w:rsidRPr="00E7637B" w:rsidRDefault="006247DF" w:rsidP="00733687">
            <w:pPr>
              <w:jc w:val="right"/>
              <w:rPr>
                <w:b/>
                <w:bCs/>
                <w:sz w:val="16"/>
                <w:szCs w:val="16"/>
              </w:rPr>
            </w:pPr>
            <w:r>
              <w:rPr>
                <w:bCs/>
                <w:sz w:val="16"/>
                <w:szCs w:val="16"/>
              </w:rPr>
              <w:t>201</w:t>
            </w:r>
            <w:r w:rsidR="00733687">
              <w:rPr>
                <w:bCs/>
                <w:sz w:val="16"/>
                <w:szCs w:val="16"/>
              </w:rPr>
              <w:t>4</w:t>
            </w:r>
            <w:r>
              <w:rPr>
                <w:bCs/>
                <w:sz w:val="16"/>
                <w:szCs w:val="16"/>
              </w:rPr>
              <w:t>-12-31</w:t>
            </w:r>
          </w:p>
        </w:tc>
        <w:tc>
          <w:tcPr>
            <w:tcW w:w="1077" w:type="dxa"/>
            <w:tcBorders>
              <w:top w:val="single" w:sz="4" w:space="0" w:color="auto"/>
              <w:left w:val="nil"/>
              <w:bottom w:val="single" w:sz="4" w:space="0" w:color="auto"/>
              <w:right w:val="nil"/>
            </w:tcBorders>
            <w:vAlign w:val="bottom"/>
          </w:tcPr>
          <w:p w:rsidR="006247DF" w:rsidRPr="00E7637B" w:rsidRDefault="006247DF" w:rsidP="00733687">
            <w:pPr>
              <w:jc w:val="right"/>
              <w:rPr>
                <w:b/>
                <w:bCs/>
                <w:sz w:val="16"/>
                <w:szCs w:val="16"/>
              </w:rPr>
            </w:pPr>
            <w:r>
              <w:rPr>
                <w:bCs/>
                <w:sz w:val="16"/>
                <w:szCs w:val="16"/>
              </w:rPr>
              <w:t>201</w:t>
            </w:r>
            <w:r w:rsidR="00733687">
              <w:rPr>
                <w:bCs/>
                <w:sz w:val="16"/>
                <w:szCs w:val="16"/>
              </w:rPr>
              <w:t>3</w:t>
            </w:r>
            <w:r>
              <w:rPr>
                <w:bCs/>
                <w:sz w:val="16"/>
                <w:szCs w:val="16"/>
              </w:rPr>
              <w:t>-12-31</w:t>
            </w:r>
          </w:p>
        </w:tc>
      </w:tr>
      <w:tr w:rsidR="00733687" w:rsidRPr="00E7637B" w:rsidTr="006247DF">
        <w:trPr>
          <w:trHeight w:val="255"/>
        </w:trPr>
        <w:tc>
          <w:tcPr>
            <w:tcW w:w="3982" w:type="dxa"/>
            <w:tcBorders>
              <w:top w:val="nil"/>
              <w:left w:val="nil"/>
              <w:bottom w:val="nil"/>
              <w:right w:val="nil"/>
            </w:tcBorders>
            <w:shd w:val="clear" w:color="auto" w:fill="auto"/>
            <w:noWrap/>
            <w:vAlign w:val="bottom"/>
          </w:tcPr>
          <w:p w:rsidR="00733687" w:rsidRPr="00E7637B" w:rsidRDefault="00733687" w:rsidP="006247DF">
            <w:pPr>
              <w:rPr>
                <w:sz w:val="16"/>
                <w:szCs w:val="16"/>
              </w:rPr>
            </w:pPr>
            <w:r w:rsidRPr="00E7637B">
              <w:rPr>
                <w:sz w:val="16"/>
                <w:szCs w:val="16"/>
              </w:rPr>
              <w:t>Bankkonton och bankutlåning i utländsk valuta, se not 3</w:t>
            </w:r>
          </w:p>
        </w:tc>
        <w:tc>
          <w:tcPr>
            <w:tcW w:w="1077" w:type="dxa"/>
            <w:tcBorders>
              <w:top w:val="nil"/>
              <w:left w:val="nil"/>
              <w:bottom w:val="nil"/>
              <w:right w:val="nil"/>
            </w:tcBorders>
            <w:shd w:val="clear" w:color="auto" w:fill="auto"/>
            <w:noWrap/>
            <w:vAlign w:val="bottom"/>
          </w:tcPr>
          <w:p w:rsidR="00733687" w:rsidRPr="00E7637B" w:rsidRDefault="00A412CC" w:rsidP="00A412CC">
            <w:pPr>
              <w:jc w:val="right"/>
              <w:rPr>
                <w:sz w:val="16"/>
                <w:szCs w:val="16"/>
              </w:rPr>
            </w:pPr>
            <w:r>
              <w:rPr>
                <w:sz w:val="16"/>
                <w:szCs w:val="16"/>
              </w:rPr>
              <w:t>16 083</w:t>
            </w:r>
          </w:p>
        </w:tc>
        <w:tc>
          <w:tcPr>
            <w:tcW w:w="1077" w:type="dxa"/>
            <w:tcBorders>
              <w:top w:val="nil"/>
              <w:left w:val="nil"/>
              <w:bottom w:val="nil"/>
              <w:right w:val="nil"/>
            </w:tcBorders>
            <w:vAlign w:val="bottom"/>
          </w:tcPr>
          <w:p w:rsidR="00733687" w:rsidRPr="00E7637B" w:rsidRDefault="00733687" w:rsidP="006247DF">
            <w:pPr>
              <w:jc w:val="right"/>
              <w:rPr>
                <w:sz w:val="16"/>
                <w:szCs w:val="16"/>
              </w:rPr>
            </w:pPr>
            <w:r>
              <w:rPr>
                <w:sz w:val="16"/>
                <w:szCs w:val="16"/>
              </w:rPr>
              <w:t>19 803</w:t>
            </w:r>
          </w:p>
        </w:tc>
      </w:tr>
      <w:tr w:rsidR="00733687" w:rsidRPr="00E7637B" w:rsidTr="006247DF">
        <w:trPr>
          <w:trHeight w:val="255"/>
        </w:trPr>
        <w:tc>
          <w:tcPr>
            <w:tcW w:w="3982" w:type="dxa"/>
            <w:tcBorders>
              <w:top w:val="nil"/>
              <w:left w:val="nil"/>
              <w:bottom w:val="nil"/>
              <w:right w:val="nil"/>
            </w:tcBorders>
            <w:shd w:val="clear" w:color="auto" w:fill="auto"/>
            <w:noWrap/>
            <w:vAlign w:val="bottom"/>
          </w:tcPr>
          <w:p w:rsidR="00733687" w:rsidRPr="00E7637B" w:rsidRDefault="00733687" w:rsidP="006247DF">
            <w:pPr>
              <w:rPr>
                <w:sz w:val="16"/>
                <w:szCs w:val="16"/>
              </w:rPr>
            </w:pPr>
            <w:r w:rsidRPr="00E7637B">
              <w:rPr>
                <w:sz w:val="16"/>
                <w:szCs w:val="16"/>
              </w:rPr>
              <w:t>Utlåningsfacilitet</w:t>
            </w:r>
          </w:p>
        </w:tc>
        <w:tc>
          <w:tcPr>
            <w:tcW w:w="1077" w:type="dxa"/>
            <w:tcBorders>
              <w:top w:val="nil"/>
              <w:left w:val="nil"/>
              <w:bottom w:val="single" w:sz="4" w:space="0" w:color="auto"/>
              <w:right w:val="nil"/>
            </w:tcBorders>
            <w:shd w:val="clear" w:color="auto" w:fill="auto"/>
            <w:noWrap/>
            <w:vAlign w:val="bottom"/>
          </w:tcPr>
          <w:p w:rsidR="00733687" w:rsidRPr="00E7637B" w:rsidRDefault="00A412CC" w:rsidP="00A412CC">
            <w:pPr>
              <w:jc w:val="right"/>
              <w:rPr>
                <w:sz w:val="16"/>
                <w:szCs w:val="16"/>
              </w:rPr>
            </w:pPr>
            <w:r>
              <w:rPr>
                <w:sz w:val="16"/>
                <w:szCs w:val="16"/>
              </w:rPr>
              <w:t>33</w:t>
            </w:r>
          </w:p>
        </w:tc>
        <w:tc>
          <w:tcPr>
            <w:tcW w:w="1077" w:type="dxa"/>
            <w:tcBorders>
              <w:top w:val="nil"/>
              <w:left w:val="nil"/>
              <w:bottom w:val="single" w:sz="4" w:space="0" w:color="auto"/>
              <w:right w:val="nil"/>
            </w:tcBorders>
            <w:vAlign w:val="bottom"/>
          </w:tcPr>
          <w:p w:rsidR="00733687" w:rsidRPr="00E7637B" w:rsidRDefault="00A412CC" w:rsidP="00A412CC">
            <w:pPr>
              <w:jc w:val="right"/>
              <w:rPr>
                <w:sz w:val="16"/>
                <w:szCs w:val="16"/>
              </w:rPr>
            </w:pPr>
            <w:r>
              <w:rPr>
                <w:sz w:val="16"/>
                <w:szCs w:val="16"/>
              </w:rPr>
              <w:t>–</w:t>
            </w:r>
          </w:p>
        </w:tc>
      </w:tr>
      <w:tr w:rsidR="00733687" w:rsidRPr="00E7637B" w:rsidTr="006247DF">
        <w:trPr>
          <w:trHeight w:val="255"/>
        </w:trPr>
        <w:tc>
          <w:tcPr>
            <w:tcW w:w="3982" w:type="dxa"/>
            <w:tcBorders>
              <w:top w:val="nil"/>
              <w:left w:val="nil"/>
              <w:bottom w:val="single" w:sz="4" w:space="0" w:color="auto"/>
              <w:right w:val="nil"/>
            </w:tcBorders>
            <w:shd w:val="clear" w:color="auto" w:fill="auto"/>
            <w:noWrap/>
            <w:vAlign w:val="bottom"/>
          </w:tcPr>
          <w:p w:rsidR="00733687" w:rsidRPr="00E7637B" w:rsidRDefault="00733687" w:rsidP="006247DF">
            <w:pPr>
              <w:rPr>
                <w:b/>
                <w:bCs/>
                <w:sz w:val="16"/>
                <w:szCs w:val="16"/>
              </w:rPr>
            </w:pPr>
            <w:r w:rsidRPr="00E7637B">
              <w:rPr>
                <w:b/>
                <w:bCs/>
                <w:sz w:val="16"/>
                <w:szCs w:val="16"/>
              </w:rPr>
              <w:t>Summa likvida medel</w:t>
            </w:r>
          </w:p>
        </w:tc>
        <w:tc>
          <w:tcPr>
            <w:tcW w:w="1077" w:type="dxa"/>
            <w:tcBorders>
              <w:top w:val="nil"/>
              <w:left w:val="nil"/>
              <w:bottom w:val="single" w:sz="4" w:space="0" w:color="auto"/>
              <w:right w:val="nil"/>
            </w:tcBorders>
            <w:shd w:val="clear" w:color="auto" w:fill="auto"/>
            <w:noWrap/>
            <w:vAlign w:val="bottom"/>
          </w:tcPr>
          <w:p w:rsidR="00733687" w:rsidRPr="00E7637B" w:rsidRDefault="00A412CC" w:rsidP="00A412CC">
            <w:pPr>
              <w:jc w:val="right"/>
              <w:rPr>
                <w:sz w:val="16"/>
                <w:szCs w:val="16"/>
              </w:rPr>
            </w:pPr>
            <w:r>
              <w:rPr>
                <w:sz w:val="16"/>
                <w:szCs w:val="16"/>
              </w:rPr>
              <w:t>16 116</w:t>
            </w:r>
          </w:p>
        </w:tc>
        <w:tc>
          <w:tcPr>
            <w:tcW w:w="1077" w:type="dxa"/>
            <w:tcBorders>
              <w:top w:val="nil"/>
              <w:left w:val="nil"/>
              <w:bottom w:val="single" w:sz="4" w:space="0" w:color="auto"/>
              <w:right w:val="nil"/>
            </w:tcBorders>
            <w:vAlign w:val="bottom"/>
          </w:tcPr>
          <w:p w:rsidR="00733687" w:rsidRPr="00E7637B" w:rsidRDefault="00733687" w:rsidP="006247DF">
            <w:pPr>
              <w:jc w:val="right"/>
              <w:rPr>
                <w:sz w:val="16"/>
                <w:szCs w:val="16"/>
              </w:rPr>
            </w:pPr>
            <w:r>
              <w:rPr>
                <w:sz w:val="16"/>
                <w:szCs w:val="16"/>
              </w:rPr>
              <w:t>19 803</w:t>
            </w:r>
          </w:p>
        </w:tc>
      </w:tr>
    </w:tbl>
    <w:p w:rsidR="006247DF" w:rsidRDefault="006247DF" w:rsidP="006247DF">
      <w:pPr>
        <w:pStyle w:val="Normaltindrag"/>
      </w:pPr>
    </w:p>
    <w:p w:rsidR="006247DF" w:rsidRPr="00E7637B" w:rsidRDefault="006247DF" w:rsidP="006247DF">
      <w:r w:rsidRPr="00E7637B">
        <w:t>Kassaflödesanalysen visar in- och utbetalningar under perioden samt likvida medel vid periodens början och slut. Kassaflödesanalysen delas in i beta</w:t>
      </w:r>
      <w:r w:rsidRPr="00E7637B">
        <w:t>l</w:t>
      </w:r>
      <w:r w:rsidRPr="00E7637B">
        <w:t>ningar från den löpande verksamheten, inv</w:t>
      </w:r>
      <w:r w:rsidR="00541CEC">
        <w:t>esteringsverksamheten och finan</w:t>
      </w:r>
      <w:r w:rsidR="0044728D">
        <w:softHyphen/>
      </w:r>
      <w:r w:rsidRPr="00E7637B">
        <w:t>s</w:t>
      </w:r>
      <w:r w:rsidRPr="00E7637B">
        <w:t>i</w:t>
      </w:r>
      <w:r w:rsidRPr="00E7637B">
        <w:t>eringsverksamheten.</w:t>
      </w:r>
    </w:p>
    <w:p w:rsidR="006247DF" w:rsidRPr="00E7637B" w:rsidRDefault="006247DF" w:rsidP="006247DF">
      <w:pPr>
        <w:pStyle w:val="R4"/>
      </w:pPr>
      <w:r w:rsidRPr="00E7637B">
        <w:t>Den löpande verksamheten</w:t>
      </w:r>
    </w:p>
    <w:p w:rsidR="006247DF" w:rsidRPr="00312707" w:rsidRDefault="006247DF" w:rsidP="006247DF">
      <w:r w:rsidRPr="00BC3CA8">
        <w:t>Kassaflöden som är hänförliga till den löpande verksamheten härrör från Riksbankens huvudsakliga verksamhet. Kassaflödet från den löpande ver</w:t>
      </w:r>
      <w:r w:rsidR="00541CEC">
        <w:t>k</w:t>
      </w:r>
      <w:r w:rsidRPr="00BC3CA8">
        <w:t>samheten utgår från resultatet. Justering görs för poster som inte påverkar kassaflödet alternativt inte hör till den löpande verksamheten. Därutöver ingår kassaflödespåverkande förändringar av sådana balansräkningsposter som ingår i den löpande verksamheten.</w:t>
      </w:r>
      <w:r>
        <w:t xml:space="preserve"> </w:t>
      </w:r>
    </w:p>
    <w:p w:rsidR="006247DF" w:rsidRPr="00E7637B" w:rsidRDefault="006247DF" w:rsidP="006247DF">
      <w:pPr>
        <w:pStyle w:val="R4"/>
      </w:pPr>
      <w:r w:rsidRPr="00E7637B">
        <w:t>Investeringsverksamheten</w:t>
      </w:r>
    </w:p>
    <w:p w:rsidR="006247DF" w:rsidRPr="00E7637B" w:rsidRDefault="006247DF" w:rsidP="006247DF">
      <w:r w:rsidRPr="00E7637B">
        <w:t>Investeringsverksamheten består av förvärv och försäljningar av materiella och immateriella anläggningstillgångar samt de aktier och andelar som red</w:t>
      </w:r>
      <w:r w:rsidRPr="00E7637B">
        <w:t>o</w:t>
      </w:r>
      <w:r>
        <w:t>visas under posten F</w:t>
      </w:r>
      <w:r w:rsidRPr="00E7637B">
        <w:t>inansiella tillgångar. Därutöver ingår erhållen utdelning från aktie- och andelsinnehavet.</w:t>
      </w:r>
    </w:p>
    <w:p w:rsidR="006247DF" w:rsidRPr="00E7637B" w:rsidRDefault="006247DF" w:rsidP="006247DF">
      <w:pPr>
        <w:pStyle w:val="R4"/>
      </w:pPr>
      <w:r w:rsidRPr="00E7637B">
        <w:t>Finansieringsverksamheten</w:t>
      </w:r>
    </w:p>
    <w:p w:rsidR="006247DF" w:rsidRPr="00E7637B" w:rsidRDefault="006247DF" w:rsidP="006247DF">
      <w:r w:rsidRPr="00E7637B">
        <w:t>Finansieringsverksamheten består av förändring i eget kapital som normalt sker genom utdelning, även kallad inleverans till stats</w:t>
      </w:r>
      <w:r>
        <w:t>kassan</w:t>
      </w:r>
      <w:r w:rsidRPr="00E7637B">
        <w:t>.</w:t>
      </w:r>
    </w:p>
    <w:p w:rsidR="006247DF" w:rsidRDefault="006247DF" w:rsidP="006247DF">
      <w:pPr>
        <w:pStyle w:val="PunktlistaBomb"/>
        <w:ind w:left="95"/>
      </w:pPr>
    </w:p>
    <w:p w:rsidR="001A14F1" w:rsidRDefault="006247DF" w:rsidP="006247DF">
      <w:pPr>
        <w:pStyle w:val="Rubrik1"/>
        <w:spacing w:after="120"/>
      </w:pPr>
      <w:r>
        <w:br w:type="page"/>
      </w:r>
      <w:bookmarkStart w:id="48" w:name="_Toc315964146"/>
      <w:bookmarkStart w:id="49" w:name="_Toc346871159"/>
      <w:bookmarkStart w:id="50" w:name="_Toc378286254"/>
      <w:bookmarkStart w:id="51" w:name="_Toc408946427"/>
      <w:bookmarkStart w:id="52" w:name="_Toc370402766"/>
      <w:bookmarkStart w:id="53" w:name="_Toc372277693"/>
      <w:r w:rsidR="001A14F1" w:rsidRPr="00F41577">
        <w:t>Noter</w:t>
      </w:r>
      <w:bookmarkEnd w:id="48"/>
      <w:bookmarkEnd w:id="49"/>
      <w:bookmarkEnd w:id="50"/>
      <w:bookmarkEnd w:id="51"/>
    </w:p>
    <w:p w:rsidR="006247DF" w:rsidRPr="00E7637B" w:rsidRDefault="006247DF" w:rsidP="006247DF">
      <w:pPr>
        <w:outlineLvl w:val="0"/>
        <w:rPr>
          <w:i/>
        </w:rPr>
      </w:pPr>
      <w:r w:rsidRPr="00E7637B">
        <w:rPr>
          <w:i/>
        </w:rPr>
        <w:t>Miljoner kronor</w:t>
      </w:r>
    </w:p>
    <w:p w:rsidR="006247DF" w:rsidRPr="00E7637B" w:rsidRDefault="006247DF" w:rsidP="006247DF">
      <w:r>
        <w:t>S</w:t>
      </w:r>
      <w:r w:rsidRPr="00E7637B">
        <w:t>ifferuppgifter inom parentes avser 20</w:t>
      </w:r>
      <w:r>
        <w:t>1</w:t>
      </w:r>
      <w:r w:rsidR="001D109C">
        <w:t>3</w:t>
      </w:r>
      <w:r w:rsidRPr="00E7637B">
        <w:t>.</w:t>
      </w:r>
    </w:p>
    <w:p w:rsidR="006247DF" w:rsidRPr="00E7637B" w:rsidRDefault="006247DF" w:rsidP="006247DF">
      <w:pPr>
        <w:spacing w:before="187"/>
        <w:outlineLvl w:val="0"/>
        <w:rPr>
          <w:b/>
        </w:rPr>
      </w:pPr>
      <w:r w:rsidRPr="00E7637B">
        <w:rPr>
          <w:b/>
        </w:rPr>
        <w:t>Not 1 Guld</w:t>
      </w:r>
    </w:p>
    <w:tbl>
      <w:tblPr>
        <w:tblW w:w="5987" w:type="dxa"/>
        <w:tblInd w:w="71" w:type="dxa"/>
        <w:tblLayout w:type="fixed"/>
        <w:tblCellMar>
          <w:left w:w="71" w:type="dxa"/>
          <w:right w:w="71" w:type="dxa"/>
        </w:tblCellMar>
        <w:tblLook w:val="0000" w:firstRow="0" w:lastRow="0" w:firstColumn="0" w:lastColumn="0" w:noHBand="0" w:noVBand="0"/>
      </w:tblPr>
      <w:tblGrid>
        <w:gridCol w:w="3261"/>
        <w:gridCol w:w="1363"/>
        <w:gridCol w:w="1363"/>
      </w:tblGrid>
      <w:tr w:rsidR="006247DF" w:rsidRPr="00E7637B" w:rsidTr="006247DF">
        <w:trPr>
          <w:cantSplit/>
          <w:trHeight w:val="295"/>
        </w:trPr>
        <w:tc>
          <w:tcPr>
            <w:tcW w:w="3261" w:type="dxa"/>
            <w:tcBorders>
              <w:top w:val="single" w:sz="4" w:space="0" w:color="auto"/>
            </w:tcBorders>
          </w:tcPr>
          <w:p w:rsidR="006247DF" w:rsidRPr="00E7637B" w:rsidRDefault="006247DF" w:rsidP="006247DF">
            <w:pPr>
              <w:spacing w:line="200" w:lineRule="exact"/>
              <w:jc w:val="right"/>
            </w:pPr>
          </w:p>
        </w:tc>
        <w:tc>
          <w:tcPr>
            <w:tcW w:w="1363" w:type="dxa"/>
            <w:tcBorders>
              <w:top w:val="single" w:sz="4" w:space="0" w:color="auto"/>
            </w:tcBorders>
            <w:vAlign w:val="center"/>
          </w:tcPr>
          <w:p w:rsidR="006247DF" w:rsidRPr="00E7637B" w:rsidRDefault="006247DF" w:rsidP="00733687">
            <w:pPr>
              <w:spacing w:line="200" w:lineRule="exact"/>
              <w:jc w:val="right"/>
            </w:pPr>
            <w:r>
              <w:t>201</w:t>
            </w:r>
            <w:r w:rsidR="00733687">
              <w:t>4</w:t>
            </w:r>
            <w:r>
              <w:t>-12-31</w:t>
            </w:r>
          </w:p>
        </w:tc>
        <w:tc>
          <w:tcPr>
            <w:tcW w:w="1363" w:type="dxa"/>
            <w:tcBorders>
              <w:top w:val="single" w:sz="4" w:space="0" w:color="auto"/>
            </w:tcBorders>
            <w:vAlign w:val="center"/>
          </w:tcPr>
          <w:p w:rsidR="006247DF" w:rsidRPr="00E7637B" w:rsidRDefault="006247DF" w:rsidP="00733687">
            <w:pPr>
              <w:spacing w:line="200" w:lineRule="exact"/>
              <w:jc w:val="right"/>
            </w:pPr>
            <w:r>
              <w:t>201</w:t>
            </w:r>
            <w:r w:rsidR="00733687">
              <w:t>3</w:t>
            </w:r>
            <w:r>
              <w:t>-12-31</w:t>
            </w:r>
          </w:p>
        </w:tc>
      </w:tr>
      <w:tr w:rsidR="006247DF" w:rsidRPr="00E7637B" w:rsidTr="006247DF">
        <w:trPr>
          <w:cantSplit/>
        </w:trPr>
        <w:tc>
          <w:tcPr>
            <w:tcW w:w="3261" w:type="dxa"/>
            <w:tcBorders>
              <w:top w:val="single" w:sz="4" w:space="0" w:color="auto"/>
            </w:tcBorders>
          </w:tcPr>
          <w:p w:rsidR="006247DF" w:rsidRPr="00E7637B" w:rsidRDefault="006247DF" w:rsidP="006247DF">
            <w:pPr>
              <w:spacing w:line="200" w:lineRule="exact"/>
            </w:pPr>
            <w:r w:rsidRPr="00E7637B">
              <w:t>Kvantitet</w:t>
            </w:r>
          </w:p>
        </w:tc>
        <w:tc>
          <w:tcPr>
            <w:tcW w:w="1363" w:type="dxa"/>
            <w:tcBorders>
              <w:top w:val="single" w:sz="4" w:space="0" w:color="auto"/>
            </w:tcBorders>
          </w:tcPr>
          <w:p w:rsidR="006247DF" w:rsidRPr="00E7637B" w:rsidRDefault="006247DF" w:rsidP="006247DF">
            <w:pPr>
              <w:spacing w:line="200" w:lineRule="exact"/>
              <w:jc w:val="right"/>
            </w:pPr>
          </w:p>
        </w:tc>
        <w:tc>
          <w:tcPr>
            <w:tcW w:w="1363" w:type="dxa"/>
            <w:tcBorders>
              <w:top w:val="single" w:sz="4" w:space="0" w:color="auto"/>
            </w:tcBorders>
          </w:tcPr>
          <w:p w:rsidR="006247DF" w:rsidRPr="00E7637B" w:rsidRDefault="006247DF" w:rsidP="006247DF">
            <w:pPr>
              <w:spacing w:line="200" w:lineRule="exact"/>
              <w:jc w:val="right"/>
            </w:pPr>
          </w:p>
        </w:tc>
      </w:tr>
      <w:tr w:rsidR="006247DF" w:rsidRPr="00E7637B" w:rsidTr="006247DF">
        <w:trPr>
          <w:cantSplit/>
        </w:trPr>
        <w:tc>
          <w:tcPr>
            <w:tcW w:w="3261" w:type="dxa"/>
          </w:tcPr>
          <w:p w:rsidR="006247DF" w:rsidRPr="00E7637B" w:rsidRDefault="006247DF" w:rsidP="006247DF">
            <w:pPr>
              <w:spacing w:line="200" w:lineRule="exact"/>
            </w:pPr>
            <w:r w:rsidRPr="00E7637B">
              <w:t xml:space="preserve">  Uns (miljoner)</w:t>
            </w:r>
          </w:p>
        </w:tc>
        <w:tc>
          <w:tcPr>
            <w:tcW w:w="1363" w:type="dxa"/>
          </w:tcPr>
          <w:p w:rsidR="006247DF" w:rsidRPr="00E7637B" w:rsidRDefault="006247DF" w:rsidP="006247DF">
            <w:pPr>
              <w:spacing w:line="200" w:lineRule="exact"/>
              <w:jc w:val="right"/>
            </w:pPr>
            <w:r>
              <w:t>4,0421</w:t>
            </w:r>
          </w:p>
        </w:tc>
        <w:tc>
          <w:tcPr>
            <w:tcW w:w="1363" w:type="dxa"/>
          </w:tcPr>
          <w:p w:rsidR="006247DF" w:rsidRPr="00E7637B" w:rsidRDefault="006247DF" w:rsidP="006247DF">
            <w:pPr>
              <w:spacing w:line="200" w:lineRule="exact"/>
              <w:jc w:val="right"/>
            </w:pPr>
            <w:r>
              <w:t>4,0421</w:t>
            </w:r>
          </w:p>
        </w:tc>
      </w:tr>
      <w:tr w:rsidR="006247DF" w:rsidRPr="00E7637B" w:rsidTr="006247DF">
        <w:trPr>
          <w:cantSplit/>
        </w:trPr>
        <w:tc>
          <w:tcPr>
            <w:tcW w:w="3261" w:type="dxa"/>
          </w:tcPr>
          <w:p w:rsidR="006247DF" w:rsidRPr="00E7637B" w:rsidRDefault="006247DF" w:rsidP="006247DF">
            <w:pPr>
              <w:spacing w:line="200" w:lineRule="exact"/>
            </w:pPr>
            <w:r w:rsidRPr="00E7637B">
              <w:t>Pris</w:t>
            </w:r>
          </w:p>
        </w:tc>
        <w:tc>
          <w:tcPr>
            <w:tcW w:w="1363" w:type="dxa"/>
          </w:tcPr>
          <w:p w:rsidR="006247DF" w:rsidRPr="00E7637B" w:rsidRDefault="006247DF" w:rsidP="006247DF">
            <w:pPr>
              <w:spacing w:line="200" w:lineRule="exact"/>
              <w:jc w:val="right"/>
            </w:pPr>
          </w:p>
        </w:tc>
        <w:tc>
          <w:tcPr>
            <w:tcW w:w="1363" w:type="dxa"/>
          </w:tcPr>
          <w:p w:rsidR="006247DF" w:rsidRPr="00E7637B" w:rsidRDefault="006247DF" w:rsidP="006247DF">
            <w:pPr>
              <w:spacing w:line="200" w:lineRule="exact"/>
              <w:jc w:val="right"/>
            </w:pPr>
          </w:p>
        </w:tc>
      </w:tr>
      <w:tr w:rsidR="00733687" w:rsidRPr="00E7637B" w:rsidTr="006247DF">
        <w:trPr>
          <w:cantSplit/>
        </w:trPr>
        <w:tc>
          <w:tcPr>
            <w:tcW w:w="3261" w:type="dxa"/>
          </w:tcPr>
          <w:p w:rsidR="00733687" w:rsidRPr="00E7637B" w:rsidRDefault="00733687" w:rsidP="006247DF">
            <w:pPr>
              <w:spacing w:line="200" w:lineRule="exact"/>
            </w:pPr>
            <w:r w:rsidRPr="00E7637B">
              <w:t xml:space="preserve">  Amerikanska dollar/uns</w:t>
            </w:r>
          </w:p>
        </w:tc>
        <w:tc>
          <w:tcPr>
            <w:tcW w:w="1363" w:type="dxa"/>
          </w:tcPr>
          <w:p w:rsidR="00733687" w:rsidRPr="00262BC2" w:rsidRDefault="00733687" w:rsidP="00733687">
            <w:pPr>
              <w:spacing w:line="200" w:lineRule="exact"/>
              <w:jc w:val="right"/>
            </w:pPr>
            <w:r>
              <w:t>1 186,1423</w:t>
            </w:r>
          </w:p>
        </w:tc>
        <w:tc>
          <w:tcPr>
            <w:tcW w:w="1363" w:type="dxa"/>
          </w:tcPr>
          <w:p w:rsidR="00733687" w:rsidRPr="00262BC2" w:rsidRDefault="00733687" w:rsidP="006247DF">
            <w:pPr>
              <w:spacing w:line="200" w:lineRule="exact"/>
              <w:jc w:val="right"/>
            </w:pPr>
            <w:r>
              <w:t>1 209,3411</w:t>
            </w:r>
          </w:p>
        </w:tc>
      </w:tr>
      <w:tr w:rsidR="00733687" w:rsidRPr="00E7637B" w:rsidTr="006247DF">
        <w:trPr>
          <w:cantSplit/>
        </w:trPr>
        <w:tc>
          <w:tcPr>
            <w:tcW w:w="3261" w:type="dxa"/>
            <w:tcBorders>
              <w:bottom w:val="single" w:sz="4" w:space="0" w:color="auto"/>
            </w:tcBorders>
          </w:tcPr>
          <w:p w:rsidR="00733687" w:rsidRPr="00B51C85" w:rsidRDefault="00733687" w:rsidP="006247DF">
            <w:pPr>
              <w:spacing w:line="200" w:lineRule="exact"/>
            </w:pPr>
            <w:r w:rsidRPr="00E7637B">
              <w:t xml:space="preserve">  Kronor/amerikanska dollar</w:t>
            </w:r>
          </w:p>
        </w:tc>
        <w:tc>
          <w:tcPr>
            <w:tcW w:w="1363" w:type="dxa"/>
            <w:tcBorders>
              <w:bottom w:val="single" w:sz="4" w:space="0" w:color="auto"/>
            </w:tcBorders>
          </w:tcPr>
          <w:p w:rsidR="00733687" w:rsidRPr="000C4345" w:rsidRDefault="00733687" w:rsidP="00733687">
            <w:pPr>
              <w:spacing w:line="200" w:lineRule="exact"/>
              <w:jc w:val="right"/>
            </w:pPr>
            <w:r>
              <w:t>7,8274</w:t>
            </w:r>
          </w:p>
        </w:tc>
        <w:tc>
          <w:tcPr>
            <w:tcW w:w="1363" w:type="dxa"/>
            <w:tcBorders>
              <w:bottom w:val="single" w:sz="4" w:space="0" w:color="auto"/>
            </w:tcBorders>
          </w:tcPr>
          <w:p w:rsidR="00733687" w:rsidRPr="000C4345" w:rsidRDefault="00733687" w:rsidP="006247DF">
            <w:pPr>
              <w:spacing w:line="200" w:lineRule="exact"/>
              <w:jc w:val="right"/>
            </w:pPr>
            <w:r>
              <w:t>6,4286</w:t>
            </w:r>
          </w:p>
        </w:tc>
      </w:tr>
      <w:tr w:rsidR="00733687" w:rsidRPr="00E7637B" w:rsidTr="006247DF">
        <w:trPr>
          <w:cantSplit/>
          <w:trHeight w:val="357"/>
        </w:trPr>
        <w:tc>
          <w:tcPr>
            <w:tcW w:w="3261" w:type="dxa"/>
            <w:tcBorders>
              <w:top w:val="single" w:sz="4" w:space="0" w:color="auto"/>
              <w:bottom w:val="single" w:sz="4" w:space="0" w:color="auto"/>
            </w:tcBorders>
            <w:vAlign w:val="center"/>
          </w:tcPr>
          <w:p w:rsidR="00733687" w:rsidRPr="00E7637B" w:rsidRDefault="00733687" w:rsidP="006247DF">
            <w:pPr>
              <w:spacing w:line="200" w:lineRule="exact"/>
            </w:pPr>
            <w:r w:rsidRPr="00E7637B">
              <w:t>Bokfört värde</w:t>
            </w:r>
          </w:p>
        </w:tc>
        <w:tc>
          <w:tcPr>
            <w:tcW w:w="1363" w:type="dxa"/>
            <w:tcBorders>
              <w:top w:val="single" w:sz="4" w:space="0" w:color="auto"/>
              <w:bottom w:val="single" w:sz="4" w:space="0" w:color="auto"/>
            </w:tcBorders>
            <w:vAlign w:val="center"/>
          </w:tcPr>
          <w:p w:rsidR="00733687" w:rsidRPr="00E7637B" w:rsidRDefault="00733687" w:rsidP="00733687">
            <w:pPr>
              <w:spacing w:line="200" w:lineRule="exact"/>
              <w:jc w:val="right"/>
            </w:pPr>
            <w:r>
              <w:t>37 529</w:t>
            </w:r>
          </w:p>
        </w:tc>
        <w:tc>
          <w:tcPr>
            <w:tcW w:w="1363" w:type="dxa"/>
            <w:tcBorders>
              <w:top w:val="single" w:sz="4" w:space="0" w:color="auto"/>
              <w:bottom w:val="single" w:sz="4" w:space="0" w:color="auto"/>
            </w:tcBorders>
            <w:vAlign w:val="center"/>
          </w:tcPr>
          <w:p w:rsidR="00733687" w:rsidRPr="00E7637B" w:rsidRDefault="00733687" w:rsidP="006247DF">
            <w:pPr>
              <w:spacing w:line="200" w:lineRule="exact"/>
              <w:jc w:val="right"/>
            </w:pPr>
            <w:r>
              <w:t>31 425</w:t>
            </w:r>
          </w:p>
        </w:tc>
      </w:tr>
    </w:tbl>
    <w:p w:rsidR="006247DF" w:rsidRPr="00DD4619" w:rsidRDefault="006247DF" w:rsidP="006247DF">
      <w:pPr>
        <w:spacing w:before="120"/>
      </w:pPr>
      <w:r w:rsidRPr="00E7637B">
        <w:t>Per den 31 december 201</w:t>
      </w:r>
      <w:r w:rsidR="00733687">
        <w:t>4</w:t>
      </w:r>
      <w:r w:rsidRPr="00E7637B">
        <w:t xml:space="preserve"> innehar Riksbanken 4</w:t>
      </w:r>
      <w:r w:rsidRPr="0030226B">
        <w:t xml:space="preserve"> miljoner uns (troy/oz) guld</w:t>
      </w:r>
      <w:r w:rsidRPr="00C631B0">
        <w:t xml:space="preserve"> (</w:t>
      </w:r>
      <w:r w:rsidRPr="00C15395">
        <w:t>4</w:t>
      </w:r>
      <w:r w:rsidRPr="00276C89">
        <w:t>)</w:t>
      </w:r>
      <w:r w:rsidRPr="00135DE3">
        <w:t xml:space="preserve">, vilket motsvarar </w:t>
      </w:r>
      <w:r w:rsidRPr="008B28A9">
        <w:t>125,7</w:t>
      </w:r>
      <w:r w:rsidRPr="00262BC2">
        <w:t xml:space="preserve"> ton. Under 20</w:t>
      </w:r>
      <w:r w:rsidRPr="00E7637B">
        <w:t>1</w:t>
      </w:r>
      <w:r w:rsidR="00733687">
        <w:t>4</w:t>
      </w:r>
      <w:r w:rsidRPr="00E7637B">
        <w:t xml:space="preserve"> har inget guld av</w:t>
      </w:r>
      <w:r w:rsidRPr="00B51C85">
        <w:t>yttrats.</w:t>
      </w:r>
      <w:r w:rsidRPr="00DD4619">
        <w:t xml:space="preserve"> </w:t>
      </w:r>
    </w:p>
    <w:p w:rsidR="006247DF" w:rsidRPr="0030226B" w:rsidRDefault="006247DF" w:rsidP="006247DF">
      <w:pPr>
        <w:spacing w:before="187"/>
        <w:outlineLvl w:val="0"/>
        <w:rPr>
          <w:b/>
        </w:rPr>
      </w:pPr>
      <w:r w:rsidRPr="0030226B">
        <w:rPr>
          <w:b/>
        </w:rPr>
        <w:t>Not 2 Fordringar på IMF</w:t>
      </w:r>
    </w:p>
    <w:tbl>
      <w:tblPr>
        <w:tblW w:w="5983" w:type="dxa"/>
        <w:tblInd w:w="71" w:type="dxa"/>
        <w:tblLayout w:type="fixed"/>
        <w:tblCellMar>
          <w:left w:w="71" w:type="dxa"/>
          <w:right w:w="71" w:type="dxa"/>
        </w:tblCellMar>
        <w:tblLook w:val="0000" w:firstRow="0" w:lastRow="0" w:firstColumn="0" w:lastColumn="0" w:noHBand="0" w:noVBand="0"/>
      </w:tblPr>
      <w:tblGrid>
        <w:gridCol w:w="3261"/>
        <w:gridCol w:w="1361"/>
        <w:gridCol w:w="1361"/>
      </w:tblGrid>
      <w:tr w:rsidR="006247DF" w:rsidRPr="00E7637B" w:rsidTr="006247DF">
        <w:trPr>
          <w:cantSplit/>
          <w:trHeight w:val="255"/>
        </w:trPr>
        <w:tc>
          <w:tcPr>
            <w:tcW w:w="3261" w:type="dxa"/>
            <w:tcBorders>
              <w:top w:val="single" w:sz="4" w:space="0" w:color="auto"/>
            </w:tcBorders>
          </w:tcPr>
          <w:p w:rsidR="006247DF" w:rsidRPr="00C631B0" w:rsidRDefault="006247DF" w:rsidP="006247DF">
            <w:pPr>
              <w:spacing w:line="200" w:lineRule="exact"/>
              <w:jc w:val="right"/>
            </w:pPr>
          </w:p>
        </w:tc>
        <w:tc>
          <w:tcPr>
            <w:tcW w:w="1361" w:type="dxa"/>
            <w:tcBorders>
              <w:top w:val="single" w:sz="4" w:space="0" w:color="auto"/>
            </w:tcBorders>
            <w:vAlign w:val="center"/>
          </w:tcPr>
          <w:p w:rsidR="006247DF" w:rsidRPr="00262BC2" w:rsidRDefault="006247DF" w:rsidP="00733687">
            <w:pPr>
              <w:spacing w:line="200" w:lineRule="exact"/>
              <w:jc w:val="right"/>
            </w:pPr>
            <w:r>
              <w:t>201</w:t>
            </w:r>
            <w:r w:rsidR="00733687">
              <w:t>4</w:t>
            </w:r>
            <w:r>
              <w:t>-12-31</w:t>
            </w:r>
          </w:p>
        </w:tc>
        <w:tc>
          <w:tcPr>
            <w:tcW w:w="1361" w:type="dxa"/>
            <w:tcBorders>
              <w:top w:val="single" w:sz="4" w:space="0" w:color="auto"/>
            </w:tcBorders>
            <w:vAlign w:val="center"/>
          </w:tcPr>
          <w:p w:rsidR="006247DF" w:rsidRPr="00262BC2" w:rsidRDefault="006247DF" w:rsidP="00733687">
            <w:pPr>
              <w:spacing w:line="200" w:lineRule="exact"/>
              <w:jc w:val="right"/>
            </w:pPr>
            <w:r>
              <w:t>201</w:t>
            </w:r>
            <w:r w:rsidR="00733687">
              <w:t>3</w:t>
            </w:r>
            <w:r>
              <w:t>-12-31</w:t>
            </w:r>
          </w:p>
        </w:tc>
      </w:tr>
      <w:tr w:rsidR="00733687" w:rsidRPr="00E7637B" w:rsidTr="006247DF">
        <w:trPr>
          <w:cantSplit/>
        </w:trPr>
        <w:tc>
          <w:tcPr>
            <w:tcW w:w="3261" w:type="dxa"/>
            <w:tcBorders>
              <w:top w:val="single" w:sz="4" w:space="0" w:color="auto"/>
            </w:tcBorders>
          </w:tcPr>
          <w:p w:rsidR="00733687" w:rsidRPr="00E7637B" w:rsidRDefault="00733687" w:rsidP="006247DF">
            <w:pPr>
              <w:spacing w:line="200" w:lineRule="exact"/>
            </w:pPr>
            <w:r w:rsidRPr="00E7637B">
              <w:t>Särskilda dragningsrätter</w:t>
            </w:r>
          </w:p>
        </w:tc>
        <w:tc>
          <w:tcPr>
            <w:tcW w:w="1361" w:type="dxa"/>
            <w:tcBorders>
              <w:top w:val="single" w:sz="4" w:space="0" w:color="auto"/>
            </w:tcBorders>
          </w:tcPr>
          <w:p w:rsidR="00733687" w:rsidRPr="00E7637B" w:rsidRDefault="00733687" w:rsidP="00733687">
            <w:pPr>
              <w:spacing w:line="200" w:lineRule="exact"/>
              <w:jc w:val="right"/>
            </w:pPr>
            <w:r>
              <w:t>23 808</w:t>
            </w:r>
          </w:p>
        </w:tc>
        <w:tc>
          <w:tcPr>
            <w:tcW w:w="1361" w:type="dxa"/>
            <w:tcBorders>
              <w:top w:val="single" w:sz="4" w:space="0" w:color="auto"/>
            </w:tcBorders>
          </w:tcPr>
          <w:p w:rsidR="00733687" w:rsidRPr="00E7637B" w:rsidRDefault="00733687" w:rsidP="006247DF">
            <w:pPr>
              <w:spacing w:line="200" w:lineRule="exact"/>
              <w:jc w:val="right"/>
            </w:pPr>
            <w:r>
              <w:t>21 345</w:t>
            </w:r>
          </w:p>
        </w:tc>
      </w:tr>
      <w:tr w:rsidR="00733687" w:rsidRPr="00E7637B" w:rsidTr="006247DF">
        <w:trPr>
          <w:cantSplit/>
          <w:trHeight w:val="234"/>
        </w:trPr>
        <w:tc>
          <w:tcPr>
            <w:tcW w:w="3261" w:type="dxa"/>
          </w:tcPr>
          <w:p w:rsidR="00733687" w:rsidRPr="00E7637B" w:rsidRDefault="00733687" w:rsidP="006247DF">
            <w:pPr>
              <w:spacing w:line="200" w:lineRule="exact"/>
            </w:pPr>
            <w:r w:rsidRPr="00E7637B">
              <w:t>Reservposition i IMF</w:t>
            </w:r>
          </w:p>
        </w:tc>
        <w:tc>
          <w:tcPr>
            <w:tcW w:w="1361" w:type="dxa"/>
          </w:tcPr>
          <w:p w:rsidR="00733687" w:rsidRPr="00E7637B" w:rsidRDefault="00733687" w:rsidP="006247DF">
            <w:pPr>
              <w:spacing w:line="200" w:lineRule="exact"/>
              <w:jc w:val="right"/>
            </w:pPr>
          </w:p>
        </w:tc>
        <w:tc>
          <w:tcPr>
            <w:tcW w:w="1361" w:type="dxa"/>
          </w:tcPr>
          <w:p w:rsidR="00733687" w:rsidRPr="00E7637B" w:rsidRDefault="00733687" w:rsidP="006247DF">
            <w:pPr>
              <w:spacing w:line="200" w:lineRule="exact"/>
              <w:jc w:val="right"/>
            </w:pPr>
          </w:p>
        </w:tc>
      </w:tr>
      <w:tr w:rsidR="00733687" w:rsidRPr="00E7637B" w:rsidTr="006247DF">
        <w:trPr>
          <w:cantSplit/>
        </w:trPr>
        <w:tc>
          <w:tcPr>
            <w:tcW w:w="3261" w:type="dxa"/>
          </w:tcPr>
          <w:p w:rsidR="00733687" w:rsidRPr="00E7637B" w:rsidRDefault="00733687" w:rsidP="006247DF">
            <w:pPr>
              <w:spacing w:line="200" w:lineRule="exact"/>
            </w:pPr>
            <w:r w:rsidRPr="00E7637B">
              <w:t xml:space="preserve">   Insatskapital (kvot)</w:t>
            </w:r>
          </w:p>
        </w:tc>
        <w:tc>
          <w:tcPr>
            <w:tcW w:w="1361" w:type="dxa"/>
          </w:tcPr>
          <w:p w:rsidR="00733687" w:rsidRPr="00E7637B" w:rsidRDefault="00733687" w:rsidP="00733687">
            <w:pPr>
              <w:spacing w:line="200" w:lineRule="exact"/>
              <w:jc w:val="right"/>
            </w:pPr>
            <w:r>
              <w:t>27 166</w:t>
            </w:r>
          </w:p>
        </w:tc>
        <w:tc>
          <w:tcPr>
            <w:tcW w:w="1361" w:type="dxa"/>
          </w:tcPr>
          <w:p w:rsidR="00733687" w:rsidRPr="00E7637B" w:rsidRDefault="00733687" w:rsidP="006247DF">
            <w:pPr>
              <w:spacing w:line="200" w:lineRule="exact"/>
              <w:jc w:val="right"/>
            </w:pPr>
            <w:r>
              <w:t>23 715</w:t>
            </w:r>
          </w:p>
        </w:tc>
      </w:tr>
      <w:tr w:rsidR="00733687" w:rsidRPr="00E7637B" w:rsidTr="006247DF">
        <w:trPr>
          <w:cantSplit/>
        </w:trPr>
        <w:tc>
          <w:tcPr>
            <w:tcW w:w="3261" w:type="dxa"/>
          </w:tcPr>
          <w:p w:rsidR="00733687" w:rsidRPr="00E7637B" w:rsidRDefault="00733687" w:rsidP="006247DF">
            <w:pPr>
              <w:spacing w:line="200" w:lineRule="exact"/>
            </w:pPr>
            <w:r w:rsidRPr="00E7637B">
              <w:t xml:space="preserve">   IMF kronkonto</w:t>
            </w:r>
          </w:p>
        </w:tc>
        <w:tc>
          <w:tcPr>
            <w:tcW w:w="1361" w:type="dxa"/>
          </w:tcPr>
          <w:p w:rsidR="00733687" w:rsidRPr="00E7637B" w:rsidRDefault="00733687" w:rsidP="00733687">
            <w:pPr>
              <w:spacing w:line="200" w:lineRule="exact"/>
              <w:jc w:val="right"/>
            </w:pPr>
            <w:r>
              <w:t>–22 521</w:t>
            </w:r>
          </w:p>
        </w:tc>
        <w:tc>
          <w:tcPr>
            <w:tcW w:w="1361" w:type="dxa"/>
          </w:tcPr>
          <w:p w:rsidR="00733687" w:rsidRPr="00E7637B" w:rsidRDefault="00733687" w:rsidP="006247DF">
            <w:pPr>
              <w:spacing w:line="200" w:lineRule="exact"/>
              <w:jc w:val="right"/>
            </w:pPr>
            <w:r>
              <w:t>–18 093</w:t>
            </w:r>
          </w:p>
        </w:tc>
      </w:tr>
      <w:tr w:rsidR="00733687" w:rsidRPr="00E7637B" w:rsidTr="006247DF">
        <w:trPr>
          <w:cantSplit/>
        </w:trPr>
        <w:tc>
          <w:tcPr>
            <w:tcW w:w="3261" w:type="dxa"/>
          </w:tcPr>
          <w:p w:rsidR="00733687" w:rsidRPr="00E7637B" w:rsidRDefault="00733687" w:rsidP="006247DF">
            <w:pPr>
              <w:spacing w:line="200" w:lineRule="exact"/>
            </w:pPr>
            <w:r w:rsidRPr="00E7637B">
              <w:t>PRG-HIPC utlåning</w:t>
            </w:r>
          </w:p>
        </w:tc>
        <w:tc>
          <w:tcPr>
            <w:tcW w:w="1361" w:type="dxa"/>
          </w:tcPr>
          <w:p w:rsidR="00733687" w:rsidRPr="00E7637B" w:rsidRDefault="00733687" w:rsidP="00733687">
            <w:pPr>
              <w:spacing w:line="200" w:lineRule="exact"/>
              <w:jc w:val="right"/>
            </w:pPr>
            <w:r>
              <w:t>211</w:t>
            </w:r>
          </w:p>
        </w:tc>
        <w:tc>
          <w:tcPr>
            <w:tcW w:w="1361" w:type="dxa"/>
          </w:tcPr>
          <w:p w:rsidR="00733687" w:rsidRPr="00E7637B" w:rsidRDefault="00733687" w:rsidP="006247DF">
            <w:pPr>
              <w:spacing w:line="200" w:lineRule="exact"/>
              <w:jc w:val="right"/>
            </w:pPr>
            <w:r>
              <w:t>184</w:t>
            </w:r>
          </w:p>
        </w:tc>
      </w:tr>
      <w:tr w:rsidR="00733687" w:rsidRPr="0075750C" w:rsidTr="006247DF">
        <w:trPr>
          <w:cantSplit/>
        </w:trPr>
        <w:tc>
          <w:tcPr>
            <w:tcW w:w="3261" w:type="dxa"/>
          </w:tcPr>
          <w:p w:rsidR="00733687" w:rsidRPr="0075750C" w:rsidRDefault="00733687" w:rsidP="006247DF">
            <w:pPr>
              <w:spacing w:line="200" w:lineRule="exact"/>
              <w:rPr>
                <w:lang w:val="en-US"/>
              </w:rPr>
            </w:pPr>
            <w:r w:rsidRPr="0075750C">
              <w:rPr>
                <w:lang w:val="en-US"/>
              </w:rPr>
              <w:t>NAB New Arrangement</w:t>
            </w:r>
            <w:r>
              <w:rPr>
                <w:lang w:val="en-US"/>
              </w:rPr>
              <w:t>s</w:t>
            </w:r>
            <w:r w:rsidRPr="0075750C">
              <w:rPr>
                <w:lang w:val="en-US"/>
              </w:rPr>
              <w:t xml:space="preserve"> to Borrow</w:t>
            </w:r>
          </w:p>
        </w:tc>
        <w:tc>
          <w:tcPr>
            <w:tcW w:w="1361" w:type="dxa"/>
          </w:tcPr>
          <w:p w:rsidR="00733687" w:rsidRPr="0075750C" w:rsidRDefault="00733687" w:rsidP="00733687">
            <w:pPr>
              <w:spacing w:line="200" w:lineRule="exact"/>
              <w:jc w:val="right"/>
              <w:rPr>
                <w:lang w:val="en-US"/>
              </w:rPr>
            </w:pPr>
            <w:r>
              <w:rPr>
                <w:lang w:val="en-US"/>
              </w:rPr>
              <w:t>6 020</w:t>
            </w:r>
          </w:p>
        </w:tc>
        <w:tc>
          <w:tcPr>
            <w:tcW w:w="1361" w:type="dxa"/>
          </w:tcPr>
          <w:p w:rsidR="00733687" w:rsidRPr="0075750C" w:rsidRDefault="00733687" w:rsidP="006247DF">
            <w:pPr>
              <w:spacing w:line="200" w:lineRule="exact"/>
              <w:jc w:val="right"/>
              <w:rPr>
                <w:lang w:val="en-US"/>
              </w:rPr>
            </w:pPr>
            <w:r>
              <w:rPr>
                <w:lang w:val="en-US"/>
              </w:rPr>
              <w:t>5 722</w:t>
            </w:r>
          </w:p>
        </w:tc>
      </w:tr>
      <w:tr w:rsidR="00733687" w:rsidRPr="00E7637B" w:rsidTr="006247DF">
        <w:trPr>
          <w:cantSplit/>
          <w:trHeight w:val="357"/>
        </w:trPr>
        <w:tc>
          <w:tcPr>
            <w:tcW w:w="3261" w:type="dxa"/>
            <w:tcBorders>
              <w:top w:val="single" w:sz="4" w:space="0" w:color="auto"/>
              <w:bottom w:val="single" w:sz="4" w:space="0" w:color="auto"/>
            </w:tcBorders>
            <w:vAlign w:val="center"/>
          </w:tcPr>
          <w:p w:rsidR="00733687" w:rsidRPr="00E7637B" w:rsidRDefault="00733687" w:rsidP="006247DF">
            <w:pPr>
              <w:spacing w:line="200" w:lineRule="exact"/>
            </w:pPr>
            <w:r w:rsidRPr="00E7637B">
              <w:t>Summa</w:t>
            </w:r>
          </w:p>
        </w:tc>
        <w:tc>
          <w:tcPr>
            <w:tcW w:w="1361" w:type="dxa"/>
            <w:tcBorders>
              <w:top w:val="single" w:sz="4" w:space="0" w:color="auto"/>
              <w:bottom w:val="single" w:sz="4" w:space="0" w:color="auto"/>
            </w:tcBorders>
            <w:vAlign w:val="center"/>
          </w:tcPr>
          <w:p w:rsidR="00733687" w:rsidRPr="00E7637B" w:rsidRDefault="00733687" w:rsidP="00733687">
            <w:pPr>
              <w:spacing w:line="200" w:lineRule="exact"/>
              <w:jc w:val="right"/>
            </w:pPr>
            <w:r>
              <w:t>34 684</w:t>
            </w:r>
          </w:p>
        </w:tc>
        <w:tc>
          <w:tcPr>
            <w:tcW w:w="1361" w:type="dxa"/>
            <w:tcBorders>
              <w:top w:val="single" w:sz="4" w:space="0" w:color="auto"/>
              <w:bottom w:val="single" w:sz="4" w:space="0" w:color="auto"/>
            </w:tcBorders>
            <w:vAlign w:val="center"/>
          </w:tcPr>
          <w:p w:rsidR="00733687" w:rsidRPr="00E7637B" w:rsidRDefault="00733687" w:rsidP="006247DF">
            <w:pPr>
              <w:spacing w:line="200" w:lineRule="exact"/>
              <w:jc w:val="right"/>
            </w:pPr>
            <w:r>
              <w:t>32 873</w:t>
            </w:r>
          </w:p>
        </w:tc>
      </w:tr>
    </w:tbl>
    <w:p w:rsidR="006247DF" w:rsidRPr="00E7637B" w:rsidRDefault="006247DF" w:rsidP="006247DF">
      <w:pPr>
        <w:spacing w:before="120"/>
      </w:pPr>
      <w:r w:rsidRPr="00E7637B">
        <w:t xml:space="preserve">Riksbankens innehav av särskilda dragningsrätter (SDR) uppgår till </w:t>
      </w:r>
      <w:r>
        <w:t xml:space="preserve">2 </w:t>
      </w:r>
      <w:r w:rsidR="00733687">
        <w:t>099</w:t>
      </w:r>
      <w:r w:rsidRPr="00E7637B">
        <w:t xml:space="preserve"> miljoner SDR (2 </w:t>
      </w:r>
      <w:r>
        <w:t>1</w:t>
      </w:r>
      <w:r w:rsidR="00733687">
        <w:t>56</w:t>
      </w:r>
      <w:r w:rsidRPr="00E7637B">
        <w:t xml:space="preserve">). Ett belopp motsvarande de SDR som sammanlagt tilldelats av </w:t>
      </w:r>
      <w:r w:rsidRPr="00BC3CA8">
        <w:t xml:space="preserve">Internationella valutafonden </w:t>
      </w:r>
      <w:r>
        <w:t>(</w:t>
      </w:r>
      <w:r w:rsidRPr="00E7637B">
        <w:t>IMF</w:t>
      </w:r>
      <w:r>
        <w:t>)</w:t>
      </w:r>
      <w:r w:rsidRPr="00E7637B">
        <w:t xml:space="preserve"> redovisas som skuld</w:t>
      </w:r>
      <w:r>
        <w:t xml:space="preserve"> (s</w:t>
      </w:r>
      <w:r w:rsidRPr="00E7637B">
        <w:t>e not 2</w:t>
      </w:r>
      <w:r>
        <w:t>0)</w:t>
      </w:r>
      <w:r w:rsidRPr="00E7637B">
        <w:t xml:space="preserve">. </w:t>
      </w:r>
    </w:p>
    <w:p w:rsidR="006247DF" w:rsidRPr="00BC3CA8" w:rsidRDefault="006247DF" w:rsidP="00E46F64">
      <w:pPr>
        <w:pStyle w:val="Normaltindrag"/>
      </w:pPr>
      <w:r w:rsidRPr="00BC3CA8">
        <w:t xml:space="preserve">Under posten </w:t>
      </w:r>
      <w:r>
        <w:t>R</w:t>
      </w:r>
      <w:r w:rsidRPr="00BC3CA8">
        <w:t>eservposition i IMF nettoredovisas Riksbankens insats</w:t>
      </w:r>
      <w:r w:rsidR="00493AD0">
        <w:softHyphen/>
      </w:r>
      <w:r w:rsidRPr="00BC3CA8">
        <w:t xml:space="preserve">kapital (kvoten) i IMF om 2 395,5 miljoner SDR, med </w:t>
      </w:r>
      <w:r w:rsidR="00BB119E">
        <w:t>IMF:s</w:t>
      </w:r>
      <w:r w:rsidR="00BB119E" w:rsidRPr="00BC3CA8">
        <w:t xml:space="preserve"> </w:t>
      </w:r>
      <w:r w:rsidRPr="00BC3CA8">
        <w:t>konto för svenska kronor.</w:t>
      </w:r>
      <w:r w:rsidR="001D109C">
        <w:t xml:space="preserve"> IMF</w:t>
      </w:r>
      <w:r w:rsidR="002F15D6">
        <w:t>:</w:t>
      </w:r>
      <w:r w:rsidR="001D109C">
        <w:t>s konto i svenska kronor är ett skul</w:t>
      </w:r>
      <w:r w:rsidR="001D109C">
        <w:t>d</w:t>
      </w:r>
      <w:r w:rsidR="001D109C">
        <w:t>konto som visar hur stor andel av insatskapitalet Riksbanken betalt in till IMF genom att utnyttja ko</w:t>
      </w:r>
      <w:r w:rsidR="001D109C">
        <w:t>n</w:t>
      </w:r>
      <w:r w:rsidR="001D109C">
        <w:t xml:space="preserve">tokrediten på detta konto. </w:t>
      </w:r>
      <w:r w:rsidR="005D28C2">
        <w:t>N</w:t>
      </w:r>
      <w:r w:rsidR="00995233">
        <w:t>ettoredovisning</w:t>
      </w:r>
      <w:r w:rsidR="005D28C2">
        <w:t>en av dessa poster medför att endast den del av insatskapitalet som IMF använder för utlåning till medlem</w:t>
      </w:r>
      <w:r w:rsidR="005D28C2">
        <w:t>s</w:t>
      </w:r>
      <w:r w:rsidR="005D28C2">
        <w:t>länder redovisas som fordran på IMF.</w:t>
      </w:r>
    </w:p>
    <w:p w:rsidR="006247DF" w:rsidRDefault="006247DF" w:rsidP="006247DF">
      <w:pPr>
        <w:pStyle w:val="Normaltindrag"/>
      </w:pPr>
      <w:r w:rsidRPr="00BC3CA8">
        <w:t>Posten PRG-HIPC utlåning avser en räntefri insättning hos IMF som fö</w:t>
      </w:r>
      <w:r w:rsidRPr="00BC3CA8">
        <w:t>r</w:t>
      </w:r>
      <w:r w:rsidRPr="00BC3CA8">
        <w:t>valtare av bidrag för IMF:s andel av skuldlättnadsinitiativet HIPC (Heavily In</w:t>
      </w:r>
      <w:r w:rsidRPr="00BC3CA8">
        <w:softHyphen/>
        <w:t>debted Poor Countries) och för fondens mjuka utlåning. Insättningen om totalt 18,6 miljoner SDR ska vara återbetald den 1 januari 2019.</w:t>
      </w:r>
    </w:p>
    <w:p w:rsidR="006247DF" w:rsidRPr="00BC3CA8" w:rsidRDefault="006247DF" w:rsidP="006247DF">
      <w:pPr>
        <w:pStyle w:val="Normaltindrag"/>
      </w:pPr>
      <w:r>
        <w:t>Vid utgången av 201</w:t>
      </w:r>
      <w:r w:rsidR="00733687">
        <w:t>4</w:t>
      </w:r>
      <w:r>
        <w:t xml:space="preserve"> uppgick Riksbankens NAB-utlåning till </w:t>
      </w:r>
      <w:r w:rsidR="00733687">
        <w:t>531</w:t>
      </w:r>
      <w:r>
        <w:t xml:space="preserve"> milj</w:t>
      </w:r>
      <w:r>
        <w:t>o</w:t>
      </w:r>
      <w:r>
        <w:t>ner SDR (5</w:t>
      </w:r>
      <w:r w:rsidR="00733687">
        <w:t>78</w:t>
      </w:r>
      <w:r>
        <w:t>).</w:t>
      </w:r>
    </w:p>
    <w:p w:rsidR="006247DF" w:rsidRDefault="006247DF" w:rsidP="00493AD0">
      <w:pPr>
        <w:pStyle w:val="Normaltindrag"/>
        <w:suppressAutoHyphens/>
      </w:pPr>
      <w:r w:rsidRPr="00A854E3">
        <w:t>Vid utgången av 201</w:t>
      </w:r>
      <w:r w:rsidR="00733687">
        <w:t>4</w:t>
      </w:r>
      <w:r w:rsidRPr="00A854E3">
        <w:t xml:space="preserve"> har Riksbanken dessutom en fordran på IMF om </w:t>
      </w:r>
      <w:r w:rsidR="004F0ED9">
        <w:t>12</w:t>
      </w:r>
      <w:r w:rsidR="00733687" w:rsidRPr="004F0ED9">
        <w:t>,</w:t>
      </w:r>
      <w:r w:rsidR="004F0ED9">
        <w:t>8</w:t>
      </w:r>
      <w:r w:rsidRPr="00A854E3">
        <w:t xml:space="preserve"> miljoner SDR </w:t>
      </w:r>
      <w:r>
        <w:t>(12,</w:t>
      </w:r>
      <w:r w:rsidR="00733687">
        <w:t>8</w:t>
      </w:r>
      <w:r>
        <w:t xml:space="preserve">) </w:t>
      </w:r>
      <w:r w:rsidRPr="00A854E3">
        <w:t xml:space="preserve">som avser medel som IMF får använda vid ränte- och kreditförluster till följd av dröjsmål. Medlen har överförts genom att IMF löpande </w:t>
      </w:r>
      <w:r>
        <w:t xml:space="preserve">har </w:t>
      </w:r>
      <w:r w:rsidRPr="00A854E3">
        <w:t>gjort avdrag från ränteutbetalningar som avser Riksbankens reservposition i IMF. Riksbanken har löpande bokfört dessa avdrag i resultat</w:t>
      </w:r>
      <w:r w:rsidR="00493AD0">
        <w:softHyphen/>
      </w:r>
      <w:r w:rsidRPr="00A854E3">
        <w:t xml:space="preserve">räkningen. Därför finns de inte upptagna som fordran på IMF i Riksbankens balansräkning. </w:t>
      </w:r>
    </w:p>
    <w:p w:rsidR="006247DF" w:rsidRPr="00E7637B" w:rsidRDefault="006247DF" w:rsidP="006247DF">
      <w:pPr>
        <w:spacing w:before="187"/>
        <w:outlineLvl w:val="0"/>
        <w:rPr>
          <w:b/>
        </w:rPr>
      </w:pPr>
      <w:r w:rsidRPr="00E7637B">
        <w:rPr>
          <w:b/>
        </w:rPr>
        <w:t>Not 3 Banktillgodohavanden</w:t>
      </w:r>
      <w:r>
        <w:rPr>
          <w:b/>
        </w:rPr>
        <w:t>, lån</w:t>
      </w:r>
      <w:r w:rsidRPr="00E7637B">
        <w:rPr>
          <w:b/>
        </w:rPr>
        <w:t xml:space="preserve"> och värdepapper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733687">
            <w:pPr>
              <w:spacing w:line="200" w:lineRule="exact"/>
              <w:jc w:val="right"/>
            </w:pPr>
            <w:r>
              <w:t>201</w:t>
            </w:r>
            <w:r w:rsidR="00733687">
              <w:t>4</w:t>
            </w:r>
            <w:r>
              <w:t>-12-31</w:t>
            </w:r>
          </w:p>
        </w:tc>
        <w:tc>
          <w:tcPr>
            <w:tcW w:w="1361" w:type="dxa"/>
            <w:tcBorders>
              <w:top w:val="single" w:sz="4" w:space="0" w:color="auto"/>
            </w:tcBorders>
            <w:vAlign w:val="center"/>
          </w:tcPr>
          <w:p w:rsidR="006247DF" w:rsidRPr="00E7637B" w:rsidRDefault="006247DF" w:rsidP="00733687">
            <w:pPr>
              <w:spacing w:line="200" w:lineRule="exact"/>
              <w:jc w:val="right"/>
            </w:pPr>
            <w:r>
              <w:t>201</w:t>
            </w:r>
            <w:r w:rsidR="00733687">
              <w:t>3</w:t>
            </w:r>
            <w:r>
              <w:t>-12-31</w:t>
            </w:r>
          </w:p>
        </w:tc>
      </w:tr>
      <w:tr w:rsidR="00733687" w:rsidRPr="00E7637B" w:rsidTr="006247DF">
        <w:trPr>
          <w:cantSplit/>
          <w:trHeight w:val="20"/>
        </w:trPr>
        <w:tc>
          <w:tcPr>
            <w:tcW w:w="3260" w:type="dxa"/>
            <w:tcBorders>
              <w:top w:val="single" w:sz="4" w:space="0" w:color="auto"/>
            </w:tcBorders>
          </w:tcPr>
          <w:p w:rsidR="00733687" w:rsidRPr="00E7637B" w:rsidRDefault="00733687" w:rsidP="006247DF">
            <w:pPr>
              <w:spacing w:line="200" w:lineRule="exact"/>
            </w:pPr>
            <w:r w:rsidRPr="00E7637B">
              <w:t>Bankkonton</w:t>
            </w:r>
          </w:p>
        </w:tc>
        <w:tc>
          <w:tcPr>
            <w:tcW w:w="1361" w:type="dxa"/>
            <w:tcBorders>
              <w:top w:val="single" w:sz="4" w:space="0" w:color="auto"/>
            </w:tcBorders>
          </w:tcPr>
          <w:p w:rsidR="00733687" w:rsidRPr="00E7637B" w:rsidRDefault="00733687" w:rsidP="00733687">
            <w:pPr>
              <w:spacing w:line="200" w:lineRule="exact"/>
              <w:jc w:val="right"/>
            </w:pPr>
            <w:r>
              <w:t>140</w:t>
            </w:r>
          </w:p>
        </w:tc>
        <w:tc>
          <w:tcPr>
            <w:tcW w:w="1361" w:type="dxa"/>
            <w:tcBorders>
              <w:top w:val="single" w:sz="4" w:space="0" w:color="auto"/>
            </w:tcBorders>
          </w:tcPr>
          <w:p w:rsidR="00733687" w:rsidRPr="00E7637B" w:rsidRDefault="00733687" w:rsidP="006247DF">
            <w:pPr>
              <w:spacing w:line="200" w:lineRule="exact"/>
              <w:jc w:val="right"/>
            </w:pPr>
            <w:r>
              <w:t>148</w:t>
            </w:r>
          </w:p>
        </w:tc>
      </w:tr>
      <w:tr w:rsidR="00733687" w:rsidRPr="00E7637B" w:rsidTr="006247DF">
        <w:trPr>
          <w:cantSplit/>
          <w:trHeight w:val="20"/>
        </w:trPr>
        <w:tc>
          <w:tcPr>
            <w:tcW w:w="3260" w:type="dxa"/>
          </w:tcPr>
          <w:p w:rsidR="00733687" w:rsidRPr="00E7637B" w:rsidRDefault="00733687" w:rsidP="006247DF">
            <w:pPr>
              <w:spacing w:line="200" w:lineRule="exact"/>
            </w:pPr>
            <w:r w:rsidRPr="00E7637B">
              <w:t>Bankutlåning</w:t>
            </w:r>
          </w:p>
        </w:tc>
        <w:tc>
          <w:tcPr>
            <w:tcW w:w="1361" w:type="dxa"/>
          </w:tcPr>
          <w:p w:rsidR="00733687" w:rsidRPr="00E7637B" w:rsidRDefault="00733687" w:rsidP="00733687">
            <w:pPr>
              <w:spacing w:line="200" w:lineRule="exact"/>
              <w:jc w:val="right"/>
            </w:pPr>
            <w:r>
              <w:t>15 943</w:t>
            </w:r>
          </w:p>
        </w:tc>
        <w:tc>
          <w:tcPr>
            <w:tcW w:w="1361" w:type="dxa"/>
          </w:tcPr>
          <w:p w:rsidR="00733687" w:rsidRPr="00E7637B" w:rsidRDefault="00733687" w:rsidP="006247DF">
            <w:pPr>
              <w:spacing w:line="200" w:lineRule="exact"/>
              <w:jc w:val="right"/>
            </w:pPr>
            <w:r>
              <w:t>19 655</w:t>
            </w:r>
          </w:p>
        </w:tc>
      </w:tr>
      <w:tr w:rsidR="00733687" w:rsidRPr="00E7637B" w:rsidTr="006247DF">
        <w:trPr>
          <w:cantSplit/>
          <w:trHeight w:val="20"/>
        </w:trPr>
        <w:tc>
          <w:tcPr>
            <w:tcW w:w="3260" w:type="dxa"/>
          </w:tcPr>
          <w:p w:rsidR="00733687" w:rsidRPr="00E7637B" w:rsidRDefault="00733687" w:rsidP="006247DF">
            <w:pPr>
              <w:spacing w:line="200" w:lineRule="exact"/>
            </w:pPr>
            <w:r w:rsidRPr="00E7637B">
              <w:t>Obligationer</w:t>
            </w:r>
          </w:p>
        </w:tc>
        <w:tc>
          <w:tcPr>
            <w:tcW w:w="1361" w:type="dxa"/>
          </w:tcPr>
          <w:p w:rsidR="00733687" w:rsidRPr="00E7637B" w:rsidRDefault="00733687" w:rsidP="00733687">
            <w:pPr>
              <w:spacing w:line="200" w:lineRule="exact"/>
              <w:jc w:val="right"/>
            </w:pPr>
            <w:r>
              <w:t>363 912</w:t>
            </w:r>
          </w:p>
        </w:tc>
        <w:tc>
          <w:tcPr>
            <w:tcW w:w="1361" w:type="dxa"/>
          </w:tcPr>
          <w:p w:rsidR="00733687" w:rsidRPr="00E7637B" w:rsidRDefault="00733687" w:rsidP="006247DF">
            <w:pPr>
              <w:spacing w:line="200" w:lineRule="exact"/>
              <w:jc w:val="right"/>
            </w:pPr>
            <w:r>
              <w:t>290 205</w:t>
            </w:r>
          </w:p>
        </w:tc>
      </w:tr>
      <w:tr w:rsidR="00733687" w:rsidRPr="00E7637B" w:rsidTr="006247DF">
        <w:trPr>
          <w:cantSplit/>
          <w:trHeight w:val="20"/>
        </w:trPr>
        <w:tc>
          <w:tcPr>
            <w:tcW w:w="3260" w:type="dxa"/>
          </w:tcPr>
          <w:p w:rsidR="00733687" w:rsidRPr="000C4345" w:rsidRDefault="00733687" w:rsidP="006247DF">
            <w:pPr>
              <w:spacing w:line="200" w:lineRule="exact"/>
            </w:pPr>
            <w:r>
              <w:t>K</w:t>
            </w:r>
            <w:r w:rsidRPr="00C15395">
              <w:t>orta v</w:t>
            </w:r>
            <w:r w:rsidRPr="000C4345">
              <w:t>ärdepapper</w:t>
            </w:r>
          </w:p>
        </w:tc>
        <w:tc>
          <w:tcPr>
            <w:tcW w:w="1361" w:type="dxa"/>
          </w:tcPr>
          <w:p w:rsidR="00733687" w:rsidRPr="00135DE3" w:rsidRDefault="00733687" w:rsidP="00733687">
            <w:pPr>
              <w:spacing w:line="200" w:lineRule="exact"/>
              <w:jc w:val="right"/>
            </w:pPr>
            <w:r>
              <w:t>34 161</w:t>
            </w:r>
          </w:p>
        </w:tc>
        <w:tc>
          <w:tcPr>
            <w:tcW w:w="1361" w:type="dxa"/>
          </w:tcPr>
          <w:p w:rsidR="00733687" w:rsidRPr="00135DE3" w:rsidRDefault="00733687" w:rsidP="006247DF">
            <w:pPr>
              <w:spacing w:line="200" w:lineRule="exact"/>
              <w:jc w:val="right"/>
            </w:pPr>
            <w:r>
              <w:t>42 903</w:t>
            </w:r>
          </w:p>
        </w:tc>
      </w:tr>
      <w:tr w:rsidR="00733687" w:rsidRPr="00E7637B" w:rsidTr="006247DF">
        <w:trPr>
          <w:cantSplit/>
          <w:trHeight w:val="20"/>
        </w:trPr>
        <w:tc>
          <w:tcPr>
            <w:tcW w:w="3260" w:type="dxa"/>
            <w:tcBorders>
              <w:top w:val="single" w:sz="4" w:space="0" w:color="auto"/>
              <w:bottom w:val="single" w:sz="4" w:space="0" w:color="auto"/>
            </w:tcBorders>
            <w:vAlign w:val="center"/>
          </w:tcPr>
          <w:p w:rsidR="00733687" w:rsidRPr="00E7637B" w:rsidRDefault="00733687" w:rsidP="006247DF">
            <w:pPr>
              <w:spacing w:line="200" w:lineRule="exact"/>
            </w:pPr>
            <w:r w:rsidRPr="00E7637B">
              <w:t>Summa</w:t>
            </w:r>
          </w:p>
        </w:tc>
        <w:tc>
          <w:tcPr>
            <w:tcW w:w="1361" w:type="dxa"/>
            <w:tcBorders>
              <w:top w:val="single" w:sz="4" w:space="0" w:color="auto"/>
              <w:bottom w:val="single" w:sz="4" w:space="0" w:color="auto"/>
            </w:tcBorders>
            <w:vAlign w:val="center"/>
          </w:tcPr>
          <w:p w:rsidR="00733687" w:rsidRPr="00E7637B" w:rsidRDefault="00733687" w:rsidP="00733687">
            <w:pPr>
              <w:spacing w:line="200" w:lineRule="exact"/>
              <w:jc w:val="right"/>
            </w:pPr>
            <w:r>
              <w:t>414 156</w:t>
            </w:r>
          </w:p>
        </w:tc>
        <w:tc>
          <w:tcPr>
            <w:tcW w:w="1361" w:type="dxa"/>
            <w:tcBorders>
              <w:top w:val="single" w:sz="4" w:space="0" w:color="auto"/>
              <w:bottom w:val="single" w:sz="4" w:space="0" w:color="auto"/>
            </w:tcBorders>
            <w:vAlign w:val="center"/>
          </w:tcPr>
          <w:p w:rsidR="00733687" w:rsidRPr="00E7637B" w:rsidRDefault="00733687" w:rsidP="006247DF">
            <w:pPr>
              <w:spacing w:line="200" w:lineRule="exact"/>
              <w:jc w:val="right"/>
            </w:pPr>
            <w:r>
              <w:t>352 911</w:t>
            </w:r>
          </w:p>
        </w:tc>
      </w:tr>
    </w:tbl>
    <w:p w:rsidR="006247DF" w:rsidRPr="00E7637B" w:rsidRDefault="006247DF" w:rsidP="006247DF">
      <w:pPr>
        <w:spacing w:before="120" w:after="120"/>
      </w:pPr>
      <w:r w:rsidRPr="008B28A9">
        <w:t xml:space="preserve">Banktillgodohavandena och värdepapperen är </w:t>
      </w:r>
      <w:r w:rsidRPr="00262BC2">
        <w:t>utgivna i euro, amerikanska dollar, brittiska pund, australiska dollar, kanadensiska dollar, norska kronor och japanska yen</w:t>
      </w:r>
      <w:r w:rsidRPr="00E7637B">
        <w:t>. Fördelningen framgår av tabellen nedan.</w:t>
      </w:r>
      <w:r w:rsidR="00C94F51">
        <w:t xml:space="preserve"> Värdepapp</w:t>
      </w:r>
      <w:r w:rsidR="004B74DC">
        <w:t>e</w:t>
      </w:r>
      <w:r w:rsidR="00C94F51">
        <w:t>ren har värderats till noterade priser.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A44295">
            <w:pPr>
              <w:spacing w:line="200" w:lineRule="exact"/>
              <w:jc w:val="right"/>
            </w:pPr>
            <w:r>
              <w:t>201</w:t>
            </w:r>
            <w:r w:rsidR="00A44295">
              <w:t>4</w:t>
            </w:r>
            <w:r>
              <w:t>-12-31</w:t>
            </w:r>
          </w:p>
        </w:tc>
        <w:tc>
          <w:tcPr>
            <w:tcW w:w="1361" w:type="dxa"/>
            <w:tcBorders>
              <w:top w:val="single" w:sz="4" w:space="0" w:color="auto"/>
            </w:tcBorders>
            <w:vAlign w:val="center"/>
          </w:tcPr>
          <w:p w:rsidR="006247DF" w:rsidRPr="00E7637B" w:rsidRDefault="006247DF" w:rsidP="00A44295">
            <w:pPr>
              <w:spacing w:line="200" w:lineRule="exact"/>
              <w:jc w:val="right"/>
            </w:pPr>
            <w:r>
              <w:t>201</w:t>
            </w:r>
            <w:r w:rsidR="00A44295">
              <w:t>3</w:t>
            </w:r>
            <w:r>
              <w:t>-12-31</w:t>
            </w:r>
          </w:p>
        </w:tc>
      </w:tr>
      <w:tr w:rsidR="00932000" w:rsidRPr="00E7637B" w:rsidDel="00760D01" w:rsidTr="006247DF">
        <w:trPr>
          <w:cantSplit/>
          <w:trHeight w:val="20"/>
        </w:trPr>
        <w:tc>
          <w:tcPr>
            <w:tcW w:w="3260" w:type="dxa"/>
            <w:tcBorders>
              <w:top w:val="single" w:sz="4" w:space="0" w:color="auto"/>
            </w:tcBorders>
          </w:tcPr>
          <w:p w:rsidR="00932000" w:rsidRPr="00E7637B" w:rsidDel="00760D01" w:rsidRDefault="00932000" w:rsidP="006247DF">
            <w:pPr>
              <w:spacing w:line="200" w:lineRule="exact"/>
            </w:pPr>
            <w:r>
              <w:t>Euro</w:t>
            </w:r>
          </w:p>
        </w:tc>
        <w:tc>
          <w:tcPr>
            <w:tcW w:w="1361" w:type="dxa"/>
            <w:tcBorders>
              <w:top w:val="single" w:sz="4" w:space="0" w:color="auto"/>
            </w:tcBorders>
          </w:tcPr>
          <w:p w:rsidR="00932000" w:rsidRPr="00E7637B" w:rsidDel="00760D01" w:rsidRDefault="00932000" w:rsidP="00932000">
            <w:pPr>
              <w:spacing w:line="200" w:lineRule="exact"/>
              <w:jc w:val="right"/>
            </w:pPr>
            <w:r>
              <w:t>139 434</w:t>
            </w:r>
          </w:p>
        </w:tc>
        <w:tc>
          <w:tcPr>
            <w:tcW w:w="1361" w:type="dxa"/>
            <w:tcBorders>
              <w:top w:val="single" w:sz="4" w:space="0" w:color="auto"/>
            </w:tcBorders>
          </w:tcPr>
          <w:p w:rsidR="00932000" w:rsidRPr="00E7637B" w:rsidDel="00760D01" w:rsidRDefault="00932000" w:rsidP="006247DF">
            <w:pPr>
              <w:spacing w:line="200" w:lineRule="exact"/>
              <w:jc w:val="right"/>
            </w:pPr>
            <w:r>
              <w:t>129 493</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Amerikanska dollar</w:t>
            </w:r>
          </w:p>
        </w:tc>
        <w:tc>
          <w:tcPr>
            <w:tcW w:w="1361" w:type="dxa"/>
          </w:tcPr>
          <w:p w:rsidR="00932000" w:rsidRPr="00E7637B" w:rsidRDefault="00932000" w:rsidP="00932000">
            <w:pPr>
              <w:spacing w:line="200" w:lineRule="exact"/>
              <w:jc w:val="right"/>
            </w:pPr>
            <w:r>
              <w:t>221 260</w:t>
            </w:r>
          </w:p>
        </w:tc>
        <w:tc>
          <w:tcPr>
            <w:tcW w:w="1361" w:type="dxa"/>
          </w:tcPr>
          <w:p w:rsidR="00932000" w:rsidRPr="00E7637B" w:rsidRDefault="00932000" w:rsidP="006247DF">
            <w:pPr>
              <w:spacing w:line="200" w:lineRule="exact"/>
              <w:jc w:val="right"/>
            </w:pPr>
            <w:r>
              <w:t>178 299</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Brittiska pund</w:t>
            </w:r>
          </w:p>
        </w:tc>
        <w:tc>
          <w:tcPr>
            <w:tcW w:w="1361" w:type="dxa"/>
          </w:tcPr>
          <w:p w:rsidR="00932000" w:rsidRPr="00E7637B" w:rsidRDefault="00932000" w:rsidP="00932000">
            <w:pPr>
              <w:spacing w:line="200" w:lineRule="exact"/>
              <w:jc w:val="right"/>
            </w:pPr>
            <w:r>
              <w:t>19 343</w:t>
            </w:r>
          </w:p>
        </w:tc>
        <w:tc>
          <w:tcPr>
            <w:tcW w:w="1361" w:type="dxa"/>
          </w:tcPr>
          <w:p w:rsidR="00932000" w:rsidRPr="00E7637B" w:rsidRDefault="00932000" w:rsidP="006247DF">
            <w:pPr>
              <w:spacing w:line="200" w:lineRule="exact"/>
              <w:jc w:val="right"/>
            </w:pPr>
            <w:r>
              <w:t>16 289</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Australiska dollar</w:t>
            </w:r>
          </w:p>
        </w:tc>
        <w:tc>
          <w:tcPr>
            <w:tcW w:w="1361" w:type="dxa"/>
          </w:tcPr>
          <w:p w:rsidR="00932000" w:rsidRPr="00E7637B" w:rsidRDefault="00932000" w:rsidP="00932000">
            <w:pPr>
              <w:spacing w:line="200" w:lineRule="exact"/>
              <w:jc w:val="right"/>
            </w:pPr>
            <w:r>
              <w:t>20 824</w:t>
            </w:r>
          </w:p>
        </w:tc>
        <w:tc>
          <w:tcPr>
            <w:tcW w:w="1361" w:type="dxa"/>
          </w:tcPr>
          <w:p w:rsidR="00932000" w:rsidRPr="00E7637B" w:rsidRDefault="00932000" w:rsidP="006247DF">
            <w:pPr>
              <w:spacing w:line="200" w:lineRule="exact"/>
              <w:jc w:val="right"/>
            </w:pPr>
            <w:r>
              <w:t>17 333</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Kanadensiska dollar</w:t>
            </w:r>
          </w:p>
        </w:tc>
        <w:tc>
          <w:tcPr>
            <w:tcW w:w="1361" w:type="dxa"/>
          </w:tcPr>
          <w:p w:rsidR="00932000" w:rsidRPr="00E7637B" w:rsidRDefault="00932000" w:rsidP="00932000">
            <w:pPr>
              <w:spacing w:line="200" w:lineRule="exact"/>
              <w:jc w:val="right"/>
            </w:pPr>
            <w:r>
              <w:t>13 295</w:t>
            </w:r>
          </w:p>
        </w:tc>
        <w:tc>
          <w:tcPr>
            <w:tcW w:w="1361" w:type="dxa"/>
          </w:tcPr>
          <w:p w:rsidR="00932000" w:rsidRPr="00E7637B" w:rsidRDefault="00932000" w:rsidP="006247DF">
            <w:pPr>
              <w:spacing w:line="200" w:lineRule="exact"/>
              <w:jc w:val="right"/>
            </w:pPr>
            <w:r>
              <w:t>11 497</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Norska kronor</w:t>
            </w:r>
          </w:p>
        </w:tc>
        <w:tc>
          <w:tcPr>
            <w:tcW w:w="1361" w:type="dxa"/>
          </w:tcPr>
          <w:p w:rsidR="00932000" w:rsidRPr="00E7637B" w:rsidRDefault="00932000" w:rsidP="006247DF">
            <w:pPr>
              <w:spacing w:line="200" w:lineRule="exact"/>
              <w:jc w:val="right"/>
            </w:pPr>
            <w:r>
              <w:t>0</w:t>
            </w:r>
          </w:p>
        </w:tc>
        <w:tc>
          <w:tcPr>
            <w:tcW w:w="1361" w:type="dxa"/>
          </w:tcPr>
          <w:p w:rsidR="00932000" w:rsidRPr="00E7637B" w:rsidRDefault="00932000" w:rsidP="006247DF">
            <w:pPr>
              <w:spacing w:line="200" w:lineRule="exact"/>
              <w:jc w:val="right"/>
            </w:pPr>
            <w:r>
              <w:t>0</w:t>
            </w:r>
          </w:p>
        </w:tc>
      </w:tr>
      <w:tr w:rsidR="00932000" w:rsidRPr="00E7637B" w:rsidTr="006247DF">
        <w:trPr>
          <w:cantSplit/>
          <w:trHeight w:val="20"/>
        </w:trPr>
        <w:tc>
          <w:tcPr>
            <w:tcW w:w="3260" w:type="dxa"/>
          </w:tcPr>
          <w:p w:rsidR="00932000" w:rsidRPr="00E7637B" w:rsidRDefault="00932000" w:rsidP="006247DF">
            <w:pPr>
              <w:spacing w:line="200" w:lineRule="exact"/>
            </w:pPr>
            <w:r w:rsidRPr="00E7637B">
              <w:t>Japanska yen</w:t>
            </w:r>
          </w:p>
        </w:tc>
        <w:tc>
          <w:tcPr>
            <w:tcW w:w="1361" w:type="dxa"/>
          </w:tcPr>
          <w:p w:rsidR="00932000" w:rsidRPr="00E7637B" w:rsidRDefault="00932000" w:rsidP="006247DF">
            <w:pPr>
              <w:spacing w:line="200" w:lineRule="exact"/>
              <w:jc w:val="right"/>
            </w:pPr>
            <w:r>
              <w:t>0</w:t>
            </w:r>
          </w:p>
        </w:tc>
        <w:tc>
          <w:tcPr>
            <w:tcW w:w="1361" w:type="dxa"/>
          </w:tcPr>
          <w:p w:rsidR="00932000" w:rsidRPr="00E7637B" w:rsidRDefault="00932000" w:rsidP="006247DF">
            <w:pPr>
              <w:spacing w:line="200" w:lineRule="exact"/>
              <w:jc w:val="right"/>
            </w:pPr>
            <w:r>
              <w:t>0</w:t>
            </w:r>
          </w:p>
        </w:tc>
      </w:tr>
      <w:tr w:rsidR="00932000" w:rsidRPr="00E7637B" w:rsidTr="006247DF">
        <w:trPr>
          <w:cantSplit/>
          <w:trHeight w:val="20"/>
        </w:trPr>
        <w:tc>
          <w:tcPr>
            <w:tcW w:w="3260" w:type="dxa"/>
            <w:tcBorders>
              <w:top w:val="single" w:sz="4" w:space="0" w:color="auto"/>
              <w:bottom w:val="single" w:sz="4" w:space="0" w:color="auto"/>
            </w:tcBorders>
            <w:vAlign w:val="center"/>
          </w:tcPr>
          <w:p w:rsidR="00932000" w:rsidRPr="00E7637B" w:rsidRDefault="00932000" w:rsidP="006247DF">
            <w:pPr>
              <w:spacing w:line="200" w:lineRule="exact"/>
            </w:pPr>
            <w:r w:rsidRPr="00E7637B">
              <w:t>Summa</w:t>
            </w:r>
          </w:p>
        </w:tc>
        <w:tc>
          <w:tcPr>
            <w:tcW w:w="1361" w:type="dxa"/>
            <w:tcBorders>
              <w:top w:val="single" w:sz="4" w:space="0" w:color="auto"/>
              <w:bottom w:val="single" w:sz="4" w:space="0" w:color="auto"/>
            </w:tcBorders>
            <w:vAlign w:val="center"/>
          </w:tcPr>
          <w:p w:rsidR="00932000" w:rsidRPr="00E7637B" w:rsidRDefault="00932000" w:rsidP="00932000">
            <w:pPr>
              <w:spacing w:line="200" w:lineRule="exact"/>
              <w:jc w:val="right"/>
            </w:pPr>
            <w:r>
              <w:t>414 156</w:t>
            </w:r>
          </w:p>
        </w:tc>
        <w:tc>
          <w:tcPr>
            <w:tcW w:w="1361" w:type="dxa"/>
            <w:tcBorders>
              <w:top w:val="single" w:sz="4" w:space="0" w:color="auto"/>
              <w:bottom w:val="single" w:sz="4" w:space="0" w:color="auto"/>
            </w:tcBorders>
            <w:vAlign w:val="center"/>
          </w:tcPr>
          <w:p w:rsidR="00932000" w:rsidRPr="00E7637B" w:rsidRDefault="00932000" w:rsidP="006247DF">
            <w:pPr>
              <w:spacing w:line="200" w:lineRule="exact"/>
              <w:jc w:val="right"/>
            </w:pPr>
            <w:r>
              <w:t>352 911</w:t>
            </w:r>
          </w:p>
        </w:tc>
      </w:tr>
    </w:tbl>
    <w:p w:rsidR="006247DF" w:rsidRPr="00E7637B" w:rsidRDefault="006247DF" w:rsidP="006247DF">
      <w:pPr>
        <w:spacing w:before="120" w:after="120"/>
      </w:pPr>
      <w:r>
        <w:t>Fördelningen av b</w:t>
      </w:r>
      <w:r w:rsidRPr="00E7637B">
        <w:t>anktillgodohavanden och värdepapper enligt löptid</w:t>
      </w:r>
      <w:r>
        <w:t xml:space="preserve"> framgår nedan.</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6247DF" w:rsidRPr="00E7637B" w:rsidTr="006247DF">
        <w:trPr>
          <w:cantSplit/>
          <w:trHeight w:val="319"/>
        </w:trPr>
        <w:tc>
          <w:tcPr>
            <w:tcW w:w="2814" w:type="dxa"/>
            <w:tcBorders>
              <w:top w:val="single" w:sz="4" w:space="0" w:color="auto"/>
            </w:tcBorders>
          </w:tcPr>
          <w:p w:rsidR="006247DF" w:rsidRPr="00E7637B" w:rsidRDefault="006247DF" w:rsidP="006247DF">
            <w:pPr>
              <w:spacing w:line="200" w:lineRule="exact"/>
            </w:pPr>
            <w:r w:rsidRPr="00E7637B">
              <w:t>Löptid</w:t>
            </w:r>
          </w:p>
        </w:tc>
        <w:tc>
          <w:tcPr>
            <w:tcW w:w="1890" w:type="dxa"/>
            <w:tcBorders>
              <w:top w:val="single" w:sz="4" w:space="0" w:color="auto"/>
            </w:tcBorders>
          </w:tcPr>
          <w:p w:rsidR="006247DF" w:rsidRPr="00E7637B" w:rsidRDefault="006247DF" w:rsidP="006247DF">
            <w:pPr>
              <w:spacing w:line="200" w:lineRule="exact"/>
              <w:jc w:val="right"/>
            </w:pPr>
            <w:r w:rsidRPr="00E7637B">
              <w:t>Banktillgodohavanden</w:t>
            </w:r>
          </w:p>
        </w:tc>
        <w:tc>
          <w:tcPr>
            <w:tcW w:w="1363" w:type="dxa"/>
            <w:tcBorders>
              <w:top w:val="single" w:sz="4" w:space="0" w:color="auto"/>
            </w:tcBorders>
          </w:tcPr>
          <w:p w:rsidR="006247DF" w:rsidRPr="00E7637B" w:rsidRDefault="006247DF" w:rsidP="006247DF">
            <w:pPr>
              <w:spacing w:line="200" w:lineRule="exact"/>
              <w:jc w:val="right"/>
            </w:pPr>
            <w:r w:rsidRPr="00E7637B">
              <w:t>Värdepapper</w:t>
            </w:r>
          </w:p>
        </w:tc>
      </w:tr>
      <w:tr w:rsidR="006247DF" w:rsidRPr="00E7637B" w:rsidTr="006247DF">
        <w:trPr>
          <w:cantSplit/>
        </w:trPr>
        <w:tc>
          <w:tcPr>
            <w:tcW w:w="2814" w:type="dxa"/>
            <w:tcBorders>
              <w:top w:val="single" w:sz="4" w:space="0" w:color="auto"/>
            </w:tcBorders>
          </w:tcPr>
          <w:p w:rsidR="006247DF" w:rsidRPr="00E7637B" w:rsidRDefault="006247DF" w:rsidP="006247DF">
            <w:pPr>
              <w:spacing w:line="200" w:lineRule="exact"/>
            </w:pPr>
            <w:r w:rsidRPr="00E7637B">
              <w:t>Upp till 1 månad</w:t>
            </w:r>
          </w:p>
        </w:tc>
        <w:tc>
          <w:tcPr>
            <w:tcW w:w="1890" w:type="dxa"/>
            <w:tcBorders>
              <w:top w:val="single" w:sz="4" w:space="0" w:color="auto"/>
            </w:tcBorders>
          </w:tcPr>
          <w:p w:rsidR="006247DF" w:rsidRPr="00E7637B" w:rsidRDefault="00932000" w:rsidP="00932000">
            <w:pPr>
              <w:spacing w:line="200" w:lineRule="exact"/>
              <w:jc w:val="right"/>
            </w:pPr>
            <w:r>
              <w:t>8</w:t>
            </w:r>
            <w:r w:rsidR="006247DF">
              <w:t xml:space="preserve"> </w:t>
            </w:r>
            <w:r>
              <w:t>257</w:t>
            </w:r>
          </w:p>
        </w:tc>
        <w:tc>
          <w:tcPr>
            <w:tcW w:w="1363" w:type="dxa"/>
            <w:tcBorders>
              <w:top w:val="single" w:sz="4" w:space="0" w:color="auto"/>
            </w:tcBorders>
          </w:tcPr>
          <w:p w:rsidR="006247DF" w:rsidRPr="00C631B0" w:rsidRDefault="00932000" w:rsidP="00932000">
            <w:pPr>
              <w:spacing w:line="200" w:lineRule="exact"/>
              <w:jc w:val="right"/>
            </w:pPr>
            <w:r>
              <w:t>11</w:t>
            </w:r>
            <w:r w:rsidR="006247DF">
              <w:t xml:space="preserve"> </w:t>
            </w:r>
            <w:r>
              <w:t>966</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1 månad, upp till 3 månader</w:t>
            </w:r>
          </w:p>
        </w:tc>
        <w:tc>
          <w:tcPr>
            <w:tcW w:w="1890" w:type="dxa"/>
          </w:tcPr>
          <w:p w:rsidR="006247DF" w:rsidRPr="00C631B0" w:rsidRDefault="00932000" w:rsidP="00932000">
            <w:pPr>
              <w:spacing w:line="200" w:lineRule="exact"/>
              <w:jc w:val="right"/>
            </w:pPr>
            <w:r>
              <w:t>7</w:t>
            </w:r>
            <w:r w:rsidR="006247DF">
              <w:t xml:space="preserve"> </w:t>
            </w:r>
            <w:r>
              <w:t>826</w:t>
            </w:r>
          </w:p>
        </w:tc>
        <w:tc>
          <w:tcPr>
            <w:tcW w:w="1363" w:type="dxa"/>
          </w:tcPr>
          <w:p w:rsidR="006247DF" w:rsidRPr="000C4345" w:rsidRDefault="006247DF" w:rsidP="00932000">
            <w:pPr>
              <w:spacing w:line="200" w:lineRule="exact"/>
              <w:jc w:val="right"/>
            </w:pPr>
            <w:r>
              <w:t>1</w:t>
            </w:r>
            <w:r w:rsidR="00932000">
              <w:t>9</w:t>
            </w:r>
            <w:r>
              <w:t xml:space="preserve"> </w:t>
            </w:r>
            <w:r w:rsidR="00932000">
              <w:t>177</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3 månader, upp till 1 år</w:t>
            </w:r>
          </w:p>
        </w:tc>
        <w:tc>
          <w:tcPr>
            <w:tcW w:w="1890" w:type="dxa"/>
          </w:tcPr>
          <w:p w:rsidR="006247DF" w:rsidRPr="00C631B0" w:rsidRDefault="00932000" w:rsidP="00932000">
            <w:pPr>
              <w:spacing w:line="200" w:lineRule="exact"/>
              <w:jc w:val="right"/>
            </w:pPr>
            <w:r>
              <w:t>–</w:t>
            </w:r>
          </w:p>
        </w:tc>
        <w:tc>
          <w:tcPr>
            <w:tcW w:w="1363" w:type="dxa"/>
          </w:tcPr>
          <w:p w:rsidR="006247DF" w:rsidRPr="000C4345" w:rsidRDefault="00932000" w:rsidP="00932000">
            <w:pPr>
              <w:spacing w:line="200" w:lineRule="exact"/>
              <w:jc w:val="right"/>
            </w:pPr>
            <w:r>
              <w:t>110</w:t>
            </w:r>
            <w:r w:rsidR="006247DF">
              <w:t xml:space="preserve"> </w:t>
            </w:r>
            <w:r>
              <w:t>473</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 xml:space="preserve">Över 1 år, upp till 5 år                              </w:t>
            </w:r>
          </w:p>
        </w:tc>
        <w:tc>
          <w:tcPr>
            <w:tcW w:w="1890" w:type="dxa"/>
          </w:tcPr>
          <w:p w:rsidR="006247DF" w:rsidRPr="00C631B0" w:rsidRDefault="006247DF" w:rsidP="006247DF">
            <w:pPr>
              <w:spacing w:line="200" w:lineRule="exact"/>
              <w:jc w:val="right"/>
            </w:pPr>
            <w:r>
              <w:t>–</w:t>
            </w:r>
          </w:p>
        </w:tc>
        <w:tc>
          <w:tcPr>
            <w:tcW w:w="1363" w:type="dxa"/>
          </w:tcPr>
          <w:p w:rsidR="006247DF" w:rsidRPr="000C4345" w:rsidRDefault="00932000" w:rsidP="00932000">
            <w:pPr>
              <w:spacing w:line="200" w:lineRule="exact"/>
              <w:jc w:val="right"/>
            </w:pPr>
            <w:r>
              <w:t>204</w:t>
            </w:r>
            <w:r w:rsidR="006247DF">
              <w:t xml:space="preserve"> </w:t>
            </w:r>
            <w:r>
              <w:t>502</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5 år</w:t>
            </w:r>
          </w:p>
        </w:tc>
        <w:tc>
          <w:tcPr>
            <w:tcW w:w="1890" w:type="dxa"/>
          </w:tcPr>
          <w:p w:rsidR="006247DF" w:rsidRPr="00C631B0" w:rsidRDefault="006247DF" w:rsidP="006247DF">
            <w:pPr>
              <w:spacing w:line="200" w:lineRule="exact"/>
              <w:jc w:val="right"/>
            </w:pPr>
            <w:r>
              <w:t>–</w:t>
            </w:r>
          </w:p>
        </w:tc>
        <w:tc>
          <w:tcPr>
            <w:tcW w:w="1363" w:type="dxa"/>
          </w:tcPr>
          <w:p w:rsidR="006247DF" w:rsidRPr="000C4345" w:rsidRDefault="00932000" w:rsidP="00932000">
            <w:pPr>
              <w:spacing w:line="200" w:lineRule="exact"/>
              <w:jc w:val="right"/>
            </w:pPr>
            <w:r>
              <w:t>51</w:t>
            </w:r>
            <w:r w:rsidR="006247DF">
              <w:t xml:space="preserve"> </w:t>
            </w:r>
            <w:r>
              <w:t>955</w:t>
            </w:r>
          </w:p>
        </w:tc>
      </w:tr>
      <w:tr w:rsidR="006247DF" w:rsidRPr="00E7637B" w:rsidTr="006247DF">
        <w:trPr>
          <w:cantSplit/>
        </w:trPr>
        <w:tc>
          <w:tcPr>
            <w:tcW w:w="2814" w:type="dxa"/>
            <w:tcBorders>
              <w:top w:val="single" w:sz="4" w:space="0" w:color="auto"/>
              <w:bottom w:val="single" w:sz="4" w:space="0" w:color="auto"/>
            </w:tcBorders>
            <w:vAlign w:val="center"/>
          </w:tcPr>
          <w:p w:rsidR="006247DF" w:rsidRPr="00E7637B" w:rsidRDefault="006247DF" w:rsidP="006247DF">
            <w:pPr>
              <w:spacing w:line="200" w:lineRule="exact"/>
            </w:pPr>
            <w:r w:rsidRPr="00E7637B">
              <w:t>Summa</w:t>
            </w:r>
          </w:p>
        </w:tc>
        <w:tc>
          <w:tcPr>
            <w:tcW w:w="1890" w:type="dxa"/>
            <w:tcBorders>
              <w:top w:val="single" w:sz="4" w:space="0" w:color="auto"/>
              <w:bottom w:val="single" w:sz="4" w:space="0" w:color="auto"/>
            </w:tcBorders>
          </w:tcPr>
          <w:p w:rsidR="006247DF" w:rsidRPr="00E7637B" w:rsidRDefault="00932000" w:rsidP="00932000">
            <w:pPr>
              <w:spacing w:line="200" w:lineRule="exact"/>
              <w:jc w:val="right"/>
            </w:pPr>
            <w:r>
              <w:t>16</w:t>
            </w:r>
            <w:r w:rsidR="006247DF">
              <w:t xml:space="preserve"> </w:t>
            </w:r>
            <w:r>
              <w:t>083</w:t>
            </w:r>
          </w:p>
        </w:tc>
        <w:tc>
          <w:tcPr>
            <w:tcW w:w="1363" w:type="dxa"/>
            <w:tcBorders>
              <w:top w:val="single" w:sz="4" w:space="0" w:color="auto"/>
              <w:bottom w:val="single" w:sz="4" w:space="0" w:color="auto"/>
            </w:tcBorders>
          </w:tcPr>
          <w:p w:rsidR="006247DF" w:rsidRPr="00E7637B" w:rsidRDefault="006247DF" w:rsidP="00932000">
            <w:pPr>
              <w:spacing w:line="200" w:lineRule="exact"/>
              <w:jc w:val="right"/>
            </w:pPr>
            <w:r>
              <w:t>3</w:t>
            </w:r>
            <w:r w:rsidR="00932000">
              <w:t>98</w:t>
            </w:r>
            <w:r>
              <w:t xml:space="preserve"> </w:t>
            </w:r>
            <w:r w:rsidR="00932000">
              <w:t>073</w:t>
            </w:r>
          </w:p>
        </w:tc>
      </w:tr>
    </w:tbl>
    <w:p w:rsidR="006247DF" w:rsidRPr="00E7637B" w:rsidRDefault="006247DF" w:rsidP="006247DF">
      <w:pPr>
        <w:spacing w:before="120"/>
      </w:pPr>
      <w:r>
        <w:t>Under 201</w:t>
      </w:r>
      <w:r w:rsidR="00932000">
        <w:t>4</w:t>
      </w:r>
      <w:r>
        <w:t xml:space="preserve"> deltog </w:t>
      </w:r>
      <w:r w:rsidRPr="00E7637B">
        <w:t xml:space="preserve">Riksbanken </w:t>
      </w:r>
      <w:r>
        <w:t xml:space="preserve">inte </w:t>
      </w:r>
      <w:r w:rsidRPr="00E7637B">
        <w:t xml:space="preserve">i </w:t>
      </w:r>
      <w:r>
        <w:t xml:space="preserve">något </w:t>
      </w:r>
      <w:r w:rsidRPr="00E7637B">
        <w:t>automatisera</w:t>
      </w:r>
      <w:r>
        <w:t>t</w:t>
      </w:r>
      <w:r w:rsidRPr="00E7637B">
        <w:t xml:space="preserve"> värdepapperslån</w:t>
      </w:r>
      <w:r w:rsidRPr="00E7637B">
        <w:t>e</w:t>
      </w:r>
      <w:r w:rsidRPr="00E7637B">
        <w:t>program</w:t>
      </w:r>
      <w:r>
        <w:t>.</w:t>
      </w:r>
    </w:p>
    <w:p w:rsidR="006247DF" w:rsidRPr="00E7637B" w:rsidRDefault="006247DF" w:rsidP="006247DF">
      <w:pPr>
        <w:spacing w:before="0"/>
        <w:outlineLvl w:val="0"/>
        <w:rPr>
          <w:b/>
        </w:rPr>
      </w:pPr>
      <w:r>
        <w:rPr>
          <w:b/>
        </w:rPr>
        <w:br w:type="page"/>
      </w:r>
      <w:r w:rsidRPr="00E7637B">
        <w:rPr>
          <w:b/>
        </w:rPr>
        <w:t xml:space="preserve">Not </w:t>
      </w:r>
      <w:r>
        <w:rPr>
          <w:b/>
        </w:rPr>
        <w:t>4</w:t>
      </w:r>
      <w:r w:rsidRPr="00E7637B">
        <w:rPr>
          <w:b/>
        </w:rPr>
        <w:t xml:space="preserve"> Strukturella transaktioner</w:t>
      </w:r>
    </w:p>
    <w:p w:rsidR="006247DF" w:rsidRDefault="006247DF" w:rsidP="006247DF">
      <w:r>
        <w:t>Riksbanken har inte genomfört några strukturella transaktioner under 201</w:t>
      </w:r>
      <w:r w:rsidR="00446AD0">
        <w:t>4</w:t>
      </w:r>
      <w:r>
        <w:t>.</w:t>
      </w:r>
    </w:p>
    <w:p w:rsidR="00CA029D" w:rsidRPr="00E7637B" w:rsidRDefault="00CA029D" w:rsidP="00493AD0">
      <w:pPr>
        <w:suppressAutoHyphens/>
        <w:spacing w:before="0"/>
        <w:ind w:firstLine="227"/>
      </w:pPr>
      <w:r w:rsidRPr="00E7637B">
        <w:t>Under denna post redovisas Riksbankens utlåning i svenska kronor till penningpolitiska motparter med en i regel längre löptid än för huvudsakliga och finjusterande transaktioner</w:t>
      </w:r>
      <w:r w:rsidR="00EF27B9">
        <w:t xml:space="preserve">. Syftet </w:t>
      </w:r>
      <w:r w:rsidR="00880053">
        <w:t xml:space="preserve">med transaktionerna </w:t>
      </w:r>
      <w:r w:rsidR="00EF27B9">
        <w:t>är</w:t>
      </w:r>
      <w:r>
        <w:t xml:space="preserve"> att tillfreds</w:t>
      </w:r>
      <w:r w:rsidR="00493AD0">
        <w:softHyphen/>
      </w:r>
      <w:r>
        <w:t>ställa banksystemets finansieringsbehov på längre sikt och att påverka Riksbankens strukturella position gentemot banksystemet</w:t>
      </w:r>
      <w:r w:rsidR="00D05EB9">
        <w:t xml:space="preserve">. </w:t>
      </w:r>
      <w:r w:rsidR="00493AD0">
        <w:t>Transaktionerna</w:t>
      </w:r>
      <w:r w:rsidR="00D05EB9">
        <w:t xml:space="preserve"> används inte för att sända några </w:t>
      </w:r>
      <w:r>
        <w:t>penningpolitiska signaler.</w:t>
      </w:r>
    </w:p>
    <w:p w:rsidR="006247DF" w:rsidRPr="00E7637B" w:rsidRDefault="006247DF" w:rsidP="006247DF">
      <w:pPr>
        <w:spacing w:before="187"/>
        <w:outlineLvl w:val="0"/>
        <w:rPr>
          <w:b/>
        </w:rPr>
      </w:pPr>
      <w:r w:rsidRPr="00E7637B">
        <w:rPr>
          <w:b/>
        </w:rPr>
        <w:t xml:space="preserve">Not </w:t>
      </w:r>
      <w:r>
        <w:rPr>
          <w:b/>
        </w:rPr>
        <w:t>5</w:t>
      </w:r>
      <w:r w:rsidRPr="00E7637B">
        <w:rPr>
          <w:b/>
        </w:rPr>
        <w:t xml:space="preserve"> Utlåningsfacilitet</w:t>
      </w:r>
    </w:p>
    <w:p w:rsidR="006247DF" w:rsidRPr="00E7637B" w:rsidRDefault="006247DF" w:rsidP="006247DF">
      <w:r w:rsidRPr="00E7637B">
        <w:t>Under denna post redovisas utlåning över natten till bankerna på deras RIX-konton i Riksbanken.</w:t>
      </w:r>
    </w:p>
    <w:p w:rsidR="006247DF" w:rsidRDefault="006247DF" w:rsidP="006247DF">
      <w:pPr>
        <w:spacing w:before="187"/>
        <w:outlineLvl w:val="0"/>
        <w:rPr>
          <w:b/>
        </w:rPr>
      </w:pPr>
      <w:r>
        <w:rPr>
          <w:b/>
        </w:rPr>
        <w:t>Not 6 Värdepapper i svenska kronor utgivna av hemmahörande i Sverige</w:t>
      </w:r>
    </w:p>
    <w:p w:rsidR="006247DF" w:rsidRPr="00D20F91" w:rsidRDefault="006247DF" w:rsidP="00493AD0">
      <w:pPr>
        <w:pStyle w:val="Normaltindrag"/>
        <w:suppressAutoHyphens/>
        <w:spacing w:before="62"/>
        <w:ind w:firstLine="0"/>
      </w:pPr>
      <w:r>
        <w:t>Under 2012 började Riksbanken förvärva värdepapper i svenska kronor i syfte att med kort varsel kunna genomfö</w:t>
      </w:r>
      <w:r w:rsidR="007409DA">
        <w:t xml:space="preserve">ra köp av svenska värdepapper, </w:t>
      </w:r>
      <w:r>
        <w:t xml:space="preserve">antingen för att säkerställa den finansiella stabiliteten eller </w:t>
      </w:r>
      <w:r w:rsidR="00057A2D">
        <w:t xml:space="preserve">för att </w:t>
      </w:r>
      <w:r>
        <w:t>bidra till en bättre f</w:t>
      </w:r>
      <w:r w:rsidR="00057A2D">
        <w:t>ungerande transmissionsmekanism</w:t>
      </w:r>
      <w:r>
        <w:t xml:space="preserve"> vid ett krisläge i det finansiella systemet.</w:t>
      </w:r>
    </w:p>
    <w:p w:rsidR="00E46F64" w:rsidRDefault="00C94F51" w:rsidP="00E46F64">
      <w:pPr>
        <w:pStyle w:val="Normaltindrag"/>
        <w:spacing w:before="62"/>
      </w:pPr>
      <w:r>
        <w:t>Värdepapp</w:t>
      </w:r>
      <w:r w:rsidR="004B74DC">
        <w:t>e</w:t>
      </w:r>
      <w:r>
        <w:t>ren har värderats till noterade priser.</w:t>
      </w:r>
    </w:p>
    <w:p w:rsidR="006247DF" w:rsidRPr="00FE130D" w:rsidRDefault="006247DF" w:rsidP="00580628">
      <w:pPr>
        <w:pStyle w:val="Normaltindrag"/>
        <w:suppressAutoHyphens/>
        <w:spacing w:before="62"/>
      </w:pPr>
      <w:r w:rsidRPr="00FE130D">
        <w:t>Fördelningen av värdepapper i svenska kronor enligt löptid framgår av tabe</w:t>
      </w:r>
      <w:r w:rsidRPr="00FE130D">
        <w:t>l</w:t>
      </w:r>
      <w:r w:rsidRPr="00FE130D">
        <w:t>len nedan.</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6247DF" w:rsidRPr="00E7637B" w:rsidTr="006247DF">
        <w:trPr>
          <w:cantSplit/>
          <w:trHeight w:val="319"/>
        </w:trPr>
        <w:tc>
          <w:tcPr>
            <w:tcW w:w="2814" w:type="dxa"/>
            <w:tcBorders>
              <w:top w:val="single" w:sz="4" w:space="0" w:color="auto"/>
            </w:tcBorders>
          </w:tcPr>
          <w:p w:rsidR="006247DF" w:rsidRPr="00E7637B" w:rsidRDefault="006247DF" w:rsidP="006247DF">
            <w:pPr>
              <w:spacing w:line="200" w:lineRule="exact"/>
            </w:pPr>
            <w:r w:rsidRPr="00E7637B">
              <w:t>Löptid</w:t>
            </w:r>
          </w:p>
        </w:tc>
        <w:tc>
          <w:tcPr>
            <w:tcW w:w="1890" w:type="dxa"/>
            <w:tcBorders>
              <w:top w:val="single" w:sz="4" w:space="0" w:color="auto"/>
            </w:tcBorders>
          </w:tcPr>
          <w:p w:rsidR="006247DF" w:rsidRPr="00E7637B" w:rsidRDefault="006247DF" w:rsidP="006247DF">
            <w:pPr>
              <w:spacing w:line="200" w:lineRule="exact"/>
              <w:jc w:val="right"/>
            </w:pPr>
          </w:p>
        </w:tc>
        <w:tc>
          <w:tcPr>
            <w:tcW w:w="1363" w:type="dxa"/>
            <w:tcBorders>
              <w:top w:val="single" w:sz="4" w:space="0" w:color="auto"/>
            </w:tcBorders>
          </w:tcPr>
          <w:p w:rsidR="006247DF" w:rsidRPr="00E7637B" w:rsidRDefault="006247DF" w:rsidP="006247DF">
            <w:pPr>
              <w:spacing w:line="200" w:lineRule="exact"/>
              <w:jc w:val="right"/>
            </w:pPr>
            <w:r w:rsidRPr="00E7637B">
              <w:t>Värdepapper</w:t>
            </w:r>
          </w:p>
        </w:tc>
      </w:tr>
      <w:tr w:rsidR="006247DF" w:rsidRPr="00E7637B" w:rsidTr="006247DF">
        <w:trPr>
          <w:cantSplit/>
        </w:trPr>
        <w:tc>
          <w:tcPr>
            <w:tcW w:w="2814" w:type="dxa"/>
            <w:tcBorders>
              <w:top w:val="single" w:sz="4" w:space="0" w:color="auto"/>
            </w:tcBorders>
          </w:tcPr>
          <w:p w:rsidR="006247DF" w:rsidRPr="00E7637B" w:rsidRDefault="006247DF" w:rsidP="006247DF">
            <w:pPr>
              <w:spacing w:line="200" w:lineRule="exact"/>
            </w:pPr>
            <w:r w:rsidRPr="00E7637B">
              <w:t>Upp till 1 månad</w:t>
            </w:r>
          </w:p>
        </w:tc>
        <w:tc>
          <w:tcPr>
            <w:tcW w:w="1890" w:type="dxa"/>
            <w:tcBorders>
              <w:top w:val="single" w:sz="4" w:space="0" w:color="auto"/>
            </w:tcBorders>
          </w:tcPr>
          <w:p w:rsidR="006247DF" w:rsidRPr="00E7637B" w:rsidRDefault="006247DF" w:rsidP="006247DF">
            <w:pPr>
              <w:spacing w:line="200" w:lineRule="exact"/>
              <w:jc w:val="right"/>
            </w:pPr>
          </w:p>
        </w:tc>
        <w:tc>
          <w:tcPr>
            <w:tcW w:w="1363" w:type="dxa"/>
            <w:tcBorders>
              <w:top w:val="single" w:sz="4" w:space="0" w:color="auto"/>
            </w:tcBorders>
          </w:tcPr>
          <w:p w:rsidR="006247DF" w:rsidRPr="00C631B0" w:rsidRDefault="006247DF" w:rsidP="006247DF">
            <w:pPr>
              <w:spacing w:line="200" w:lineRule="exact"/>
              <w:jc w:val="right"/>
            </w:pPr>
            <w:r>
              <w:t>–</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1 månad, upp till 3 månader</w:t>
            </w:r>
          </w:p>
        </w:tc>
        <w:tc>
          <w:tcPr>
            <w:tcW w:w="1890" w:type="dxa"/>
          </w:tcPr>
          <w:p w:rsidR="006247DF" w:rsidRPr="00C631B0" w:rsidRDefault="006247DF" w:rsidP="006247DF">
            <w:pPr>
              <w:spacing w:line="200" w:lineRule="exact"/>
              <w:jc w:val="right"/>
            </w:pPr>
          </w:p>
        </w:tc>
        <w:tc>
          <w:tcPr>
            <w:tcW w:w="1363" w:type="dxa"/>
          </w:tcPr>
          <w:p w:rsidR="006247DF" w:rsidRPr="000C4345" w:rsidRDefault="006247DF" w:rsidP="006247DF">
            <w:pPr>
              <w:spacing w:line="200" w:lineRule="exact"/>
              <w:jc w:val="right"/>
            </w:pPr>
            <w:r>
              <w:t>–</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3 månader, upp till 1 år</w:t>
            </w:r>
          </w:p>
        </w:tc>
        <w:tc>
          <w:tcPr>
            <w:tcW w:w="1890" w:type="dxa"/>
          </w:tcPr>
          <w:p w:rsidR="006247DF" w:rsidRPr="00C631B0" w:rsidRDefault="006247DF" w:rsidP="006247DF">
            <w:pPr>
              <w:spacing w:line="200" w:lineRule="exact"/>
              <w:jc w:val="right"/>
            </w:pPr>
          </w:p>
        </w:tc>
        <w:tc>
          <w:tcPr>
            <w:tcW w:w="1363" w:type="dxa"/>
          </w:tcPr>
          <w:p w:rsidR="006247DF" w:rsidRPr="000C4345" w:rsidRDefault="006247DF" w:rsidP="006247DF">
            <w:pPr>
              <w:spacing w:line="200" w:lineRule="exact"/>
              <w:jc w:val="right"/>
            </w:pPr>
            <w:r>
              <w:t>–</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 xml:space="preserve">Över 1 år, upp till 5 år                              </w:t>
            </w:r>
          </w:p>
        </w:tc>
        <w:tc>
          <w:tcPr>
            <w:tcW w:w="1890" w:type="dxa"/>
          </w:tcPr>
          <w:p w:rsidR="006247DF" w:rsidRPr="00C631B0" w:rsidRDefault="006247DF" w:rsidP="006247DF">
            <w:pPr>
              <w:spacing w:line="200" w:lineRule="exact"/>
              <w:jc w:val="right"/>
            </w:pPr>
          </w:p>
        </w:tc>
        <w:tc>
          <w:tcPr>
            <w:tcW w:w="1363" w:type="dxa"/>
          </w:tcPr>
          <w:p w:rsidR="006247DF" w:rsidRPr="000C4345" w:rsidRDefault="00446AD0" w:rsidP="00446AD0">
            <w:pPr>
              <w:spacing w:line="200" w:lineRule="exact"/>
              <w:jc w:val="right"/>
            </w:pPr>
            <w:r>
              <w:t>5</w:t>
            </w:r>
            <w:r w:rsidR="006247DF">
              <w:t xml:space="preserve"> </w:t>
            </w:r>
            <w:r>
              <w:t>970</w:t>
            </w:r>
          </w:p>
        </w:tc>
      </w:tr>
      <w:tr w:rsidR="006247DF" w:rsidRPr="00E7637B" w:rsidTr="006247DF">
        <w:trPr>
          <w:cantSplit/>
          <w:trHeight w:val="234"/>
        </w:trPr>
        <w:tc>
          <w:tcPr>
            <w:tcW w:w="2814" w:type="dxa"/>
          </w:tcPr>
          <w:p w:rsidR="006247DF" w:rsidRPr="00E7637B" w:rsidRDefault="006247DF" w:rsidP="006247DF">
            <w:pPr>
              <w:spacing w:line="200" w:lineRule="exact"/>
            </w:pPr>
            <w:r w:rsidRPr="00E7637B">
              <w:t>Över 5 år</w:t>
            </w:r>
          </w:p>
        </w:tc>
        <w:tc>
          <w:tcPr>
            <w:tcW w:w="1890" w:type="dxa"/>
          </w:tcPr>
          <w:p w:rsidR="006247DF" w:rsidRPr="00C631B0" w:rsidRDefault="006247DF" w:rsidP="006247DF">
            <w:pPr>
              <w:spacing w:line="200" w:lineRule="exact"/>
              <w:jc w:val="right"/>
            </w:pPr>
          </w:p>
        </w:tc>
        <w:tc>
          <w:tcPr>
            <w:tcW w:w="1363" w:type="dxa"/>
          </w:tcPr>
          <w:p w:rsidR="006247DF" w:rsidRPr="000C4345" w:rsidRDefault="006247DF" w:rsidP="00446AD0">
            <w:pPr>
              <w:spacing w:line="200" w:lineRule="exact"/>
              <w:jc w:val="right"/>
            </w:pPr>
            <w:r>
              <w:t xml:space="preserve">5 </w:t>
            </w:r>
            <w:r w:rsidR="00446AD0">
              <w:t>156</w:t>
            </w:r>
          </w:p>
        </w:tc>
      </w:tr>
      <w:tr w:rsidR="006247DF" w:rsidRPr="00E7637B" w:rsidTr="006247DF">
        <w:trPr>
          <w:cantSplit/>
        </w:trPr>
        <w:tc>
          <w:tcPr>
            <w:tcW w:w="2814" w:type="dxa"/>
            <w:tcBorders>
              <w:top w:val="single" w:sz="4" w:space="0" w:color="auto"/>
              <w:bottom w:val="single" w:sz="4" w:space="0" w:color="auto"/>
            </w:tcBorders>
            <w:vAlign w:val="center"/>
          </w:tcPr>
          <w:p w:rsidR="006247DF" w:rsidRPr="00E7637B" w:rsidRDefault="006247DF" w:rsidP="006247DF">
            <w:pPr>
              <w:spacing w:line="200" w:lineRule="exact"/>
            </w:pPr>
            <w:r w:rsidRPr="00E7637B">
              <w:t>Summa</w:t>
            </w:r>
          </w:p>
        </w:tc>
        <w:tc>
          <w:tcPr>
            <w:tcW w:w="1890" w:type="dxa"/>
            <w:tcBorders>
              <w:top w:val="single" w:sz="4" w:space="0" w:color="auto"/>
              <w:bottom w:val="single" w:sz="4" w:space="0" w:color="auto"/>
            </w:tcBorders>
          </w:tcPr>
          <w:p w:rsidR="006247DF" w:rsidRPr="00E7637B" w:rsidRDefault="006247DF" w:rsidP="006247DF">
            <w:pPr>
              <w:spacing w:line="200" w:lineRule="exact"/>
              <w:jc w:val="right"/>
            </w:pPr>
          </w:p>
        </w:tc>
        <w:tc>
          <w:tcPr>
            <w:tcW w:w="1363" w:type="dxa"/>
            <w:tcBorders>
              <w:top w:val="single" w:sz="4" w:space="0" w:color="auto"/>
              <w:bottom w:val="single" w:sz="4" w:space="0" w:color="auto"/>
            </w:tcBorders>
          </w:tcPr>
          <w:p w:rsidR="006247DF" w:rsidRPr="00E7637B" w:rsidRDefault="00446AD0" w:rsidP="00446AD0">
            <w:pPr>
              <w:spacing w:line="200" w:lineRule="exact"/>
              <w:jc w:val="right"/>
            </w:pPr>
            <w:r>
              <w:t>11</w:t>
            </w:r>
            <w:r w:rsidR="006247DF">
              <w:t xml:space="preserve"> </w:t>
            </w:r>
            <w:r>
              <w:t>126</w:t>
            </w:r>
          </w:p>
        </w:tc>
      </w:tr>
    </w:tbl>
    <w:p w:rsidR="006247DF" w:rsidRPr="00E7637B" w:rsidRDefault="006247DF" w:rsidP="006247DF">
      <w:pPr>
        <w:spacing w:before="0"/>
        <w:outlineLvl w:val="0"/>
        <w:rPr>
          <w:b/>
        </w:rPr>
      </w:pPr>
      <w:r>
        <w:rPr>
          <w:b/>
        </w:rPr>
        <w:br w:type="page"/>
      </w:r>
      <w:r w:rsidRPr="00E7637B">
        <w:rPr>
          <w:b/>
        </w:rPr>
        <w:t xml:space="preserve">Not </w:t>
      </w:r>
      <w:r>
        <w:rPr>
          <w:b/>
        </w:rPr>
        <w:t>7</w:t>
      </w:r>
      <w:r w:rsidRPr="00E7637B">
        <w:rPr>
          <w:b/>
        </w:rPr>
        <w:t xml:space="preserve"> Materiella och immateriella anläggningstillgångar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blHeader/>
        </w:trPr>
        <w:tc>
          <w:tcPr>
            <w:tcW w:w="3260" w:type="dxa"/>
            <w:tcBorders>
              <w:top w:val="single" w:sz="4" w:space="0" w:color="auto"/>
              <w:bottom w:val="single" w:sz="4" w:space="0" w:color="auto"/>
            </w:tcBorders>
          </w:tcPr>
          <w:p w:rsidR="006247DF" w:rsidRPr="00E7637B" w:rsidRDefault="006247DF" w:rsidP="006247DF">
            <w:pPr>
              <w:spacing w:line="200" w:lineRule="exact"/>
              <w:rPr>
                <w:szCs w:val="19"/>
              </w:rPr>
            </w:pPr>
          </w:p>
        </w:tc>
        <w:tc>
          <w:tcPr>
            <w:tcW w:w="1361" w:type="dxa"/>
            <w:tcBorders>
              <w:top w:val="single" w:sz="4" w:space="0" w:color="auto"/>
              <w:bottom w:val="single" w:sz="4" w:space="0" w:color="auto"/>
            </w:tcBorders>
            <w:vAlign w:val="center"/>
          </w:tcPr>
          <w:p w:rsidR="006247DF" w:rsidRPr="00E7637B" w:rsidRDefault="006247DF" w:rsidP="00446AD0">
            <w:pPr>
              <w:spacing w:line="200" w:lineRule="exact"/>
              <w:jc w:val="right"/>
              <w:rPr>
                <w:szCs w:val="19"/>
              </w:rPr>
            </w:pPr>
            <w:r>
              <w:rPr>
                <w:szCs w:val="19"/>
              </w:rPr>
              <w:t>201</w:t>
            </w:r>
            <w:r w:rsidR="00446AD0">
              <w:rPr>
                <w:szCs w:val="19"/>
              </w:rPr>
              <w:t>4</w:t>
            </w:r>
            <w:r>
              <w:rPr>
                <w:szCs w:val="19"/>
              </w:rPr>
              <w:t>-12-31</w:t>
            </w:r>
          </w:p>
        </w:tc>
        <w:tc>
          <w:tcPr>
            <w:tcW w:w="1361" w:type="dxa"/>
            <w:tcBorders>
              <w:top w:val="single" w:sz="4" w:space="0" w:color="auto"/>
              <w:bottom w:val="single" w:sz="4" w:space="0" w:color="auto"/>
            </w:tcBorders>
            <w:vAlign w:val="center"/>
          </w:tcPr>
          <w:p w:rsidR="006247DF" w:rsidRPr="00E7637B" w:rsidRDefault="006247DF" w:rsidP="00446AD0">
            <w:pPr>
              <w:spacing w:line="200" w:lineRule="exact"/>
              <w:jc w:val="right"/>
              <w:rPr>
                <w:szCs w:val="19"/>
              </w:rPr>
            </w:pPr>
            <w:r>
              <w:rPr>
                <w:szCs w:val="19"/>
              </w:rPr>
              <w:t>201</w:t>
            </w:r>
            <w:r w:rsidR="00446AD0">
              <w:rPr>
                <w:szCs w:val="19"/>
              </w:rPr>
              <w:t>3</w:t>
            </w:r>
            <w:r>
              <w:rPr>
                <w:szCs w:val="19"/>
              </w:rPr>
              <w:t>-12-31</w:t>
            </w:r>
          </w:p>
        </w:tc>
      </w:tr>
      <w:tr w:rsidR="006247DF" w:rsidRPr="004233D3" w:rsidTr="006247DF">
        <w:trPr>
          <w:cantSplit/>
          <w:trHeight w:val="20"/>
        </w:trPr>
        <w:tc>
          <w:tcPr>
            <w:tcW w:w="3260" w:type="dxa"/>
          </w:tcPr>
          <w:p w:rsidR="006247DF" w:rsidRPr="004233D3" w:rsidRDefault="006247DF" w:rsidP="006247DF">
            <w:pPr>
              <w:spacing w:line="200" w:lineRule="exact"/>
              <w:rPr>
                <w:b/>
                <w:szCs w:val="19"/>
              </w:rPr>
            </w:pPr>
            <w:r w:rsidRPr="004233D3">
              <w:rPr>
                <w:b/>
                <w:szCs w:val="19"/>
              </w:rPr>
              <w:t>Byggnader och mark</w:t>
            </w:r>
          </w:p>
        </w:tc>
        <w:tc>
          <w:tcPr>
            <w:tcW w:w="1361" w:type="dxa"/>
          </w:tcPr>
          <w:p w:rsidR="006247DF" w:rsidRPr="004233D3" w:rsidRDefault="006247DF" w:rsidP="006247DF">
            <w:pPr>
              <w:spacing w:line="200" w:lineRule="exact"/>
              <w:jc w:val="right"/>
              <w:rPr>
                <w:szCs w:val="19"/>
              </w:rPr>
            </w:pPr>
          </w:p>
        </w:tc>
        <w:tc>
          <w:tcPr>
            <w:tcW w:w="1361" w:type="dxa"/>
          </w:tcPr>
          <w:p w:rsidR="006247DF" w:rsidRPr="004233D3" w:rsidRDefault="006247DF" w:rsidP="006247DF">
            <w:pPr>
              <w:spacing w:line="200" w:lineRule="exact"/>
              <w:jc w:val="right"/>
              <w:rPr>
                <w:szCs w:val="19"/>
              </w:rPr>
            </w:pP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Anskaffningsvärde, årets början</w:t>
            </w:r>
          </w:p>
        </w:tc>
        <w:tc>
          <w:tcPr>
            <w:tcW w:w="1361" w:type="dxa"/>
          </w:tcPr>
          <w:p w:rsidR="00446AD0" w:rsidRPr="004233D3" w:rsidRDefault="005625E4" w:rsidP="00446AD0">
            <w:pPr>
              <w:spacing w:line="200" w:lineRule="exact"/>
              <w:jc w:val="right"/>
              <w:rPr>
                <w:szCs w:val="19"/>
              </w:rPr>
            </w:pPr>
            <w:r w:rsidRPr="004233D3">
              <w:rPr>
                <w:szCs w:val="19"/>
              </w:rPr>
              <w:t>689</w:t>
            </w:r>
          </w:p>
        </w:tc>
        <w:tc>
          <w:tcPr>
            <w:tcW w:w="1361" w:type="dxa"/>
          </w:tcPr>
          <w:p w:rsidR="00446AD0" w:rsidRPr="004233D3" w:rsidRDefault="00446AD0" w:rsidP="006247DF">
            <w:pPr>
              <w:spacing w:line="200" w:lineRule="exact"/>
              <w:jc w:val="right"/>
              <w:rPr>
                <w:szCs w:val="19"/>
              </w:rPr>
            </w:pPr>
            <w:r w:rsidRPr="004233D3">
              <w:rPr>
                <w:szCs w:val="19"/>
              </w:rPr>
              <w:t>659</w:t>
            </w:r>
          </w:p>
        </w:tc>
      </w:tr>
      <w:tr w:rsidR="00446AD0" w:rsidRPr="004233D3" w:rsidTr="00DE1EFC">
        <w:trPr>
          <w:cantSplit/>
          <w:trHeight w:val="20"/>
        </w:trPr>
        <w:tc>
          <w:tcPr>
            <w:tcW w:w="3260" w:type="dxa"/>
          </w:tcPr>
          <w:p w:rsidR="00446AD0" w:rsidRPr="004233D3" w:rsidRDefault="00446AD0" w:rsidP="006247DF">
            <w:pPr>
              <w:spacing w:line="200" w:lineRule="exact"/>
              <w:rPr>
                <w:szCs w:val="19"/>
              </w:rPr>
            </w:pPr>
            <w:r w:rsidRPr="004233D3">
              <w:rPr>
                <w:szCs w:val="19"/>
              </w:rPr>
              <w:t>Årets förvärv</w:t>
            </w:r>
          </w:p>
        </w:tc>
        <w:tc>
          <w:tcPr>
            <w:tcW w:w="1361" w:type="dxa"/>
          </w:tcPr>
          <w:p w:rsidR="00446AD0" w:rsidRPr="004233D3" w:rsidRDefault="00BC0EFA" w:rsidP="00446AD0">
            <w:pPr>
              <w:spacing w:line="200" w:lineRule="exact"/>
              <w:jc w:val="right"/>
              <w:rPr>
                <w:szCs w:val="19"/>
              </w:rPr>
            </w:pPr>
            <w:r w:rsidRPr="004233D3">
              <w:rPr>
                <w:szCs w:val="19"/>
              </w:rPr>
              <w:t>11</w:t>
            </w:r>
          </w:p>
        </w:tc>
        <w:tc>
          <w:tcPr>
            <w:tcW w:w="1361" w:type="dxa"/>
          </w:tcPr>
          <w:p w:rsidR="00446AD0" w:rsidRPr="004233D3" w:rsidRDefault="00446AD0" w:rsidP="006247DF">
            <w:pPr>
              <w:spacing w:line="200" w:lineRule="exact"/>
              <w:jc w:val="right"/>
              <w:rPr>
                <w:szCs w:val="19"/>
              </w:rPr>
            </w:pPr>
            <w:r w:rsidRPr="004233D3">
              <w:rPr>
                <w:szCs w:val="19"/>
              </w:rPr>
              <w:t>30</w:t>
            </w:r>
          </w:p>
        </w:tc>
      </w:tr>
      <w:tr w:rsidR="00446AD0" w:rsidRPr="004233D3" w:rsidTr="00DE1EFC">
        <w:trPr>
          <w:cantSplit/>
          <w:trHeight w:val="20"/>
        </w:trPr>
        <w:tc>
          <w:tcPr>
            <w:tcW w:w="3260" w:type="dxa"/>
          </w:tcPr>
          <w:p w:rsidR="00446AD0" w:rsidRPr="004233D3" w:rsidRDefault="00446AD0" w:rsidP="006247DF">
            <w:pPr>
              <w:spacing w:line="200" w:lineRule="exact"/>
              <w:rPr>
                <w:szCs w:val="19"/>
              </w:rPr>
            </w:pPr>
            <w:r w:rsidRPr="004233D3">
              <w:rPr>
                <w:szCs w:val="19"/>
              </w:rPr>
              <w:t>Årets avyttringar</w:t>
            </w:r>
          </w:p>
        </w:tc>
        <w:tc>
          <w:tcPr>
            <w:tcW w:w="1361" w:type="dxa"/>
          </w:tcPr>
          <w:p w:rsidR="00446AD0" w:rsidRPr="004233D3" w:rsidRDefault="00BC0EFA" w:rsidP="00446AD0">
            <w:pPr>
              <w:spacing w:line="200" w:lineRule="exact"/>
              <w:jc w:val="right"/>
              <w:rPr>
                <w:szCs w:val="19"/>
              </w:rPr>
            </w:pPr>
            <w:r w:rsidRPr="004233D3">
              <w:rPr>
                <w:szCs w:val="19"/>
              </w:rPr>
              <w:t>–</w:t>
            </w:r>
          </w:p>
        </w:tc>
        <w:tc>
          <w:tcPr>
            <w:tcW w:w="1361" w:type="dxa"/>
          </w:tcPr>
          <w:p w:rsidR="00446AD0" w:rsidRPr="004233D3" w:rsidRDefault="00446AD0" w:rsidP="006247DF">
            <w:pPr>
              <w:spacing w:line="200" w:lineRule="exact"/>
              <w:jc w:val="right"/>
              <w:rPr>
                <w:szCs w:val="19"/>
              </w:rPr>
            </w:pPr>
            <w:r w:rsidRPr="004233D3">
              <w:rPr>
                <w:szCs w:val="19"/>
              </w:rPr>
              <w:t>–</w:t>
            </w:r>
          </w:p>
        </w:tc>
      </w:tr>
      <w:tr w:rsidR="00D627A4" w:rsidRPr="004233D3" w:rsidTr="00DE1EFC">
        <w:trPr>
          <w:cantSplit/>
          <w:trHeight w:val="20"/>
        </w:trPr>
        <w:tc>
          <w:tcPr>
            <w:tcW w:w="3260" w:type="dxa"/>
          </w:tcPr>
          <w:p w:rsidR="00D627A4" w:rsidRPr="004233D3" w:rsidRDefault="00D627A4" w:rsidP="006247DF">
            <w:pPr>
              <w:spacing w:line="200" w:lineRule="exact"/>
              <w:rPr>
                <w:szCs w:val="19"/>
              </w:rPr>
            </w:pPr>
            <w:r w:rsidRPr="004233D3">
              <w:rPr>
                <w:szCs w:val="19"/>
              </w:rPr>
              <w:t>Omföring till Maskiner och inventarier</w:t>
            </w:r>
          </w:p>
        </w:tc>
        <w:tc>
          <w:tcPr>
            <w:tcW w:w="1361" w:type="dxa"/>
            <w:tcBorders>
              <w:bottom w:val="single" w:sz="4" w:space="0" w:color="auto"/>
            </w:tcBorders>
          </w:tcPr>
          <w:p w:rsidR="00D627A4" w:rsidRPr="004233D3" w:rsidRDefault="00C77015" w:rsidP="00446AD0">
            <w:pPr>
              <w:spacing w:line="200" w:lineRule="exact"/>
              <w:jc w:val="right"/>
              <w:rPr>
                <w:szCs w:val="19"/>
              </w:rPr>
            </w:pPr>
            <w:r w:rsidRPr="004233D3">
              <w:rPr>
                <w:szCs w:val="19"/>
              </w:rPr>
              <w:t>–</w:t>
            </w:r>
            <w:r w:rsidR="00D627A4" w:rsidRPr="004233D3">
              <w:rPr>
                <w:szCs w:val="19"/>
              </w:rPr>
              <w:t>113</w:t>
            </w:r>
          </w:p>
        </w:tc>
        <w:tc>
          <w:tcPr>
            <w:tcW w:w="1361" w:type="dxa"/>
            <w:tcBorders>
              <w:bottom w:val="single" w:sz="4" w:space="0" w:color="auto"/>
            </w:tcBorders>
          </w:tcPr>
          <w:p w:rsidR="00D627A4" w:rsidRPr="004233D3" w:rsidRDefault="004233D3" w:rsidP="006247DF">
            <w:pPr>
              <w:spacing w:line="200" w:lineRule="exact"/>
              <w:jc w:val="right"/>
              <w:rPr>
                <w:szCs w:val="19"/>
              </w:rPr>
            </w:pPr>
            <w:r w:rsidRPr="004233D3">
              <w:rPr>
                <w:szCs w:val="19"/>
              </w:rPr>
              <w:t>–</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Anskaffningsvärde, årets slut</w:t>
            </w:r>
          </w:p>
        </w:tc>
        <w:tc>
          <w:tcPr>
            <w:tcW w:w="1361" w:type="dxa"/>
            <w:tcBorders>
              <w:top w:val="single" w:sz="4" w:space="0" w:color="auto"/>
            </w:tcBorders>
          </w:tcPr>
          <w:p w:rsidR="00446AD0" w:rsidRPr="004233D3" w:rsidRDefault="00BC0EFA" w:rsidP="006247DF">
            <w:pPr>
              <w:spacing w:line="200" w:lineRule="exact"/>
              <w:jc w:val="right"/>
              <w:rPr>
                <w:szCs w:val="19"/>
              </w:rPr>
            </w:pPr>
            <w:r w:rsidRPr="004233D3">
              <w:rPr>
                <w:szCs w:val="19"/>
              </w:rPr>
              <w:t>587</w:t>
            </w:r>
          </w:p>
        </w:tc>
        <w:tc>
          <w:tcPr>
            <w:tcW w:w="1361" w:type="dxa"/>
            <w:tcBorders>
              <w:top w:val="single" w:sz="4" w:space="0" w:color="auto"/>
            </w:tcBorders>
          </w:tcPr>
          <w:p w:rsidR="00446AD0" w:rsidRPr="004233D3" w:rsidRDefault="00446AD0" w:rsidP="006247DF">
            <w:pPr>
              <w:spacing w:line="200" w:lineRule="exact"/>
              <w:jc w:val="right"/>
              <w:rPr>
                <w:szCs w:val="19"/>
              </w:rPr>
            </w:pPr>
            <w:r w:rsidRPr="004233D3">
              <w:rPr>
                <w:szCs w:val="19"/>
              </w:rPr>
              <w:t>689</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Ack. avskrivningar, årets början</w:t>
            </w:r>
          </w:p>
        </w:tc>
        <w:tc>
          <w:tcPr>
            <w:tcW w:w="1361" w:type="dxa"/>
          </w:tcPr>
          <w:p w:rsidR="00446AD0" w:rsidRPr="004233D3" w:rsidRDefault="00C77015" w:rsidP="00446AD0">
            <w:pPr>
              <w:spacing w:line="200" w:lineRule="exact"/>
              <w:jc w:val="right"/>
              <w:rPr>
                <w:szCs w:val="19"/>
              </w:rPr>
            </w:pPr>
            <w:r w:rsidRPr="004233D3">
              <w:rPr>
                <w:szCs w:val="19"/>
              </w:rPr>
              <w:t>–</w:t>
            </w:r>
            <w:r w:rsidR="00BC0EFA" w:rsidRPr="004233D3">
              <w:rPr>
                <w:szCs w:val="19"/>
              </w:rPr>
              <w:t>179</w:t>
            </w:r>
          </w:p>
        </w:tc>
        <w:tc>
          <w:tcPr>
            <w:tcW w:w="1361" w:type="dxa"/>
          </w:tcPr>
          <w:p w:rsidR="00446AD0" w:rsidRPr="004233D3" w:rsidRDefault="00446AD0" w:rsidP="006247DF">
            <w:pPr>
              <w:spacing w:line="200" w:lineRule="exact"/>
              <w:jc w:val="right"/>
              <w:rPr>
                <w:szCs w:val="19"/>
              </w:rPr>
            </w:pPr>
            <w:r w:rsidRPr="004233D3">
              <w:rPr>
                <w:szCs w:val="19"/>
              </w:rPr>
              <w:t>–170</w:t>
            </w:r>
          </w:p>
        </w:tc>
      </w:tr>
      <w:tr w:rsidR="00446AD0" w:rsidRPr="004233D3" w:rsidTr="00DE1EFC">
        <w:trPr>
          <w:cantSplit/>
          <w:trHeight w:val="20"/>
        </w:trPr>
        <w:tc>
          <w:tcPr>
            <w:tcW w:w="3260" w:type="dxa"/>
          </w:tcPr>
          <w:p w:rsidR="00446AD0" w:rsidRPr="004233D3" w:rsidRDefault="00446AD0" w:rsidP="006247DF">
            <w:pPr>
              <w:spacing w:line="200" w:lineRule="exact"/>
              <w:rPr>
                <w:szCs w:val="19"/>
              </w:rPr>
            </w:pPr>
            <w:r w:rsidRPr="004233D3">
              <w:rPr>
                <w:szCs w:val="19"/>
              </w:rPr>
              <w:t>Årets avskrivningar</w:t>
            </w:r>
          </w:p>
        </w:tc>
        <w:tc>
          <w:tcPr>
            <w:tcW w:w="1361" w:type="dxa"/>
          </w:tcPr>
          <w:p w:rsidR="00446AD0" w:rsidRPr="004233D3" w:rsidRDefault="00C77015" w:rsidP="00446AD0">
            <w:pPr>
              <w:spacing w:line="200" w:lineRule="exact"/>
              <w:jc w:val="right"/>
              <w:rPr>
                <w:szCs w:val="19"/>
              </w:rPr>
            </w:pPr>
            <w:r w:rsidRPr="004233D3">
              <w:rPr>
                <w:szCs w:val="19"/>
              </w:rPr>
              <w:t>–</w:t>
            </w:r>
            <w:r w:rsidR="00BC0EFA" w:rsidRPr="004233D3">
              <w:rPr>
                <w:szCs w:val="19"/>
              </w:rPr>
              <w:t>14</w:t>
            </w:r>
          </w:p>
        </w:tc>
        <w:tc>
          <w:tcPr>
            <w:tcW w:w="1361" w:type="dxa"/>
          </w:tcPr>
          <w:p w:rsidR="00446AD0" w:rsidRPr="004233D3" w:rsidRDefault="00446AD0" w:rsidP="006247DF">
            <w:pPr>
              <w:spacing w:line="200" w:lineRule="exact"/>
              <w:jc w:val="right"/>
              <w:rPr>
                <w:szCs w:val="19"/>
              </w:rPr>
            </w:pPr>
            <w:r w:rsidRPr="004233D3">
              <w:rPr>
                <w:szCs w:val="19"/>
              </w:rPr>
              <w:t>–9</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Årets avyttringar</w:t>
            </w:r>
          </w:p>
        </w:tc>
        <w:tc>
          <w:tcPr>
            <w:tcW w:w="1361" w:type="dxa"/>
          </w:tcPr>
          <w:p w:rsidR="00446AD0" w:rsidRPr="004233D3" w:rsidRDefault="00BC0EFA" w:rsidP="00446AD0">
            <w:pPr>
              <w:spacing w:line="200" w:lineRule="exact"/>
              <w:jc w:val="right"/>
              <w:rPr>
                <w:szCs w:val="19"/>
              </w:rPr>
            </w:pPr>
            <w:r w:rsidRPr="004233D3">
              <w:rPr>
                <w:szCs w:val="19"/>
              </w:rPr>
              <w:t>–</w:t>
            </w:r>
          </w:p>
        </w:tc>
        <w:tc>
          <w:tcPr>
            <w:tcW w:w="1361" w:type="dxa"/>
          </w:tcPr>
          <w:p w:rsidR="00446AD0" w:rsidRPr="004233D3" w:rsidRDefault="00446AD0" w:rsidP="006247DF">
            <w:pPr>
              <w:spacing w:line="200" w:lineRule="exact"/>
              <w:jc w:val="right"/>
              <w:rPr>
                <w:szCs w:val="19"/>
              </w:rPr>
            </w:pPr>
            <w:r w:rsidRPr="004233D3">
              <w:rPr>
                <w:szCs w:val="19"/>
              </w:rPr>
              <w:t>–</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 xml:space="preserve">Ack. avskrivningar, årets slut </w:t>
            </w:r>
          </w:p>
        </w:tc>
        <w:tc>
          <w:tcPr>
            <w:tcW w:w="1361" w:type="dxa"/>
            <w:tcBorders>
              <w:top w:val="single" w:sz="4" w:space="0" w:color="auto"/>
            </w:tcBorders>
          </w:tcPr>
          <w:p w:rsidR="00446AD0" w:rsidRPr="004233D3" w:rsidRDefault="00C77015" w:rsidP="00446AD0">
            <w:pPr>
              <w:spacing w:line="200" w:lineRule="exact"/>
              <w:jc w:val="right"/>
              <w:rPr>
                <w:szCs w:val="19"/>
              </w:rPr>
            </w:pPr>
            <w:r w:rsidRPr="004233D3">
              <w:rPr>
                <w:szCs w:val="19"/>
              </w:rPr>
              <w:t>–</w:t>
            </w:r>
            <w:r w:rsidR="00BC0EFA" w:rsidRPr="004233D3">
              <w:rPr>
                <w:szCs w:val="19"/>
              </w:rPr>
              <w:t>193</w:t>
            </w:r>
          </w:p>
        </w:tc>
        <w:tc>
          <w:tcPr>
            <w:tcW w:w="1361" w:type="dxa"/>
            <w:tcBorders>
              <w:top w:val="single" w:sz="4" w:space="0" w:color="auto"/>
            </w:tcBorders>
          </w:tcPr>
          <w:p w:rsidR="00446AD0" w:rsidRPr="004233D3" w:rsidRDefault="00446AD0" w:rsidP="006247DF">
            <w:pPr>
              <w:spacing w:line="200" w:lineRule="exact"/>
              <w:jc w:val="right"/>
              <w:rPr>
                <w:szCs w:val="19"/>
              </w:rPr>
            </w:pPr>
            <w:r w:rsidRPr="004233D3">
              <w:rPr>
                <w:szCs w:val="19"/>
              </w:rPr>
              <w:t>–179</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 xml:space="preserve">Bokfört värde </w:t>
            </w:r>
          </w:p>
        </w:tc>
        <w:tc>
          <w:tcPr>
            <w:tcW w:w="1361" w:type="dxa"/>
          </w:tcPr>
          <w:p w:rsidR="00446AD0" w:rsidRPr="004233D3" w:rsidRDefault="00BC0EFA" w:rsidP="00446AD0">
            <w:pPr>
              <w:spacing w:line="200" w:lineRule="exact"/>
              <w:jc w:val="right"/>
              <w:rPr>
                <w:szCs w:val="19"/>
              </w:rPr>
            </w:pPr>
            <w:r w:rsidRPr="004233D3">
              <w:rPr>
                <w:szCs w:val="19"/>
              </w:rPr>
              <w:t>39</w:t>
            </w:r>
            <w:r w:rsidR="00DE1EFC" w:rsidRPr="004233D3">
              <w:rPr>
                <w:szCs w:val="19"/>
              </w:rPr>
              <w:t>4</w:t>
            </w:r>
          </w:p>
        </w:tc>
        <w:tc>
          <w:tcPr>
            <w:tcW w:w="1361" w:type="dxa"/>
          </w:tcPr>
          <w:p w:rsidR="00446AD0" w:rsidRPr="004233D3" w:rsidRDefault="00446AD0" w:rsidP="006247DF">
            <w:pPr>
              <w:spacing w:line="200" w:lineRule="exact"/>
              <w:jc w:val="right"/>
              <w:rPr>
                <w:szCs w:val="19"/>
              </w:rPr>
            </w:pPr>
            <w:r w:rsidRPr="004233D3">
              <w:rPr>
                <w:szCs w:val="19"/>
              </w:rPr>
              <w:t>510</w:t>
            </w:r>
          </w:p>
        </w:tc>
      </w:tr>
      <w:tr w:rsidR="00446AD0" w:rsidRPr="004233D3" w:rsidTr="006247DF">
        <w:trPr>
          <w:cantSplit/>
          <w:trHeight w:val="20"/>
        </w:trPr>
        <w:tc>
          <w:tcPr>
            <w:tcW w:w="3260" w:type="dxa"/>
          </w:tcPr>
          <w:p w:rsidR="00446AD0" w:rsidRPr="004233D3" w:rsidRDefault="00446AD0" w:rsidP="006247DF">
            <w:pPr>
              <w:spacing w:line="200" w:lineRule="exact"/>
              <w:rPr>
                <w:b/>
                <w:szCs w:val="19"/>
              </w:rPr>
            </w:pPr>
          </w:p>
        </w:tc>
        <w:tc>
          <w:tcPr>
            <w:tcW w:w="1361" w:type="dxa"/>
          </w:tcPr>
          <w:p w:rsidR="00446AD0" w:rsidRPr="004233D3" w:rsidRDefault="00446AD0" w:rsidP="006247DF">
            <w:pPr>
              <w:spacing w:line="200" w:lineRule="exact"/>
              <w:jc w:val="right"/>
              <w:rPr>
                <w:szCs w:val="19"/>
              </w:rPr>
            </w:pPr>
          </w:p>
        </w:tc>
        <w:tc>
          <w:tcPr>
            <w:tcW w:w="1361" w:type="dxa"/>
          </w:tcPr>
          <w:p w:rsidR="00446AD0" w:rsidRPr="004233D3" w:rsidRDefault="00446AD0" w:rsidP="006247DF">
            <w:pPr>
              <w:spacing w:line="200" w:lineRule="exact"/>
              <w:jc w:val="right"/>
              <w:rPr>
                <w:szCs w:val="19"/>
              </w:rPr>
            </w:pPr>
          </w:p>
        </w:tc>
      </w:tr>
      <w:tr w:rsidR="00446AD0" w:rsidRPr="004233D3" w:rsidTr="006247DF">
        <w:trPr>
          <w:cantSplit/>
          <w:trHeight w:val="20"/>
        </w:trPr>
        <w:tc>
          <w:tcPr>
            <w:tcW w:w="3260" w:type="dxa"/>
          </w:tcPr>
          <w:p w:rsidR="00446AD0" w:rsidRPr="004233D3" w:rsidRDefault="00446AD0" w:rsidP="006247DF">
            <w:pPr>
              <w:spacing w:line="200" w:lineRule="exact"/>
              <w:rPr>
                <w:b/>
                <w:szCs w:val="19"/>
              </w:rPr>
            </w:pPr>
            <w:r w:rsidRPr="004233D3">
              <w:rPr>
                <w:b/>
                <w:szCs w:val="19"/>
              </w:rPr>
              <w:t>Maskiner och inventarier</w:t>
            </w:r>
          </w:p>
        </w:tc>
        <w:tc>
          <w:tcPr>
            <w:tcW w:w="1361" w:type="dxa"/>
          </w:tcPr>
          <w:p w:rsidR="00446AD0" w:rsidRPr="004233D3" w:rsidRDefault="00446AD0" w:rsidP="006247DF">
            <w:pPr>
              <w:spacing w:line="200" w:lineRule="exact"/>
              <w:jc w:val="right"/>
              <w:rPr>
                <w:szCs w:val="19"/>
              </w:rPr>
            </w:pPr>
          </w:p>
        </w:tc>
        <w:tc>
          <w:tcPr>
            <w:tcW w:w="1361" w:type="dxa"/>
          </w:tcPr>
          <w:p w:rsidR="00446AD0" w:rsidRPr="004233D3" w:rsidRDefault="00446AD0" w:rsidP="006247DF">
            <w:pPr>
              <w:spacing w:line="200" w:lineRule="exact"/>
              <w:jc w:val="right"/>
              <w:rPr>
                <w:szCs w:val="19"/>
              </w:rPr>
            </w:pP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Anskaffningsvärde, årets början</w:t>
            </w:r>
          </w:p>
        </w:tc>
        <w:tc>
          <w:tcPr>
            <w:tcW w:w="1361" w:type="dxa"/>
          </w:tcPr>
          <w:p w:rsidR="00446AD0" w:rsidRPr="004233D3" w:rsidRDefault="00BC0EFA" w:rsidP="00446AD0">
            <w:pPr>
              <w:spacing w:line="200" w:lineRule="exact"/>
              <w:jc w:val="right"/>
              <w:rPr>
                <w:szCs w:val="19"/>
              </w:rPr>
            </w:pPr>
            <w:r w:rsidRPr="004233D3">
              <w:rPr>
                <w:szCs w:val="19"/>
              </w:rPr>
              <w:t>59</w:t>
            </w:r>
            <w:r w:rsidR="00D627A4" w:rsidRPr="004233D3">
              <w:rPr>
                <w:szCs w:val="19"/>
              </w:rPr>
              <w:t>6</w:t>
            </w:r>
          </w:p>
        </w:tc>
        <w:tc>
          <w:tcPr>
            <w:tcW w:w="1361" w:type="dxa"/>
          </w:tcPr>
          <w:p w:rsidR="00446AD0" w:rsidRPr="004233D3" w:rsidRDefault="00446AD0" w:rsidP="006247DF">
            <w:pPr>
              <w:spacing w:line="200" w:lineRule="exact"/>
              <w:jc w:val="right"/>
              <w:rPr>
                <w:szCs w:val="19"/>
              </w:rPr>
            </w:pPr>
            <w:r w:rsidRPr="004233D3">
              <w:rPr>
                <w:szCs w:val="19"/>
              </w:rPr>
              <w:t>585</w:t>
            </w:r>
          </w:p>
        </w:tc>
      </w:tr>
      <w:tr w:rsidR="00446AD0" w:rsidRPr="004233D3" w:rsidTr="00DE1EFC">
        <w:trPr>
          <w:cantSplit/>
          <w:trHeight w:val="20"/>
        </w:trPr>
        <w:tc>
          <w:tcPr>
            <w:tcW w:w="3260" w:type="dxa"/>
          </w:tcPr>
          <w:p w:rsidR="00446AD0" w:rsidRPr="004233D3" w:rsidRDefault="00446AD0" w:rsidP="006247DF">
            <w:pPr>
              <w:spacing w:line="200" w:lineRule="exact"/>
              <w:rPr>
                <w:szCs w:val="19"/>
              </w:rPr>
            </w:pPr>
            <w:r w:rsidRPr="004233D3">
              <w:rPr>
                <w:szCs w:val="19"/>
              </w:rPr>
              <w:t>Årets förvärv</w:t>
            </w:r>
          </w:p>
        </w:tc>
        <w:tc>
          <w:tcPr>
            <w:tcW w:w="1361" w:type="dxa"/>
          </w:tcPr>
          <w:p w:rsidR="00446AD0" w:rsidRPr="004233D3" w:rsidRDefault="00BC0EFA" w:rsidP="00446AD0">
            <w:pPr>
              <w:spacing w:line="200" w:lineRule="exact"/>
              <w:jc w:val="right"/>
              <w:rPr>
                <w:szCs w:val="19"/>
              </w:rPr>
            </w:pPr>
            <w:r w:rsidRPr="004233D3">
              <w:rPr>
                <w:szCs w:val="19"/>
              </w:rPr>
              <w:t>32</w:t>
            </w:r>
          </w:p>
        </w:tc>
        <w:tc>
          <w:tcPr>
            <w:tcW w:w="1361" w:type="dxa"/>
          </w:tcPr>
          <w:p w:rsidR="00446AD0" w:rsidRPr="004233D3" w:rsidRDefault="00446AD0" w:rsidP="006247DF">
            <w:pPr>
              <w:spacing w:line="200" w:lineRule="exact"/>
              <w:jc w:val="right"/>
              <w:rPr>
                <w:szCs w:val="19"/>
              </w:rPr>
            </w:pPr>
            <w:r w:rsidRPr="004233D3">
              <w:rPr>
                <w:szCs w:val="19"/>
              </w:rPr>
              <w:t>56</w:t>
            </w:r>
          </w:p>
        </w:tc>
      </w:tr>
      <w:tr w:rsidR="00446AD0" w:rsidRPr="004233D3" w:rsidTr="00DE1EFC">
        <w:trPr>
          <w:cantSplit/>
          <w:trHeight w:val="20"/>
        </w:trPr>
        <w:tc>
          <w:tcPr>
            <w:tcW w:w="3260" w:type="dxa"/>
          </w:tcPr>
          <w:p w:rsidR="00446AD0" w:rsidRPr="004233D3" w:rsidRDefault="00446AD0" w:rsidP="006247DF">
            <w:pPr>
              <w:spacing w:line="200" w:lineRule="exact"/>
              <w:rPr>
                <w:szCs w:val="19"/>
              </w:rPr>
            </w:pPr>
            <w:r w:rsidRPr="004233D3">
              <w:rPr>
                <w:szCs w:val="19"/>
              </w:rPr>
              <w:t>Årets avyttringar</w:t>
            </w:r>
          </w:p>
        </w:tc>
        <w:tc>
          <w:tcPr>
            <w:tcW w:w="1361" w:type="dxa"/>
          </w:tcPr>
          <w:p w:rsidR="00446AD0" w:rsidRPr="004233D3" w:rsidRDefault="00C77015" w:rsidP="00446AD0">
            <w:pPr>
              <w:spacing w:line="200" w:lineRule="exact"/>
              <w:jc w:val="right"/>
              <w:rPr>
                <w:szCs w:val="19"/>
              </w:rPr>
            </w:pPr>
            <w:r w:rsidRPr="004233D3">
              <w:rPr>
                <w:szCs w:val="19"/>
              </w:rPr>
              <w:t>–</w:t>
            </w:r>
            <w:r w:rsidR="00BC0EFA" w:rsidRPr="004233D3">
              <w:rPr>
                <w:szCs w:val="19"/>
              </w:rPr>
              <w:t>104</w:t>
            </w:r>
          </w:p>
        </w:tc>
        <w:tc>
          <w:tcPr>
            <w:tcW w:w="1361" w:type="dxa"/>
          </w:tcPr>
          <w:p w:rsidR="00446AD0" w:rsidRPr="004233D3" w:rsidRDefault="00446AD0" w:rsidP="006247DF">
            <w:pPr>
              <w:spacing w:line="200" w:lineRule="exact"/>
              <w:jc w:val="right"/>
              <w:rPr>
                <w:szCs w:val="19"/>
              </w:rPr>
            </w:pPr>
            <w:r w:rsidRPr="004233D3">
              <w:rPr>
                <w:szCs w:val="19"/>
              </w:rPr>
              <w:t>–45</w:t>
            </w:r>
          </w:p>
        </w:tc>
      </w:tr>
      <w:tr w:rsidR="00D627A4" w:rsidRPr="004233D3" w:rsidTr="00DE1EFC">
        <w:trPr>
          <w:cantSplit/>
          <w:trHeight w:val="20"/>
        </w:trPr>
        <w:tc>
          <w:tcPr>
            <w:tcW w:w="3260" w:type="dxa"/>
          </w:tcPr>
          <w:p w:rsidR="00D627A4" w:rsidRPr="004233D3" w:rsidRDefault="00D627A4" w:rsidP="006247DF">
            <w:pPr>
              <w:spacing w:line="200" w:lineRule="exact"/>
              <w:rPr>
                <w:szCs w:val="19"/>
              </w:rPr>
            </w:pPr>
            <w:r w:rsidRPr="004233D3">
              <w:rPr>
                <w:szCs w:val="19"/>
              </w:rPr>
              <w:t xml:space="preserve">Omföring </w:t>
            </w:r>
            <w:r w:rsidR="004233D3">
              <w:rPr>
                <w:szCs w:val="19"/>
              </w:rPr>
              <w:t>från byggnader och mark</w:t>
            </w:r>
          </w:p>
        </w:tc>
        <w:tc>
          <w:tcPr>
            <w:tcW w:w="1361" w:type="dxa"/>
            <w:tcBorders>
              <w:bottom w:val="single" w:sz="4" w:space="0" w:color="auto"/>
            </w:tcBorders>
          </w:tcPr>
          <w:p w:rsidR="00D627A4" w:rsidRPr="004233D3" w:rsidRDefault="00D627A4" w:rsidP="00446AD0">
            <w:pPr>
              <w:spacing w:line="200" w:lineRule="exact"/>
              <w:jc w:val="right"/>
              <w:rPr>
                <w:szCs w:val="19"/>
              </w:rPr>
            </w:pPr>
            <w:r w:rsidRPr="004233D3">
              <w:rPr>
                <w:szCs w:val="19"/>
              </w:rPr>
              <w:t>113</w:t>
            </w:r>
          </w:p>
        </w:tc>
        <w:tc>
          <w:tcPr>
            <w:tcW w:w="1361" w:type="dxa"/>
            <w:tcBorders>
              <w:bottom w:val="single" w:sz="4" w:space="0" w:color="auto"/>
            </w:tcBorders>
          </w:tcPr>
          <w:p w:rsidR="00D627A4" w:rsidRPr="004233D3" w:rsidRDefault="004233D3" w:rsidP="006247DF">
            <w:pPr>
              <w:spacing w:line="200" w:lineRule="exact"/>
              <w:jc w:val="right"/>
              <w:rPr>
                <w:szCs w:val="19"/>
              </w:rPr>
            </w:pPr>
            <w:r w:rsidRPr="004233D3">
              <w:rPr>
                <w:szCs w:val="19"/>
              </w:rPr>
              <w:t>–</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Anskaffningsvärde, årets slut</w:t>
            </w:r>
          </w:p>
        </w:tc>
        <w:tc>
          <w:tcPr>
            <w:tcW w:w="1361" w:type="dxa"/>
            <w:tcBorders>
              <w:top w:val="single" w:sz="4" w:space="0" w:color="auto"/>
            </w:tcBorders>
          </w:tcPr>
          <w:p w:rsidR="00446AD0" w:rsidRPr="004233D3" w:rsidRDefault="00BC0EFA" w:rsidP="00446AD0">
            <w:pPr>
              <w:spacing w:line="200" w:lineRule="exact"/>
              <w:jc w:val="right"/>
              <w:rPr>
                <w:szCs w:val="19"/>
              </w:rPr>
            </w:pPr>
            <w:r w:rsidRPr="004233D3">
              <w:rPr>
                <w:szCs w:val="19"/>
              </w:rPr>
              <w:t>637</w:t>
            </w:r>
          </w:p>
        </w:tc>
        <w:tc>
          <w:tcPr>
            <w:tcW w:w="1361" w:type="dxa"/>
            <w:tcBorders>
              <w:top w:val="single" w:sz="4" w:space="0" w:color="auto"/>
            </w:tcBorders>
          </w:tcPr>
          <w:p w:rsidR="00446AD0" w:rsidRPr="004233D3" w:rsidRDefault="00446AD0" w:rsidP="006247DF">
            <w:pPr>
              <w:spacing w:line="200" w:lineRule="exact"/>
              <w:jc w:val="right"/>
              <w:rPr>
                <w:szCs w:val="19"/>
              </w:rPr>
            </w:pPr>
            <w:r w:rsidRPr="004233D3">
              <w:rPr>
                <w:szCs w:val="19"/>
              </w:rPr>
              <w:t>596</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bookmarkStart w:id="54" w:name="_Hlk187837294"/>
            <w:r w:rsidRPr="004233D3">
              <w:rPr>
                <w:szCs w:val="19"/>
              </w:rPr>
              <w:t>Ack. avskrivningar, årets början</w:t>
            </w:r>
          </w:p>
        </w:tc>
        <w:tc>
          <w:tcPr>
            <w:tcW w:w="1361" w:type="dxa"/>
          </w:tcPr>
          <w:p w:rsidR="00446AD0" w:rsidRPr="004233D3" w:rsidRDefault="00C77015" w:rsidP="00446AD0">
            <w:pPr>
              <w:spacing w:line="200" w:lineRule="exact"/>
              <w:jc w:val="right"/>
              <w:rPr>
                <w:szCs w:val="19"/>
              </w:rPr>
            </w:pPr>
            <w:r w:rsidRPr="004233D3">
              <w:rPr>
                <w:szCs w:val="19"/>
              </w:rPr>
              <w:t>–</w:t>
            </w:r>
            <w:r w:rsidR="00BC0EFA" w:rsidRPr="004233D3">
              <w:rPr>
                <w:szCs w:val="19"/>
              </w:rPr>
              <w:t>416</w:t>
            </w:r>
          </w:p>
        </w:tc>
        <w:tc>
          <w:tcPr>
            <w:tcW w:w="1361" w:type="dxa"/>
          </w:tcPr>
          <w:p w:rsidR="00446AD0" w:rsidRPr="004233D3" w:rsidRDefault="00446AD0" w:rsidP="006247DF">
            <w:pPr>
              <w:spacing w:line="200" w:lineRule="exact"/>
              <w:jc w:val="right"/>
              <w:rPr>
                <w:szCs w:val="19"/>
              </w:rPr>
            </w:pPr>
            <w:r w:rsidRPr="004233D3">
              <w:rPr>
                <w:szCs w:val="19"/>
              </w:rPr>
              <w:t>–419</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Årets avskrivningar</w:t>
            </w:r>
          </w:p>
        </w:tc>
        <w:tc>
          <w:tcPr>
            <w:tcW w:w="1361" w:type="dxa"/>
          </w:tcPr>
          <w:p w:rsidR="00446AD0" w:rsidRPr="004233D3" w:rsidRDefault="00C77015" w:rsidP="00446AD0">
            <w:pPr>
              <w:spacing w:line="200" w:lineRule="exact"/>
              <w:jc w:val="right"/>
              <w:rPr>
                <w:szCs w:val="19"/>
              </w:rPr>
            </w:pPr>
            <w:r w:rsidRPr="004233D3">
              <w:rPr>
                <w:szCs w:val="19"/>
              </w:rPr>
              <w:t>–</w:t>
            </w:r>
            <w:r w:rsidR="00BC0EFA" w:rsidRPr="004233D3">
              <w:rPr>
                <w:szCs w:val="19"/>
              </w:rPr>
              <w:t>4</w:t>
            </w:r>
            <w:r w:rsidR="004233D3">
              <w:rPr>
                <w:szCs w:val="19"/>
              </w:rPr>
              <w:t>7</w:t>
            </w:r>
          </w:p>
        </w:tc>
        <w:tc>
          <w:tcPr>
            <w:tcW w:w="1361" w:type="dxa"/>
          </w:tcPr>
          <w:p w:rsidR="00446AD0" w:rsidRPr="004233D3" w:rsidRDefault="00446AD0" w:rsidP="006247DF">
            <w:pPr>
              <w:spacing w:line="200" w:lineRule="exact"/>
              <w:jc w:val="right"/>
              <w:rPr>
                <w:szCs w:val="19"/>
              </w:rPr>
            </w:pPr>
            <w:r w:rsidRPr="004233D3">
              <w:rPr>
                <w:szCs w:val="19"/>
              </w:rPr>
              <w:t>–36</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Årets avyttringar</w:t>
            </w:r>
          </w:p>
        </w:tc>
        <w:tc>
          <w:tcPr>
            <w:tcW w:w="1361" w:type="dxa"/>
          </w:tcPr>
          <w:p w:rsidR="00446AD0" w:rsidRPr="004233D3" w:rsidRDefault="00D627A4" w:rsidP="00446AD0">
            <w:pPr>
              <w:spacing w:line="200" w:lineRule="exact"/>
              <w:jc w:val="right"/>
              <w:rPr>
                <w:szCs w:val="19"/>
              </w:rPr>
            </w:pPr>
            <w:r w:rsidRPr="004233D3">
              <w:rPr>
                <w:szCs w:val="19"/>
              </w:rPr>
              <w:t>10</w:t>
            </w:r>
            <w:r w:rsidR="004233D3">
              <w:rPr>
                <w:szCs w:val="19"/>
              </w:rPr>
              <w:t>4</w:t>
            </w:r>
          </w:p>
        </w:tc>
        <w:tc>
          <w:tcPr>
            <w:tcW w:w="1361" w:type="dxa"/>
          </w:tcPr>
          <w:p w:rsidR="00446AD0" w:rsidRPr="004233D3" w:rsidRDefault="00446AD0" w:rsidP="006247DF">
            <w:pPr>
              <w:spacing w:line="200" w:lineRule="exact"/>
              <w:jc w:val="right"/>
              <w:rPr>
                <w:szCs w:val="19"/>
              </w:rPr>
            </w:pPr>
            <w:r w:rsidRPr="004233D3">
              <w:rPr>
                <w:szCs w:val="19"/>
              </w:rPr>
              <w:t>42</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Årets nedskrivning</w:t>
            </w:r>
          </w:p>
        </w:tc>
        <w:tc>
          <w:tcPr>
            <w:tcW w:w="1361" w:type="dxa"/>
            <w:tcBorders>
              <w:bottom w:val="single" w:sz="4" w:space="0" w:color="auto"/>
            </w:tcBorders>
          </w:tcPr>
          <w:p w:rsidR="00446AD0" w:rsidRPr="004233D3" w:rsidRDefault="00C77015" w:rsidP="00DE1EFC">
            <w:pPr>
              <w:spacing w:line="200" w:lineRule="exact"/>
              <w:jc w:val="right"/>
              <w:rPr>
                <w:szCs w:val="19"/>
              </w:rPr>
            </w:pPr>
            <w:r w:rsidRPr="004233D3">
              <w:rPr>
                <w:szCs w:val="19"/>
              </w:rPr>
              <w:t>–</w:t>
            </w:r>
            <w:r w:rsidR="00DE1EFC" w:rsidRPr="004233D3">
              <w:rPr>
                <w:szCs w:val="19"/>
              </w:rPr>
              <w:t>1</w:t>
            </w:r>
          </w:p>
        </w:tc>
        <w:tc>
          <w:tcPr>
            <w:tcW w:w="1361" w:type="dxa"/>
            <w:tcBorders>
              <w:bottom w:val="single" w:sz="4" w:space="0" w:color="auto"/>
            </w:tcBorders>
          </w:tcPr>
          <w:p w:rsidR="00446AD0" w:rsidRPr="004233D3" w:rsidRDefault="00446AD0" w:rsidP="006247DF">
            <w:pPr>
              <w:spacing w:line="200" w:lineRule="exact"/>
              <w:jc w:val="right"/>
              <w:rPr>
                <w:szCs w:val="19"/>
              </w:rPr>
            </w:pPr>
            <w:r w:rsidRPr="004233D3">
              <w:rPr>
                <w:szCs w:val="19"/>
              </w:rPr>
              <w:t>–3</w:t>
            </w: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 xml:space="preserve">Ack. avskrivningar, årets slut </w:t>
            </w:r>
          </w:p>
        </w:tc>
        <w:tc>
          <w:tcPr>
            <w:tcW w:w="1361" w:type="dxa"/>
            <w:tcBorders>
              <w:top w:val="single" w:sz="4" w:space="0" w:color="auto"/>
            </w:tcBorders>
          </w:tcPr>
          <w:p w:rsidR="00446AD0" w:rsidRPr="004233D3" w:rsidRDefault="00C77015" w:rsidP="00446AD0">
            <w:pPr>
              <w:spacing w:line="200" w:lineRule="exact"/>
              <w:jc w:val="right"/>
              <w:rPr>
                <w:szCs w:val="19"/>
              </w:rPr>
            </w:pPr>
            <w:r w:rsidRPr="004233D3">
              <w:rPr>
                <w:szCs w:val="19"/>
              </w:rPr>
              <w:t>–</w:t>
            </w:r>
            <w:r w:rsidR="00BC0EFA" w:rsidRPr="004233D3">
              <w:rPr>
                <w:szCs w:val="19"/>
              </w:rPr>
              <w:t>3</w:t>
            </w:r>
            <w:r w:rsidR="00DE1EFC" w:rsidRPr="004233D3">
              <w:rPr>
                <w:szCs w:val="19"/>
              </w:rPr>
              <w:t>60</w:t>
            </w:r>
          </w:p>
        </w:tc>
        <w:tc>
          <w:tcPr>
            <w:tcW w:w="1361" w:type="dxa"/>
            <w:tcBorders>
              <w:top w:val="single" w:sz="4" w:space="0" w:color="auto"/>
            </w:tcBorders>
          </w:tcPr>
          <w:p w:rsidR="00446AD0" w:rsidRPr="004233D3" w:rsidRDefault="00446AD0" w:rsidP="006247DF">
            <w:pPr>
              <w:spacing w:line="200" w:lineRule="exact"/>
              <w:jc w:val="right"/>
              <w:rPr>
                <w:szCs w:val="19"/>
              </w:rPr>
            </w:pPr>
            <w:r w:rsidRPr="004233D3">
              <w:rPr>
                <w:szCs w:val="19"/>
              </w:rPr>
              <w:t>–416</w:t>
            </w:r>
          </w:p>
        </w:tc>
      </w:tr>
      <w:tr w:rsidR="00446AD0" w:rsidRPr="004233D3" w:rsidTr="006247DF">
        <w:trPr>
          <w:cantSplit/>
          <w:trHeight w:val="20"/>
        </w:trPr>
        <w:tc>
          <w:tcPr>
            <w:tcW w:w="3260" w:type="dxa"/>
            <w:tcBorders>
              <w:bottom w:val="single" w:sz="4" w:space="0" w:color="auto"/>
            </w:tcBorders>
          </w:tcPr>
          <w:p w:rsidR="00446AD0" w:rsidRPr="004233D3" w:rsidRDefault="00446AD0" w:rsidP="006247DF">
            <w:pPr>
              <w:spacing w:line="200" w:lineRule="exact"/>
              <w:rPr>
                <w:szCs w:val="19"/>
              </w:rPr>
            </w:pPr>
            <w:r w:rsidRPr="004233D3">
              <w:rPr>
                <w:szCs w:val="19"/>
              </w:rPr>
              <w:t>Bokfört värde</w:t>
            </w:r>
          </w:p>
        </w:tc>
        <w:tc>
          <w:tcPr>
            <w:tcW w:w="1361" w:type="dxa"/>
          </w:tcPr>
          <w:p w:rsidR="00446AD0" w:rsidRPr="004233D3" w:rsidRDefault="00BC0EFA" w:rsidP="00446AD0">
            <w:pPr>
              <w:spacing w:line="200" w:lineRule="exact"/>
              <w:jc w:val="right"/>
              <w:rPr>
                <w:szCs w:val="19"/>
              </w:rPr>
            </w:pPr>
            <w:r w:rsidRPr="004233D3">
              <w:rPr>
                <w:szCs w:val="19"/>
              </w:rPr>
              <w:t>27</w:t>
            </w:r>
            <w:r w:rsidR="00DE1EFC" w:rsidRPr="004233D3">
              <w:rPr>
                <w:szCs w:val="19"/>
              </w:rPr>
              <w:t>7</w:t>
            </w:r>
          </w:p>
        </w:tc>
        <w:tc>
          <w:tcPr>
            <w:tcW w:w="1361" w:type="dxa"/>
          </w:tcPr>
          <w:p w:rsidR="00446AD0" w:rsidRPr="004233D3" w:rsidRDefault="00446AD0" w:rsidP="006247DF">
            <w:pPr>
              <w:spacing w:line="200" w:lineRule="exact"/>
              <w:jc w:val="right"/>
              <w:rPr>
                <w:szCs w:val="19"/>
              </w:rPr>
            </w:pPr>
            <w:r w:rsidRPr="004233D3">
              <w:rPr>
                <w:szCs w:val="19"/>
              </w:rPr>
              <w:t>180</w:t>
            </w:r>
          </w:p>
        </w:tc>
      </w:tr>
      <w:bookmarkEnd w:id="54"/>
      <w:tr w:rsidR="00446AD0" w:rsidRPr="004233D3" w:rsidTr="006247DF">
        <w:trPr>
          <w:cantSplit/>
          <w:trHeight w:val="20"/>
        </w:trPr>
        <w:tc>
          <w:tcPr>
            <w:tcW w:w="3260" w:type="dxa"/>
            <w:tcBorders>
              <w:top w:val="single" w:sz="4" w:space="0" w:color="auto"/>
              <w:bottom w:val="single" w:sz="4" w:space="0" w:color="auto"/>
            </w:tcBorders>
            <w:vAlign w:val="center"/>
          </w:tcPr>
          <w:p w:rsidR="00446AD0" w:rsidRPr="004233D3" w:rsidRDefault="00446AD0" w:rsidP="006247DF">
            <w:pPr>
              <w:spacing w:line="200" w:lineRule="exact"/>
              <w:rPr>
                <w:szCs w:val="19"/>
              </w:rPr>
            </w:pPr>
            <w:r w:rsidRPr="004233D3">
              <w:rPr>
                <w:szCs w:val="19"/>
              </w:rPr>
              <w:t>Summa bokfört värde</w:t>
            </w:r>
          </w:p>
        </w:tc>
        <w:tc>
          <w:tcPr>
            <w:tcW w:w="1361" w:type="dxa"/>
            <w:tcBorders>
              <w:top w:val="single" w:sz="4" w:space="0" w:color="auto"/>
              <w:bottom w:val="single" w:sz="4" w:space="0" w:color="auto"/>
            </w:tcBorders>
            <w:vAlign w:val="center"/>
          </w:tcPr>
          <w:p w:rsidR="00446AD0" w:rsidRPr="004233D3" w:rsidRDefault="00BC0EFA" w:rsidP="00446AD0">
            <w:pPr>
              <w:spacing w:line="200" w:lineRule="exact"/>
              <w:jc w:val="right"/>
              <w:rPr>
                <w:szCs w:val="19"/>
              </w:rPr>
            </w:pPr>
            <w:r w:rsidRPr="004233D3">
              <w:rPr>
                <w:szCs w:val="19"/>
              </w:rPr>
              <w:t>671</w:t>
            </w:r>
          </w:p>
        </w:tc>
        <w:tc>
          <w:tcPr>
            <w:tcW w:w="1361" w:type="dxa"/>
            <w:tcBorders>
              <w:top w:val="single" w:sz="4" w:space="0" w:color="auto"/>
              <w:bottom w:val="single" w:sz="4" w:space="0" w:color="auto"/>
            </w:tcBorders>
            <w:vAlign w:val="center"/>
          </w:tcPr>
          <w:p w:rsidR="00446AD0" w:rsidRPr="004233D3" w:rsidRDefault="00446AD0" w:rsidP="006247DF">
            <w:pPr>
              <w:spacing w:line="200" w:lineRule="exact"/>
              <w:jc w:val="right"/>
              <w:rPr>
                <w:szCs w:val="19"/>
              </w:rPr>
            </w:pPr>
            <w:r w:rsidRPr="004233D3">
              <w:rPr>
                <w:szCs w:val="19"/>
              </w:rPr>
              <w:t>690</w:t>
            </w:r>
          </w:p>
        </w:tc>
      </w:tr>
      <w:tr w:rsidR="00446AD0" w:rsidRPr="004233D3" w:rsidTr="006247DF">
        <w:trPr>
          <w:cantSplit/>
          <w:trHeight w:val="20"/>
        </w:trPr>
        <w:tc>
          <w:tcPr>
            <w:tcW w:w="3260" w:type="dxa"/>
          </w:tcPr>
          <w:p w:rsidR="00446AD0" w:rsidRPr="004233D3" w:rsidRDefault="00446AD0" w:rsidP="006247DF">
            <w:pPr>
              <w:spacing w:line="200" w:lineRule="exact"/>
              <w:rPr>
                <w:b/>
                <w:szCs w:val="19"/>
              </w:rPr>
            </w:pPr>
            <w:r w:rsidRPr="004233D3">
              <w:rPr>
                <w:b/>
                <w:szCs w:val="19"/>
              </w:rPr>
              <w:t xml:space="preserve">Taxeringsvärde </w:t>
            </w:r>
          </w:p>
        </w:tc>
        <w:tc>
          <w:tcPr>
            <w:tcW w:w="1361" w:type="dxa"/>
          </w:tcPr>
          <w:p w:rsidR="00446AD0" w:rsidRPr="004233D3" w:rsidRDefault="00446AD0" w:rsidP="006247DF">
            <w:pPr>
              <w:spacing w:line="200" w:lineRule="exact"/>
              <w:jc w:val="right"/>
              <w:rPr>
                <w:szCs w:val="19"/>
              </w:rPr>
            </w:pPr>
          </w:p>
        </w:tc>
        <w:tc>
          <w:tcPr>
            <w:tcW w:w="1361" w:type="dxa"/>
          </w:tcPr>
          <w:p w:rsidR="00446AD0" w:rsidRPr="004233D3" w:rsidRDefault="00446AD0" w:rsidP="006247DF">
            <w:pPr>
              <w:spacing w:line="200" w:lineRule="exact"/>
              <w:jc w:val="right"/>
              <w:rPr>
                <w:szCs w:val="19"/>
              </w:rPr>
            </w:pPr>
          </w:p>
        </w:tc>
      </w:tr>
      <w:tr w:rsidR="00446AD0" w:rsidRPr="004233D3" w:rsidTr="006247DF">
        <w:trPr>
          <w:cantSplit/>
          <w:trHeight w:val="20"/>
        </w:trPr>
        <w:tc>
          <w:tcPr>
            <w:tcW w:w="3260" w:type="dxa"/>
          </w:tcPr>
          <w:p w:rsidR="00446AD0" w:rsidRPr="004233D3" w:rsidRDefault="00446AD0" w:rsidP="006247DF">
            <w:pPr>
              <w:spacing w:line="200" w:lineRule="exact"/>
              <w:rPr>
                <w:szCs w:val="19"/>
              </w:rPr>
            </w:pPr>
            <w:r w:rsidRPr="004233D3">
              <w:rPr>
                <w:szCs w:val="19"/>
              </w:rPr>
              <w:t>Byggnader</w:t>
            </w:r>
          </w:p>
        </w:tc>
        <w:tc>
          <w:tcPr>
            <w:tcW w:w="1361" w:type="dxa"/>
          </w:tcPr>
          <w:p w:rsidR="00446AD0" w:rsidRPr="004233D3" w:rsidRDefault="00446AD0" w:rsidP="006247DF">
            <w:pPr>
              <w:spacing w:line="200" w:lineRule="exact"/>
              <w:jc w:val="right"/>
              <w:rPr>
                <w:szCs w:val="19"/>
              </w:rPr>
            </w:pPr>
            <w:r w:rsidRPr="004233D3">
              <w:rPr>
                <w:szCs w:val="19"/>
              </w:rPr>
              <w:t>–</w:t>
            </w:r>
          </w:p>
        </w:tc>
        <w:tc>
          <w:tcPr>
            <w:tcW w:w="1361" w:type="dxa"/>
          </w:tcPr>
          <w:p w:rsidR="00446AD0" w:rsidRPr="004233D3" w:rsidRDefault="00446AD0" w:rsidP="006247DF">
            <w:pPr>
              <w:spacing w:line="200" w:lineRule="exact"/>
              <w:jc w:val="right"/>
              <w:rPr>
                <w:szCs w:val="19"/>
              </w:rPr>
            </w:pPr>
            <w:r w:rsidRPr="004233D3">
              <w:rPr>
                <w:szCs w:val="19"/>
              </w:rPr>
              <w:t>–</w:t>
            </w:r>
          </w:p>
        </w:tc>
      </w:tr>
      <w:tr w:rsidR="00446AD0" w:rsidRPr="004233D3" w:rsidTr="006247DF">
        <w:trPr>
          <w:cantSplit/>
          <w:trHeight w:val="20"/>
        </w:trPr>
        <w:tc>
          <w:tcPr>
            <w:tcW w:w="3260" w:type="dxa"/>
            <w:tcBorders>
              <w:bottom w:val="single" w:sz="4" w:space="0" w:color="auto"/>
            </w:tcBorders>
          </w:tcPr>
          <w:p w:rsidR="00446AD0" w:rsidRPr="004233D3" w:rsidRDefault="00446AD0" w:rsidP="006247DF">
            <w:pPr>
              <w:spacing w:line="200" w:lineRule="exact"/>
              <w:rPr>
                <w:szCs w:val="19"/>
              </w:rPr>
            </w:pPr>
            <w:r w:rsidRPr="004233D3">
              <w:rPr>
                <w:szCs w:val="19"/>
              </w:rPr>
              <w:t>Mark</w:t>
            </w:r>
          </w:p>
        </w:tc>
        <w:tc>
          <w:tcPr>
            <w:tcW w:w="1361" w:type="dxa"/>
            <w:tcBorders>
              <w:bottom w:val="single" w:sz="4" w:space="0" w:color="auto"/>
            </w:tcBorders>
          </w:tcPr>
          <w:p w:rsidR="00446AD0" w:rsidRPr="004233D3" w:rsidRDefault="00446AD0" w:rsidP="006247DF">
            <w:pPr>
              <w:spacing w:line="200" w:lineRule="exact"/>
              <w:jc w:val="right"/>
              <w:rPr>
                <w:szCs w:val="19"/>
              </w:rPr>
            </w:pPr>
            <w:r w:rsidRPr="004233D3">
              <w:rPr>
                <w:szCs w:val="19"/>
              </w:rPr>
              <w:t>–</w:t>
            </w:r>
          </w:p>
        </w:tc>
        <w:tc>
          <w:tcPr>
            <w:tcW w:w="1361" w:type="dxa"/>
            <w:tcBorders>
              <w:bottom w:val="single" w:sz="4" w:space="0" w:color="auto"/>
            </w:tcBorders>
          </w:tcPr>
          <w:p w:rsidR="00446AD0" w:rsidRPr="004233D3" w:rsidRDefault="00446AD0" w:rsidP="006247DF">
            <w:pPr>
              <w:spacing w:line="200" w:lineRule="exact"/>
              <w:jc w:val="right"/>
              <w:rPr>
                <w:szCs w:val="19"/>
              </w:rPr>
            </w:pPr>
            <w:r w:rsidRPr="004233D3">
              <w:rPr>
                <w:szCs w:val="19"/>
              </w:rPr>
              <w:t>–</w:t>
            </w:r>
          </w:p>
        </w:tc>
      </w:tr>
    </w:tbl>
    <w:p w:rsidR="006247DF" w:rsidRPr="004233D3" w:rsidRDefault="006247DF" w:rsidP="00580628">
      <w:pPr>
        <w:suppressAutoHyphens/>
        <w:spacing w:before="120"/>
      </w:pPr>
      <w:r w:rsidRPr="004233D3">
        <w:t>Under posten Byggnader och mark redovisas två fastigheter, huvudkontoret i Stockholm och kontantförsörjningskontoret i Sigtuna kommun</w:t>
      </w:r>
      <w:r w:rsidR="003E0944">
        <w:t xml:space="preserve"> (Broby)</w:t>
      </w:r>
      <w:r w:rsidRPr="004233D3">
        <w:t>. Fastigheterna klassificeras som specialenheter och är därför inte skatte</w:t>
      </w:r>
      <w:r w:rsidR="00580628">
        <w:softHyphen/>
      </w:r>
      <w:r w:rsidRPr="004233D3">
        <w:t xml:space="preserve">pliktiga. </w:t>
      </w:r>
      <w:r w:rsidR="00DE1EFC" w:rsidRPr="004233D3">
        <w:t xml:space="preserve">I samband med aktivering av platskontoret i </w:t>
      </w:r>
      <w:r w:rsidR="004233D3">
        <w:t>B</w:t>
      </w:r>
      <w:r w:rsidR="00DE1EFC" w:rsidRPr="004233D3">
        <w:t>roby gjordes en omföring från byggnader och mark till maskiner och inventarier på 113 m</w:t>
      </w:r>
      <w:r w:rsidR="00057A2D">
        <w:t>iljoner kronor</w:t>
      </w:r>
      <w:r w:rsidR="00DE1EFC" w:rsidRPr="004233D3">
        <w:t>.</w:t>
      </w:r>
    </w:p>
    <w:p w:rsidR="006247DF" w:rsidRPr="004233D3" w:rsidRDefault="006247DF" w:rsidP="006247DF">
      <w:pPr>
        <w:pStyle w:val="Normaltindrag"/>
      </w:pPr>
      <w:r w:rsidRPr="004233D3">
        <w:t>201</w:t>
      </w:r>
      <w:r w:rsidR="005625E4" w:rsidRPr="004233D3">
        <w:t>4</w:t>
      </w:r>
      <w:r w:rsidRPr="004233D3">
        <w:t xml:space="preserve"> års förvärv avser bland annat det nya kontantförsörjningskontoret om </w:t>
      </w:r>
      <w:r w:rsidR="00BC0EFA" w:rsidRPr="004233D3">
        <w:t>13</w:t>
      </w:r>
      <w:r w:rsidRPr="004233D3">
        <w:t xml:space="preserve"> miljoner kronor (</w:t>
      </w:r>
      <w:r w:rsidR="00F14FB3" w:rsidRPr="004233D3">
        <w:t>74</w:t>
      </w:r>
      <w:r w:rsidRPr="004233D3">
        <w:t xml:space="preserve">) och </w:t>
      </w:r>
      <w:r w:rsidR="00F25D6F" w:rsidRPr="004233D3">
        <w:t>it</w:t>
      </w:r>
      <w:r w:rsidRPr="004233D3">
        <w:t xml:space="preserve">-applikationer om </w:t>
      </w:r>
      <w:r w:rsidR="00BC0EFA" w:rsidRPr="004233D3">
        <w:t>18</w:t>
      </w:r>
      <w:r w:rsidRPr="004233D3">
        <w:t xml:space="preserve"> miljoner kronor (</w:t>
      </w:r>
      <w:r w:rsidR="00F14FB3" w:rsidRPr="004233D3">
        <w:t>8</w:t>
      </w:r>
      <w:r w:rsidRPr="004233D3">
        <w:t xml:space="preserve">). </w:t>
      </w:r>
    </w:p>
    <w:p w:rsidR="006247DF" w:rsidRPr="004233D3" w:rsidRDefault="006247DF" w:rsidP="006247DF">
      <w:pPr>
        <w:pStyle w:val="Normaltindrag"/>
      </w:pPr>
      <w:r w:rsidRPr="004233D3">
        <w:t>Nedskrivningen avser tillgångar i kontantförsörjningskonto</w:t>
      </w:r>
      <w:r w:rsidR="00D94FCE">
        <w:t>ren</w:t>
      </w:r>
      <w:r w:rsidRPr="004233D3">
        <w:t xml:space="preserve"> i Tumba </w:t>
      </w:r>
      <w:r w:rsidR="00D94FCE">
        <w:t xml:space="preserve">och Mölndal </w:t>
      </w:r>
      <w:r w:rsidRPr="004233D3">
        <w:t xml:space="preserve">vars verksamhet </w:t>
      </w:r>
      <w:r w:rsidR="00D94FCE">
        <w:t>upphör</w:t>
      </w:r>
      <w:r w:rsidR="00057A2D">
        <w:t>de</w:t>
      </w:r>
      <w:r w:rsidR="00D94FCE">
        <w:t xml:space="preserve"> </w:t>
      </w:r>
      <w:r w:rsidRPr="004233D3">
        <w:t>under 2014.</w:t>
      </w:r>
    </w:p>
    <w:p w:rsidR="006247DF" w:rsidRDefault="006247DF" w:rsidP="008756DD">
      <w:pPr>
        <w:pStyle w:val="Normaltindrag"/>
        <w:suppressAutoHyphens/>
      </w:pPr>
      <w:r w:rsidRPr="004233D3">
        <w:t xml:space="preserve">I posten Bokfört värde maskiner och inventarier ingår immateriella anläggningstillgångar i form av applikationssystem med </w:t>
      </w:r>
      <w:r w:rsidR="00D627A4" w:rsidRPr="004233D3">
        <w:t>84</w:t>
      </w:r>
      <w:r w:rsidRPr="004233D3">
        <w:t xml:space="preserve"> miljoner kronor (</w:t>
      </w:r>
      <w:r w:rsidR="00F14FB3" w:rsidRPr="004233D3">
        <w:t>82</w:t>
      </w:r>
      <w:r w:rsidRPr="004233D3">
        <w:t>).</w:t>
      </w:r>
    </w:p>
    <w:p w:rsidR="006247DF" w:rsidRPr="00E7637B" w:rsidRDefault="006247DF" w:rsidP="006247DF">
      <w:pPr>
        <w:spacing w:before="0"/>
        <w:outlineLvl w:val="0"/>
        <w:rPr>
          <w:b/>
        </w:rPr>
      </w:pPr>
      <w:r w:rsidRPr="00E7637B">
        <w:rPr>
          <w:b/>
        </w:rPr>
        <w:t xml:space="preserve">Not </w:t>
      </w:r>
      <w:r>
        <w:rPr>
          <w:b/>
        </w:rPr>
        <w:t xml:space="preserve">8 </w:t>
      </w:r>
      <w:r w:rsidRPr="00E7637B">
        <w:rPr>
          <w:b/>
        </w:rPr>
        <w:t>Finansiella 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6247DF">
            <w:pPr>
              <w:spacing w:line="200" w:lineRule="exact"/>
              <w:jc w:val="right"/>
              <w:rPr>
                <w:szCs w:val="19"/>
              </w:rPr>
            </w:pPr>
            <w:r>
              <w:rPr>
                <w:szCs w:val="19"/>
              </w:rPr>
              <w:t>201</w:t>
            </w:r>
            <w:r w:rsidR="00BF098A">
              <w:rPr>
                <w:szCs w:val="19"/>
              </w:rPr>
              <w:t>4</w:t>
            </w:r>
            <w:r>
              <w:rPr>
                <w:szCs w:val="19"/>
              </w:rPr>
              <w:t>-12-31</w:t>
            </w:r>
            <w:r w:rsidRPr="00E7637B">
              <w:rPr>
                <w:szCs w:val="19"/>
              </w:rPr>
              <w:t xml:space="preserve"> </w:t>
            </w:r>
          </w:p>
        </w:tc>
        <w:tc>
          <w:tcPr>
            <w:tcW w:w="1361" w:type="dxa"/>
            <w:tcBorders>
              <w:top w:val="single" w:sz="4" w:space="0" w:color="auto"/>
              <w:bottom w:val="single" w:sz="4" w:space="0" w:color="auto"/>
            </w:tcBorders>
            <w:vAlign w:val="center"/>
          </w:tcPr>
          <w:p w:rsidR="006247DF" w:rsidRPr="00E7637B" w:rsidRDefault="006247DF" w:rsidP="00BF098A">
            <w:pPr>
              <w:spacing w:line="200" w:lineRule="exact"/>
              <w:jc w:val="right"/>
              <w:rPr>
                <w:szCs w:val="19"/>
              </w:rPr>
            </w:pPr>
            <w:r>
              <w:rPr>
                <w:szCs w:val="19"/>
              </w:rPr>
              <w:t>201</w:t>
            </w:r>
            <w:r w:rsidR="00BF098A">
              <w:rPr>
                <w:szCs w:val="19"/>
              </w:rPr>
              <w:t>3</w:t>
            </w:r>
            <w:r>
              <w:rPr>
                <w:szCs w:val="19"/>
              </w:rPr>
              <w:t>-12-31</w:t>
            </w:r>
            <w:r w:rsidRPr="00E7637B">
              <w:rPr>
                <w:szCs w:val="19"/>
              </w:rPr>
              <w:t xml:space="preserve"> </w:t>
            </w:r>
          </w:p>
        </w:tc>
      </w:tr>
      <w:tr w:rsidR="006247DF" w:rsidRPr="00E7637B" w:rsidTr="006247DF">
        <w:trPr>
          <w:cantSplit/>
          <w:trHeight w:val="20"/>
        </w:trPr>
        <w:tc>
          <w:tcPr>
            <w:tcW w:w="3260" w:type="dxa"/>
          </w:tcPr>
          <w:p w:rsidR="006247DF" w:rsidRPr="00E7637B" w:rsidRDefault="006247DF" w:rsidP="006247DF">
            <w:pPr>
              <w:spacing w:line="200" w:lineRule="exact"/>
              <w:rPr>
                <w:b/>
              </w:rPr>
            </w:pPr>
            <w:r w:rsidRPr="00E7637B">
              <w:rPr>
                <w:b/>
              </w:rPr>
              <w:t>Aktier och andelar</w:t>
            </w:r>
          </w:p>
        </w:tc>
        <w:tc>
          <w:tcPr>
            <w:tcW w:w="1361" w:type="dxa"/>
          </w:tcPr>
          <w:p w:rsidR="006247DF" w:rsidRPr="00E7637B" w:rsidRDefault="006247DF" w:rsidP="006247DF">
            <w:pPr>
              <w:spacing w:line="200" w:lineRule="exact"/>
            </w:pPr>
          </w:p>
        </w:tc>
        <w:tc>
          <w:tcPr>
            <w:tcW w:w="1361" w:type="dxa"/>
          </w:tcPr>
          <w:p w:rsidR="006247DF" w:rsidRPr="00E7637B" w:rsidRDefault="006247DF" w:rsidP="006247DF">
            <w:pPr>
              <w:spacing w:line="200" w:lineRule="exact"/>
            </w:pPr>
          </w:p>
        </w:tc>
      </w:tr>
      <w:tr w:rsidR="006247DF" w:rsidRPr="00E7637B" w:rsidTr="006247DF">
        <w:trPr>
          <w:cantSplit/>
          <w:trHeight w:val="20"/>
        </w:trPr>
        <w:tc>
          <w:tcPr>
            <w:tcW w:w="3260" w:type="dxa"/>
            <w:vAlign w:val="bottom"/>
          </w:tcPr>
          <w:p w:rsidR="006247DF" w:rsidRPr="00B51C85" w:rsidRDefault="006247DF" w:rsidP="006247DF">
            <w:pPr>
              <w:spacing w:line="200" w:lineRule="exact"/>
              <w:rPr>
                <w:szCs w:val="19"/>
              </w:rPr>
            </w:pPr>
            <w:r w:rsidRPr="00E7637B">
              <w:rPr>
                <w:szCs w:val="19"/>
              </w:rPr>
              <w:t>Bank for International Settlements</w:t>
            </w:r>
          </w:p>
          <w:p w:rsidR="006247DF" w:rsidRPr="00B51C85" w:rsidRDefault="006247DF" w:rsidP="006247DF">
            <w:pPr>
              <w:spacing w:after="62" w:line="200" w:lineRule="exact"/>
              <w:jc w:val="left"/>
              <w:rPr>
                <w:szCs w:val="19"/>
              </w:rPr>
            </w:pPr>
            <w:r w:rsidRPr="00B51C85">
              <w:rPr>
                <w:szCs w:val="19"/>
              </w:rPr>
              <w:t>17 244 aktier à nominellt 5 000 SDR varav 25 % är inbetalt</w:t>
            </w:r>
          </w:p>
        </w:tc>
        <w:tc>
          <w:tcPr>
            <w:tcW w:w="1361" w:type="dxa"/>
            <w:vAlign w:val="bottom"/>
          </w:tcPr>
          <w:p w:rsidR="006247DF" w:rsidRPr="0030226B" w:rsidRDefault="006247DF" w:rsidP="006247DF">
            <w:pPr>
              <w:spacing w:after="62" w:line="200" w:lineRule="exact"/>
              <w:jc w:val="right"/>
              <w:rPr>
                <w:szCs w:val="19"/>
              </w:rPr>
            </w:pPr>
            <w:r>
              <w:rPr>
                <w:szCs w:val="19"/>
              </w:rPr>
              <w:t>441</w:t>
            </w:r>
          </w:p>
        </w:tc>
        <w:tc>
          <w:tcPr>
            <w:tcW w:w="1361" w:type="dxa"/>
            <w:vAlign w:val="bottom"/>
          </w:tcPr>
          <w:p w:rsidR="006247DF" w:rsidRPr="0030226B" w:rsidRDefault="006247DF" w:rsidP="006247DF">
            <w:pPr>
              <w:spacing w:after="62" w:line="200" w:lineRule="exact"/>
              <w:jc w:val="right"/>
              <w:rPr>
                <w:szCs w:val="19"/>
              </w:rPr>
            </w:pPr>
            <w:r>
              <w:rPr>
                <w:szCs w:val="19"/>
              </w:rPr>
              <w:t>441</w:t>
            </w:r>
          </w:p>
        </w:tc>
      </w:tr>
      <w:tr w:rsidR="006247DF" w:rsidRPr="00DF0D8D" w:rsidTr="006247DF">
        <w:trPr>
          <w:cantSplit/>
          <w:trHeight w:val="20"/>
        </w:trPr>
        <w:tc>
          <w:tcPr>
            <w:tcW w:w="3260" w:type="dxa"/>
            <w:vAlign w:val="bottom"/>
          </w:tcPr>
          <w:p w:rsidR="006247DF" w:rsidRPr="00DF0D8D" w:rsidRDefault="006247DF" w:rsidP="006247DF">
            <w:pPr>
              <w:spacing w:line="200" w:lineRule="exact"/>
              <w:rPr>
                <w:szCs w:val="19"/>
              </w:rPr>
            </w:pPr>
            <w:r w:rsidRPr="00DF0D8D">
              <w:rPr>
                <w:szCs w:val="19"/>
              </w:rPr>
              <w:t>Europeiska centralbanken</w:t>
            </w:r>
          </w:p>
          <w:p w:rsidR="006247DF" w:rsidRPr="00DF0D8D" w:rsidRDefault="006247DF" w:rsidP="00BF098A">
            <w:pPr>
              <w:spacing w:after="62" w:line="200" w:lineRule="exact"/>
              <w:jc w:val="left"/>
              <w:rPr>
                <w:szCs w:val="19"/>
              </w:rPr>
            </w:pPr>
            <w:r w:rsidRPr="00DF0D8D">
              <w:rPr>
                <w:szCs w:val="19"/>
              </w:rPr>
              <w:t xml:space="preserve">Andelsvärde </w:t>
            </w:r>
            <w:r>
              <w:rPr>
                <w:szCs w:val="19"/>
              </w:rPr>
              <w:t>9 </w:t>
            </w:r>
            <w:r w:rsidR="00BF098A">
              <w:rPr>
                <w:szCs w:val="19"/>
              </w:rPr>
              <w:t>226</w:t>
            </w:r>
            <w:r>
              <w:rPr>
                <w:szCs w:val="19"/>
              </w:rPr>
              <w:t> </w:t>
            </w:r>
            <w:r w:rsidR="00BF098A">
              <w:rPr>
                <w:szCs w:val="19"/>
              </w:rPr>
              <w:t xml:space="preserve">559,46 </w:t>
            </w:r>
            <w:r>
              <w:rPr>
                <w:szCs w:val="19"/>
              </w:rPr>
              <w:t>EUR</w:t>
            </w:r>
            <w:r>
              <w:rPr>
                <w:szCs w:val="19"/>
              </w:rPr>
              <w:br/>
              <w:t>(</w:t>
            </w:r>
            <w:r w:rsidRPr="00DF0D8D">
              <w:rPr>
                <w:szCs w:val="19"/>
              </w:rPr>
              <w:t>9 1</w:t>
            </w:r>
            <w:r w:rsidR="00BF098A">
              <w:rPr>
                <w:szCs w:val="19"/>
              </w:rPr>
              <w:t>79</w:t>
            </w:r>
            <w:r w:rsidRPr="00DF0D8D">
              <w:rPr>
                <w:szCs w:val="19"/>
              </w:rPr>
              <w:t xml:space="preserve"> </w:t>
            </w:r>
            <w:r w:rsidR="00BF098A">
              <w:rPr>
                <w:szCs w:val="19"/>
              </w:rPr>
              <w:t>064,74</w:t>
            </w:r>
            <w:r>
              <w:rPr>
                <w:szCs w:val="19"/>
              </w:rPr>
              <w:t xml:space="preserve">) </w:t>
            </w:r>
          </w:p>
        </w:tc>
        <w:tc>
          <w:tcPr>
            <w:tcW w:w="1361" w:type="dxa"/>
            <w:vAlign w:val="bottom"/>
          </w:tcPr>
          <w:p w:rsidR="006247DF" w:rsidRPr="00DF0D8D" w:rsidRDefault="006247DF" w:rsidP="006247DF">
            <w:pPr>
              <w:spacing w:after="62" w:line="200" w:lineRule="exact"/>
              <w:jc w:val="right"/>
              <w:rPr>
                <w:szCs w:val="19"/>
              </w:rPr>
            </w:pPr>
            <w:r>
              <w:rPr>
                <w:szCs w:val="19"/>
              </w:rPr>
              <w:t>80</w:t>
            </w:r>
          </w:p>
        </w:tc>
        <w:tc>
          <w:tcPr>
            <w:tcW w:w="1361" w:type="dxa"/>
            <w:vAlign w:val="bottom"/>
          </w:tcPr>
          <w:p w:rsidR="006247DF" w:rsidRPr="00DF0D8D" w:rsidRDefault="00BF098A" w:rsidP="00BF098A">
            <w:pPr>
              <w:spacing w:after="62" w:line="200" w:lineRule="exact"/>
              <w:jc w:val="right"/>
              <w:rPr>
                <w:szCs w:val="19"/>
              </w:rPr>
            </w:pPr>
            <w:r>
              <w:rPr>
                <w:szCs w:val="19"/>
              </w:rPr>
              <w:t>80</w:t>
            </w:r>
          </w:p>
        </w:tc>
      </w:tr>
      <w:tr w:rsidR="006247DF" w:rsidRPr="00DF0D8D" w:rsidTr="006247DF">
        <w:trPr>
          <w:cantSplit/>
          <w:trHeight w:val="20"/>
        </w:trPr>
        <w:tc>
          <w:tcPr>
            <w:tcW w:w="3260" w:type="dxa"/>
            <w:tcBorders>
              <w:bottom w:val="single" w:sz="4" w:space="0" w:color="auto"/>
            </w:tcBorders>
            <w:vAlign w:val="bottom"/>
          </w:tcPr>
          <w:p w:rsidR="006247DF" w:rsidRPr="00DF0D8D" w:rsidRDefault="006247DF" w:rsidP="006247DF">
            <w:pPr>
              <w:spacing w:line="200" w:lineRule="exact"/>
              <w:rPr>
                <w:szCs w:val="19"/>
              </w:rPr>
            </w:pPr>
            <w:r w:rsidRPr="00DF0D8D">
              <w:rPr>
                <w:szCs w:val="19"/>
              </w:rPr>
              <w:t>SWIFT</w:t>
            </w:r>
          </w:p>
          <w:p w:rsidR="006247DF" w:rsidRPr="00DF0D8D" w:rsidRDefault="006247DF" w:rsidP="006247DF">
            <w:pPr>
              <w:spacing w:after="62" w:line="200" w:lineRule="exact"/>
              <w:rPr>
                <w:szCs w:val="19"/>
              </w:rPr>
            </w:pPr>
            <w:r>
              <w:rPr>
                <w:szCs w:val="19"/>
              </w:rPr>
              <w:t>16</w:t>
            </w:r>
            <w:r w:rsidRPr="00DF0D8D">
              <w:rPr>
                <w:szCs w:val="19"/>
              </w:rPr>
              <w:t xml:space="preserve"> aktier</w:t>
            </w:r>
            <w:r>
              <w:rPr>
                <w:szCs w:val="19"/>
              </w:rPr>
              <w:t xml:space="preserve"> (16)</w:t>
            </w:r>
            <w:r w:rsidRPr="00DF0D8D">
              <w:rPr>
                <w:szCs w:val="19"/>
              </w:rPr>
              <w:t xml:space="preserve"> à nominellt 125 EUR</w:t>
            </w:r>
          </w:p>
        </w:tc>
        <w:tc>
          <w:tcPr>
            <w:tcW w:w="1361" w:type="dxa"/>
            <w:tcBorders>
              <w:bottom w:val="single" w:sz="4" w:space="0" w:color="auto"/>
            </w:tcBorders>
            <w:vAlign w:val="bottom"/>
          </w:tcPr>
          <w:p w:rsidR="006247DF" w:rsidRPr="00DF0D8D" w:rsidRDefault="006247DF" w:rsidP="006247DF">
            <w:pPr>
              <w:spacing w:after="62" w:line="200" w:lineRule="exact"/>
              <w:jc w:val="right"/>
              <w:rPr>
                <w:szCs w:val="19"/>
              </w:rPr>
            </w:pPr>
            <w:r>
              <w:rPr>
                <w:szCs w:val="19"/>
              </w:rPr>
              <w:t>1</w:t>
            </w:r>
          </w:p>
        </w:tc>
        <w:tc>
          <w:tcPr>
            <w:tcW w:w="1361" w:type="dxa"/>
            <w:tcBorders>
              <w:bottom w:val="single" w:sz="4" w:space="0" w:color="auto"/>
            </w:tcBorders>
            <w:vAlign w:val="bottom"/>
          </w:tcPr>
          <w:p w:rsidR="006247DF" w:rsidRPr="00DF0D8D" w:rsidRDefault="006247DF" w:rsidP="006247DF">
            <w:pPr>
              <w:spacing w:after="62" w:line="200" w:lineRule="exact"/>
              <w:jc w:val="right"/>
              <w:rPr>
                <w:szCs w:val="19"/>
              </w:rPr>
            </w:pPr>
            <w:r>
              <w:rPr>
                <w:szCs w:val="19"/>
              </w:rPr>
              <w:t>1</w:t>
            </w:r>
          </w:p>
        </w:tc>
      </w:tr>
      <w:tr w:rsidR="006247DF" w:rsidRPr="00DF0D8D" w:rsidTr="006247DF">
        <w:trPr>
          <w:cantSplit/>
          <w:trHeight w:val="20"/>
        </w:trPr>
        <w:tc>
          <w:tcPr>
            <w:tcW w:w="3260" w:type="dxa"/>
            <w:tcBorders>
              <w:top w:val="single" w:sz="4" w:space="0" w:color="auto"/>
              <w:bottom w:val="single" w:sz="4" w:space="0" w:color="auto"/>
            </w:tcBorders>
            <w:vAlign w:val="center"/>
          </w:tcPr>
          <w:p w:rsidR="006247DF" w:rsidRPr="00DF0D8D" w:rsidRDefault="006247DF" w:rsidP="006247DF">
            <w:pPr>
              <w:spacing w:line="200" w:lineRule="exact"/>
              <w:rPr>
                <w:szCs w:val="19"/>
              </w:rPr>
            </w:pPr>
            <w:r w:rsidRPr="00DF0D8D">
              <w:rPr>
                <w:szCs w:val="19"/>
              </w:rPr>
              <w:t>Summa</w:t>
            </w:r>
          </w:p>
        </w:tc>
        <w:tc>
          <w:tcPr>
            <w:tcW w:w="1361" w:type="dxa"/>
            <w:tcBorders>
              <w:top w:val="single" w:sz="4" w:space="0" w:color="auto"/>
              <w:bottom w:val="single" w:sz="4" w:space="0" w:color="auto"/>
            </w:tcBorders>
            <w:vAlign w:val="center"/>
          </w:tcPr>
          <w:p w:rsidR="006247DF" w:rsidRPr="00DF0D8D" w:rsidRDefault="006247DF" w:rsidP="006247DF">
            <w:pPr>
              <w:spacing w:line="200" w:lineRule="exact"/>
              <w:jc w:val="right"/>
              <w:rPr>
                <w:szCs w:val="19"/>
              </w:rPr>
            </w:pPr>
            <w:r>
              <w:rPr>
                <w:szCs w:val="19"/>
              </w:rPr>
              <w:t>522</w:t>
            </w:r>
          </w:p>
        </w:tc>
        <w:tc>
          <w:tcPr>
            <w:tcW w:w="1361" w:type="dxa"/>
            <w:tcBorders>
              <w:top w:val="single" w:sz="4" w:space="0" w:color="auto"/>
              <w:bottom w:val="single" w:sz="4" w:space="0" w:color="auto"/>
            </w:tcBorders>
            <w:vAlign w:val="center"/>
          </w:tcPr>
          <w:p w:rsidR="006247DF" w:rsidRPr="00DF0D8D" w:rsidRDefault="006247DF" w:rsidP="00BF098A">
            <w:pPr>
              <w:spacing w:line="200" w:lineRule="exact"/>
              <w:jc w:val="right"/>
              <w:rPr>
                <w:szCs w:val="19"/>
              </w:rPr>
            </w:pPr>
            <w:r>
              <w:rPr>
                <w:szCs w:val="19"/>
              </w:rPr>
              <w:t>52</w:t>
            </w:r>
            <w:r w:rsidR="00BF098A">
              <w:rPr>
                <w:szCs w:val="19"/>
              </w:rPr>
              <w:t>2</w:t>
            </w:r>
          </w:p>
        </w:tc>
      </w:tr>
    </w:tbl>
    <w:p w:rsidR="006247DF" w:rsidRDefault="006247DF" w:rsidP="006247DF">
      <w:pPr>
        <w:spacing w:before="120"/>
      </w:pPr>
      <w:r w:rsidRPr="00AC4C05">
        <w:t>Centralbanker inom Europeiska centralbankssystemet (ECBS) som inte ingår i Eurosystemet är ålagda att betala in 3,75 procent av sin kapitalandel i ECB</w:t>
      </w:r>
      <w:r>
        <w:t>.</w:t>
      </w:r>
      <w:r w:rsidRPr="00DF0D8D">
        <w:t xml:space="preserve"> Riksbankens kapitalandel uppgår till </w:t>
      </w:r>
      <w:r>
        <w:t>2,2</w:t>
      </w:r>
      <w:r w:rsidR="00BF098A">
        <w:t>729</w:t>
      </w:r>
      <w:r w:rsidRPr="00DF0D8D">
        <w:t xml:space="preserve"> procent</w:t>
      </w:r>
      <w:r>
        <w:t xml:space="preserve"> (2,2</w:t>
      </w:r>
      <w:r w:rsidR="00BF098A">
        <w:t>612</w:t>
      </w:r>
      <w:r>
        <w:t>)</w:t>
      </w:r>
      <w:r w:rsidRPr="00DF0D8D">
        <w:t xml:space="preserve"> och ECB:s totala andels</w:t>
      </w:r>
      <w:r>
        <w:t>kapital till 10 825 007 069,61</w:t>
      </w:r>
      <w:r w:rsidRPr="00DF0D8D">
        <w:t xml:space="preserve"> euro</w:t>
      </w:r>
      <w:r>
        <w:t xml:space="preserve"> (10 760 652 402,58)</w:t>
      </w:r>
      <w:r w:rsidRPr="00DF0D8D">
        <w:t>. Kapital</w:t>
      </w:r>
      <w:r>
        <w:t>-</w:t>
      </w:r>
      <w:r w:rsidRPr="00DF0D8D">
        <w:t>andelen baseras på respektive lands BNP och antal invånare och beräknas var</w:t>
      </w:r>
      <w:r>
        <w:t>t</w:t>
      </w:r>
      <w:r w:rsidRPr="00DF0D8D">
        <w:t xml:space="preserve"> femte</w:t>
      </w:r>
      <w:r>
        <w:t xml:space="preserve"> år. </w:t>
      </w:r>
      <w:r w:rsidRPr="00DF0D8D">
        <w:t>Den inbetalda andelen ska täcka vissa administrationskostnader för deltagande i ECBS.</w:t>
      </w:r>
      <w:r w:rsidRPr="00C631B0">
        <w:t xml:space="preserve"> </w:t>
      </w:r>
      <w:r>
        <w:t xml:space="preserve">Centralbanker inom ECBS som inte ingår i Eurosystemet har ingen rätt att erhålla vinstutdelning från ECB och ingen skyldighet att täcka eventuella förluster hos ECB. </w:t>
      </w:r>
    </w:p>
    <w:p w:rsidR="006247DF" w:rsidRPr="00572E2C" w:rsidRDefault="006247DF" w:rsidP="006247DF">
      <w:pPr>
        <w:spacing w:before="0"/>
        <w:ind w:firstLine="227"/>
      </w:pPr>
      <w:r w:rsidRPr="003644BD">
        <w:t>Per den 1 januari 2014 justerades Riksbankens kapitalandel och andels</w:t>
      </w:r>
      <w:r w:rsidR="00CA0B1F">
        <w:softHyphen/>
      </w:r>
      <w:r w:rsidRPr="003644BD">
        <w:t>be</w:t>
      </w:r>
      <w:r w:rsidR="007409DA">
        <w:t>lopp</w:t>
      </w:r>
      <w:r w:rsidRPr="00BD56F2">
        <w:t xml:space="preserve"> till följd av den uppdatering av de procentuella kap</w:t>
      </w:r>
      <w:r w:rsidRPr="003644BD">
        <w:t>i</w:t>
      </w:r>
      <w:r w:rsidRPr="003644BD">
        <w:t>talandelarna som görs vart femte år. Efter denna justering uppgår Riksba</w:t>
      </w:r>
      <w:r w:rsidRPr="003644BD">
        <w:t>n</w:t>
      </w:r>
      <w:r w:rsidRPr="003644BD">
        <w:t xml:space="preserve">kens kapitalandel </w:t>
      </w:r>
      <w:r w:rsidR="00057A2D">
        <w:t xml:space="preserve">alltså </w:t>
      </w:r>
      <w:r w:rsidRPr="003644BD">
        <w:t>till 2,2729 procent och det inbetalda andelsbeloppet till 9 226 559,46 euro.</w:t>
      </w:r>
    </w:p>
    <w:p w:rsidR="006247DF" w:rsidRPr="00E7637B" w:rsidRDefault="006247DF" w:rsidP="006247DF">
      <w:pPr>
        <w:spacing w:before="187"/>
        <w:outlineLvl w:val="0"/>
        <w:rPr>
          <w:b/>
        </w:rPr>
      </w:pPr>
      <w:r w:rsidRPr="00E7637B">
        <w:rPr>
          <w:b/>
        </w:rPr>
        <w:t xml:space="preserve">Not </w:t>
      </w:r>
      <w:r>
        <w:rPr>
          <w:b/>
        </w:rPr>
        <w:t>9</w:t>
      </w:r>
      <w:r w:rsidRPr="00E7637B">
        <w:rPr>
          <w:b/>
        </w:rPr>
        <w:t xml:space="preserve"> Derivatinstrument</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4</w:t>
            </w:r>
            <w:r>
              <w:t>-12-31</w:t>
            </w: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3</w:t>
            </w:r>
            <w:r>
              <w:t>-12-31</w:t>
            </w:r>
          </w:p>
        </w:tc>
      </w:tr>
      <w:tr w:rsidR="006247DF" w:rsidRPr="00E7637B" w:rsidTr="006247DF">
        <w:trPr>
          <w:cantSplit/>
        </w:trPr>
        <w:tc>
          <w:tcPr>
            <w:tcW w:w="3260" w:type="dxa"/>
          </w:tcPr>
          <w:p w:rsidR="006247DF" w:rsidRPr="00E7637B" w:rsidRDefault="006247DF" w:rsidP="006247DF">
            <w:pPr>
              <w:spacing w:line="200" w:lineRule="exact"/>
            </w:pPr>
            <w:r w:rsidRPr="00E7637B">
              <w:t>Valutaswappar, positivt värde</w:t>
            </w:r>
          </w:p>
        </w:tc>
        <w:tc>
          <w:tcPr>
            <w:tcW w:w="1361" w:type="dxa"/>
          </w:tcPr>
          <w:p w:rsidR="006247DF" w:rsidRPr="00E7637B" w:rsidRDefault="006247DF" w:rsidP="006247DF">
            <w:pPr>
              <w:tabs>
                <w:tab w:val="left" w:pos="1202"/>
              </w:tabs>
              <w:spacing w:line="200" w:lineRule="exact"/>
              <w:jc w:val="right"/>
            </w:pPr>
            <w:r>
              <w:t>–</w:t>
            </w:r>
          </w:p>
        </w:tc>
        <w:tc>
          <w:tcPr>
            <w:tcW w:w="1361" w:type="dxa"/>
          </w:tcPr>
          <w:p w:rsidR="006247DF" w:rsidRPr="00E7637B" w:rsidRDefault="00742A6B" w:rsidP="00742A6B">
            <w:pPr>
              <w:tabs>
                <w:tab w:val="left" w:pos="1202"/>
              </w:tabs>
              <w:spacing w:line="200" w:lineRule="exact"/>
              <w:jc w:val="right"/>
            </w:pPr>
            <w:r>
              <w:t>–</w:t>
            </w:r>
          </w:p>
        </w:tc>
      </w:tr>
      <w:tr w:rsidR="006247DF" w:rsidRPr="00E7637B" w:rsidTr="006247DF">
        <w:trPr>
          <w:cantSplit/>
        </w:trPr>
        <w:tc>
          <w:tcPr>
            <w:tcW w:w="3260" w:type="dxa"/>
          </w:tcPr>
          <w:p w:rsidR="006247DF" w:rsidRPr="00E7637B" w:rsidRDefault="006247DF" w:rsidP="006247DF">
            <w:pPr>
              <w:spacing w:line="200" w:lineRule="exact"/>
            </w:pPr>
            <w:r w:rsidRPr="00E7637B">
              <w:t>Valutaswappar, negativt värde</w:t>
            </w:r>
          </w:p>
        </w:tc>
        <w:tc>
          <w:tcPr>
            <w:tcW w:w="1361" w:type="dxa"/>
          </w:tcPr>
          <w:p w:rsidR="006247DF" w:rsidRPr="00262BC2" w:rsidRDefault="006247DF" w:rsidP="006247DF">
            <w:pPr>
              <w:spacing w:line="200" w:lineRule="exact"/>
              <w:jc w:val="right"/>
            </w:pPr>
            <w:r>
              <w:t>–</w:t>
            </w:r>
          </w:p>
        </w:tc>
        <w:tc>
          <w:tcPr>
            <w:tcW w:w="1361" w:type="dxa"/>
          </w:tcPr>
          <w:p w:rsidR="006247DF" w:rsidRPr="00262BC2" w:rsidRDefault="006247DF" w:rsidP="006247DF">
            <w:pPr>
              <w:spacing w:line="200" w:lineRule="exact"/>
              <w:jc w:val="right"/>
            </w:pPr>
            <w:r>
              <w:t>–</w:t>
            </w:r>
          </w:p>
        </w:tc>
      </w:tr>
      <w:tr w:rsidR="006247DF" w:rsidRPr="00E7637B" w:rsidTr="006247DF">
        <w:trPr>
          <w:cantSplit/>
        </w:trPr>
        <w:tc>
          <w:tcPr>
            <w:tcW w:w="3260" w:type="dxa"/>
            <w:tcBorders>
              <w:top w:val="single" w:sz="4" w:space="0" w:color="auto"/>
              <w:bottom w:val="single" w:sz="4" w:space="0" w:color="auto"/>
            </w:tcBorders>
            <w:vAlign w:val="center"/>
          </w:tcPr>
          <w:p w:rsidR="006247DF" w:rsidRPr="00E7637B" w:rsidRDefault="006247DF" w:rsidP="006247DF">
            <w:pPr>
              <w:spacing w:line="200" w:lineRule="exact"/>
            </w:pPr>
            <w:r w:rsidRPr="00E7637B">
              <w:t>Summa</w:t>
            </w:r>
          </w:p>
        </w:tc>
        <w:tc>
          <w:tcPr>
            <w:tcW w:w="1361" w:type="dxa"/>
            <w:tcBorders>
              <w:top w:val="single" w:sz="4" w:space="0" w:color="auto"/>
              <w:bottom w:val="single" w:sz="4" w:space="0" w:color="auto"/>
            </w:tcBorders>
            <w:vAlign w:val="center"/>
          </w:tcPr>
          <w:p w:rsidR="006247DF" w:rsidRPr="00E7637B" w:rsidRDefault="006247DF" w:rsidP="006247DF">
            <w:pPr>
              <w:spacing w:line="200" w:lineRule="exact"/>
              <w:jc w:val="right"/>
            </w:pPr>
            <w:r>
              <w:t>–</w:t>
            </w:r>
          </w:p>
        </w:tc>
        <w:tc>
          <w:tcPr>
            <w:tcW w:w="1361" w:type="dxa"/>
            <w:tcBorders>
              <w:top w:val="single" w:sz="4" w:space="0" w:color="auto"/>
              <w:bottom w:val="single" w:sz="4" w:space="0" w:color="auto"/>
            </w:tcBorders>
            <w:vAlign w:val="center"/>
          </w:tcPr>
          <w:p w:rsidR="006247DF" w:rsidRPr="00E7637B" w:rsidRDefault="00742A6B" w:rsidP="00742A6B">
            <w:pPr>
              <w:spacing w:line="200" w:lineRule="exact"/>
              <w:jc w:val="right"/>
            </w:pPr>
            <w:r>
              <w:t>–</w:t>
            </w:r>
          </w:p>
        </w:tc>
      </w:tr>
    </w:tbl>
    <w:p w:rsidR="006247DF" w:rsidRPr="00E7637B" w:rsidRDefault="006247DF" w:rsidP="006247DF">
      <w:pPr>
        <w:spacing w:before="120"/>
      </w:pPr>
      <w:r w:rsidRPr="00E7637B">
        <w:t xml:space="preserve">Under denna post redovisas derivatinstrumentgrupper med positivt värde. </w:t>
      </w:r>
    </w:p>
    <w:p w:rsidR="006247DF" w:rsidRPr="00E7637B" w:rsidRDefault="006247DF" w:rsidP="006247DF">
      <w:pPr>
        <w:spacing w:before="120" w:after="120"/>
      </w:pPr>
      <w:r w:rsidRPr="00E7637B">
        <w:t>Derivatkontraktens nominella belopp framgår nedan.</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4</w:t>
            </w:r>
            <w:r>
              <w:t>-12-31</w:t>
            </w: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3</w:t>
            </w:r>
            <w:r>
              <w:t>-12-31</w:t>
            </w:r>
          </w:p>
        </w:tc>
      </w:tr>
      <w:tr w:rsidR="006247DF" w:rsidRPr="00E7637B" w:rsidTr="006247DF">
        <w:trPr>
          <w:cantSplit/>
          <w:trHeight w:val="20"/>
        </w:trPr>
        <w:tc>
          <w:tcPr>
            <w:tcW w:w="3260" w:type="dxa"/>
          </w:tcPr>
          <w:p w:rsidR="006247DF" w:rsidRPr="00E7637B" w:rsidRDefault="006247DF" w:rsidP="006247DF">
            <w:pPr>
              <w:spacing w:line="200" w:lineRule="exact"/>
            </w:pPr>
            <w:r w:rsidRPr="00E7637B">
              <w:t>Valutaswappar, positivt värde</w:t>
            </w:r>
          </w:p>
        </w:tc>
        <w:tc>
          <w:tcPr>
            <w:tcW w:w="1361" w:type="dxa"/>
          </w:tcPr>
          <w:p w:rsidR="006247DF" w:rsidRPr="00E7637B" w:rsidRDefault="006247DF" w:rsidP="006247DF">
            <w:pPr>
              <w:spacing w:line="200" w:lineRule="exact"/>
              <w:jc w:val="right"/>
            </w:pPr>
            <w:r>
              <w:t>–</w:t>
            </w:r>
          </w:p>
        </w:tc>
        <w:tc>
          <w:tcPr>
            <w:tcW w:w="1361" w:type="dxa"/>
          </w:tcPr>
          <w:p w:rsidR="006247DF" w:rsidRPr="00E7637B" w:rsidRDefault="00742A6B" w:rsidP="00742A6B">
            <w:pPr>
              <w:spacing w:line="200" w:lineRule="exact"/>
              <w:jc w:val="right"/>
            </w:pPr>
            <w:r>
              <w:t>–</w:t>
            </w:r>
          </w:p>
        </w:tc>
      </w:tr>
      <w:tr w:rsidR="006247DF" w:rsidRPr="00E7637B" w:rsidTr="006247DF">
        <w:trPr>
          <w:cantSplit/>
          <w:trHeight w:val="20"/>
        </w:trPr>
        <w:tc>
          <w:tcPr>
            <w:tcW w:w="3260" w:type="dxa"/>
          </w:tcPr>
          <w:p w:rsidR="006247DF" w:rsidRPr="00E7637B" w:rsidRDefault="006247DF" w:rsidP="006247DF">
            <w:pPr>
              <w:spacing w:line="200" w:lineRule="exact"/>
            </w:pPr>
            <w:r w:rsidRPr="00E7637B">
              <w:t>Valutaswappar, negativt värde</w:t>
            </w:r>
          </w:p>
        </w:tc>
        <w:tc>
          <w:tcPr>
            <w:tcW w:w="1361" w:type="dxa"/>
          </w:tcPr>
          <w:p w:rsidR="006247DF" w:rsidRPr="00262BC2" w:rsidRDefault="006247DF" w:rsidP="006247DF">
            <w:pPr>
              <w:spacing w:line="200" w:lineRule="exact"/>
              <w:jc w:val="right"/>
            </w:pPr>
            <w:r>
              <w:t>–</w:t>
            </w:r>
          </w:p>
        </w:tc>
        <w:tc>
          <w:tcPr>
            <w:tcW w:w="1361" w:type="dxa"/>
          </w:tcPr>
          <w:p w:rsidR="006247DF" w:rsidRPr="00262BC2" w:rsidRDefault="006247DF" w:rsidP="006247DF">
            <w:pPr>
              <w:spacing w:line="200" w:lineRule="exact"/>
              <w:jc w:val="right"/>
            </w:pPr>
            <w:r>
              <w:t>–</w:t>
            </w:r>
          </w:p>
        </w:tc>
      </w:tr>
      <w:tr w:rsidR="006247DF" w:rsidRPr="00E7637B" w:rsidTr="006247DF">
        <w:trPr>
          <w:cantSplit/>
          <w:trHeight w:val="20"/>
        </w:trPr>
        <w:tc>
          <w:tcPr>
            <w:tcW w:w="3260" w:type="dxa"/>
            <w:tcBorders>
              <w:top w:val="single" w:sz="4" w:space="0" w:color="auto"/>
              <w:bottom w:val="single" w:sz="4" w:space="0" w:color="auto"/>
            </w:tcBorders>
            <w:vAlign w:val="center"/>
          </w:tcPr>
          <w:p w:rsidR="006247DF" w:rsidRPr="00E7637B" w:rsidRDefault="006247DF" w:rsidP="006247DF">
            <w:pPr>
              <w:spacing w:line="200" w:lineRule="exact"/>
            </w:pPr>
            <w:r w:rsidRPr="00E7637B">
              <w:t>Summa</w:t>
            </w:r>
          </w:p>
        </w:tc>
        <w:tc>
          <w:tcPr>
            <w:tcW w:w="1361" w:type="dxa"/>
            <w:tcBorders>
              <w:top w:val="single" w:sz="4" w:space="0" w:color="auto"/>
              <w:bottom w:val="single" w:sz="4" w:space="0" w:color="auto"/>
            </w:tcBorders>
            <w:vAlign w:val="center"/>
          </w:tcPr>
          <w:p w:rsidR="006247DF" w:rsidRPr="00E7637B" w:rsidRDefault="006247DF" w:rsidP="006247DF">
            <w:pPr>
              <w:spacing w:line="200" w:lineRule="exact"/>
              <w:jc w:val="right"/>
            </w:pPr>
            <w:r>
              <w:t>–</w:t>
            </w:r>
          </w:p>
        </w:tc>
        <w:tc>
          <w:tcPr>
            <w:tcW w:w="1361" w:type="dxa"/>
            <w:tcBorders>
              <w:top w:val="single" w:sz="4" w:space="0" w:color="auto"/>
              <w:bottom w:val="single" w:sz="4" w:space="0" w:color="auto"/>
            </w:tcBorders>
            <w:vAlign w:val="center"/>
          </w:tcPr>
          <w:p w:rsidR="006247DF" w:rsidRPr="00E7637B" w:rsidRDefault="00742A6B" w:rsidP="00742A6B">
            <w:pPr>
              <w:spacing w:line="200" w:lineRule="exact"/>
              <w:jc w:val="right"/>
            </w:pPr>
            <w:r>
              <w:t>–</w:t>
            </w:r>
          </w:p>
        </w:tc>
      </w:tr>
    </w:tbl>
    <w:p w:rsidR="0095112B" w:rsidRDefault="0095112B" w:rsidP="006247DF">
      <w:pPr>
        <w:spacing w:before="187"/>
        <w:outlineLvl w:val="0"/>
        <w:rPr>
          <w:b/>
        </w:rPr>
      </w:pPr>
    </w:p>
    <w:p w:rsidR="0095112B" w:rsidRDefault="0095112B" w:rsidP="006247DF">
      <w:pPr>
        <w:spacing w:before="187"/>
        <w:outlineLvl w:val="0"/>
        <w:rPr>
          <w:b/>
        </w:rPr>
      </w:pPr>
    </w:p>
    <w:p w:rsidR="006247DF" w:rsidRPr="00E7637B" w:rsidRDefault="006247DF" w:rsidP="006247DF">
      <w:pPr>
        <w:spacing w:before="187"/>
        <w:outlineLvl w:val="0"/>
        <w:rPr>
          <w:b/>
        </w:rPr>
      </w:pPr>
      <w:r w:rsidRPr="00E7637B">
        <w:rPr>
          <w:b/>
        </w:rPr>
        <w:t>Not 1</w:t>
      </w:r>
      <w:r>
        <w:rPr>
          <w:b/>
        </w:rPr>
        <w:t>0</w:t>
      </w:r>
      <w:r w:rsidRPr="00E7637B">
        <w:rPr>
          <w:b/>
        </w:rPr>
        <w:t xml:space="preserve"> Förutbetalda kostnader och upplupna intäkter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4</w:t>
            </w:r>
            <w:r>
              <w:t>-12-31</w:t>
            </w:r>
          </w:p>
        </w:tc>
        <w:tc>
          <w:tcPr>
            <w:tcW w:w="1361" w:type="dxa"/>
            <w:tcBorders>
              <w:top w:val="single" w:sz="4" w:space="0" w:color="auto"/>
              <w:bottom w:val="single" w:sz="4" w:space="0" w:color="auto"/>
            </w:tcBorders>
            <w:vAlign w:val="center"/>
          </w:tcPr>
          <w:p w:rsidR="006247DF" w:rsidRPr="00E7637B" w:rsidRDefault="006247DF" w:rsidP="00742A6B">
            <w:pPr>
              <w:spacing w:line="200" w:lineRule="exact"/>
              <w:jc w:val="right"/>
            </w:pPr>
            <w:r>
              <w:t>201</w:t>
            </w:r>
            <w:r w:rsidR="00742A6B">
              <w:t>3</w:t>
            </w:r>
            <w:r>
              <w:t>-12-31</w:t>
            </w:r>
          </w:p>
        </w:tc>
      </w:tr>
      <w:tr w:rsidR="00742A6B" w:rsidRPr="00E7637B" w:rsidTr="006247DF">
        <w:trPr>
          <w:cantSplit/>
        </w:trPr>
        <w:tc>
          <w:tcPr>
            <w:tcW w:w="3260" w:type="dxa"/>
          </w:tcPr>
          <w:p w:rsidR="00742A6B" w:rsidRPr="00E7637B" w:rsidRDefault="00742A6B" w:rsidP="006247DF">
            <w:pPr>
              <w:spacing w:line="200" w:lineRule="exact"/>
            </w:pPr>
            <w:r w:rsidRPr="00E7637B">
              <w:t>Fordringar på IMF</w:t>
            </w:r>
          </w:p>
        </w:tc>
        <w:tc>
          <w:tcPr>
            <w:tcW w:w="1361" w:type="dxa"/>
          </w:tcPr>
          <w:p w:rsidR="00742A6B" w:rsidRPr="00E7637B" w:rsidRDefault="00742A6B" w:rsidP="00742A6B">
            <w:pPr>
              <w:tabs>
                <w:tab w:val="left" w:pos="1202"/>
              </w:tabs>
              <w:spacing w:line="200" w:lineRule="exact"/>
              <w:jc w:val="right"/>
            </w:pPr>
            <w:r>
              <w:t>3</w:t>
            </w:r>
          </w:p>
        </w:tc>
        <w:tc>
          <w:tcPr>
            <w:tcW w:w="1361" w:type="dxa"/>
          </w:tcPr>
          <w:p w:rsidR="00742A6B" w:rsidRPr="00E7637B" w:rsidRDefault="00742A6B" w:rsidP="006247DF">
            <w:pPr>
              <w:tabs>
                <w:tab w:val="left" w:pos="1202"/>
              </w:tabs>
              <w:spacing w:line="200" w:lineRule="exact"/>
              <w:jc w:val="right"/>
            </w:pPr>
            <w:r>
              <w:t>6</w:t>
            </w:r>
          </w:p>
        </w:tc>
      </w:tr>
      <w:tr w:rsidR="00742A6B" w:rsidRPr="00E7637B" w:rsidTr="006247DF">
        <w:trPr>
          <w:cantSplit/>
        </w:trPr>
        <w:tc>
          <w:tcPr>
            <w:tcW w:w="3260" w:type="dxa"/>
          </w:tcPr>
          <w:p w:rsidR="00742A6B" w:rsidRPr="000C4345" w:rsidRDefault="00742A6B" w:rsidP="006247DF">
            <w:pPr>
              <w:spacing w:line="200" w:lineRule="exact"/>
            </w:pPr>
            <w:r w:rsidRPr="00E7637B">
              <w:t>Bank</w:t>
            </w:r>
            <w:r>
              <w:t>konton och bankutlåning</w:t>
            </w:r>
          </w:p>
        </w:tc>
        <w:tc>
          <w:tcPr>
            <w:tcW w:w="1361" w:type="dxa"/>
          </w:tcPr>
          <w:p w:rsidR="00742A6B" w:rsidRPr="00135DE3" w:rsidRDefault="00742A6B" w:rsidP="006247DF">
            <w:pPr>
              <w:spacing w:line="200" w:lineRule="exact"/>
              <w:jc w:val="right"/>
            </w:pPr>
            <w:r>
              <w:t>0</w:t>
            </w:r>
          </w:p>
        </w:tc>
        <w:tc>
          <w:tcPr>
            <w:tcW w:w="1361" w:type="dxa"/>
          </w:tcPr>
          <w:p w:rsidR="00742A6B" w:rsidRPr="00135DE3" w:rsidRDefault="00742A6B" w:rsidP="006247DF">
            <w:pPr>
              <w:spacing w:line="200" w:lineRule="exact"/>
              <w:jc w:val="right"/>
            </w:pPr>
            <w:r>
              <w:t>0</w:t>
            </w:r>
          </w:p>
        </w:tc>
      </w:tr>
      <w:tr w:rsidR="00742A6B" w:rsidRPr="00E7637B" w:rsidTr="006247DF">
        <w:trPr>
          <w:cantSplit/>
        </w:trPr>
        <w:tc>
          <w:tcPr>
            <w:tcW w:w="3260" w:type="dxa"/>
          </w:tcPr>
          <w:p w:rsidR="00742A6B" w:rsidRPr="00E7637B" w:rsidRDefault="00742A6B" w:rsidP="006247DF">
            <w:pPr>
              <w:spacing w:line="200" w:lineRule="exact"/>
            </w:pPr>
            <w:r w:rsidRPr="00E7637B">
              <w:t>Obligationer</w:t>
            </w:r>
            <w:r>
              <w:t xml:space="preserve"> i utländsk valuta</w:t>
            </w:r>
          </w:p>
        </w:tc>
        <w:tc>
          <w:tcPr>
            <w:tcW w:w="1361" w:type="dxa"/>
          </w:tcPr>
          <w:p w:rsidR="00742A6B" w:rsidRPr="00E7637B" w:rsidRDefault="00742A6B" w:rsidP="00742A6B">
            <w:pPr>
              <w:spacing w:line="200" w:lineRule="exact"/>
              <w:jc w:val="right"/>
            </w:pPr>
            <w:r>
              <w:t>3 088</w:t>
            </w:r>
          </w:p>
        </w:tc>
        <w:tc>
          <w:tcPr>
            <w:tcW w:w="1361" w:type="dxa"/>
          </w:tcPr>
          <w:p w:rsidR="00742A6B" w:rsidRPr="00E7637B" w:rsidRDefault="00742A6B" w:rsidP="006247DF">
            <w:pPr>
              <w:spacing w:line="200" w:lineRule="exact"/>
              <w:jc w:val="right"/>
            </w:pPr>
            <w:r>
              <w:t>3 075</w:t>
            </w:r>
          </w:p>
        </w:tc>
      </w:tr>
      <w:tr w:rsidR="00742A6B" w:rsidRPr="00E7637B" w:rsidTr="006247DF">
        <w:trPr>
          <w:cantSplit/>
        </w:trPr>
        <w:tc>
          <w:tcPr>
            <w:tcW w:w="3260" w:type="dxa"/>
            <w:vAlign w:val="center"/>
          </w:tcPr>
          <w:p w:rsidR="00742A6B" w:rsidRPr="00E7637B" w:rsidRDefault="00742A6B" w:rsidP="006247DF">
            <w:pPr>
              <w:spacing w:line="200" w:lineRule="exact"/>
            </w:pPr>
            <w:r w:rsidRPr="00E7637B">
              <w:t>Derivatinstrument</w:t>
            </w:r>
          </w:p>
        </w:tc>
        <w:tc>
          <w:tcPr>
            <w:tcW w:w="1361" w:type="dxa"/>
            <w:vAlign w:val="center"/>
          </w:tcPr>
          <w:p w:rsidR="00742A6B" w:rsidRPr="00E7637B" w:rsidRDefault="00742A6B" w:rsidP="00742A6B">
            <w:pPr>
              <w:spacing w:line="200" w:lineRule="exact"/>
              <w:jc w:val="right"/>
            </w:pPr>
            <w:r>
              <w:t>61</w:t>
            </w:r>
          </w:p>
        </w:tc>
        <w:tc>
          <w:tcPr>
            <w:tcW w:w="1361" w:type="dxa"/>
            <w:vAlign w:val="center"/>
          </w:tcPr>
          <w:p w:rsidR="00742A6B" w:rsidRPr="00E7637B" w:rsidRDefault="00742A6B" w:rsidP="006247DF">
            <w:pPr>
              <w:spacing w:line="200" w:lineRule="exact"/>
              <w:jc w:val="right"/>
            </w:pPr>
            <w:r>
              <w:t>57</w:t>
            </w:r>
          </w:p>
        </w:tc>
      </w:tr>
      <w:tr w:rsidR="00742A6B" w:rsidRPr="00E7637B" w:rsidTr="006247DF">
        <w:trPr>
          <w:cantSplit/>
          <w:trHeight w:val="20"/>
        </w:trPr>
        <w:tc>
          <w:tcPr>
            <w:tcW w:w="3260" w:type="dxa"/>
          </w:tcPr>
          <w:p w:rsidR="00742A6B" w:rsidRPr="00E7637B" w:rsidRDefault="00742A6B" w:rsidP="006247DF">
            <w:pPr>
              <w:spacing w:line="200" w:lineRule="exact"/>
            </w:pPr>
            <w:r>
              <w:t>Obligationer i svenska kronor</w:t>
            </w:r>
          </w:p>
        </w:tc>
        <w:tc>
          <w:tcPr>
            <w:tcW w:w="1361" w:type="dxa"/>
            <w:vAlign w:val="center"/>
          </w:tcPr>
          <w:p w:rsidR="00742A6B" w:rsidRPr="00E7637B" w:rsidRDefault="00742A6B" w:rsidP="00742A6B">
            <w:pPr>
              <w:spacing w:line="200" w:lineRule="exact"/>
              <w:jc w:val="right"/>
            </w:pPr>
            <w:r>
              <w:t>144</w:t>
            </w:r>
          </w:p>
        </w:tc>
        <w:tc>
          <w:tcPr>
            <w:tcW w:w="1361" w:type="dxa"/>
            <w:vAlign w:val="center"/>
          </w:tcPr>
          <w:p w:rsidR="00742A6B" w:rsidRPr="00E7637B" w:rsidRDefault="00742A6B" w:rsidP="006247DF">
            <w:pPr>
              <w:spacing w:line="200" w:lineRule="exact"/>
              <w:jc w:val="right"/>
            </w:pPr>
            <w:r>
              <w:t>165</w:t>
            </w:r>
          </w:p>
        </w:tc>
      </w:tr>
      <w:tr w:rsidR="00742A6B" w:rsidRPr="00E7637B" w:rsidTr="006247DF">
        <w:trPr>
          <w:cantSplit/>
          <w:trHeight w:val="20"/>
        </w:trPr>
        <w:tc>
          <w:tcPr>
            <w:tcW w:w="3260" w:type="dxa"/>
          </w:tcPr>
          <w:p w:rsidR="00742A6B" w:rsidRPr="00C15395" w:rsidRDefault="00742A6B" w:rsidP="006247DF">
            <w:pPr>
              <w:spacing w:line="200" w:lineRule="exact"/>
            </w:pPr>
            <w:r>
              <w:t>Övrigt</w:t>
            </w:r>
          </w:p>
        </w:tc>
        <w:tc>
          <w:tcPr>
            <w:tcW w:w="1361" w:type="dxa"/>
          </w:tcPr>
          <w:p w:rsidR="00742A6B" w:rsidRPr="00276C89" w:rsidRDefault="00742A6B" w:rsidP="00742A6B">
            <w:pPr>
              <w:spacing w:line="200" w:lineRule="exact"/>
              <w:jc w:val="right"/>
            </w:pPr>
            <w:r>
              <w:t>27</w:t>
            </w:r>
          </w:p>
        </w:tc>
        <w:tc>
          <w:tcPr>
            <w:tcW w:w="1361" w:type="dxa"/>
          </w:tcPr>
          <w:p w:rsidR="00742A6B" w:rsidRPr="00276C89" w:rsidRDefault="00742A6B" w:rsidP="006247DF">
            <w:pPr>
              <w:spacing w:line="200" w:lineRule="exact"/>
              <w:jc w:val="right"/>
            </w:pPr>
            <w:r>
              <w:t>11</w:t>
            </w:r>
          </w:p>
        </w:tc>
      </w:tr>
      <w:tr w:rsidR="00742A6B" w:rsidRPr="00E7637B" w:rsidTr="006247DF">
        <w:trPr>
          <w:cantSplit/>
          <w:trHeight w:val="20"/>
        </w:trPr>
        <w:tc>
          <w:tcPr>
            <w:tcW w:w="3260" w:type="dxa"/>
            <w:tcBorders>
              <w:top w:val="single" w:sz="4" w:space="0" w:color="auto"/>
              <w:bottom w:val="single" w:sz="4" w:space="0" w:color="auto"/>
            </w:tcBorders>
            <w:vAlign w:val="center"/>
          </w:tcPr>
          <w:p w:rsidR="00742A6B" w:rsidRPr="00E7637B" w:rsidRDefault="00742A6B" w:rsidP="006247DF">
            <w:pPr>
              <w:spacing w:line="200" w:lineRule="exact"/>
            </w:pPr>
            <w:r w:rsidRPr="00E7637B">
              <w:t>Summa</w:t>
            </w:r>
          </w:p>
        </w:tc>
        <w:tc>
          <w:tcPr>
            <w:tcW w:w="1361" w:type="dxa"/>
            <w:tcBorders>
              <w:top w:val="single" w:sz="4" w:space="0" w:color="auto"/>
              <w:bottom w:val="single" w:sz="4" w:space="0" w:color="auto"/>
            </w:tcBorders>
            <w:vAlign w:val="center"/>
          </w:tcPr>
          <w:p w:rsidR="00742A6B" w:rsidRPr="00E7637B" w:rsidRDefault="00742A6B" w:rsidP="00742A6B">
            <w:pPr>
              <w:spacing w:line="200" w:lineRule="exact"/>
              <w:jc w:val="right"/>
            </w:pPr>
            <w:r>
              <w:t>3 323</w:t>
            </w:r>
          </w:p>
        </w:tc>
        <w:tc>
          <w:tcPr>
            <w:tcW w:w="1361" w:type="dxa"/>
            <w:tcBorders>
              <w:top w:val="single" w:sz="4" w:space="0" w:color="auto"/>
              <w:bottom w:val="single" w:sz="4" w:space="0" w:color="auto"/>
            </w:tcBorders>
            <w:vAlign w:val="center"/>
          </w:tcPr>
          <w:p w:rsidR="00742A6B" w:rsidRPr="00E7637B" w:rsidRDefault="00742A6B" w:rsidP="006247DF">
            <w:pPr>
              <w:spacing w:line="200" w:lineRule="exact"/>
              <w:jc w:val="right"/>
            </w:pPr>
            <w:r>
              <w:t>3 314</w:t>
            </w:r>
          </w:p>
        </w:tc>
      </w:tr>
    </w:tbl>
    <w:p w:rsidR="006247DF" w:rsidRPr="00E7637B" w:rsidRDefault="006247DF" w:rsidP="006247DF">
      <w:pPr>
        <w:spacing w:before="187"/>
        <w:rPr>
          <w:b/>
        </w:rPr>
      </w:pPr>
      <w:r w:rsidRPr="00E7637B">
        <w:rPr>
          <w:b/>
        </w:rPr>
        <w:t>Not 1</w:t>
      </w:r>
      <w:r>
        <w:rPr>
          <w:b/>
        </w:rPr>
        <w:t>1</w:t>
      </w:r>
      <w:r w:rsidRPr="00E7637B">
        <w:rPr>
          <w:b/>
        </w:rPr>
        <w:t xml:space="preserve"> Övriga 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742A6B">
            <w:pPr>
              <w:spacing w:line="200" w:lineRule="exact"/>
              <w:jc w:val="right"/>
            </w:pPr>
            <w:r>
              <w:t>201</w:t>
            </w:r>
            <w:r w:rsidR="00742A6B">
              <w:t>4</w:t>
            </w:r>
            <w:r>
              <w:t>-12-31</w:t>
            </w:r>
          </w:p>
        </w:tc>
        <w:tc>
          <w:tcPr>
            <w:tcW w:w="1361" w:type="dxa"/>
            <w:tcBorders>
              <w:top w:val="single" w:sz="4" w:space="0" w:color="auto"/>
            </w:tcBorders>
            <w:vAlign w:val="center"/>
          </w:tcPr>
          <w:p w:rsidR="006247DF" w:rsidRPr="00E7637B" w:rsidRDefault="006247DF" w:rsidP="00A44295">
            <w:pPr>
              <w:spacing w:line="200" w:lineRule="exact"/>
              <w:jc w:val="right"/>
            </w:pPr>
            <w:r>
              <w:t>201</w:t>
            </w:r>
            <w:r w:rsidR="00742A6B">
              <w:t>3</w:t>
            </w:r>
            <w:r w:rsidR="00A44295">
              <w:t>-</w:t>
            </w:r>
            <w:r>
              <w:t>12-31</w:t>
            </w:r>
          </w:p>
        </w:tc>
      </w:tr>
      <w:tr w:rsidR="00742A6B" w:rsidRPr="00E7637B" w:rsidTr="006247DF">
        <w:trPr>
          <w:cantSplit/>
          <w:trHeight w:val="20"/>
        </w:trPr>
        <w:tc>
          <w:tcPr>
            <w:tcW w:w="3260" w:type="dxa"/>
            <w:tcBorders>
              <w:top w:val="single" w:sz="4" w:space="0" w:color="auto"/>
            </w:tcBorders>
          </w:tcPr>
          <w:p w:rsidR="00742A6B" w:rsidRPr="00E7637B" w:rsidRDefault="00742A6B" w:rsidP="006247DF">
            <w:pPr>
              <w:spacing w:line="200" w:lineRule="exact"/>
            </w:pPr>
            <w:r w:rsidRPr="00E7637B">
              <w:t>Personallån</w:t>
            </w:r>
          </w:p>
        </w:tc>
        <w:tc>
          <w:tcPr>
            <w:tcW w:w="1361" w:type="dxa"/>
            <w:tcBorders>
              <w:top w:val="single" w:sz="4" w:space="0" w:color="auto"/>
            </w:tcBorders>
          </w:tcPr>
          <w:p w:rsidR="00742A6B" w:rsidRPr="00E7637B" w:rsidRDefault="00742A6B" w:rsidP="00742A6B">
            <w:pPr>
              <w:tabs>
                <w:tab w:val="left" w:pos="1114"/>
              </w:tabs>
              <w:spacing w:line="200" w:lineRule="exact"/>
              <w:jc w:val="right"/>
            </w:pPr>
            <w:r>
              <w:t>318</w:t>
            </w:r>
          </w:p>
        </w:tc>
        <w:tc>
          <w:tcPr>
            <w:tcW w:w="1361" w:type="dxa"/>
            <w:tcBorders>
              <w:top w:val="single" w:sz="4" w:space="0" w:color="auto"/>
            </w:tcBorders>
          </w:tcPr>
          <w:p w:rsidR="00742A6B" w:rsidRPr="00E7637B" w:rsidRDefault="00742A6B" w:rsidP="006247DF">
            <w:pPr>
              <w:tabs>
                <w:tab w:val="left" w:pos="1114"/>
              </w:tabs>
              <w:spacing w:line="200" w:lineRule="exact"/>
              <w:jc w:val="right"/>
            </w:pPr>
            <w:r>
              <w:t>333</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Kundfordringar</w:t>
            </w:r>
          </w:p>
        </w:tc>
        <w:tc>
          <w:tcPr>
            <w:tcW w:w="1361" w:type="dxa"/>
          </w:tcPr>
          <w:p w:rsidR="00742A6B" w:rsidRPr="00E7637B" w:rsidRDefault="00742A6B" w:rsidP="00742A6B">
            <w:pPr>
              <w:spacing w:line="200" w:lineRule="exact"/>
              <w:jc w:val="right"/>
            </w:pPr>
            <w:r>
              <w:t>5</w:t>
            </w:r>
          </w:p>
        </w:tc>
        <w:tc>
          <w:tcPr>
            <w:tcW w:w="1361" w:type="dxa"/>
          </w:tcPr>
          <w:p w:rsidR="00742A6B" w:rsidRPr="00E7637B" w:rsidRDefault="00742A6B" w:rsidP="006247DF">
            <w:pPr>
              <w:spacing w:line="200" w:lineRule="exact"/>
              <w:jc w:val="right"/>
            </w:pPr>
            <w:r>
              <w:t>4</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Momsfordran</w:t>
            </w:r>
          </w:p>
        </w:tc>
        <w:tc>
          <w:tcPr>
            <w:tcW w:w="1361" w:type="dxa"/>
          </w:tcPr>
          <w:p w:rsidR="00742A6B" w:rsidRPr="00E7637B" w:rsidRDefault="00742A6B" w:rsidP="00742A6B">
            <w:pPr>
              <w:spacing w:line="200" w:lineRule="exact"/>
              <w:jc w:val="right"/>
            </w:pPr>
            <w:r>
              <w:t>13</w:t>
            </w:r>
          </w:p>
        </w:tc>
        <w:tc>
          <w:tcPr>
            <w:tcW w:w="1361" w:type="dxa"/>
          </w:tcPr>
          <w:p w:rsidR="00742A6B" w:rsidRPr="00E7637B" w:rsidRDefault="00742A6B" w:rsidP="006247DF">
            <w:pPr>
              <w:spacing w:line="200" w:lineRule="exact"/>
              <w:jc w:val="right"/>
            </w:pPr>
            <w:r>
              <w:t>12</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Banktillgodohavanden</w:t>
            </w:r>
          </w:p>
        </w:tc>
        <w:tc>
          <w:tcPr>
            <w:tcW w:w="1361" w:type="dxa"/>
          </w:tcPr>
          <w:p w:rsidR="00742A6B" w:rsidRPr="00E7637B" w:rsidRDefault="00742A6B" w:rsidP="00742A6B">
            <w:pPr>
              <w:spacing w:line="200" w:lineRule="exact"/>
              <w:jc w:val="right"/>
            </w:pPr>
            <w:r>
              <w:t>20</w:t>
            </w:r>
          </w:p>
        </w:tc>
        <w:tc>
          <w:tcPr>
            <w:tcW w:w="1361" w:type="dxa"/>
          </w:tcPr>
          <w:p w:rsidR="00742A6B" w:rsidRPr="00E7637B" w:rsidRDefault="00742A6B" w:rsidP="006247DF">
            <w:pPr>
              <w:spacing w:line="200" w:lineRule="exact"/>
              <w:jc w:val="right"/>
            </w:pPr>
            <w:r>
              <w:t>9</w:t>
            </w:r>
          </w:p>
        </w:tc>
      </w:tr>
      <w:tr w:rsidR="00742A6B" w:rsidRPr="00E7637B" w:rsidTr="006247DF">
        <w:trPr>
          <w:cantSplit/>
          <w:trHeight w:val="20"/>
        </w:trPr>
        <w:tc>
          <w:tcPr>
            <w:tcW w:w="3260" w:type="dxa"/>
            <w:tcBorders>
              <w:bottom w:val="single" w:sz="4" w:space="0" w:color="auto"/>
            </w:tcBorders>
          </w:tcPr>
          <w:p w:rsidR="00742A6B" w:rsidRPr="00E7637B" w:rsidRDefault="00742A6B" w:rsidP="006247DF">
            <w:pPr>
              <w:spacing w:line="200" w:lineRule="exact"/>
            </w:pPr>
            <w:r w:rsidRPr="00E7637B">
              <w:t>Övrigt</w:t>
            </w:r>
          </w:p>
        </w:tc>
        <w:tc>
          <w:tcPr>
            <w:tcW w:w="1361" w:type="dxa"/>
            <w:vAlign w:val="center"/>
          </w:tcPr>
          <w:p w:rsidR="00742A6B" w:rsidRPr="00E7637B" w:rsidRDefault="00742A6B" w:rsidP="00742A6B">
            <w:pPr>
              <w:spacing w:line="200" w:lineRule="exact"/>
              <w:jc w:val="right"/>
            </w:pPr>
            <w:r>
              <w:t>1</w:t>
            </w:r>
          </w:p>
        </w:tc>
        <w:tc>
          <w:tcPr>
            <w:tcW w:w="1361" w:type="dxa"/>
            <w:vAlign w:val="center"/>
          </w:tcPr>
          <w:p w:rsidR="00742A6B" w:rsidRPr="00E7637B" w:rsidRDefault="00742A6B" w:rsidP="006247DF">
            <w:pPr>
              <w:spacing w:line="200" w:lineRule="exact"/>
              <w:jc w:val="right"/>
            </w:pPr>
            <w:r>
              <w:t>0</w:t>
            </w:r>
          </w:p>
        </w:tc>
      </w:tr>
      <w:tr w:rsidR="00742A6B" w:rsidRPr="00E7637B" w:rsidTr="006247DF">
        <w:trPr>
          <w:cantSplit/>
          <w:trHeight w:val="20"/>
        </w:trPr>
        <w:tc>
          <w:tcPr>
            <w:tcW w:w="3260" w:type="dxa"/>
            <w:tcBorders>
              <w:top w:val="single" w:sz="4" w:space="0" w:color="auto"/>
              <w:bottom w:val="single" w:sz="4" w:space="0" w:color="auto"/>
            </w:tcBorders>
            <w:vAlign w:val="center"/>
          </w:tcPr>
          <w:p w:rsidR="00742A6B" w:rsidRPr="00E7637B" w:rsidRDefault="00742A6B" w:rsidP="006247DF">
            <w:pPr>
              <w:spacing w:line="200" w:lineRule="exact"/>
            </w:pPr>
            <w:r w:rsidRPr="00E7637B">
              <w:t>Summa</w:t>
            </w:r>
          </w:p>
        </w:tc>
        <w:tc>
          <w:tcPr>
            <w:tcW w:w="1361" w:type="dxa"/>
            <w:tcBorders>
              <w:top w:val="single" w:sz="4" w:space="0" w:color="auto"/>
              <w:bottom w:val="single" w:sz="4" w:space="0" w:color="auto"/>
            </w:tcBorders>
            <w:vAlign w:val="center"/>
          </w:tcPr>
          <w:p w:rsidR="00742A6B" w:rsidRPr="00E7637B" w:rsidRDefault="00742A6B" w:rsidP="00742A6B">
            <w:pPr>
              <w:spacing w:line="200" w:lineRule="exact"/>
              <w:jc w:val="right"/>
            </w:pPr>
            <w:r>
              <w:t>357</w:t>
            </w:r>
          </w:p>
        </w:tc>
        <w:tc>
          <w:tcPr>
            <w:tcW w:w="1361" w:type="dxa"/>
            <w:tcBorders>
              <w:top w:val="single" w:sz="4" w:space="0" w:color="auto"/>
              <w:bottom w:val="single" w:sz="4" w:space="0" w:color="auto"/>
            </w:tcBorders>
            <w:vAlign w:val="center"/>
          </w:tcPr>
          <w:p w:rsidR="00742A6B" w:rsidRPr="00E7637B" w:rsidRDefault="00742A6B" w:rsidP="006247DF">
            <w:pPr>
              <w:spacing w:line="200" w:lineRule="exact"/>
              <w:jc w:val="right"/>
            </w:pPr>
            <w:r>
              <w:t>358</w:t>
            </w:r>
          </w:p>
        </w:tc>
      </w:tr>
    </w:tbl>
    <w:p w:rsidR="006247DF" w:rsidRPr="00E7637B" w:rsidRDefault="006247DF" w:rsidP="006247DF">
      <w:pPr>
        <w:spacing w:before="187"/>
        <w:rPr>
          <w:b/>
        </w:rPr>
      </w:pPr>
      <w:r w:rsidRPr="00E7637B">
        <w:rPr>
          <w:b/>
        </w:rPr>
        <w:t>Not 1</w:t>
      </w:r>
      <w:r>
        <w:rPr>
          <w:b/>
        </w:rPr>
        <w:t>2</w:t>
      </w:r>
      <w:r w:rsidRPr="00E7637B">
        <w:rPr>
          <w:b/>
        </w:rPr>
        <w:t xml:space="preserve"> Sedlar</w:t>
      </w:r>
    </w:p>
    <w:p w:rsidR="006247DF" w:rsidRPr="00E7637B" w:rsidRDefault="006247DF" w:rsidP="006247DF">
      <w:pPr>
        <w:spacing w:after="120"/>
      </w:pPr>
      <w:r w:rsidRPr="00E7637B">
        <w:t>De utelöpande sedlarna fördelar sig på följande valörer: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742A6B">
            <w:pPr>
              <w:spacing w:line="200" w:lineRule="exact"/>
              <w:jc w:val="right"/>
            </w:pPr>
            <w:r>
              <w:t>201</w:t>
            </w:r>
            <w:r w:rsidR="00742A6B">
              <w:t>4</w:t>
            </w:r>
            <w:r>
              <w:t>-12-31</w:t>
            </w:r>
          </w:p>
        </w:tc>
        <w:tc>
          <w:tcPr>
            <w:tcW w:w="1361" w:type="dxa"/>
            <w:tcBorders>
              <w:top w:val="single" w:sz="4" w:space="0" w:color="auto"/>
            </w:tcBorders>
            <w:vAlign w:val="center"/>
          </w:tcPr>
          <w:p w:rsidR="006247DF" w:rsidRPr="00E7637B" w:rsidRDefault="006247DF" w:rsidP="00742A6B">
            <w:pPr>
              <w:spacing w:line="200" w:lineRule="exact"/>
              <w:jc w:val="right"/>
            </w:pPr>
            <w:r>
              <w:t>201</w:t>
            </w:r>
            <w:r w:rsidR="00742A6B">
              <w:t>3</w:t>
            </w:r>
            <w:r>
              <w:t>-12-31</w:t>
            </w:r>
          </w:p>
        </w:tc>
      </w:tr>
      <w:tr w:rsidR="00742A6B" w:rsidRPr="00E7637B" w:rsidTr="006247DF">
        <w:trPr>
          <w:cantSplit/>
          <w:trHeight w:val="20"/>
        </w:trPr>
        <w:tc>
          <w:tcPr>
            <w:tcW w:w="3260" w:type="dxa"/>
            <w:tcBorders>
              <w:top w:val="single" w:sz="4" w:space="0" w:color="auto"/>
            </w:tcBorders>
          </w:tcPr>
          <w:p w:rsidR="00742A6B" w:rsidRPr="00E7637B" w:rsidRDefault="00742A6B" w:rsidP="006247DF">
            <w:pPr>
              <w:spacing w:line="200" w:lineRule="exact"/>
            </w:pPr>
            <w:r w:rsidRPr="00E7637B">
              <w:t>1 000 kronor</w:t>
            </w:r>
          </w:p>
        </w:tc>
        <w:tc>
          <w:tcPr>
            <w:tcW w:w="1361" w:type="dxa"/>
            <w:tcBorders>
              <w:top w:val="single" w:sz="4" w:space="0" w:color="auto"/>
            </w:tcBorders>
          </w:tcPr>
          <w:p w:rsidR="00742A6B" w:rsidRPr="00E7637B" w:rsidRDefault="00742A6B" w:rsidP="00742A6B">
            <w:pPr>
              <w:spacing w:line="200" w:lineRule="exact"/>
              <w:jc w:val="right"/>
            </w:pPr>
            <w:r>
              <w:t>6 160</w:t>
            </w:r>
          </w:p>
        </w:tc>
        <w:tc>
          <w:tcPr>
            <w:tcW w:w="1361" w:type="dxa"/>
            <w:tcBorders>
              <w:top w:val="single" w:sz="4" w:space="0" w:color="auto"/>
            </w:tcBorders>
          </w:tcPr>
          <w:p w:rsidR="00742A6B" w:rsidRPr="00E7637B" w:rsidRDefault="00742A6B" w:rsidP="006247DF">
            <w:pPr>
              <w:spacing w:line="200" w:lineRule="exact"/>
              <w:jc w:val="right"/>
            </w:pPr>
            <w:r>
              <w:t>9 709</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500 kronor</w:t>
            </w:r>
          </w:p>
        </w:tc>
        <w:tc>
          <w:tcPr>
            <w:tcW w:w="1361" w:type="dxa"/>
          </w:tcPr>
          <w:p w:rsidR="00742A6B" w:rsidRPr="00E7637B" w:rsidRDefault="00742A6B" w:rsidP="00742A6B">
            <w:pPr>
              <w:spacing w:line="200" w:lineRule="exact"/>
              <w:jc w:val="right"/>
            </w:pPr>
            <w:r>
              <w:t>57 203</w:t>
            </w:r>
          </w:p>
        </w:tc>
        <w:tc>
          <w:tcPr>
            <w:tcW w:w="1361" w:type="dxa"/>
          </w:tcPr>
          <w:p w:rsidR="00742A6B" w:rsidRPr="00E7637B" w:rsidRDefault="00742A6B" w:rsidP="006247DF">
            <w:pPr>
              <w:spacing w:line="200" w:lineRule="exact"/>
              <w:jc w:val="right"/>
            </w:pPr>
            <w:r>
              <w:t>57 378</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100 kronor</w:t>
            </w:r>
          </w:p>
        </w:tc>
        <w:tc>
          <w:tcPr>
            <w:tcW w:w="1361" w:type="dxa"/>
          </w:tcPr>
          <w:p w:rsidR="00742A6B" w:rsidRPr="00E7637B" w:rsidRDefault="00742A6B" w:rsidP="00742A6B">
            <w:pPr>
              <w:spacing w:line="200" w:lineRule="exact"/>
              <w:jc w:val="right"/>
            </w:pPr>
            <w:r>
              <w:t>9 223</w:t>
            </w:r>
          </w:p>
        </w:tc>
        <w:tc>
          <w:tcPr>
            <w:tcW w:w="1361" w:type="dxa"/>
          </w:tcPr>
          <w:p w:rsidR="00742A6B" w:rsidRPr="00E7637B" w:rsidRDefault="00742A6B" w:rsidP="006247DF">
            <w:pPr>
              <w:spacing w:line="200" w:lineRule="exact"/>
              <w:jc w:val="right"/>
            </w:pPr>
            <w:r>
              <w:t>9 506</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50 kronor</w:t>
            </w:r>
          </w:p>
        </w:tc>
        <w:tc>
          <w:tcPr>
            <w:tcW w:w="1361" w:type="dxa"/>
          </w:tcPr>
          <w:p w:rsidR="00742A6B" w:rsidRPr="00E7637B" w:rsidRDefault="00742A6B" w:rsidP="00742A6B">
            <w:pPr>
              <w:spacing w:line="200" w:lineRule="exact"/>
              <w:jc w:val="right"/>
            </w:pPr>
            <w:r>
              <w:t>1 093</w:t>
            </w:r>
          </w:p>
        </w:tc>
        <w:tc>
          <w:tcPr>
            <w:tcW w:w="1361" w:type="dxa"/>
          </w:tcPr>
          <w:p w:rsidR="00742A6B" w:rsidRPr="00E7637B" w:rsidRDefault="00742A6B" w:rsidP="006247DF">
            <w:pPr>
              <w:spacing w:line="200" w:lineRule="exact"/>
              <w:jc w:val="right"/>
            </w:pPr>
            <w:r>
              <w:t>1 236</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20 kronor</w:t>
            </w:r>
          </w:p>
        </w:tc>
        <w:tc>
          <w:tcPr>
            <w:tcW w:w="1361" w:type="dxa"/>
          </w:tcPr>
          <w:p w:rsidR="00742A6B" w:rsidRPr="00E7637B" w:rsidRDefault="00742A6B" w:rsidP="00742A6B">
            <w:pPr>
              <w:spacing w:line="200" w:lineRule="exact"/>
              <w:jc w:val="right"/>
            </w:pPr>
            <w:r>
              <w:t>1 738</w:t>
            </w:r>
          </w:p>
        </w:tc>
        <w:tc>
          <w:tcPr>
            <w:tcW w:w="1361" w:type="dxa"/>
          </w:tcPr>
          <w:p w:rsidR="00742A6B" w:rsidRPr="00E7637B" w:rsidRDefault="00742A6B" w:rsidP="006247DF">
            <w:pPr>
              <w:spacing w:line="200" w:lineRule="exact"/>
              <w:jc w:val="right"/>
            </w:pPr>
            <w:r>
              <w:t>1 742</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Minnessedlar</w:t>
            </w:r>
          </w:p>
        </w:tc>
        <w:tc>
          <w:tcPr>
            <w:tcW w:w="1361" w:type="dxa"/>
          </w:tcPr>
          <w:p w:rsidR="00742A6B" w:rsidRPr="00E7637B" w:rsidRDefault="00742A6B" w:rsidP="006247DF">
            <w:pPr>
              <w:spacing w:line="200" w:lineRule="exact"/>
              <w:jc w:val="right"/>
            </w:pPr>
            <w:r>
              <w:t>2</w:t>
            </w:r>
          </w:p>
        </w:tc>
        <w:tc>
          <w:tcPr>
            <w:tcW w:w="1361" w:type="dxa"/>
          </w:tcPr>
          <w:p w:rsidR="00742A6B" w:rsidRPr="00E7637B" w:rsidRDefault="00742A6B" w:rsidP="006247DF">
            <w:pPr>
              <w:spacing w:line="200" w:lineRule="exact"/>
              <w:jc w:val="right"/>
            </w:pPr>
            <w:r>
              <w:t>2</w:t>
            </w:r>
          </w:p>
        </w:tc>
      </w:tr>
      <w:tr w:rsidR="00742A6B" w:rsidRPr="00E7637B" w:rsidTr="006247DF">
        <w:trPr>
          <w:cantSplit/>
          <w:trHeight w:val="20"/>
        </w:trPr>
        <w:tc>
          <w:tcPr>
            <w:tcW w:w="3260" w:type="dxa"/>
          </w:tcPr>
          <w:p w:rsidR="00742A6B" w:rsidRPr="00E7637B" w:rsidRDefault="00742A6B" w:rsidP="006247DF">
            <w:pPr>
              <w:spacing w:line="200" w:lineRule="exact"/>
            </w:pPr>
            <w:r w:rsidRPr="00E7637B">
              <w:t xml:space="preserve">Ogiltiga sedlar </w:t>
            </w:r>
          </w:p>
        </w:tc>
        <w:tc>
          <w:tcPr>
            <w:tcW w:w="1361" w:type="dxa"/>
          </w:tcPr>
          <w:p w:rsidR="00742A6B" w:rsidRPr="00E7637B" w:rsidRDefault="00742A6B" w:rsidP="00742A6B">
            <w:pPr>
              <w:spacing w:line="200" w:lineRule="exact"/>
              <w:jc w:val="right"/>
            </w:pPr>
            <w:r>
              <w:t>2 468</w:t>
            </w:r>
          </w:p>
        </w:tc>
        <w:tc>
          <w:tcPr>
            <w:tcW w:w="1361" w:type="dxa"/>
          </w:tcPr>
          <w:p w:rsidR="00742A6B" w:rsidRPr="00E7637B" w:rsidRDefault="00742A6B" w:rsidP="006247DF">
            <w:pPr>
              <w:spacing w:line="200" w:lineRule="exact"/>
              <w:jc w:val="right"/>
            </w:pPr>
            <w:r>
              <w:t>721</w:t>
            </w:r>
          </w:p>
        </w:tc>
      </w:tr>
      <w:tr w:rsidR="00742A6B" w:rsidRPr="00E7637B" w:rsidTr="006247DF">
        <w:trPr>
          <w:cantSplit/>
          <w:trHeight w:val="20"/>
        </w:trPr>
        <w:tc>
          <w:tcPr>
            <w:tcW w:w="3260" w:type="dxa"/>
            <w:tcBorders>
              <w:top w:val="single" w:sz="4" w:space="0" w:color="auto"/>
              <w:bottom w:val="single" w:sz="4" w:space="0" w:color="auto"/>
            </w:tcBorders>
            <w:vAlign w:val="center"/>
          </w:tcPr>
          <w:p w:rsidR="00742A6B" w:rsidRPr="00E7637B" w:rsidRDefault="00742A6B" w:rsidP="006247DF">
            <w:pPr>
              <w:spacing w:line="200" w:lineRule="exact"/>
            </w:pPr>
            <w:r w:rsidRPr="00E7637B">
              <w:t>Summa</w:t>
            </w:r>
          </w:p>
        </w:tc>
        <w:tc>
          <w:tcPr>
            <w:tcW w:w="1361" w:type="dxa"/>
            <w:tcBorders>
              <w:top w:val="single" w:sz="4" w:space="0" w:color="auto"/>
              <w:bottom w:val="single" w:sz="4" w:space="0" w:color="auto"/>
            </w:tcBorders>
            <w:vAlign w:val="center"/>
          </w:tcPr>
          <w:p w:rsidR="00742A6B" w:rsidRPr="00E7637B" w:rsidRDefault="00742A6B" w:rsidP="00742A6B">
            <w:pPr>
              <w:spacing w:line="200" w:lineRule="exact"/>
              <w:jc w:val="right"/>
            </w:pPr>
            <w:r>
              <w:t>77 887</w:t>
            </w:r>
          </w:p>
        </w:tc>
        <w:tc>
          <w:tcPr>
            <w:tcW w:w="1361" w:type="dxa"/>
            <w:tcBorders>
              <w:top w:val="single" w:sz="4" w:space="0" w:color="auto"/>
              <w:bottom w:val="single" w:sz="4" w:space="0" w:color="auto"/>
            </w:tcBorders>
            <w:vAlign w:val="center"/>
          </w:tcPr>
          <w:p w:rsidR="00742A6B" w:rsidRPr="00E7637B" w:rsidRDefault="00742A6B" w:rsidP="006247DF">
            <w:pPr>
              <w:spacing w:line="200" w:lineRule="exact"/>
              <w:jc w:val="right"/>
            </w:pPr>
            <w:r>
              <w:t>80 294</w:t>
            </w:r>
          </w:p>
        </w:tc>
      </w:tr>
    </w:tbl>
    <w:p w:rsidR="0095112B" w:rsidRDefault="006247DF" w:rsidP="0044728D">
      <w:pPr>
        <w:spacing w:before="120"/>
      </w:pPr>
      <w:r w:rsidRPr="00E7637B">
        <w:t xml:space="preserve">Posten </w:t>
      </w:r>
      <w:r>
        <w:t>O</w:t>
      </w:r>
      <w:r w:rsidRPr="00E7637B">
        <w:t>giltiga sedla</w:t>
      </w:r>
      <w:r>
        <w:t>r</w:t>
      </w:r>
      <w:r w:rsidRPr="00E7637B">
        <w:t xml:space="preserve"> innehåller utelöpande sedlar som upphörde att vara lagliga betalningsmedel vid utgången av 2005</w:t>
      </w:r>
      <w:r w:rsidR="00742A6B">
        <w:t xml:space="preserve"> och 2013</w:t>
      </w:r>
      <w:r w:rsidRPr="00E7637B">
        <w:t xml:space="preserve">. Sedlar som varit ogiltiga i över </w:t>
      </w:r>
      <w:r>
        <w:t>tio</w:t>
      </w:r>
      <w:r w:rsidRPr="00E7637B">
        <w:t xml:space="preserve"> år skrivs av från den utelöpande sedelskulden och förs till resultatet reducerat med ett mind</w:t>
      </w:r>
      <w:r>
        <w:t>re belopp som förs till posten A</w:t>
      </w:r>
      <w:r w:rsidRPr="00E7637B">
        <w:t>vsättningar. Riksbanken får lösa in ogiltiga sedlar om det finns särskilda skäl.</w:t>
      </w:r>
      <w:r w:rsidRPr="00E0602F">
        <w:t xml:space="preserve"> </w:t>
      </w:r>
    </w:p>
    <w:p w:rsidR="006247DF" w:rsidRPr="00E7637B" w:rsidRDefault="006247DF" w:rsidP="0044728D">
      <w:pPr>
        <w:pageBreakBefore/>
        <w:spacing w:before="0"/>
        <w:outlineLvl w:val="0"/>
        <w:rPr>
          <w:b/>
        </w:rPr>
      </w:pPr>
      <w:r w:rsidRPr="00E7637B">
        <w:rPr>
          <w:b/>
        </w:rPr>
        <w:t>Not 1</w:t>
      </w:r>
      <w:r>
        <w:rPr>
          <w:b/>
        </w:rPr>
        <w:t>3</w:t>
      </w:r>
      <w:r w:rsidRPr="00E7637B">
        <w:rPr>
          <w:b/>
        </w:rPr>
        <w:t xml:space="preserve"> Mynt</w:t>
      </w:r>
    </w:p>
    <w:p w:rsidR="006247DF" w:rsidRPr="00E7637B" w:rsidRDefault="006247DF" w:rsidP="006247DF">
      <w:pPr>
        <w:spacing w:after="120"/>
      </w:pPr>
      <w:r w:rsidRPr="00E7637B">
        <w:t>De utelöpande mynten fördelar sig på följande valörer: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DA1241">
            <w:pPr>
              <w:spacing w:line="200" w:lineRule="exact"/>
              <w:jc w:val="right"/>
            </w:pPr>
            <w:r>
              <w:t>201</w:t>
            </w:r>
            <w:r w:rsidR="00DA1241">
              <w:t>4</w:t>
            </w:r>
            <w:r>
              <w:t>-12-31</w:t>
            </w:r>
          </w:p>
        </w:tc>
        <w:tc>
          <w:tcPr>
            <w:tcW w:w="1361" w:type="dxa"/>
            <w:tcBorders>
              <w:top w:val="single" w:sz="4" w:space="0" w:color="auto"/>
            </w:tcBorders>
            <w:vAlign w:val="center"/>
          </w:tcPr>
          <w:p w:rsidR="006247DF" w:rsidRPr="00E7637B" w:rsidRDefault="006247DF" w:rsidP="00DA1241">
            <w:pPr>
              <w:spacing w:line="200" w:lineRule="exact"/>
              <w:jc w:val="right"/>
            </w:pPr>
            <w:r>
              <w:t>201</w:t>
            </w:r>
            <w:r w:rsidR="00DA1241">
              <w:t>3</w:t>
            </w:r>
            <w:r>
              <w:t>-12-31</w:t>
            </w:r>
          </w:p>
        </w:tc>
      </w:tr>
      <w:tr w:rsidR="00DA1241" w:rsidRPr="00E7637B" w:rsidTr="006247DF">
        <w:trPr>
          <w:cantSplit/>
          <w:trHeight w:val="20"/>
        </w:trPr>
        <w:tc>
          <w:tcPr>
            <w:tcW w:w="3260" w:type="dxa"/>
            <w:tcBorders>
              <w:top w:val="single" w:sz="4" w:space="0" w:color="auto"/>
            </w:tcBorders>
          </w:tcPr>
          <w:p w:rsidR="00DA1241" w:rsidRPr="00E7637B" w:rsidRDefault="00DA1241" w:rsidP="006247DF">
            <w:pPr>
              <w:spacing w:line="200" w:lineRule="exact"/>
            </w:pPr>
            <w:r w:rsidRPr="00E7637B">
              <w:t>10 kronor</w:t>
            </w:r>
          </w:p>
        </w:tc>
        <w:tc>
          <w:tcPr>
            <w:tcW w:w="1361" w:type="dxa"/>
            <w:tcBorders>
              <w:top w:val="single" w:sz="4" w:space="0" w:color="auto"/>
            </w:tcBorders>
          </w:tcPr>
          <w:p w:rsidR="00DA1241" w:rsidRPr="00E7637B" w:rsidRDefault="00DA1241" w:rsidP="00DA1241">
            <w:pPr>
              <w:spacing w:line="200" w:lineRule="exact"/>
              <w:jc w:val="right"/>
            </w:pPr>
            <w:r>
              <w:t>2 513</w:t>
            </w:r>
          </w:p>
        </w:tc>
        <w:tc>
          <w:tcPr>
            <w:tcW w:w="1361" w:type="dxa"/>
            <w:tcBorders>
              <w:top w:val="single" w:sz="4" w:space="0" w:color="auto"/>
            </w:tcBorders>
          </w:tcPr>
          <w:p w:rsidR="00DA1241" w:rsidRPr="00E7637B" w:rsidRDefault="00DA1241" w:rsidP="006247DF">
            <w:pPr>
              <w:spacing w:line="200" w:lineRule="exact"/>
              <w:jc w:val="right"/>
            </w:pPr>
            <w:r>
              <w:t>2 570</w:t>
            </w:r>
          </w:p>
        </w:tc>
      </w:tr>
      <w:tr w:rsidR="00DA1241" w:rsidRPr="00E7637B" w:rsidTr="006247DF">
        <w:trPr>
          <w:cantSplit/>
          <w:trHeight w:val="20"/>
        </w:trPr>
        <w:tc>
          <w:tcPr>
            <w:tcW w:w="3260" w:type="dxa"/>
          </w:tcPr>
          <w:p w:rsidR="00DA1241" w:rsidRPr="00E7637B" w:rsidRDefault="00DA1241" w:rsidP="006247DF">
            <w:pPr>
              <w:spacing w:line="200" w:lineRule="exact"/>
            </w:pPr>
            <w:r w:rsidRPr="00E7637B">
              <w:t>5 kronor</w:t>
            </w:r>
          </w:p>
        </w:tc>
        <w:tc>
          <w:tcPr>
            <w:tcW w:w="1361" w:type="dxa"/>
          </w:tcPr>
          <w:p w:rsidR="00DA1241" w:rsidRPr="00E7637B" w:rsidRDefault="00DA1241" w:rsidP="00DA1241">
            <w:pPr>
              <w:spacing w:line="200" w:lineRule="exact"/>
              <w:jc w:val="right"/>
            </w:pPr>
            <w:r>
              <w:t>1 337</w:t>
            </w:r>
          </w:p>
        </w:tc>
        <w:tc>
          <w:tcPr>
            <w:tcW w:w="1361" w:type="dxa"/>
          </w:tcPr>
          <w:p w:rsidR="00DA1241" w:rsidRPr="00E7637B" w:rsidRDefault="00DA1241" w:rsidP="006247DF">
            <w:pPr>
              <w:spacing w:line="200" w:lineRule="exact"/>
              <w:jc w:val="right"/>
            </w:pPr>
            <w:r>
              <w:t>1 336</w:t>
            </w:r>
          </w:p>
        </w:tc>
      </w:tr>
      <w:tr w:rsidR="00DA1241" w:rsidRPr="00E7637B" w:rsidTr="006247DF">
        <w:trPr>
          <w:cantSplit/>
          <w:trHeight w:val="20"/>
        </w:trPr>
        <w:tc>
          <w:tcPr>
            <w:tcW w:w="3260" w:type="dxa"/>
          </w:tcPr>
          <w:p w:rsidR="00DA1241" w:rsidRPr="00E7637B" w:rsidRDefault="00DA1241" w:rsidP="006247DF">
            <w:pPr>
              <w:spacing w:line="200" w:lineRule="exact"/>
            </w:pPr>
            <w:r w:rsidRPr="00E7637B">
              <w:t>2 kronor</w:t>
            </w:r>
          </w:p>
        </w:tc>
        <w:tc>
          <w:tcPr>
            <w:tcW w:w="1361" w:type="dxa"/>
          </w:tcPr>
          <w:p w:rsidR="00DA1241" w:rsidRPr="00E7637B" w:rsidRDefault="00DA1241" w:rsidP="006247DF">
            <w:pPr>
              <w:spacing w:line="200" w:lineRule="exact"/>
              <w:jc w:val="right"/>
            </w:pPr>
            <w:r>
              <w:t>8</w:t>
            </w:r>
          </w:p>
        </w:tc>
        <w:tc>
          <w:tcPr>
            <w:tcW w:w="1361" w:type="dxa"/>
          </w:tcPr>
          <w:p w:rsidR="00DA1241" w:rsidRPr="00E7637B" w:rsidRDefault="00DA1241" w:rsidP="006247DF">
            <w:pPr>
              <w:spacing w:line="200" w:lineRule="exact"/>
              <w:jc w:val="right"/>
            </w:pPr>
            <w:r>
              <w:t>8</w:t>
            </w:r>
          </w:p>
        </w:tc>
      </w:tr>
      <w:tr w:rsidR="00DA1241" w:rsidRPr="00E7637B" w:rsidTr="006247DF">
        <w:trPr>
          <w:cantSplit/>
          <w:trHeight w:val="20"/>
        </w:trPr>
        <w:tc>
          <w:tcPr>
            <w:tcW w:w="3260" w:type="dxa"/>
          </w:tcPr>
          <w:p w:rsidR="00DA1241" w:rsidRPr="00E7637B" w:rsidRDefault="00DA1241" w:rsidP="006247DF">
            <w:pPr>
              <w:spacing w:line="200" w:lineRule="exact"/>
            </w:pPr>
            <w:r w:rsidRPr="00E7637B">
              <w:t>1 krona</w:t>
            </w:r>
          </w:p>
        </w:tc>
        <w:tc>
          <w:tcPr>
            <w:tcW w:w="1361" w:type="dxa"/>
          </w:tcPr>
          <w:p w:rsidR="00DA1241" w:rsidRPr="00E7637B" w:rsidRDefault="00DA1241" w:rsidP="00DA1241">
            <w:pPr>
              <w:spacing w:line="200" w:lineRule="exact"/>
              <w:jc w:val="right"/>
            </w:pPr>
            <w:r>
              <w:t>1 404</w:t>
            </w:r>
          </w:p>
        </w:tc>
        <w:tc>
          <w:tcPr>
            <w:tcW w:w="1361" w:type="dxa"/>
          </w:tcPr>
          <w:p w:rsidR="00DA1241" w:rsidRPr="00E7637B" w:rsidRDefault="00DA1241" w:rsidP="006247DF">
            <w:pPr>
              <w:spacing w:line="200" w:lineRule="exact"/>
              <w:jc w:val="right"/>
            </w:pPr>
            <w:r>
              <w:t>1 393</w:t>
            </w:r>
          </w:p>
        </w:tc>
      </w:tr>
      <w:tr w:rsidR="00DA1241" w:rsidRPr="00E7637B" w:rsidTr="006247DF">
        <w:trPr>
          <w:cantSplit/>
          <w:trHeight w:val="20"/>
        </w:trPr>
        <w:tc>
          <w:tcPr>
            <w:tcW w:w="3260" w:type="dxa"/>
            <w:tcBorders>
              <w:bottom w:val="single" w:sz="4" w:space="0" w:color="auto"/>
            </w:tcBorders>
          </w:tcPr>
          <w:p w:rsidR="00DA1241" w:rsidRPr="00E7637B" w:rsidRDefault="00DA1241" w:rsidP="006247DF">
            <w:pPr>
              <w:spacing w:line="200" w:lineRule="exact"/>
            </w:pPr>
            <w:r w:rsidRPr="00E7637B">
              <w:t>Minnesmynt</w:t>
            </w:r>
          </w:p>
        </w:tc>
        <w:tc>
          <w:tcPr>
            <w:tcW w:w="1361" w:type="dxa"/>
          </w:tcPr>
          <w:p w:rsidR="00DA1241" w:rsidRPr="00E7637B" w:rsidRDefault="00DA1241" w:rsidP="00DA1241">
            <w:pPr>
              <w:spacing w:line="200" w:lineRule="exact"/>
              <w:jc w:val="right"/>
            </w:pPr>
            <w:r>
              <w:t>75</w:t>
            </w:r>
          </w:p>
        </w:tc>
        <w:tc>
          <w:tcPr>
            <w:tcW w:w="1361" w:type="dxa"/>
          </w:tcPr>
          <w:p w:rsidR="00DA1241" w:rsidRPr="00E7637B" w:rsidRDefault="00DA1241" w:rsidP="006247DF">
            <w:pPr>
              <w:spacing w:line="200" w:lineRule="exact"/>
              <w:jc w:val="right"/>
            </w:pPr>
            <w:r>
              <w:t>99</w:t>
            </w:r>
          </w:p>
        </w:tc>
      </w:tr>
      <w:tr w:rsidR="00DA1241" w:rsidRPr="00E7637B" w:rsidTr="006247DF">
        <w:trPr>
          <w:cantSplit/>
          <w:trHeight w:val="20"/>
        </w:trPr>
        <w:tc>
          <w:tcPr>
            <w:tcW w:w="3260" w:type="dxa"/>
            <w:tcBorders>
              <w:top w:val="single" w:sz="4" w:space="0" w:color="auto"/>
              <w:bottom w:val="single" w:sz="4" w:space="0" w:color="auto"/>
            </w:tcBorders>
            <w:vAlign w:val="center"/>
          </w:tcPr>
          <w:p w:rsidR="00DA1241" w:rsidRPr="00E7637B" w:rsidRDefault="00DA1241" w:rsidP="006247DF">
            <w:pPr>
              <w:spacing w:line="200" w:lineRule="exact"/>
            </w:pPr>
            <w:r w:rsidRPr="00E7637B">
              <w:t>Summa</w:t>
            </w:r>
          </w:p>
        </w:tc>
        <w:tc>
          <w:tcPr>
            <w:tcW w:w="1361" w:type="dxa"/>
            <w:tcBorders>
              <w:top w:val="single" w:sz="4" w:space="0" w:color="auto"/>
              <w:bottom w:val="single" w:sz="4" w:space="0" w:color="auto"/>
            </w:tcBorders>
            <w:vAlign w:val="center"/>
          </w:tcPr>
          <w:p w:rsidR="00DA1241" w:rsidRPr="00E7637B" w:rsidRDefault="00DA1241" w:rsidP="00D24DF8">
            <w:pPr>
              <w:spacing w:line="200" w:lineRule="exact"/>
              <w:jc w:val="right"/>
            </w:pPr>
            <w:r>
              <w:t xml:space="preserve">5 </w:t>
            </w:r>
            <w:r w:rsidR="00D24DF8">
              <w:t>337</w:t>
            </w:r>
          </w:p>
        </w:tc>
        <w:tc>
          <w:tcPr>
            <w:tcW w:w="1361" w:type="dxa"/>
            <w:tcBorders>
              <w:top w:val="single" w:sz="4" w:space="0" w:color="auto"/>
              <w:bottom w:val="single" w:sz="4" w:space="0" w:color="auto"/>
            </w:tcBorders>
            <w:vAlign w:val="center"/>
          </w:tcPr>
          <w:p w:rsidR="00DA1241" w:rsidRPr="00E7637B" w:rsidRDefault="00DA1241" w:rsidP="006247DF">
            <w:pPr>
              <w:spacing w:line="200" w:lineRule="exact"/>
              <w:jc w:val="right"/>
            </w:pPr>
            <w:r>
              <w:t>5 406</w:t>
            </w:r>
          </w:p>
        </w:tc>
      </w:tr>
    </w:tbl>
    <w:p w:rsidR="006247DF" w:rsidRPr="009F379A" w:rsidRDefault="006247DF" w:rsidP="006247DF">
      <w:pPr>
        <w:spacing w:before="120"/>
        <w:outlineLvl w:val="0"/>
      </w:pPr>
      <w:r>
        <w:t>Under 201</w:t>
      </w:r>
      <w:r w:rsidR="00D24DF8">
        <w:t>4</w:t>
      </w:r>
      <w:r>
        <w:t xml:space="preserve"> skrevs posten Minnesmynt ned med </w:t>
      </w:r>
      <w:r w:rsidR="00D24DF8">
        <w:t>22</w:t>
      </w:r>
      <w:r>
        <w:t xml:space="preserve"> miljoner kronor (</w:t>
      </w:r>
      <w:r w:rsidR="00D24DF8">
        <w:t>17</w:t>
      </w:r>
      <w:r>
        <w:t xml:space="preserve">) avseende utgåvor av minnesmynt </w:t>
      </w:r>
      <w:r w:rsidR="00057A2D">
        <w:t xml:space="preserve">som är </w:t>
      </w:r>
      <w:r>
        <w:t>äldre än tio år.</w:t>
      </w:r>
    </w:p>
    <w:p w:rsidR="006247DF" w:rsidRPr="00135DE3" w:rsidRDefault="006247DF" w:rsidP="006247DF">
      <w:pPr>
        <w:spacing w:before="187"/>
        <w:outlineLvl w:val="0"/>
        <w:rPr>
          <w:b/>
        </w:rPr>
      </w:pPr>
      <w:r w:rsidRPr="000C4345">
        <w:rPr>
          <w:b/>
        </w:rPr>
        <w:t>Not 1</w:t>
      </w:r>
      <w:r>
        <w:rPr>
          <w:b/>
        </w:rPr>
        <w:t>4</w:t>
      </w:r>
      <w:r w:rsidRPr="00135DE3">
        <w:rPr>
          <w:b/>
        </w:rPr>
        <w:t xml:space="preserve"> Inlåningsfacilitet</w:t>
      </w:r>
    </w:p>
    <w:p w:rsidR="006247DF" w:rsidRPr="008B28A9" w:rsidRDefault="006247DF" w:rsidP="006247DF">
      <w:r w:rsidRPr="008B28A9">
        <w:t>Under denna post redovisas inlåning över natten från bankerna på deras RIX- konton i Riksbanken.</w:t>
      </w:r>
    </w:p>
    <w:p w:rsidR="006247DF" w:rsidRPr="00E7637B" w:rsidRDefault="006247DF" w:rsidP="006247DF">
      <w:pPr>
        <w:spacing w:before="187"/>
        <w:outlineLvl w:val="0"/>
        <w:rPr>
          <w:b/>
        </w:rPr>
      </w:pPr>
      <w:r w:rsidRPr="00262BC2">
        <w:rPr>
          <w:b/>
        </w:rPr>
        <w:t>Not 1</w:t>
      </w:r>
      <w:r>
        <w:rPr>
          <w:b/>
        </w:rPr>
        <w:t>5</w:t>
      </w:r>
      <w:r w:rsidRPr="00E7637B">
        <w:rPr>
          <w:b/>
        </w:rPr>
        <w:t xml:space="preserve"> Finjusterande transaktioner</w:t>
      </w:r>
    </w:p>
    <w:p w:rsidR="006247DF" w:rsidRPr="00E7637B" w:rsidRDefault="006247DF" w:rsidP="006247DF">
      <w:r w:rsidRPr="00E7637B">
        <w:t xml:space="preserve">Under denna post redovisas inlåning vars syfte är att finjustera likviditeten i </w:t>
      </w:r>
      <w:r>
        <w:t>bank</w:t>
      </w:r>
      <w:r w:rsidRPr="00E7637B">
        <w:t xml:space="preserve">systemet. </w:t>
      </w:r>
    </w:p>
    <w:p w:rsidR="006247DF" w:rsidRPr="00E7637B" w:rsidRDefault="006247DF" w:rsidP="006247DF">
      <w:pPr>
        <w:spacing w:before="187"/>
        <w:outlineLvl w:val="0"/>
        <w:rPr>
          <w:b/>
        </w:rPr>
      </w:pPr>
      <w:r w:rsidRPr="00E7637B">
        <w:rPr>
          <w:b/>
        </w:rPr>
        <w:t>Not 1</w:t>
      </w:r>
      <w:r>
        <w:rPr>
          <w:b/>
        </w:rPr>
        <w:t>6</w:t>
      </w:r>
      <w:r w:rsidRPr="00E7637B">
        <w:rPr>
          <w:b/>
        </w:rPr>
        <w:t xml:space="preserve"> Emitterade skuldcertifikat</w:t>
      </w:r>
    </w:p>
    <w:p w:rsidR="006247DF" w:rsidRPr="00C631B0" w:rsidRDefault="006247DF" w:rsidP="006247DF">
      <w:r w:rsidRPr="00E7637B">
        <w:t xml:space="preserve">Under denna post redovisas Riksbankens emission av skuldcertifikat vars syfte är att dra in likviditet från det finansiella systemet. Denna inlåning </w:t>
      </w:r>
      <w:r w:rsidR="00057A2D">
        <w:t>görs</w:t>
      </w:r>
      <w:r w:rsidRPr="00E7637B">
        <w:t xml:space="preserve"> till Riksbankens viktigaste styrränta, det vill säga reporäntan, med en löptid på </w:t>
      </w:r>
      <w:r>
        <w:t xml:space="preserve">i regel </w:t>
      </w:r>
      <w:r w:rsidRPr="00C631B0">
        <w:t>en vecka.</w:t>
      </w:r>
    </w:p>
    <w:p w:rsidR="006247DF" w:rsidRPr="008B28A9" w:rsidRDefault="006247DF" w:rsidP="006247DF">
      <w:pPr>
        <w:spacing w:before="187"/>
        <w:outlineLvl w:val="0"/>
        <w:rPr>
          <w:b/>
        </w:rPr>
      </w:pPr>
      <w:r w:rsidRPr="00C15395">
        <w:rPr>
          <w:b/>
        </w:rPr>
        <w:t xml:space="preserve">Not </w:t>
      </w:r>
      <w:r w:rsidRPr="000C4345">
        <w:rPr>
          <w:b/>
        </w:rPr>
        <w:t>1</w:t>
      </w:r>
      <w:r>
        <w:rPr>
          <w:b/>
        </w:rPr>
        <w:t>7</w:t>
      </w:r>
      <w:r w:rsidRPr="00135DE3">
        <w:rPr>
          <w:b/>
        </w:rPr>
        <w:t xml:space="preserve"> Skulder i svenska kronor till hemmahö</w:t>
      </w:r>
      <w:r w:rsidRPr="008B28A9">
        <w:rPr>
          <w:b/>
        </w:rPr>
        <w:t>rande utanför Sverige</w:t>
      </w:r>
    </w:p>
    <w:p w:rsidR="006247DF" w:rsidRPr="00262BC2" w:rsidRDefault="006247DF" w:rsidP="006247DF">
      <w:r w:rsidRPr="00262BC2">
        <w:t xml:space="preserve">Under denna post redovisas konton i svenska kronor som Riksbanken håller för andra centralbankers och internationella organisationers räkning. </w:t>
      </w:r>
    </w:p>
    <w:p w:rsidR="006247DF" w:rsidRPr="00E7637B" w:rsidRDefault="006247DF" w:rsidP="0095112B">
      <w:pPr>
        <w:spacing w:before="187"/>
        <w:rPr>
          <w:b/>
        </w:rPr>
      </w:pPr>
      <w:r w:rsidRPr="00E7637B">
        <w:rPr>
          <w:b/>
        </w:rPr>
        <w:t xml:space="preserve">Not </w:t>
      </w:r>
      <w:r>
        <w:rPr>
          <w:b/>
        </w:rPr>
        <w:t>18</w:t>
      </w:r>
      <w:r w:rsidRPr="00E7637B">
        <w:rPr>
          <w:b/>
        </w:rPr>
        <w:t xml:space="preserve"> Skulder i utländsk valuta till hemmahörande i Sverige</w:t>
      </w:r>
    </w:p>
    <w:p w:rsidR="006247DF" w:rsidRPr="00C631B0" w:rsidRDefault="006247DF" w:rsidP="006247DF">
      <w:pPr>
        <w:spacing w:after="120"/>
      </w:pPr>
      <w:r w:rsidRPr="00E7637B">
        <w:t xml:space="preserve">Under denna post redovisas från och med juni 2009 </w:t>
      </w:r>
      <w:r>
        <w:t>in</w:t>
      </w:r>
      <w:r w:rsidRPr="00C15395">
        <w:t xml:space="preserve">låning av utländsk valuta från Riksgälden. </w:t>
      </w:r>
      <w:r>
        <w:t>In</w:t>
      </w:r>
      <w:r w:rsidRPr="00C15395">
        <w:t>låningen har gjorts i syfte att förstärka valuta</w:t>
      </w:r>
      <w:r w:rsidR="00CA0B1F">
        <w:softHyphen/>
      </w:r>
      <w:r w:rsidRPr="00C15395">
        <w:t>r</w:t>
      </w:r>
      <w:r w:rsidRPr="000C4345">
        <w:t>e</w:t>
      </w:r>
      <w:r w:rsidRPr="00276C89">
        <w:t>se</w:t>
      </w:r>
      <w:r w:rsidRPr="00E7637B">
        <w:t>r</w:t>
      </w:r>
      <w:r w:rsidRPr="00C631B0">
        <w:t>ven.</w:t>
      </w:r>
      <w:r>
        <w:t xml:space="preserve"> Inlåningens valutafördelning framgår av tabellen nedan.</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7B2A13" w:rsidTr="006247DF">
        <w:trPr>
          <w:cantSplit/>
          <w:trHeight w:val="20"/>
        </w:trPr>
        <w:tc>
          <w:tcPr>
            <w:tcW w:w="3260" w:type="dxa"/>
            <w:tcBorders>
              <w:top w:val="single" w:sz="4" w:space="0" w:color="auto"/>
              <w:bottom w:val="single" w:sz="4" w:space="0" w:color="auto"/>
            </w:tcBorders>
          </w:tcPr>
          <w:p w:rsidR="006247DF" w:rsidRPr="007B2A13" w:rsidRDefault="006247DF" w:rsidP="006247DF">
            <w:pPr>
              <w:spacing w:line="200" w:lineRule="exact"/>
            </w:pPr>
          </w:p>
        </w:tc>
        <w:tc>
          <w:tcPr>
            <w:tcW w:w="1361" w:type="dxa"/>
            <w:tcBorders>
              <w:top w:val="single" w:sz="4" w:space="0" w:color="auto"/>
              <w:bottom w:val="single" w:sz="4" w:space="0" w:color="auto"/>
            </w:tcBorders>
            <w:vAlign w:val="center"/>
          </w:tcPr>
          <w:p w:rsidR="006247DF" w:rsidRPr="007B2A13"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7B2A13" w:rsidRDefault="006247DF" w:rsidP="00D24DF8">
            <w:pPr>
              <w:spacing w:line="200" w:lineRule="exact"/>
              <w:jc w:val="right"/>
            </w:pPr>
            <w:r>
              <w:t>201</w:t>
            </w:r>
            <w:r w:rsidR="00D24DF8">
              <w:t>3</w:t>
            </w:r>
            <w:r>
              <w:t>-12-31</w:t>
            </w:r>
          </w:p>
        </w:tc>
      </w:tr>
      <w:tr w:rsidR="00D24DF8" w:rsidRPr="007B2A13" w:rsidTr="006247DF">
        <w:trPr>
          <w:cantSplit/>
          <w:trHeight w:val="20"/>
        </w:trPr>
        <w:tc>
          <w:tcPr>
            <w:tcW w:w="3260" w:type="dxa"/>
          </w:tcPr>
          <w:p w:rsidR="00D24DF8" w:rsidRPr="007B2A13" w:rsidRDefault="00D24DF8" w:rsidP="006247DF">
            <w:pPr>
              <w:spacing w:line="200" w:lineRule="exact"/>
            </w:pPr>
            <w:r>
              <w:t>Euro</w:t>
            </w:r>
          </w:p>
        </w:tc>
        <w:tc>
          <w:tcPr>
            <w:tcW w:w="1361" w:type="dxa"/>
          </w:tcPr>
          <w:p w:rsidR="00D24DF8" w:rsidRPr="007B2A13" w:rsidRDefault="00D24DF8" w:rsidP="00D24DF8">
            <w:pPr>
              <w:spacing w:line="200" w:lineRule="exact"/>
              <w:jc w:val="right"/>
            </w:pPr>
            <w:r>
              <w:t>51 938</w:t>
            </w:r>
          </w:p>
        </w:tc>
        <w:tc>
          <w:tcPr>
            <w:tcW w:w="1361" w:type="dxa"/>
          </w:tcPr>
          <w:p w:rsidR="00D24DF8" w:rsidRPr="007B2A13" w:rsidRDefault="00D24DF8" w:rsidP="006247DF">
            <w:pPr>
              <w:spacing w:line="200" w:lineRule="exact"/>
              <w:jc w:val="right"/>
            </w:pPr>
            <w:r>
              <w:t>48 503</w:t>
            </w:r>
          </w:p>
        </w:tc>
      </w:tr>
      <w:tr w:rsidR="00D24DF8" w:rsidRPr="007B2A13" w:rsidTr="006247DF">
        <w:trPr>
          <w:cantSplit/>
          <w:trHeight w:val="20"/>
        </w:trPr>
        <w:tc>
          <w:tcPr>
            <w:tcW w:w="3260" w:type="dxa"/>
          </w:tcPr>
          <w:p w:rsidR="00D24DF8" w:rsidRPr="007B2A13" w:rsidRDefault="00D24DF8" w:rsidP="006247DF">
            <w:pPr>
              <w:spacing w:line="200" w:lineRule="exact"/>
            </w:pPr>
            <w:r>
              <w:t>Amerikanska dollar</w:t>
            </w:r>
          </w:p>
        </w:tc>
        <w:tc>
          <w:tcPr>
            <w:tcW w:w="1361" w:type="dxa"/>
          </w:tcPr>
          <w:p w:rsidR="00D24DF8" w:rsidRPr="007B2A13" w:rsidRDefault="00D24DF8" w:rsidP="00D24DF8">
            <w:pPr>
              <w:spacing w:line="200" w:lineRule="exact"/>
              <w:jc w:val="right"/>
            </w:pPr>
            <w:r>
              <w:t>176 393</w:t>
            </w:r>
          </w:p>
        </w:tc>
        <w:tc>
          <w:tcPr>
            <w:tcW w:w="1361" w:type="dxa"/>
          </w:tcPr>
          <w:p w:rsidR="00D24DF8" w:rsidRPr="007B2A13" w:rsidRDefault="00D24DF8" w:rsidP="006247DF">
            <w:pPr>
              <w:spacing w:line="200" w:lineRule="exact"/>
              <w:jc w:val="right"/>
            </w:pPr>
            <w:r>
              <w:t>144 614</w:t>
            </w:r>
          </w:p>
        </w:tc>
      </w:tr>
      <w:tr w:rsidR="00D24DF8" w:rsidRPr="007B2A13" w:rsidTr="006247DF">
        <w:trPr>
          <w:cantSplit/>
          <w:trHeight w:val="20"/>
        </w:trPr>
        <w:tc>
          <w:tcPr>
            <w:tcW w:w="3260" w:type="dxa"/>
            <w:tcBorders>
              <w:top w:val="single" w:sz="4" w:space="0" w:color="auto"/>
              <w:bottom w:val="single" w:sz="4" w:space="0" w:color="auto"/>
            </w:tcBorders>
            <w:vAlign w:val="center"/>
          </w:tcPr>
          <w:p w:rsidR="00D24DF8" w:rsidRPr="007B2A13" w:rsidRDefault="00D24DF8" w:rsidP="006247DF">
            <w:pPr>
              <w:spacing w:line="200" w:lineRule="exact"/>
            </w:pPr>
            <w:r w:rsidRPr="007B2A13">
              <w:t>Summa</w:t>
            </w:r>
          </w:p>
        </w:tc>
        <w:tc>
          <w:tcPr>
            <w:tcW w:w="1361" w:type="dxa"/>
            <w:tcBorders>
              <w:top w:val="single" w:sz="4" w:space="0" w:color="auto"/>
              <w:bottom w:val="single" w:sz="4" w:space="0" w:color="auto"/>
            </w:tcBorders>
            <w:vAlign w:val="center"/>
          </w:tcPr>
          <w:p w:rsidR="00D24DF8" w:rsidRPr="007B2A13" w:rsidRDefault="00D24DF8" w:rsidP="00D24DF8">
            <w:pPr>
              <w:spacing w:line="200" w:lineRule="exact"/>
              <w:jc w:val="right"/>
            </w:pPr>
            <w:r>
              <w:t>228 331</w:t>
            </w:r>
          </w:p>
        </w:tc>
        <w:tc>
          <w:tcPr>
            <w:tcW w:w="1361" w:type="dxa"/>
            <w:tcBorders>
              <w:top w:val="single" w:sz="4" w:space="0" w:color="auto"/>
              <w:bottom w:val="single" w:sz="4" w:space="0" w:color="auto"/>
            </w:tcBorders>
            <w:vAlign w:val="center"/>
          </w:tcPr>
          <w:p w:rsidR="00D24DF8" w:rsidRPr="007B2A13" w:rsidRDefault="00D24DF8" w:rsidP="006247DF">
            <w:pPr>
              <w:spacing w:line="200" w:lineRule="exact"/>
              <w:jc w:val="right"/>
            </w:pPr>
            <w:r>
              <w:t>193 117</w:t>
            </w:r>
          </w:p>
        </w:tc>
      </w:tr>
    </w:tbl>
    <w:p w:rsidR="006247DF" w:rsidRDefault="006247DF" w:rsidP="006247DF">
      <w:pPr>
        <w:spacing w:before="240"/>
        <w:outlineLvl w:val="0"/>
        <w:rPr>
          <w:b/>
        </w:rPr>
      </w:pPr>
    </w:p>
    <w:p w:rsidR="006247DF" w:rsidRDefault="006247DF" w:rsidP="006247DF">
      <w:pPr>
        <w:pStyle w:val="Normaltindrag"/>
      </w:pPr>
    </w:p>
    <w:p w:rsidR="0095112B" w:rsidRDefault="0095112B" w:rsidP="006247DF">
      <w:pPr>
        <w:pStyle w:val="Normaltindrag"/>
      </w:pPr>
    </w:p>
    <w:p w:rsidR="006247DF" w:rsidRPr="000C4345" w:rsidRDefault="006247DF" w:rsidP="0095112B">
      <w:pPr>
        <w:spacing w:before="187"/>
        <w:outlineLvl w:val="0"/>
        <w:rPr>
          <w:b/>
        </w:rPr>
      </w:pPr>
      <w:r w:rsidRPr="00C631B0">
        <w:rPr>
          <w:b/>
        </w:rPr>
        <w:t xml:space="preserve">Not </w:t>
      </w:r>
      <w:r>
        <w:rPr>
          <w:b/>
        </w:rPr>
        <w:t>19</w:t>
      </w:r>
      <w:r w:rsidRPr="000C4345">
        <w:rPr>
          <w:b/>
        </w:rPr>
        <w:t xml:space="preserve"> Skulder i utländsk</w:t>
      </w:r>
      <w:r>
        <w:rPr>
          <w:b/>
        </w:rPr>
        <w:t xml:space="preserve"> </w:t>
      </w:r>
      <w:r w:rsidRPr="000C4345">
        <w:rPr>
          <w:b/>
        </w:rPr>
        <w:t>valuta till hemmahörande utanför Sverige</w:t>
      </w:r>
    </w:p>
    <w:p w:rsidR="006247DF" w:rsidRPr="00E7637B" w:rsidRDefault="006247DF" w:rsidP="006247DF">
      <w:r w:rsidRPr="00276C89">
        <w:t>Belopp motsvarande erhållen köpeskilling i utländsk valuta för inlåningsrepor redov</w:t>
      </w:r>
      <w:r w:rsidRPr="00135DE3">
        <w:t>i</w:t>
      </w:r>
      <w:r w:rsidRPr="008B28A9">
        <w:t>sas under denna post.</w:t>
      </w:r>
    </w:p>
    <w:p w:rsidR="006247DF" w:rsidRPr="00E7637B" w:rsidRDefault="006247DF" w:rsidP="006247DF">
      <w:pPr>
        <w:spacing w:before="187"/>
        <w:outlineLvl w:val="0"/>
        <w:rPr>
          <w:b/>
        </w:rPr>
      </w:pPr>
      <w:r w:rsidRPr="00E7637B">
        <w:rPr>
          <w:b/>
        </w:rPr>
        <w:t>Not 2</w:t>
      </w:r>
      <w:r>
        <w:rPr>
          <w:b/>
        </w:rPr>
        <w:t>0</w:t>
      </w:r>
      <w:r w:rsidRPr="00E7637B">
        <w:rPr>
          <w:b/>
        </w:rPr>
        <w:t xml:space="preserve"> Motpost till särskilda dragningsrätter som tilldelats av IMF</w:t>
      </w:r>
    </w:p>
    <w:p w:rsidR="006247DF" w:rsidRPr="00E7637B" w:rsidRDefault="006247DF" w:rsidP="006247DF">
      <w:r w:rsidRPr="00E7637B">
        <w:t>Under denna post redovisas Riksbankens skuld motsvarande de särskilda dragningsrätter (SDR) som ursprungligen tilldelades av IMF. Den samma</w:t>
      </w:r>
      <w:r w:rsidRPr="00E7637B">
        <w:t>n</w:t>
      </w:r>
      <w:r w:rsidRPr="00E7637B">
        <w:t>lagda</w:t>
      </w:r>
      <w:r w:rsidRPr="00E7637B" w:rsidDel="007A3D17">
        <w:t xml:space="preserve"> </w:t>
      </w:r>
      <w:r w:rsidRPr="00E7637B">
        <w:t>tilldelningen uppgår till</w:t>
      </w:r>
      <w:r>
        <w:t xml:space="preserve"> 2 249</w:t>
      </w:r>
      <w:r w:rsidRPr="00E7637B">
        <w:t xml:space="preserve"> miljoner SDR (2 249). Det aktuella inn</w:t>
      </w:r>
      <w:r w:rsidRPr="00E7637B">
        <w:t>e</w:t>
      </w:r>
      <w:r w:rsidRPr="00E7637B">
        <w:t xml:space="preserve">havet av SDR uppgår till </w:t>
      </w:r>
      <w:r>
        <w:t xml:space="preserve">2 </w:t>
      </w:r>
      <w:r w:rsidR="00D24DF8">
        <w:t>099</w:t>
      </w:r>
      <w:r>
        <w:t xml:space="preserve"> </w:t>
      </w:r>
      <w:r w:rsidRPr="00135DE3">
        <w:t>miljoner SDR (</w:t>
      </w:r>
      <w:r w:rsidRPr="008B28A9">
        <w:t xml:space="preserve">2 </w:t>
      </w:r>
      <w:r>
        <w:t>1</w:t>
      </w:r>
      <w:r w:rsidR="00D24DF8">
        <w:t>56</w:t>
      </w:r>
      <w:r>
        <w:t>) och redovisas under posten F</w:t>
      </w:r>
      <w:r w:rsidRPr="00262BC2">
        <w:t>or</w:t>
      </w:r>
      <w:r w:rsidRPr="00E7637B">
        <w:t>dringar på IMF</w:t>
      </w:r>
      <w:r>
        <w:t xml:space="preserve"> (s</w:t>
      </w:r>
      <w:r w:rsidRPr="00E7637B">
        <w:t>e not 2</w:t>
      </w:r>
      <w:r>
        <w:t>)</w:t>
      </w:r>
      <w:r w:rsidRPr="00E7637B">
        <w:t>.</w:t>
      </w:r>
    </w:p>
    <w:p w:rsidR="006247DF" w:rsidRPr="00E7637B" w:rsidRDefault="006247DF" w:rsidP="006247DF">
      <w:pPr>
        <w:spacing w:before="187"/>
        <w:outlineLvl w:val="0"/>
        <w:rPr>
          <w:b/>
        </w:rPr>
      </w:pPr>
      <w:r>
        <w:rPr>
          <w:b/>
        </w:rPr>
        <w:t xml:space="preserve">Not 21 </w:t>
      </w:r>
      <w:r w:rsidRPr="00E7637B">
        <w:rPr>
          <w:b/>
        </w:rPr>
        <w:t>Derivatinstrument</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3</w:t>
            </w:r>
            <w:r>
              <w:t>-12-31</w:t>
            </w:r>
          </w:p>
        </w:tc>
      </w:tr>
      <w:tr w:rsidR="00D24DF8" w:rsidRPr="00E7637B" w:rsidTr="006247DF">
        <w:trPr>
          <w:cantSplit/>
          <w:trHeight w:val="20"/>
        </w:trPr>
        <w:tc>
          <w:tcPr>
            <w:tcW w:w="3260" w:type="dxa"/>
          </w:tcPr>
          <w:p w:rsidR="00D24DF8" w:rsidRPr="00E7637B" w:rsidRDefault="00D24DF8" w:rsidP="006247DF">
            <w:pPr>
              <w:spacing w:line="200" w:lineRule="exact"/>
            </w:pPr>
            <w:r>
              <w:t>Valutaswappar, positivt värde</w:t>
            </w:r>
          </w:p>
        </w:tc>
        <w:tc>
          <w:tcPr>
            <w:tcW w:w="1361" w:type="dxa"/>
          </w:tcPr>
          <w:p w:rsidR="00D24DF8" w:rsidRPr="00276C89" w:rsidRDefault="00D24DF8" w:rsidP="00D24DF8">
            <w:pPr>
              <w:spacing w:line="200" w:lineRule="exact"/>
              <w:jc w:val="right"/>
            </w:pPr>
            <w:r>
              <w:t>–</w:t>
            </w:r>
          </w:p>
        </w:tc>
        <w:tc>
          <w:tcPr>
            <w:tcW w:w="1361" w:type="dxa"/>
          </w:tcPr>
          <w:p w:rsidR="00D24DF8" w:rsidRDefault="00D24DF8" w:rsidP="006247DF">
            <w:pPr>
              <w:spacing w:line="200" w:lineRule="exact"/>
              <w:jc w:val="right"/>
            </w:pPr>
            <w:r>
              <w:t>–116</w:t>
            </w:r>
          </w:p>
        </w:tc>
      </w:tr>
      <w:tr w:rsidR="00D24DF8" w:rsidRPr="00E7637B" w:rsidTr="006247DF">
        <w:trPr>
          <w:cantSplit/>
          <w:trHeight w:val="20"/>
        </w:trPr>
        <w:tc>
          <w:tcPr>
            <w:tcW w:w="3260" w:type="dxa"/>
          </w:tcPr>
          <w:p w:rsidR="00D24DF8" w:rsidRPr="00C15395" w:rsidRDefault="00D24DF8" w:rsidP="006247DF">
            <w:pPr>
              <w:spacing w:line="200" w:lineRule="exact"/>
            </w:pPr>
            <w:r w:rsidRPr="00E7637B">
              <w:t>Valuta</w:t>
            </w:r>
            <w:r>
              <w:t>swappar</w:t>
            </w:r>
            <w:r w:rsidRPr="00E7637B">
              <w:t xml:space="preserve">, </w:t>
            </w:r>
            <w:r>
              <w:t>negativt</w:t>
            </w:r>
            <w:r w:rsidRPr="00C15395">
              <w:t xml:space="preserve"> värde</w:t>
            </w:r>
          </w:p>
        </w:tc>
        <w:tc>
          <w:tcPr>
            <w:tcW w:w="1361" w:type="dxa"/>
          </w:tcPr>
          <w:p w:rsidR="00D24DF8" w:rsidRPr="00276C89" w:rsidRDefault="00D24DF8" w:rsidP="00D24DF8">
            <w:pPr>
              <w:spacing w:line="200" w:lineRule="exact"/>
              <w:jc w:val="right"/>
            </w:pPr>
            <w:r>
              <w:t>2 905</w:t>
            </w:r>
          </w:p>
        </w:tc>
        <w:tc>
          <w:tcPr>
            <w:tcW w:w="1361" w:type="dxa"/>
          </w:tcPr>
          <w:p w:rsidR="00D24DF8" w:rsidRPr="00276C89" w:rsidRDefault="00D24DF8" w:rsidP="006247DF">
            <w:pPr>
              <w:spacing w:line="200" w:lineRule="exact"/>
              <w:jc w:val="right"/>
            </w:pPr>
            <w:r>
              <w:t>313</w:t>
            </w:r>
          </w:p>
        </w:tc>
      </w:tr>
      <w:tr w:rsidR="00D24DF8" w:rsidRPr="00E7637B" w:rsidTr="006247DF">
        <w:trPr>
          <w:cantSplit/>
          <w:trHeight w:val="20"/>
        </w:trPr>
        <w:tc>
          <w:tcPr>
            <w:tcW w:w="3260" w:type="dxa"/>
            <w:tcBorders>
              <w:top w:val="single" w:sz="4" w:space="0" w:color="auto"/>
              <w:bottom w:val="single" w:sz="4" w:space="0" w:color="auto"/>
            </w:tcBorders>
            <w:vAlign w:val="center"/>
          </w:tcPr>
          <w:p w:rsidR="00D24DF8" w:rsidRPr="00E7637B" w:rsidRDefault="00D24DF8" w:rsidP="006247DF">
            <w:pPr>
              <w:spacing w:line="200" w:lineRule="exact"/>
            </w:pPr>
            <w:r w:rsidRPr="00E7637B">
              <w:t>Summa</w:t>
            </w:r>
          </w:p>
        </w:tc>
        <w:tc>
          <w:tcPr>
            <w:tcW w:w="1361" w:type="dxa"/>
            <w:tcBorders>
              <w:top w:val="single" w:sz="4" w:space="0" w:color="auto"/>
              <w:bottom w:val="single" w:sz="4" w:space="0" w:color="auto"/>
            </w:tcBorders>
            <w:vAlign w:val="center"/>
          </w:tcPr>
          <w:p w:rsidR="00D24DF8" w:rsidRPr="00262BC2" w:rsidRDefault="00D24DF8" w:rsidP="00D24DF8">
            <w:pPr>
              <w:spacing w:line="200" w:lineRule="exact"/>
              <w:jc w:val="right"/>
            </w:pPr>
            <w:r>
              <w:t>2 905</w:t>
            </w:r>
          </w:p>
        </w:tc>
        <w:tc>
          <w:tcPr>
            <w:tcW w:w="1361" w:type="dxa"/>
            <w:tcBorders>
              <w:top w:val="single" w:sz="4" w:space="0" w:color="auto"/>
              <w:bottom w:val="single" w:sz="4" w:space="0" w:color="auto"/>
            </w:tcBorders>
            <w:vAlign w:val="center"/>
          </w:tcPr>
          <w:p w:rsidR="00D24DF8" w:rsidRPr="00262BC2" w:rsidRDefault="00D24DF8" w:rsidP="006247DF">
            <w:pPr>
              <w:spacing w:line="200" w:lineRule="exact"/>
              <w:jc w:val="right"/>
            </w:pPr>
            <w:r>
              <w:t>197</w:t>
            </w:r>
          </w:p>
        </w:tc>
      </w:tr>
    </w:tbl>
    <w:p w:rsidR="006247DF" w:rsidRPr="00E7637B" w:rsidRDefault="006247DF" w:rsidP="006247DF">
      <w:pPr>
        <w:spacing w:before="120"/>
      </w:pPr>
      <w:r w:rsidRPr="00E7637B">
        <w:t xml:space="preserve">Under denna post redovisas grupper av derivatinstrument med negativt värde. </w:t>
      </w:r>
    </w:p>
    <w:p w:rsidR="00C94F51" w:rsidRPr="00C94F51" w:rsidRDefault="00C94F51" w:rsidP="00B23FA4">
      <w:pPr>
        <w:pStyle w:val="Normaltindrag"/>
        <w:suppressAutoHyphens/>
      </w:pPr>
      <w:r>
        <w:t>Syftet med utestående valutaswappar är att omvandla en del av Riksbankens exponering i amerikanska dollar till exponering mot norska kronor.</w:t>
      </w:r>
    </w:p>
    <w:p w:rsidR="006247DF" w:rsidRPr="00E7637B" w:rsidRDefault="006247DF" w:rsidP="006247DF">
      <w:pPr>
        <w:spacing w:before="120" w:after="120"/>
      </w:pPr>
      <w:r w:rsidRPr="00E7637B">
        <w:t>Derivatkontraktens nominella belopp</w:t>
      </w:r>
      <w:r>
        <w:t xml:space="preserve"> </w:t>
      </w:r>
      <w:r w:rsidRPr="00E7637B">
        <w:t>framgår av tabellen nedan.</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3</w:t>
            </w:r>
            <w:r>
              <w:t>-12-31</w:t>
            </w:r>
          </w:p>
        </w:tc>
      </w:tr>
      <w:tr w:rsidR="00D24DF8" w:rsidRPr="00E7637B" w:rsidTr="006247DF">
        <w:trPr>
          <w:cantSplit/>
          <w:trHeight w:val="20"/>
        </w:trPr>
        <w:tc>
          <w:tcPr>
            <w:tcW w:w="3260" w:type="dxa"/>
          </w:tcPr>
          <w:p w:rsidR="00D24DF8" w:rsidRPr="00E7637B" w:rsidRDefault="00D24DF8" w:rsidP="006247DF">
            <w:pPr>
              <w:spacing w:line="200" w:lineRule="exact"/>
            </w:pPr>
            <w:r>
              <w:t>Valutaswappar, positivt värde</w:t>
            </w:r>
          </w:p>
        </w:tc>
        <w:tc>
          <w:tcPr>
            <w:tcW w:w="1361" w:type="dxa"/>
          </w:tcPr>
          <w:p w:rsidR="00D24DF8" w:rsidRPr="008B28A9" w:rsidRDefault="00D24DF8" w:rsidP="00D24DF8">
            <w:pPr>
              <w:spacing w:line="200" w:lineRule="exact"/>
              <w:jc w:val="right"/>
            </w:pPr>
            <w:r>
              <w:t>–</w:t>
            </w:r>
          </w:p>
        </w:tc>
        <w:tc>
          <w:tcPr>
            <w:tcW w:w="1361" w:type="dxa"/>
          </w:tcPr>
          <w:p w:rsidR="00D24DF8" w:rsidRDefault="00D24DF8" w:rsidP="006247DF">
            <w:pPr>
              <w:spacing w:line="200" w:lineRule="exact"/>
              <w:jc w:val="right"/>
            </w:pPr>
            <w:r>
              <w:t>10 564</w:t>
            </w:r>
          </w:p>
        </w:tc>
      </w:tr>
      <w:tr w:rsidR="00D24DF8" w:rsidRPr="00E7637B" w:rsidTr="006247DF">
        <w:trPr>
          <w:cantSplit/>
          <w:trHeight w:val="20"/>
        </w:trPr>
        <w:tc>
          <w:tcPr>
            <w:tcW w:w="3260" w:type="dxa"/>
          </w:tcPr>
          <w:p w:rsidR="00D24DF8" w:rsidRPr="00276C89" w:rsidRDefault="00D24DF8" w:rsidP="006247DF">
            <w:pPr>
              <w:spacing w:line="200" w:lineRule="exact"/>
            </w:pPr>
            <w:r w:rsidRPr="00E7637B">
              <w:t>Valuta</w:t>
            </w:r>
            <w:r>
              <w:t>swappar</w:t>
            </w:r>
            <w:r w:rsidRPr="00E7637B">
              <w:t xml:space="preserve">, </w:t>
            </w:r>
            <w:r>
              <w:t>negativt</w:t>
            </w:r>
            <w:r w:rsidRPr="00276C89">
              <w:t xml:space="preserve"> värde</w:t>
            </w:r>
          </w:p>
        </w:tc>
        <w:tc>
          <w:tcPr>
            <w:tcW w:w="1361" w:type="dxa"/>
          </w:tcPr>
          <w:p w:rsidR="00D24DF8" w:rsidRPr="008B28A9" w:rsidRDefault="00D24DF8" w:rsidP="00D24DF8">
            <w:pPr>
              <w:spacing w:line="200" w:lineRule="exact"/>
              <w:jc w:val="right"/>
            </w:pPr>
            <w:r>
              <w:t>23 295</w:t>
            </w:r>
          </w:p>
        </w:tc>
        <w:tc>
          <w:tcPr>
            <w:tcW w:w="1361" w:type="dxa"/>
          </w:tcPr>
          <w:p w:rsidR="00D24DF8" w:rsidRPr="008B28A9" w:rsidRDefault="00D24DF8" w:rsidP="006247DF">
            <w:pPr>
              <w:spacing w:line="200" w:lineRule="exact"/>
              <w:jc w:val="right"/>
            </w:pPr>
            <w:r>
              <w:t>10 560</w:t>
            </w:r>
          </w:p>
        </w:tc>
      </w:tr>
      <w:tr w:rsidR="00D24DF8" w:rsidRPr="00E7637B" w:rsidTr="006247DF">
        <w:trPr>
          <w:cantSplit/>
          <w:trHeight w:val="20"/>
        </w:trPr>
        <w:tc>
          <w:tcPr>
            <w:tcW w:w="3260" w:type="dxa"/>
            <w:tcBorders>
              <w:top w:val="single" w:sz="4" w:space="0" w:color="auto"/>
              <w:bottom w:val="single" w:sz="4" w:space="0" w:color="auto"/>
            </w:tcBorders>
            <w:vAlign w:val="center"/>
          </w:tcPr>
          <w:p w:rsidR="00D24DF8" w:rsidRPr="00E7637B" w:rsidRDefault="00D24DF8" w:rsidP="006247DF">
            <w:pPr>
              <w:spacing w:line="200" w:lineRule="exact"/>
            </w:pPr>
            <w:r w:rsidRPr="00E7637B">
              <w:t>Summa</w:t>
            </w:r>
          </w:p>
        </w:tc>
        <w:tc>
          <w:tcPr>
            <w:tcW w:w="1361" w:type="dxa"/>
            <w:tcBorders>
              <w:top w:val="single" w:sz="4" w:space="0" w:color="auto"/>
              <w:bottom w:val="single" w:sz="4" w:space="0" w:color="auto"/>
            </w:tcBorders>
            <w:vAlign w:val="center"/>
          </w:tcPr>
          <w:p w:rsidR="00D24DF8" w:rsidRPr="00262BC2" w:rsidRDefault="00D24DF8" w:rsidP="00D24DF8">
            <w:pPr>
              <w:spacing w:line="200" w:lineRule="exact"/>
              <w:jc w:val="right"/>
            </w:pPr>
            <w:r>
              <w:t>23 295</w:t>
            </w:r>
          </w:p>
        </w:tc>
        <w:tc>
          <w:tcPr>
            <w:tcW w:w="1361" w:type="dxa"/>
            <w:tcBorders>
              <w:top w:val="single" w:sz="4" w:space="0" w:color="auto"/>
              <w:bottom w:val="single" w:sz="4" w:space="0" w:color="auto"/>
            </w:tcBorders>
            <w:vAlign w:val="center"/>
          </w:tcPr>
          <w:p w:rsidR="00D24DF8" w:rsidRPr="00262BC2" w:rsidRDefault="00D24DF8" w:rsidP="006247DF">
            <w:pPr>
              <w:spacing w:line="200" w:lineRule="exact"/>
              <w:jc w:val="right"/>
            </w:pPr>
            <w:r>
              <w:t>21 124</w:t>
            </w:r>
          </w:p>
        </w:tc>
      </w:tr>
    </w:tbl>
    <w:p w:rsidR="006247DF" w:rsidRPr="00E7637B" w:rsidRDefault="006247DF" w:rsidP="0095112B">
      <w:pPr>
        <w:spacing w:before="187"/>
        <w:outlineLvl w:val="0"/>
        <w:rPr>
          <w:b/>
        </w:rPr>
      </w:pPr>
      <w:r w:rsidRPr="00E7637B">
        <w:rPr>
          <w:b/>
        </w:rPr>
        <w:t>Not 2</w:t>
      </w:r>
      <w:r>
        <w:rPr>
          <w:b/>
        </w:rPr>
        <w:t>2</w:t>
      </w:r>
      <w:r w:rsidRPr="00E7637B">
        <w:rPr>
          <w:b/>
        </w:rPr>
        <w:t xml:space="preserve"> Upplupna kostnader och förutbetalda intäkter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Pr>
        <w:tc>
          <w:tcPr>
            <w:tcW w:w="3260" w:type="dxa"/>
            <w:tcBorders>
              <w:top w:val="single" w:sz="4" w:space="0" w:color="auto"/>
              <w:bottom w:val="single" w:sz="4" w:space="0" w:color="auto"/>
            </w:tcBorders>
          </w:tcPr>
          <w:p w:rsidR="006247DF" w:rsidRPr="00B51C85" w:rsidRDefault="006247DF" w:rsidP="006247DF">
            <w:pPr>
              <w:spacing w:line="200" w:lineRule="exact"/>
            </w:pPr>
          </w:p>
        </w:tc>
        <w:tc>
          <w:tcPr>
            <w:tcW w:w="1361" w:type="dxa"/>
            <w:tcBorders>
              <w:top w:val="single" w:sz="4" w:space="0" w:color="auto"/>
              <w:bottom w:val="single" w:sz="4" w:space="0" w:color="auto"/>
            </w:tcBorders>
            <w:vAlign w:val="center"/>
          </w:tcPr>
          <w:p w:rsidR="006247DF" w:rsidRPr="00DD4619"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DD4619" w:rsidRDefault="006247DF" w:rsidP="00D24DF8">
            <w:pPr>
              <w:spacing w:line="200" w:lineRule="exact"/>
              <w:jc w:val="right"/>
            </w:pPr>
            <w:r>
              <w:t>201</w:t>
            </w:r>
            <w:r w:rsidR="00D24DF8">
              <w:t>3</w:t>
            </w:r>
            <w:r>
              <w:t>-12-31</w:t>
            </w:r>
          </w:p>
        </w:tc>
      </w:tr>
      <w:tr w:rsidR="00D24DF8" w:rsidRPr="00E7637B" w:rsidTr="006247DF">
        <w:trPr>
          <w:cantSplit/>
        </w:trPr>
        <w:tc>
          <w:tcPr>
            <w:tcW w:w="3260" w:type="dxa"/>
          </w:tcPr>
          <w:p w:rsidR="00D24DF8" w:rsidRPr="00C631B0" w:rsidRDefault="00D24DF8" w:rsidP="006247DF">
            <w:pPr>
              <w:spacing w:line="200" w:lineRule="exact"/>
            </w:pPr>
            <w:r w:rsidRPr="00C631B0">
              <w:t>Finjusterande transaktioner</w:t>
            </w:r>
          </w:p>
        </w:tc>
        <w:tc>
          <w:tcPr>
            <w:tcW w:w="1361" w:type="dxa"/>
          </w:tcPr>
          <w:p w:rsidR="00D24DF8" w:rsidRPr="000C4345" w:rsidRDefault="00D24DF8" w:rsidP="00D24DF8">
            <w:pPr>
              <w:tabs>
                <w:tab w:val="left" w:pos="1202"/>
              </w:tabs>
              <w:spacing w:line="200" w:lineRule="exact"/>
              <w:jc w:val="right"/>
            </w:pPr>
            <w:r>
              <w:t>–</w:t>
            </w:r>
          </w:p>
        </w:tc>
        <w:tc>
          <w:tcPr>
            <w:tcW w:w="1361" w:type="dxa"/>
          </w:tcPr>
          <w:p w:rsidR="00D24DF8" w:rsidRPr="000C4345" w:rsidRDefault="00D24DF8" w:rsidP="006247DF">
            <w:pPr>
              <w:tabs>
                <w:tab w:val="left" w:pos="1202"/>
              </w:tabs>
              <w:spacing w:line="200" w:lineRule="exact"/>
              <w:jc w:val="right"/>
            </w:pPr>
            <w:r>
              <w:t>0</w:t>
            </w:r>
          </w:p>
        </w:tc>
      </w:tr>
      <w:tr w:rsidR="00D24DF8" w:rsidRPr="00E7637B" w:rsidTr="006247DF">
        <w:trPr>
          <w:cantSplit/>
        </w:trPr>
        <w:tc>
          <w:tcPr>
            <w:tcW w:w="3260" w:type="dxa"/>
          </w:tcPr>
          <w:p w:rsidR="00D24DF8" w:rsidRPr="00135DE3" w:rsidRDefault="00D24DF8" w:rsidP="006247DF">
            <w:pPr>
              <w:spacing w:line="200" w:lineRule="exact"/>
            </w:pPr>
            <w:r w:rsidRPr="00135DE3">
              <w:t>Emitterade skuldcertifikat</w:t>
            </w:r>
          </w:p>
        </w:tc>
        <w:tc>
          <w:tcPr>
            <w:tcW w:w="1361" w:type="dxa"/>
          </w:tcPr>
          <w:p w:rsidR="00D24DF8" w:rsidRPr="00262BC2" w:rsidRDefault="00D24DF8" w:rsidP="00D24DF8">
            <w:pPr>
              <w:spacing w:line="200" w:lineRule="exact"/>
              <w:jc w:val="right"/>
            </w:pPr>
            <w:r>
              <w:t>–</w:t>
            </w:r>
          </w:p>
        </w:tc>
        <w:tc>
          <w:tcPr>
            <w:tcW w:w="1361" w:type="dxa"/>
          </w:tcPr>
          <w:p w:rsidR="00D24DF8" w:rsidRPr="00262BC2" w:rsidRDefault="00D24DF8" w:rsidP="006247DF">
            <w:pPr>
              <w:spacing w:line="200" w:lineRule="exact"/>
              <w:jc w:val="right"/>
            </w:pPr>
            <w:r>
              <w:t>7</w:t>
            </w:r>
          </w:p>
        </w:tc>
      </w:tr>
      <w:tr w:rsidR="00D24DF8" w:rsidRPr="00E7637B" w:rsidTr="006247DF">
        <w:trPr>
          <w:cantSplit/>
        </w:trPr>
        <w:tc>
          <w:tcPr>
            <w:tcW w:w="3260" w:type="dxa"/>
          </w:tcPr>
          <w:p w:rsidR="00D24DF8" w:rsidRPr="00C631B0" w:rsidRDefault="00D24DF8" w:rsidP="006247DF">
            <w:pPr>
              <w:spacing w:line="200" w:lineRule="exact"/>
            </w:pPr>
            <w:r>
              <w:t>Inlåning Riksgälden</w:t>
            </w:r>
          </w:p>
        </w:tc>
        <w:tc>
          <w:tcPr>
            <w:tcW w:w="1361" w:type="dxa"/>
          </w:tcPr>
          <w:p w:rsidR="00D24DF8" w:rsidRPr="00135DE3" w:rsidRDefault="00D24DF8" w:rsidP="00D24DF8">
            <w:pPr>
              <w:spacing w:line="200" w:lineRule="exact"/>
              <w:jc w:val="right"/>
            </w:pPr>
            <w:r>
              <w:t>980</w:t>
            </w:r>
          </w:p>
        </w:tc>
        <w:tc>
          <w:tcPr>
            <w:tcW w:w="1361" w:type="dxa"/>
          </w:tcPr>
          <w:p w:rsidR="00D24DF8" w:rsidRPr="00135DE3" w:rsidRDefault="00D24DF8" w:rsidP="006247DF">
            <w:pPr>
              <w:spacing w:line="200" w:lineRule="exact"/>
              <w:jc w:val="right"/>
            </w:pPr>
            <w:r>
              <w:t>673</w:t>
            </w:r>
          </w:p>
        </w:tc>
      </w:tr>
      <w:tr w:rsidR="00D24DF8" w:rsidRPr="00E7637B" w:rsidTr="006247DF">
        <w:trPr>
          <w:cantSplit/>
          <w:trHeight w:val="20"/>
        </w:trPr>
        <w:tc>
          <w:tcPr>
            <w:tcW w:w="3260" w:type="dxa"/>
          </w:tcPr>
          <w:p w:rsidR="00D24DF8" w:rsidRPr="00E7637B" w:rsidRDefault="00D24DF8" w:rsidP="006247DF">
            <w:pPr>
              <w:spacing w:line="200" w:lineRule="exact"/>
            </w:pPr>
            <w:r w:rsidRPr="00E7637B">
              <w:t>Motpost till särskilda dragningsrätter</w:t>
            </w:r>
          </w:p>
        </w:tc>
        <w:tc>
          <w:tcPr>
            <w:tcW w:w="1361" w:type="dxa"/>
            <w:vAlign w:val="center"/>
          </w:tcPr>
          <w:p w:rsidR="00D24DF8" w:rsidRPr="00E7637B" w:rsidRDefault="00D24DF8" w:rsidP="00D24DF8">
            <w:pPr>
              <w:spacing w:line="200" w:lineRule="exact"/>
              <w:jc w:val="right"/>
            </w:pPr>
            <w:r>
              <w:t>2</w:t>
            </w:r>
          </w:p>
        </w:tc>
        <w:tc>
          <w:tcPr>
            <w:tcW w:w="1361" w:type="dxa"/>
            <w:vAlign w:val="center"/>
          </w:tcPr>
          <w:p w:rsidR="00D24DF8" w:rsidRPr="00E7637B" w:rsidRDefault="00D24DF8" w:rsidP="006247DF">
            <w:pPr>
              <w:spacing w:line="200" w:lineRule="exact"/>
              <w:jc w:val="right"/>
            </w:pPr>
            <w:r>
              <w:t>4</w:t>
            </w:r>
          </w:p>
        </w:tc>
      </w:tr>
      <w:tr w:rsidR="00D24DF8" w:rsidRPr="00E7637B" w:rsidTr="006247DF">
        <w:trPr>
          <w:cantSplit/>
          <w:trHeight w:val="20"/>
        </w:trPr>
        <w:tc>
          <w:tcPr>
            <w:tcW w:w="3260" w:type="dxa"/>
          </w:tcPr>
          <w:p w:rsidR="00D24DF8" w:rsidRPr="00E7637B" w:rsidRDefault="00D24DF8" w:rsidP="006247DF">
            <w:pPr>
              <w:spacing w:line="200" w:lineRule="exact"/>
            </w:pPr>
            <w:r w:rsidRPr="00E7637B">
              <w:t>Övrigt</w:t>
            </w:r>
          </w:p>
        </w:tc>
        <w:tc>
          <w:tcPr>
            <w:tcW w:w="1361" w:type="dxa"/>
          </w:tcPr>
          <w:p w:rsidR="00D24DF8" w:rsidRPr="00E7637B" w:rsidRDefault="00D24DF8" w:rsidP="00D24DF8">
            <w:pPr>
              <w:spacing w:line="200" w:lineRule="exact"/>
              <w:jc w:val="right"/>
            </w:pPr>
            <w:r>
              <w:t>81</w:t>
            </w:r>
          </w:p>
        </w:tc>
        <w:tc>
          <w:tcPr>
            <w:tcW w:w="1361" w:type="dxa"/>
          </w:tcPr>
          <w:p w:rsidR="00D24DF8" w:rsidRPr="00E7637B" w:rsidRDefault="00D24DF8" w:rsidP="006247DF">
            <w:pPr>
              <w:spacing w:line="200" w:lineRule="exact"/>
              <w:jc w:val="right"/>
            </w:pPr>
            <w:r>
              <w:t>79</w:t>
            </w:r>
          </w:p>
        </w:tc>
      </w:tr>
      <w:tr w:rsidR="00D24DF8" w:rsidRPr="00E7637B" w:rsidTr="006247DF">
        <w:trPr>
          <w:cantSplit/>
          <w:trHeight w:val="20"/>
        </w:trPr>
        <w:tc>
          <w:tcPr>
            <w:tcW w:w="3260" w:type="dxa"/>
            <w:tcBorders>
              <w:top w:val="single" w:sz="4" w:space="0" w:color="auto"/>
              <w:bottom w:val="single" w:sz="4" w:space="0" w:color="auto"/>
            </w:tcBorders>
            <w:vAlign w:val="center"/>
          </w:tcPr>
          <w:p w:rsidR="00D24DF8" w:rsidRPr="00E7637B" w:rsidRDefault="00D24DF8" w:rsidP="006247DF">
            <w:pPr>
              <w:spacing w:line="200" w:lineRule="exact"/>
            </w:pPr>
            <w:r w:rsidRPr="00E7637B">
              <w:t>Summa</w:t>
            </w:r>
          </w:p>
        </w:tc>
        <w:tc>
          <w:tcPr>
            <w:tcW w:w="1361" w:type="dxa"/>
            <w:tcBorders>
              <w:top w:val="single" w:sz="4" w:space="0" w:color="auto"/>
              <w:bottom w:val="single" w:sz="4" w:space="0" w:color="auto"/>
            </w:tcBorders>
            <w:vAlign w:val="center"/>
          </w:tcPr>
          <w:p w:rsidR="00D24DF8" w:rsidRPr="00E7637B" w:rsidRDefault="00D24DF8" w:rsidP="00D24DF8">
            <w:pPr>
              <w:spacing w:line="200" w:lineRule="exact"/>
              <w:jc w:val="right"/>
            </w:pPr>
            <w:r>
              <w:t>1 063</w:t>
            </w:r>
          </w:p>
        </w:tc>
        <w:tc>
          <w:tcPr>
            <w:tcW w:w="1361" w:type="dxa"/>
            <w:tcBorders>
              <w:top w:val="single" w:sz="4" w:space="0" w:color="auto"/>
              <w:bottom w:val="single" w:sz="4" w:space="0" w:color="auto"/>
            </w:tcBorders>
            <w:vAlign w:val="center"/>
          </w:tcPr>
          <w:p w:rsidR="00D24DF8" w:rsidRPr="00E7637B" w:rsidRDefault="00D24DF8" w:rsidP="006247DF">
            <w:pPr>
              <w:spacing w:line="200" w:lineRule="exact"/>
              <w:jc w:val="right"/>
            </w:pPr>
            <w:r>
              <w:t>763</w:t>
            </w:r>
          </w:p>
        </w:tc>
      </w:tr>
    </w:tbl>
    <w:p w:rsidR="006247DF" w:rsidRPr="00C631B0" w:rsidRDefault="006247DF" w:rsidP="0095112B">
      <w:pPr>
        <w:spacing w:before="187"/>
        <w:outlineLvl w:val="0"/>
        <w:rPr>
          <w:b/>
        </w:rPr>
      </w:pPr>
      <w:r w:rsidRPr="00DD4619">
        <w:rPr>
          <w:b/>
        </w:rPr>
        <w:t>Not 2</w:t>
      </w:r>
      <w:r>
        <w:rPr>
          <w:b/>
        </w:rPr>
        <w:t>3</w:t>
      </w:r>
      <w:r w:rsidRPr="00C631B0">
        <w:rPr>
          <w:b/>
        </w:rPr>
        <w:t xml:space="preserve"> Övriga skulder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3</w:t>
            </w:r>
            <w:r>
              <w:t>-12-31</w:t>
            </w:r>
          </w:p>
        </w:tc>
      </w:tr>
      <w:tr w:rsidR="00D24DF8" w:rsidRPr="00E7637B" w:rsidTr="006247DF">
        <w:trPr>
          <w:cantSplit/>
          <w:trHeight w:val="20"/>
        </w:trPr>
        <w:tc>
          <w:tcPr>
            <w:tcW w:w="3260" w:type="dxa"/>
            <w:tcBorders>
              <w:top w:val="single" w:sz="4" w:space="0" w:color="auto"/>
            </w:tcBorders>
          </w:tcPr>
          <w:p w:rsidR="00D24DF8" w:rsidRPr="00E7637B" w:rsidRDefault="00D24DF8" w:rsidP="006247DF">
            <w:pPr>
              <w:spacing w:line="200" w:lineRule="exact"/>
            </w:pPr>
            <w:r w:rsidRPr="00E7637B">
              <w:t>Leverantörsskuld</w:t>
            </w:r>
          </w:p>
        </w:tc>
        <w:tc>
          <w:tcPr>
            <w:tcW w:w="1361" w:type="dxa"/>
            <w:tcBorders>
              <w:top w:val="single" w:sz="4" w:space="0" w:color="auto"/>
            </w:tcBorders>
          </w:tcPr>
          <w:p w:rsidR="00D24DF8" w:rsidRPr="00E7637B" w:rsidRDefault="00D24DF8" w:rsidP="00D24DF8">
            <w:pPr>
              <w:spacing w:line="200" w:lineRule="exact"/>
              <w:jc w:val="right"/>
            </w:pPr>
            <w:r>
              <w:t>45</w:t>
            </w:r>
          </w:p>
        </w:tc>
        <w:tc>
          <w:tcPr>
            <w:tcW w:w="1361" w:type="dxa"/>
            <w:tcBorders>
              <w:top w:val="single" w:sz="4" w:space="0" w:color="auto"/>
            </w:tcBorders>
          </w:tcPr>
          <w:p w:rsidR="00D24DF8" w:rsidRPr="00E7637B" w:rsidRDefault="00D24DF8" w:rsidP="006247DF">
            <w:pPr>
              <w:spacing w:line="200" w:lineRule="exact"/>
              <w:jc w:val="right"/>
            </w:pPr>
            <w:r>
              <w:t>31</w:t>
            </w:r>
          </w:p>
        </w:tc>
      </w:tr>
      <w:tr w:rsidR="00D24DF8" w:rsidRPr="00E7637B" w:rsidTr="006247DF">
        <w:trPr>
          <w:cantSplit/>
          <w:trHeight w:val="20"/>
        </w:trPr>
        <w:tc>
          <w:tcPr>
            <w:tcW w:w="3260" w:type="dxa"/>
            <w:tcBorders>
              <w:bottom w:val="single" w:sz="4" w:space="0" w:color="auto"/>
            </w:tcBorders>
          </w:tcPr>
          <w:p w:rsidR="00D24DF8" w:rsidRPr="00E7637B" w:rsidRDefault="00D24DF8" w:rsidP="006247DF">
            <w:pPr>
              <w:spacing w:line="200" w:lineRule="exact"/>
            </w:pPr>
            <w:r w:rsidRPr="00E7637B">
              <w:t>Övrigt</w:t>
            </w:r>
          </w:p>
        </w:tc>
        <w:tc>
          <w:tcPr>
            <w:tcW w:w="1361" w:type="dxa"/>
          </w:tcPr>
          <w:p w:rsidR="00D24DF8" w:rsidRPr="00E7637B" w:rsidRDefault="00D24DF8" w:rsidP="00D24DF8">
            <w:pPr>
              <w:spacing w:line="200" w:lineRule="exact"/>
              <w:jc w:val="right"/>
            </w:pPr>
            <w:r>
              <w:t>19</w:t>
            </w:r>
          </w:p>
        </w:tc>
        <w:tc>
          <w:tcPr>
            <w:tcW w:w="1361" w:type="dxa"/>
          </w:tcPr>
          <w:p w:rsidR="00D24DF8" w:rsidRPr="00E7637B" w:rsidRDefault="00D24DF8" w:rsidP="006247DF">
            <w:pPr>
              <w:spacing w:line="200" w:lineRule="exact"/>
              <w:jc w:val="right"/>
            </w:pPr>
            <w:r>
              <w:t>17</w:t>
            </w:r>
          </w:p>
        </w:tc>
      </w:tr>
      <w:tr w:rsidR="00D24DF8" w:rsidRPr="00E7637B" w:rsidTr="006247DF">
        <w:trPr>
          <w:cantSplit/>
          <w:trHeight w:val="20"/>
        </w:trPr>
        <w:tc>
          <w:tcPr>
            <w:tcW w:w="3260" w:type="dxa"/>
            <w:tcBorders>
              <w:top w:val="single" w:sz="4" w:space="0" w:color="auto"/>
              <w:bottom w:val="single" w:sz="4" w:space="0" w:color="auto"/>
            </w:tcBorders>
            <w:vAlign w:val="center"/>
          </w:tcPr>
          <w:p w:rsidR="00D24DF8" w:rsidRPr="00E7637B" w:rsidRDefault="00D24DF8" w:rsidP="006247DF">
            <w:pPr>
              <w:spacing w:line="200" w:lineRule="exact"/>
            </w:pPr>
            <w:r w:rsidRPr="00E7637B">
              <w:t>Summa</w:t>
            </w:r>
          </w:p>
        </w:tc>
        <w:tc>
          <w:tcPr>
            <w:tcW w:w="1361" w:type="dxa"/>
            <w:tcBorders>
              <w:top w:val="single" w:sz="4" w:space="0" w:color="auto"/>
              <w:bottom w:val="single" w:sz="4" w:space="0" w:color="auto"/>
            </w:tcBorders>
            <w:vAlign w:val="center"/>
          </w:tcPr>
          <w:p w:rsidR="00D24DF8" w:rsidRPr="00E7637B" w:rsidRDefault="00D24DF8" w:rsidP="00D24DF8">
            <w:pPr>
              <w:spacing w:line="200" w:lineRule="exact"/>
              <w:jc w:val="right"/>
            </w:pPr>
            <w:r>
              <w:t>64</w:t>
            </w:r>
          </w:p>
        </w:tc>
        <w:tc>
          <w:tcPr>
            <w:tcW w:w="1361" w:type="dxa"/>
            <w:tcBorders>
              <w:top w:val="single" w:sz="4" w:space="0" w:color="auto"/>
              <w:bottom w:val="single" w:sz="4" w:space="0" w:color="auto"/>
            </w:tcBorders>
            <w:vAlign w:val="center"/>
          </w:tcPr>
          <w:p w:rsidR="00D24DF8" w:rsidRPr="00E7637B" w:rsidRDefault="00D24DF8" w:rsidP="006247DF">
            <w:pPr>
              <w:spacing w:line="200" w:lineRule="exact"/>
              <w:jc w:val="right"/>
            </w:pPr>
            <w:r>
              <w:t>48</w:t>
            </w:r>
          </w:p>
        </w:tc>
      </w:tr>
    </w:tbl>
    <w:p w:rsidR="006247DF" w:rsidRPr="00E7637B" w:rsidRDefault="006247DF" w:rsidP="0044728D">
      <w:pPr>
        <w:pageBreakBefore/>
        <w:spacing w:before="0"/>
        <w:outlineLvl w:val="0"/>
        <w:rPr>
          <w:b/>
        </w:rPr>
      </w:pPr>
      <w:r w:rsidRPr="00E7637B">
        <w:rPr>
          <w:b/>
        </w:rPr>
        <w:t>Not 2</w:t>
      </w:r>
      <w:r>
        <w:rPr>
          <w:b/>
        </w:rPr>
        <w:t>4</w:t>
      </w:r>
      <w:r w:rsidRPr="00E7637B">
        <w:rPr>
          <w:b/>
        </w:rPr>
        <w:t xml:space="preserve"> Avsättningar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4</w:t>
            </w:r>
            <w:r>
              <w:t>-12-31</w:t>
            </w:r>
          </w:p>
        </w:tc>
        <w:tc>
          <w:tcPr>
            <w:tcW w:w="1361" w:type="dxa"/>
            <w:tcBorders>
              <w:top w:val="single" w:sz="4" w:space="0" w:color="auto"/>
              <w:bottom w:val="single" w:sz="4" w:space="0" w:color="auto"/>
            </w:tcBorders>
            <w:vAlign w:val="center"/>
          </w:tcPr>
          <w:p w:rsidR="006247DF" w:rsidRPr="00E7637B" w:rsidRDefault="006247DF" w:rsidP="00D24DF8">
            <w:pPr>
              <w:spacing w:line="200" w:lineRule="exact"/>
              <w:jc w:val="right"/>
            </w:pPr>
            <w:r>
              <w:t>201</w:t>
            </w:r>
            <w:r w:rsidR="00D24DF8">
              <w:t>3</w:t>
            </w:r>
            <w:r>
              <w:t>-12-31</w:t>
            </w:r>
          </w:p>
        </w:tc>
      </w:tr>
      <w:tr w:rsidR="00D24DF8" w:rsidRPr="00E7637B" w:rsidTr="006247DF">
        <w:trPr>
          <w:cantSplit/>
          <w:trHeight w:val="20"/>
        </w:trPr>
        <w:tc>
          <w:tcPr>
            <w:tcW w:w="3260" w:type="dxa"/>
            <w:tcBorders>
              <w:top w:val="single" w:sz="4" w:space="0" w:color="auto"/>
            </w:tcBorders>
          </w:tcPr>
          <w:p w:rsidR="00D24DF8" w:rsidRPr="00E7637B" w:rsidRDefault="00D24DF8" w:rsidP="006247DF">
            <w:pPr>
              <w:spacing w:line="200" w:lineRule="exact"/>
            </w:pPr>
            <w:r w:rsidRPr="00E7637B">
              <w:t>Pensionsskuld</w:t>
            </w:r>
          </w:p>
        </w:tc>
        <w:tc>
          <w:tcPr>
            <w:tcW w:w="1361" w:type="dxa"/>
            <w:tcBorders>
              <w:top w:val="single" w:sz="4" w:space="0" w:color="auto"/>
            </w:tcBorders>
          </w:tcPr>
          <w:p w:rsidR="00D24DF8" w:rsidRPr="00E7637B" w:rsidRDefault="00D24DF8" w:rsidP="00D24DF8">
            <w:pPr>
              <w:spacing w:line="200" w:lineRule="exact"/>
              <w:jc w:val="right"/>
            </w:pPr>
            <w:r>
              <w:t>88</w:t>
            </w:r>
          </w:p>
        </w:tc>
        <w:tc>
          <w:tcPr>
            <w:tcW w:w="1361" w:type="dxa"/>
            <w:tcBorders>
              <w:top w:val="single" w:sz="4" w:space="0" w:color="auto"/>
            </w:tcBorders>
          </w:tcPr>
          <w:p w:rsidR="00D24DF8" w:rsidRPr="00E7637B" w:rsidRDefault="00D24DF8" w:rsidP="006247DF">
            <w:pPr>
              <w:spacing w:line="200" w:lineRule="exact"/>
              <w:jc w:val="right"/>
            </w:pPr>
            <w:r>
              <w:t>96</w:t>
            </w:r>
          </w:p>
        </w:tc>
      </w:tr>
      <w:tr w:rsidR="00D24DF8" w:rsidRPr="00E7637B" w:rsidTr="006247DF">
        <w:trPr>
          <w:cantSplit/>
          <w:trHeight w:val="20"/>
        </w:trPr>
        <w:tc>
          <w:tcPr>
            <w:tcW w:w="3260" w:type="dxa"/>
          </w:tcPr>
          <w:p w:rsidR="00D24DF8" w:rsidRPr="00E7637B" w:rsidRDefault="00D24DF8" w:rsidP="006247DF">
            <w:pPr>
              <w:spacing w:line="200" w:lineRule="exact"/>
            </w:pPr>
            <w:r w:rsidRPr="00E7637B">
              <w:t>Ogiltiga sedlar</w:t>
            </w:r>
          </w:p>
        </w:tc>
        <w:tc>
          <w:tcPr>
            <w:tcW w:w="1361" w:type="dxa"/>
          </w:tcPr>
          <w:p w:rsidR="00D24DF8" w:rsidRPr="00E7637B" w:rsidRDefault="00D24DF8" w:rsidP="00D24DF8">
            <w:pPr>
              <w:spacing w:line="200" w:lineRule="exact"/>
              <w:jc w:val="right"/>
            </w:pPr>
            <w:r>
              <w:t>22</w:t>
            </w:r>
          </w:p>
        </w:tc>
        <w:tc>
          <w:tcPr>
            <w:tcW w:w="1361" w:type="dxa"/>
          </w:tcPr>
          <w:p w:rsidR="00D24DF8" w:rsidRPr="00E7637B" w:rsidRDefault="00D24DF8" w:rsidP="006247DF">
            <w:pPr>
              <w:spacing w:line="200" w:lineRule="exact"/>
              <w:jc w:val="right"/>
            </w:pPr>
            <w:r>
              <w:t>35</w:t>
            </w:r>
          </w:p>
        </w:tc>
      </w:tr>
      <w:tr w:rsidR="00D24DF8" w:rsidRPr="00E7637B" w:rsidTr="006247DF">
        <w:trPr>
          <w:cantSplit/>
          <w:trHeight w:val="20"/>
        </w:trPr>
        <w:tc>
          <w:tcPr>
            <w:tcW w:w="3260" w:type="dxa"/>
          </w:tcPr>
          <w:p w:rsidR="00D24DF8" w:rsidRPr="00E7637B" w:rsidRDefault="00D24DF8" w:rsidP="006247DF">
            <w:pPr>
              <w:spacing w:line="200" w:lineRule="exact"/>
            </w:pPr>
            <w:r w:rsidRPr="00E7637B">
              <w:t>Hyresavtal Malmökontoret</w:t>
            </w:r>
          </w:p>
        </w:tc>
        <w:tc>
          <w:tcPr>
            <w:tcW w:w="1361" w:type="dxa"/>
          </w:tcPr>
          <w:p w:rsidR="00D24DF8" w:rsidRPr="00E7637B" w:rsidRDefault="00D24DF8" w:rsidP="00D24DF8">
            <w:pPr>
              <w:spacing w:line="200" w:lineRule="exact"/>
              <w:jc w:val="right"/>
            </w:pPr>
            <w:r>
              <w:t>–</w:t>
            </w:r>
          </w:p>
        </w:tc>
        <w:tc>
          <w:tcPr>
            <w:tcW w:w="1361" w:type="dxa"/>
          </w:tcPr>
          <w:p w:rsidR="00D24DF8" w:rsidRPr="00E7637B" w:rsidRDefault="00D24DF8" w:rsidP="006247DF">
            <w:pPr>
              <w:spacing w:line="200" w:lineRule="exact"/>
              <w:jc w:val="right"/>
            </w:pPr>
            <w:r>
              <w:t>34</w:t>
            </w:r>
          </w:p>
        </w:tc>
      </w:tr>
      <w:tr w:rsidR="00D24DF8" w:rsidRPr="00E7637B" w:rsidTr="006247DF">
        <w:trPr>
          <w:cantSplit/>
          <w:trHeight w:val="20"/>
        </w:trPr>
        <w:tc>
          <w:tcPr>
            <w:tcW w:w="3260" w:type="dxa"/>
          </w:tcPr>
          <w:p w:rsidR="00D24DF8" w:rsidRPr="00E7637B" w:rsidRDefault="00D24DF8" w:rsidP="006247DF">
            <w:pPr>
              <w:spacing w:line="200" w:lineRule="exact"/>
            </w:pPr>
            <w:r w:rsidRPr="00E7637B">
              <w:t>Trygghetsstiftelsen</w:t>
            </w:r>
          </w:p>
        </w:tc>
        <w:tc>
          <w:tcPr>
            <w:tcW w:w="1361" w:type="dxa"/>
          </w:tcPr>
          <w:p w:rsidR="00D24DF8" w:rsidRPr="00E7637B" w:rsidRDefault="00D24DF8" w:rsidP="00D24DF8">
            <w:pPr>
              <w:spacing w:line="200" w:lineRule="exact"/>
              <w:jc w:val="right"/>
            </w:pPr>
            <w:r>
              <w:t>2</w:t>
            </w:r>
          </w:p>
        </w:tc>
        <w:tc>
          <w:tcPr>
            <w:tcW w:w="1361" w:type="dxa"/>
          </w:tcPr>
          <w:p w:rsidR="00D24DF8" w:rsidRPr="00E7637B" w:rsidRDefault="00D24DF8" w:rsidP="006247DF">
            <w:pPr>
              <w:spacing w:line="200" w:lineRule="exact"/>
              <w:jc w:val="right"/>
            </w:pPr>
            <w:r>
              <w:t>4</w:t>
            </w:r>
          </w:p>
        </w:tc>
      </w:tr>
      <w:tr w:rsidR="00D24DF8" w:rsidRPr="00E7637B" w:rsidTr="006247DF">
        <w:trPr>
          <w:cantSplit/>
          <w:trHeight w:val="20"/>
        </w:trPr>
        <w:tc>
          <w:tcPr>
            <w:tcW w:w="3260" w:type="dxa"/>
            <w:tcBorders>
              <w:top w:val="single" w:sz="4" w:space="0" w:color="auto"/>
              <w:bottom w:val="single" w:sz="4" w:space="0" w:color="auto"/>
            </w:tcBorders>
            <w:vAlign w:val="center"/>
          </w:tcPr>
          <w:p w:rsidR="00D24DF8" w:rsidRPr="00E7637B" w:rsidRDefault="00D24DF8" w:rsidP="006247DF">
            <w:pPr>
              <w:spacing w:line="200" w:lineRule="exact"/>
            </w:pPr>
            <w:r w:rsidRPr="00E7637B">
              <w:t>Summa</w:t>
            </w:r>
          </w:p>
        </w:tc>
        <w:tc>
          <w:tcPr>
            <w:tcW w:w="1361" w:type="dxa"/>
            <w:tcBorders>
              <w:top w:val="single" w:sz="4" w:space="0" w:color="auto"/>
              <w:bottom w:val="single" w:sz="4" w:space="0" w:color="auto"/>
            </w:tcBorders>
            <w:vAlign w:val="center"/>
          </w:tcPr>
          <w:p w:rsidR="00D24DF8" w:rsidRPr="00E7637B" w:rsidRDefault="00D24DF8" w:rsidP="00D24DF8">
            <w:pPr>
              <w:spacing w:line="200" w:lineRule="exact"/>
              <w:jc w:val="right"/>
            </w:pPr>
            <w:r>
              <w:t>112</w:t>
            </w:r>
          </w:p>
        </w:tc>
        <w:tc>
          <w:tcPr>
            <w:tcW w:w="1361" w:type="dxa"/>
            <w:tcBorders>
              <w:top w:val="single" w:sz="4" w:space="0" w:color="auto"/>
              <w:bottom w:val="single" w:sz="4" w:space="0" w:color="auto"/>
            </w:tcBorders>
            <w:vAlign w:val="center"/>
          </w:tcPr>
          <w:p w:rsidR="00D24DF8" w:rsidRPr="00E7637B" w:rsidRDefault="00D24DF8" w:rsidP="006247DF">
            <w:pPr>
              <w:spacing w:line="200" w:lineRule="exact"/>
              <w:jc w:val="right"/>
            </w:pPr>
            <w:r>
              <w:t>169</w:t>
            </w:r>
          </w:p>
        </w:tc>
      </w:tr>
    </w:tbl>
    <w:p w:rsidR="006247DF" w:rsidRPr="00E7637B" w:rsidRDefault="006247DF" w:rsidP="00CA0B1F">
      <w:pPr>
        <w:suppressAutoHyphens/>
        <w:spacing w:before="120"/>
      </w:pPr>
      <w:r w:rsidRPr="00E7637B">
        <w:t xml:space="preserve">Pensionsskulden har beräknats av Statens tjänstepensionsverk (SPV). </w:t>
      </w:r>
      <w:r w:rsidR="00941249" w:rsidRPr="00F41577">
        <w:t>8</w:t>
      </w:r>
      <w:r w:rsidR="00D94FCE">
        <w:t>5</w:t>
      </w:r>
      <w:r w:rsidR="00B23FA4">
        <w:t> </w:t>
      </w:r>
      <w:r w:rsidRPr="00E7637B">
        <w:t>miljoner kronor (</w:t>
      </w:r>
      <w:r w:rsidR="00D24DF8">
        <w:t>94</w:t>
      </w:r>
      <w:r w:rsidRPr="00E7637B">
        <w:t>) avser PA</w:t>
      </w:r>
      <w:r>
        <w:t>-</w:t>
      </w:r>
      <w:r w:rsidRPr="00E7637B">
        <w:t xml:space="preserve">91-pensionärer med avgångsdag före 2003, och </w:t>
      </w:r>
      <w:r w:rsidR="00941249" w:rsidRPr="00F41577">
        <w:t>3</w:t>
      </w:r>
      <w:r w:rsidR="00D24DF8" w:rsidRPr="00E7637B">
        <w:t xml:space="preserve"> </w:t>
      </w:r>
      <w:r w:rsidRPr="00E7637B">
        <w:t>miljoner kronor (</w:t>
      </w:r>
      <w:r>
        <w:t>2</w:t>
      </w:r>
      <w:r w:rsidRPr="00E7637B">
        <w:t xml:space="preserve">) avser personer som från och med 2003 beviljats delpension alternativt pensionsersättning före 65 års ålder. Riksbanken löste per den 31 december </w:t>
      </w:r>
      <w:smartTag w:uri="urn:schemas-microsoft-com:office:smarttags" w:element="metricconverter">
        <w:smartTagPr>
          <w:attr w:name="ProductID" w:val="2002 in"/>
        </w:smartTagPr>
        <w:r w:rsidRPr="00E7637B">
          <w:t>2002 in</w:t>
        </w:r>
      </w:smartTag>
      <w:r w:rsidRPr="00E7637B">
        <w:t xml:space="preserve"> sin pensionsskuld för de personer som vid denna tidpunkt hade en anställning eller rätt till livränta hos Riksbanken. </w:t>
      </w:r>
    </w:p>
    <w:p w:rsidR="006247DF" w:rsidRDefault="006247DF" w:rsidP="006247DF">
      <w:pPr>
        <w:pStyle w:val="Normaltindrag"/>
      </w:pPr>
      <w:r w:rsidRPr="00A854E3">
        <w:t xml:space="preserve">I posten </w:t>
      </w:r>
      <w:r>
        <w:t>A</w:t>
      </w:r>
      <w:r w:rsidRPr="00A854E3">
        <w:t>vsättningar ingår även</w:t>
      </w:r>
      <w:r>
        <w:t xml:space="preserve"> </w:t>
      </w:r>
      <w:r w:rsidR="00941249" w:rsidRPr="00F41577">
        <w:t>22</w:t>
      </w:r>
      <w:r w:rsidRPr="00A854E3">
        <w:t xml:space="preserve"> miljoner kronor (</w:t>
      </w:r>
      <w:r w:rsidR="00D24DF8">
        <w:t>35</w:t>
      </w:r>
      <w:r w:rsidRPr="00A854E3">
        <w:t xml:space="preserve">) för den bedömda framtida kostnaden för skuldavskrivna sedlar som upphört att vara lagliga betalningsmedel men som Riksbanken fortfarande kan lösa in. </w:t>
      </w:r>
    </w:p>
    <w:p w:rsidR="006247DF" w:rsidRDefault="00995233" w:rsidP="00E874B0">
      <w:pPr>
        <w:pStyle w:val="Normaltindrag"/>
        <w:suppressAutoHyphens/>
      </w:pPr>
      <w:r>
        <w:t xml:space="preserve">I </w:t>
      </w:r>
      <w:r w:rsidR="00941249">
        <w:t>maj</w:t>
      </w:r>
      <w:r>
        <w:t xml:space="preserve"> 2014 avvecklades hyresavtalet för kontoret i Malmö genom att fastighetsägaren Drakaren AB övertog hyresavtalet mot</w:t>
      </w:r>
      <w:r w:rsidR="00B5138A">
        <w:t xml:space="preserve"> </w:t>
      </w:r>
      <w:r w:rsidR="00057A2D">
        <w:t xml:space="preserve">en </w:t>
      </w:r>
      <w:r w:rsidR="00B5138A">
        <w:t>ersättning som motsvarade Riksbanken</w:t>
      </w:r>
      <w:r w:rsidR="00057A2D">
        <w:t>s</w:t>
      </w:r>
      <w:r w:rsidR="00B5138A">
        <w:t xml:space="preserve"> avsättning för återstående kostnader för hyres</w:t>
      </w:r>
      <w:r w:rsidR="00E874B0">
        <w:softHyphen/>
      </w:r>
      <w:r w:rsidR="00B5138A">
        <w:t>avtalet.</w:t>
      </w:r>
    </w:p>
    <w:p w:rsidR="006247DF" w:rsidRPr="00A854E3" w:rsidRDefault="006247DF" w:rsidP="006247DF">
      <w:pPr>
        <w:pStyle w:val="Normaltindrag"/>
      </w:pPr>
      <w:r w:rsidRPr="00A854E3">
        <w:t>Posten Trygghetsstiftelsen avser avsättning för kompetensutveckling och kompetensväxling i enlighet med avtal med Trygghetsstiftelsen.</w:t>
      </w:r>
    </w:p>
    <w:p w:rsidR="006247DF" w:rsidRPr="00E7637B" w:rsidRDefault="006247DF" w:rsidP="006247DF">
      <w:pPr>
        <w:spacing w:before="187"/>
        <w:outlineLvl w:val="0"/>
        <w:rPr>
          <w:b/>
        </w:rPr>
      </w:pPr>
      <w:r w:rsidRPr="00E7637B">
        <w:rPr>
          <w:b/>
        </w:rPr>
        <w:t>Not 2</w:t>
      </w:r>
      <w:r>
        <w:rPr>
          <w:b/>
        </w:rPr>
        <w:t>5</w:t>
      </w:r>
      <w:r w:rsidRPr="00E7637B">
        <w:rPr>
          <w:b/>
        </w:rPr>
        <w:t xml:space="preserve"> Värderegleringskonton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4</w:t>
            </w:r>
            <w:r>
              <w:t>-12-31</w:t>
            </w: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3</w:t>
            </w:r>
            <w:r>
              <w:t>-12-31</w:t>
            </w:r>
          </w:p>
        </w:tc>
      </w:tr>
      <w:tr w:rsidR="001D2888" w:rsidRPr="00E7637B" w:rsidTr="006247DF">
        <w:trPr>
          <w:cantSplit/>
          <w:trHeight w:val="20"/>
        </w:trPr>
        <w:tc>
          <w:tcPr>
            <w:tcW w:w="3260" w:type="dxa"/>
            <w:tcBorders>
              <w:top w:val="single" w:sz="4" w:space="0" w:color="auto"/>
            </w:tcBorders>
          </w:tcPr>
          <w:p w:rsidR="001D2888" w:rsidRPr="00E7637B" w:rsidRDefault="001D2888" w:rsidP="006247DF">
            <w:pPr>
              <w:spacing w:line="200" w:lineRule="exact"/>
            </w:pPr>
            <w:r w:rsidRPr="00E7637B">
              <w:t>Priseffekt</w:t>
            </w:r>
          </w:p>
        </w:tc>
        <w:tc>
          <w:tcPr>
            <w:tcW w:w="1361" w:type="dxa"/>
            <w:tcBorders>
              <w:top w:val="single" w:sz="4" w:space="0" w:color="auto"/>
            </w:tcBorders>
          </w:tcPr>
          <w:p w:rsidR="001D2888" w:rsidRPr="00E7637B" w:rsidRDefault="001D2888" w:rsidP="001D2888">
            <w:pPr>
              <w:spacing w:line="200" w:lineRule="exact"/>
              <w:jc w:val="right"/>
            </w:pPr>
            <w:r>
              <w:t>9 854</w:t>
            </w:r>
          </w:p>
        </w:tc>
        <w:tc>
          <w:tcPr>
            <w:tcW w:w="1361" w:type="dxa"/>
            <w:tcBorders>
              <w:top w:val="single" w:sz="4" w:space="0" w:color="auto"/>
            </w:tcBorders>
          </w:tcPr>
          <w:p w:rsidR="001D2888" w:rsidRPr="00E7637B" w:rsidRDefault="001D2888" w:rsidP="006247DF">
            <w:pPr>
              <w:spacing w:line="200" w:lineRule="exact"/>
              <w:jc w:val="right"/>
            </w:pPr>
            <w:r>
              <w:t>3 558</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Valutakurseffekt</w:t>
            </w:r>
          </w:p>
        </w:tc>
        <w:tc>
          <w:tcPr>
            <w:tcW w:w="1361" w:type="dxa"/>
          </w:tcPr>
          <w:p w:rsidR="001D2888" w:rsidRPr="00E7637B" w:rsidRDefault="001D2888" w:rsidP="001D2888">
            <w:pPr>
              <w:spacing w:line="200" w:lineRule="exact"/>
              <w:jc w:val="right"/>
            </w:pPr>
            <w:r>
              <w:t>17 525</w:t>
            </w:r>
          </w:p>
        </w:tc>
        <w:tc>
          <w:tcPr>
            <w:tcW w:w="1361" w:type="dxa"/>
          </w:tcPr>
          <w:p w:rsidR="001D2888" w:rsidRPr="00E7637B" w:rsidRDefault="001D2888" w:rsidP="006247DF">
            <w:pPr>
              <w:spacing w:line="200" w:lineRule="exact"/>
              <w:jc w:val="right"/>
            </w:pPr>
            <w:r>
              <w:t>2 491</w:t>
            </w:r>
          </w:p>
        </w:tc>
      </w:tr>
      <w:tr w:rsidR="001D2888" w:rsidRPr="00E7637B" w:rsidTr="006247DF">
        <w:trPr>
          <w:cantSplit/>
          <w:trHeight w:val="20"/>
        </w:trPr>
        <w:tc>
          <w:tcPr>
            <w:tcW w:w="3260" w:type="dxa"/>
            <w:tcBorders>
              <w:bottom w:val="single" w:sz="4" w:space="0" w:color="auto"/>
            </w:tcBorders>
          </w:tcPr>
          <w:p w:rsidR="001D2888" w:rsidRPr="00E7637B" w:rsidRDefault="001D2888" w:rsidP="006247DF">
            <w:pPr>
              <w:spacing w:line="200" w:lineRule="exact"/>
            </w:pPr>
            <w:r w:rsidRPr="00E7637B">
              <w:t>Guldvärdeeffekt</w:t>
            </w:r>
          </w:p>
        </w:tc>
        <w:tc>
          <w:tcPr>
            <w:tcW w:w="1361" w:type="dxa"/>
            <w:tcBorders>
              <w:bottom w:val="single" w:sz="4" w:space="0" w:color="auto"/>
            </w:tcBorders>
          </w:tcPr>
          <w:p w:rsidR="001D2888" w:rsidRPr="00E7637B" w:rsidRDefault="001D2888" w:rsidP="001D2888">
            <w:pPr>
              <w:spacing w:line="200" w:lineRule="exact"/>
              <w:jc w:val="right"/>
            </w:pPr>
            <w:r>
              <w:t>25 732</w:t>
            </w:r>
          </w:p>
        </w:tc>
        <w:tc>
          <w:tcPr>
            <w:tcW w:w="1361" w:type="dxa"/>
            <w:tcBorders>
              <w:bottom w:val="single" w:sz="4" w:space="0" w:color="auto"/>
            </w:tcBorders>
          </w:tcPr>
          <w:p w:rsidR="001D2888" w:rsidRPr="00E7637B" w:rsidRDefault="001D2888" w:rsidP="006247DF">
            <w:pPr>
              <w:spacing w:line="200" w:lineRule="exact"/>
              <w:jc w:val="right"/>
            </w:pPr>
            <w:r>
              <w:t>19 628</w:t>
            </w:r>
          </w:p>
        </w:tc>
      </w:tr>
      <w:tr w:rsidR="001D2888" w:rsidRPr="00E7637B" w:rsidTr="006247DF">
        <w:trPr>
          <w:cantSplit/>
          <w:trHeight w:val="20"/>
        </w:trPr>
        <w:tc>
          <w:tcPr>
            <w:tcW w:w="3260" w:type="dxa"/>
            <w:tcBorders>
              <w:top w:val="single" w:sz="4" w:space="0" w:color="auto"/>
              <w:bottom w:val="single" w:sz="4" w:space="0" w:color="auto"/>
            </w:tcBorders>
          </w:tcPr>
          <w:p w:rsidR="001D2888" w:rsidRPr="00E7637B" w:rsidRDefault="001D2888" w:rsidP="006247DF">
            <w:pPr>
              <w:spacing w:line="200" w:lineRule="exact"/>
            </w:pPr>
            <w:r w:rsidRPr="00E7637B">
              <w:t>Summa</w:t>
            </w:r>
          </w:p>
        </w:tc>
        <w:tc>
          <w:tcPr>
            <w:tcW w:w="1361" w:type="dxa"/>
            <w:tcBorders>
              <w:top w:val="single" w:sz="4" w:space="0" w:color="auto"/>
              <w:bottom w:val="single" w:sz="4" w:space="0" w:color="auto"/>
            </w:tcBorders>
          </w:tcPr>
          <w:p w:rsidR="001D2888" w:rsidRPr="00E7637B" w:rsidRDefault="001D2888" w:rsidP="001D2888">
            <w:pPr>
              <w:spacing w:line="200" w:lineRule="exact"/>
              <w:jc w:val="right"/>
            </w:pPr>
            <w:r>
              <w:t>53 111</w:t>
            </w:r>
          </w:p>
        </w:tc>
        <w:tc>
          <w:tcPr>
            <w:tcW w:w="1361" w:type="dxa"/>
            <w:tcBorders>
              <w:top w:val="single" w:sz="4" w:space="0" w:color="auto"/>
              <w:bottom w:val="single" w:sz="4" w:space="0" w:color="auto"/>
            </w:tcBorders>
          </w:tcPr>
          <w:p w:rsidR="001D2888" w:rsidRPr="00E7637B" w:rsidRDefault="001D2888" w:rsidP="006247DF">
            <w:pPr>
              <w:spacing w:line="200" w:lineRule="exact"/>
              <w:jc w:val="right"/>
            </w:pPr>
            <w:r>
              <w:t>25 677</w:t>
            </w:r>
          </w:p>
        </w:tc>
      </w:tr>
    </w:tbl>
    <w:p w:rsidR="006247DF" w:rsidRPr="00E7637B" w:rsidRDefault="006247DF" w:rsidP="006247DF">
      <w:pPr>
        <w:spacing w:before="120"/>
      </w:pPr>
      <w:r w:rsidRPr="00E7637B">
        <w:t xml:space="preserve">På särskilda värderegleringskonton redovisas från och med 2004 orealiserade vinster och förluster som utgörs av skillnaden mellan anskaffningsvärde och marknadsvärde. Vid övergången </w:t>
      </w:r>
      <w:r w:rsidR="00E46F64">
        <w:t xml:space="preserve">till </w:t>
      </w:r>
      <w:r w:rsidRPr="00E7637B">
        <w:t>2004 beslutades att anskaffningsvärdena skulle motsvara marknadsvärdena per den 31 december 2003. Om de oreal</w:t>
      </w:r>
      <w:r w:rsidRPr="00E7637B">
        <w:t>i</w:t>
      </w:r>
      <w:r w:rsidRPr="00E7637B">
        <w:t xml:space="preserve">serade förlusterna överstiger de orealiserade vinsterna vid årets slut redovisas skillnaden i resultaträkningen. Denna beräkning </w:t>
      </w:r>
      <w:r>
        <w:t>görs</w:t>
      </w:r>
      <w:r w:rsidRPr="00E7637B">
        <w:t xml:space="preserve"> värdepapper för värd</w:t>
      </w:r>
      <w:r w:rsidRPr="00E7637B">
        <w:t>e</w:t>
      </w:r>
      <w:r w:rsidRPr="00E7637B">
        <w:t>papper och valuta för valuta.</w:t>
      </w:r>
    </w:p>
    <w:p w:rsidR="006247DF" w:rsidRPr="007019BE" w:rsidRDefault="006247DF" w:rsidP="0044728D">
      <w:pPr>
        <w:spacing w:before="0"/>
        <w:ind w:firstLine="227"/>
      </w:pPr>
      <w:r w:rsidRPr="00E7637B">
        <w:t>Priseffekten består främst av orealiserade värdepappersvinster.</w:t>
      </w:r>
      <w:r w:rsidR="00503669">
        <w:t xml:space="preserve"> </w:t>
      </w:r>
      <w:r w:rsidR="00B5138A">
        <w:t>Vid berä</w:t>
      </w:r>
      <w:r w:rsidR="00B5138A">
        <w:t>k</w:t>
      </w:r>
      <w:r w:rsidR="00B5138A">
        <w:t>ning av Riksbankens vinstdisposition justeras det redovisade resultatet med s</w:t>
      </w:r>
      <w:r w:rsidR="00503669">
        <w:t xml:space="preserve">killnaden mellan </w:t>
      </w:r>
      <w:r w:rsidR="004F4806">
        <w:t xml:space="preserve">det </w:t>
      </w:r>
      <w:r w:rsidR="00503669">
        <w:t xml:space="preserve">ingående och </w:t>
      </w:r>
      <w:r w:rsidR="004F4806">
        <w:t xml:space="preserve">det </w:t>
      </w:r>
      <w:r w:rsidR="00503669">
        <w:t>utgående värde</w:t>
      </w:r>
      <w:r w:rsidR="004F4806">
        <w:t>t</w:t>
      </w:r>
      <w:r w:rsidR="00503669">
        <w:t xml:space="preserve"> i </w:t>
      </w:r>
      <w:r w:rsidR="00B5138A">
        <w:t>p</w:t>
      </w:r>
      <w:r w:rsidR="00503669">
        <w:t>riseffekten</w:t>
      </w:r>
      <w:r w:rsidR="00B5138A">
        <w:t>.</w:t>
      </w:r>
      <w:r w:rsidR="00503669">
        <w:t xml:space="preserve"> </w:t>
      </w:r>
    </w:p>
    <w:p w:rsidR="006247DF" w:rsidRPr="00E7637B" w:rsidRDefault="006247DF" w:rsidP="0044728D">
      <w:pPr>
        <w:pageBreakBefore/>
        <w:spacing w:before="0" w:after="120"/>
      </w:pPr>
      <w:r w:rsidRPr="00E7637B">
        <w:t>Valutakurseffektens fördelning framgår av följande tabell.</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4</w:t>
            </w:r>
            <w:r>
              <w:t>-12-31</w:t>
            </w: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3</w:t>
            </w:r>
            <w:r>
              <w:t>-12-31</w:t>
            </w:r>
          </w:p>
        </w:tc>
      </w:tr>
      <w:tr w:rsidR="001D2888" w:rsidRPr="00E7637B" w:rsidTr="006247DF">
        <w:trPr>
          <w:cantSplit/>
          <w:trHeight w:val="20"/>
        </w:trPr>
        <w:tc>
          <w:tcPr>
            <w:tcW w:w="3260" w:type="dxa"/>
            <w:tcBorders>
              <w:top w:val="single" w:sz="4" w:space="0" w:color="auto"/>
            </w:tcBorders>
          </w:tcPr>
          <w:p w:rsidR="001D2888" w:rsidRPr="00E7637B" w:rsidRDefault="001D2888" w:rsidP="006247DF">
            <w:pPr>
              <w:spacing w:line="200" w:lineRule="exact"/>
            </w:pPr>
            <w:r w:rsidRPr="00E7637B">
              <w:t>Euro</w:t>
            </w:r>
          </w:p>
        </w:tc>
        <w:tc>
          <w:tcPr>
            <w:tcW w:w="1361" w:type="dxa"/>
            <w:tcBorders>
              <w:top w:val="single" w:sz="4" w:space="0" w:color="auto"/>
            </w:tcBorders>
          </w:tcPr>
          <w:p w:rsidR="001D2888" w:rsidRPr="00262BC2" w:rsidRDefault="001D2888" w:rsidP="001D2888">
            <w:pPr>
              <w:spacing w:line="200" w:lineRule="exact"/>
              <w:jc w:val="right"/>
            </w:pPr>
            <w:r>
              <w:t>7 487</w:t>
            </w:r>
          </w:p>
        </w:tc>
        <w:tc>
          <w:tcPr>
            <w:tcW w:w="1361" w:type="dxa"/>
            <w:tcBorders>
              <w:top w:val="single" w:sz="4" w:space="0" w:color="auto"/>
            </w:tcBorders>
          </w:tcPr>
          <w:p w:rsidR="001D2888" w:rsidRPr="00262BC2" w:rsidRDefault="001D2888" w:rsidP="006247DF">
            <w:pPr>
              <w:spacing w:line="200" w:lineRule="exact"/>
              <w:jc w:val="right"/>
            </w:pPr>
            <w:r>
              <w:t>2 257</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Amerikanska dollar</w:t>
            </w:r>
          </w:p>
        </w:tc>
        <w:tc>
          <w:tcPr>
            <w:tcW w:w="1361" w:type="dxa"/>
          </w:tcPr>
          <w:p w:rsidR="001D2888" w:rsidRPr="00262BC2" w:rsidRDefault="001D2888" w:rsidP="001D2888">
            <w:pPr>
              <w:spacing w:line="200" w:lineRule="exact"/>
              <w:jc w:val="right"/>
            </w:pPr>
            <w:r>
              <w:t>2 866</w:t>
            </w:r>
          </w:p>
        </w:tc>
        <w:tc>
          <w:tcPr>
            <w:tcW w:w="1361" w:type="dxa"/>
          </w:tcPr>
          <w:p w:rsidR="001D2888" w:rsidRPr="00262BC2" w:rsidRDefault="001D2888" w:rsidP="006247DF">
            <w:pPr>
              <w:spacing w:line="200" w:lineRule="exact"/>
              <w:jc w:val="right"/>
            </w:pPr>
            <w:r>
              <w:t>–</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Brittiska pund</w:t>
            </w:r>
          </w:p>
        </w:tc>
        <w:tc>
          <w:tcPr>
            <w:tcW w:w="1361" w:type="dxa"/>
          </w:tcPr>
          <w:p w:rsidR="001D2888" w:rsidRPr="00262BC2" w:rsidRDefault="001D2888" w:rsidP="001D2888">
            <w:pPr>
              <w:spacing w:line="200" w:lineRule="exact"/>
              <w:jc w:val="right"/>
            </w:pPr>
            <w:r>
              <w:t>2 637</w:t>
            </w:r>
          </w:p>
        </w:tc>
        <w:tc>
          <w:tcPr>
            <w:tcW w:w="1361" w:type="dxa"/>
          </w:tcPr>
          <w:p w:rsidR="001D2888" w:rsidRPr="00262BC2" w:rsidRDefault="001D2888" w:rsidP="006247DF">
            <w:pPr>
              <w:spacing w:line="200" w:lineRule="exact"/>
              <w:jc w:val="right"/>
            </w:pPr>
            <w:r>
              <w:t>234</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Australiska dollar</w:t>
            </w:r>
          </w:p>
        </w:tc>
        <w:tc>
          <w:tcPr>
            <w:tcW w:w="1361" w:type="dxa"/>
          </w:tcPr>
          <w:p w:rsidR="001D2888" w:rsidRPr="00E7637B" w:rsidRDefault="001D2888" w:rsidP="001D2888">
            <w:pPr>
              <w:spacing w:line="200" w:lineRule="exact"/>
              <w:jc w:val="right"/>
            </w:pPr>
            <w:r>
              <w:t>2 012</w:t>
            </w:r>
          </w:p>
        </w:tc>
        <w:tc>
          <w:tcPr>
            <w:tcW w:w="1361" w:type="dxa"/>
          </w:tcPr>
          <w:p w:rsidR="001D2888" w:rsidRPr="00E7637B" w:rsidRDefault="001D2888" w:rsidP="006247DF">
            <w:pPr>
              <w:spacing w:line="200" w:lineRule="exact"/>
              <w:jc w:val="right"/>
            </w:pPr>
            <w:r>
              <w:t>–</w:t>
            </w:r>
          </w:p>
        </w:tc>
      </w:tr>
      <w:tr w:rsidR="001D2888" w:rsidRPr="00E7637B" w:rsidTr="006247DF">
        <w:trPr>
          <w:cantSplit/>
          <w:trHeight w:val="20"/>
        </w:trPr>
        <w:tc>
          <w:tcPr>
            <w:tcW w:w="3260" w:type="dxa"/>
          </w:tcPr>
          <w:p w:rsidR="001D2888" w:rsidRPr="00B51C85" w:rsidRDefault="001D2888" w:rsidP="006247DF">
            <w:pPr>
              <w:spacing w:line="200" w:lineRule="exact"/>
            </w:pPr>
            <w:r w:rsidRPr="00B51C85">
              <w:t>Kanadensiska dollar</w:t>
            </w:r>
          </w:p>
        </w:tc>
        <w:tc>
          <w:tcPr>
            <w:tcW w:w="1361" w:type="dxa"/>
          </w:tcPr>
          <w:p w:rsidR="001D2888" w:rsidRPr="0030226B" w:rsidRDefault="001D2888" w:rsidP="001D2888">
            <w:pPr>
              <w:spacing w:line="200" w:lineRule="exact"/>
              <w:jc w:val="right"/>
            </w:pPr>
            <w:r>
              <w:t>1 366</w:t>
            </w:r>
          </w:p>
        </w:tc>
        <w:tc>
          <w:tcPr>
            <w:tcW w:w="1361" w:type="dxa"/>
          </w:tcPr>
          <w:p w:rsidR="001D2888" w:rsidRPr="0030226B" w:rsidRDefault="001D2888" w:rsidP="006247DF">
            <w:pPr>
              <w:spacing w:line="200" w:lineRule="exact"/>
              <w:jc w:val="right"/>
            </w:pPr>
            <w:r>
              <w:t>–</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 xml:space="preserve">Särskilda dragningsrätter </w:t>
            </w:r>
          </w:p>
        </w:tc>
        <w:tc>
          <w:tcPr>
            <w:tcW w:w="1361" w:type="dxa"/>
          </w:tcPr>
          <w:p w:rsidR="001D2888" w:rsidRPr="00E7637B" w:rsidRDefault="001D2888" w:rsidP="001D2888">
            <w:pPr>
              <w:spacing w:line="200" w:lineRule="exact"/>
              <w:jc w:val="right"/>
            </w:pPr>
            <w:r>
              <w:t>1 157</w:t>
            </w:r>
          </w:p>
        </w:tc>
        <w:tc>
          <w:tcPr>
            <w:tcW w:w="1361" w:type="dxa"/>
          </w:tcPr>
          <w:p w:rsidR="001D2888" w:rsidRPr="00E7637B" w:rsidRDefault="001D2888" w:rsidP="006247DF">
            <w:pPr>
              <w:spacing w:line="200" w:lineRule="exact"/>
              <w:jc w:val="right"/>
            </w:pPr>
            <w:r>
              <w:t>–</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Norska kronor</w:t>
            </w:r>
          </w:p>
        </w:tc>
        <w:tc>
          <w:tcPr>
            <w:tcW w:w="1361" w:type="dxa"/>
          </w:tcPr>
          <w:p w:rsidR="001D2888" w:rsidRPr="00E7637B" w:rsidRDefault="001D2888" w:rsidP="006247DF">
            <w:pPr>
              <w:spacing w:line="200" w:lineRule="exact"/>
              <w:jc w:val="right"/>
            </w:pPr>
            <w:r>
              <w:t>–</w:t>
            </w:r>
          </w:p>
        </w:tc>
        <w:tc>
          <w:tcPr>
            <w:tcW w:w="1361" w:type="dxa"/>
          </w:tcPr>
          <w:p w:rsidR="001D2888" w:rsidRPr="00E7637B" w:rsidRDefault="001D2888" w:rsidP="006247DF">
            <w:pPr>
              <w:spacing w:line="200" w:lineRule="exact"/>
              <w:jc w:val="right"/>
            </w:pPr>
            <w:r>
              <w:t>–</w:t>
            </w:r>
          </w:p>
        </w:tc>
      </w:tr>
      <w:tr w:rsidR="001D2888" w:rsidRPr="00E7637B" w:rsidTr="006247DF">
        <w:trPr>
          <w:cantSplit/>
          <w:trHeight w:val="20"/>
        </w:trPr>
        <w:tc>
          <w:tcPr>
            <w:tcW w:w="3260" w:type="dxa"/>
            <w:tcBorders>
              <w:top w:val="single" w:sz="4" w:space="0" w:color="auto"/>
              <w:bottom w:val="single" w:sz="4" w:space="0" w:color="auto"/>
            </w:tcBorders>
            <w:vAlign w:val="center"/>
          </w:tcPr>
          <w:p w:rsidR="001D2888" w:rsidRPr="00E7637B" w:rsidRDefault="001D2888" w:rsidP="006247DF">
            <w:pPr>
              <w:spacing w:line="200" w:lineRule="exact"/>
            </w:pPr>
            <w:r w:rsidRPr="00E7637B">
              <w:t>Summa</w:t>
            </w:r>
          </w:p>
        </w:tc>
        <w:tc>
          <w:tcPr>
            <w:tcW w:w="1361" w:type="dxa"/>
            <w:tcBorders>
              <w:top w:val="single" w:sz="4" w:space="0" w:color="auto"/>
              <w:bottom w:val="single" w:sz="4" w:space="0" w:color="auto"/>
            </w:tcBorders>
            <w:vAlign w:val="center"/>
          </w:tcPr>
          <w:p w:rsidR="001D2888" w:rsidRPr="00E7637B" w:rsidRDefault="001D2888" w:rsidP="001D2888">
            <w:pPr>
              <w:spacing w:line="200" w:lineRule="exact"/>
              <w:jc w:val="right"/>
            </w:pPr>
            <w:r>
              <w:t>17 525</w:t>
            </w:r>
          </w:p>
        </w:tc>
        <w:tc>
          <w:tcPr>
            <w:tcW w:w="1361" w:type="dxa"/>
            <w:tcBorders>
              <w:top w:val="single" w:sz="4" w:space="0" w:color="auto"/>
              <w:bottom w:val="single" w:sz="4" w:space="0" w:color="auto"/>
            </w:tcBorders>
            <w:vAlign w:val="center"/>
          </w:tcPr>
          <w:p w:rsidR="001D2888" w:rsidRPr="00E7637B" w:rsidRDefault="001D2888" w:rsidP="006247DF">
            <w:pPr>
              <w:spacing w:line="200" w:lineRule="exact"/>
              <w:jc w:val="right"/>
            </w:pPr>
            <w:r>
              <w:t>2 491</w:t>
            </w:r>
          </w:p>
        </w:tc>
      </w:tr>
    </w:tbl>
    <w:p w:rsidR="006247DF" w:rsidRPr="00E7637B" w:rsidRDefault="006247DF" w:rsidP="006247DF">
      <w:pPr>
        <w:spacing w:before="187"/>
        <w:outlineLvl w:val="0"/>
        <w:rPr>
          <w:b/>
        </w:rPr>
      </w:pPr>
      <w:r w:rsidRPr="00E7637B">
        <w:rPr>
          <w:b/>
        </w:rPr>
        <w:t>Not 2</w:t>
      </w:r>
      <w:r>
        <w:rPr>
          <w:b/>
        </w:rPr>
        <w:t>6</w:t>
      </w:r>
      <w:r w:rsidRPr="00E7637B">
        <w:rPr>
          <w:b/>
        </w:rPr>
        <w:t xml:space="preserve"> Grundfond</w:t>
      </w:r>
    </w:p>
    <w:p w:rsidR="006247DF" w:rsidRPr="00E7637B" w:rsidRDefault="006247DF" w:rsidP="006247DF">
      <w:r w:rsidRPr="00E7637B">
        <w:t>Riksbanken ska enligt riksbankslagen ha en grundfond som uppgår till 1 000 miljoner kronor.</w:t>
      </w:r>
    </w:p>
    <w:p w:rsidR="006247DF" w:rsidRPr="00E7637B" w:rsidRDefault="006247DF" w:rsidP="006247DF">
      <w:pPr>
        <w:spacing w:before="187"/>
        <w:outlineLvl w:val="0"/>
        <w:rPr>
          <w:b/>
        </w:rPr>
      </w:pPr>
      <w:r w:rsidRPr="00E7637B">
        <w:rPr>
          <w:b/>
        </w:rPr>
        <w:t>Not 2</w:t>
      </w:r>
      <w:r>
        <w:rPr>
          <w:b/>
        </w:rPr>
        <w:t>7</w:t>
      </w:r>
      <w:r w:rsidRPr="00E7637B">
        <w:rPr>
          <w:b/>
        </w:rPr>
        <w:t xml:space="preserve"> Reserver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4</w:t>
            </w:r>
            <w:r>
              <w:t>-12-31</w:t>
            </w:r>
          </w:p>
        </w:tc>
        <w:tc>
          <w:tcPr>
            <w:tcW w:w="1361" w:type="dxa"/>
            <w:tcBorders>
              <w:top w:val="single" w:sz="4" w:space="0" w:color="auto"/>
            </w:tcBorders>
            <w:vAlign w:val="center"/>
          </w:tcPr>
          <w:p w:rsidR="006247DF" w:rsidRPr="00E7637B" w:rsidRDefault="006247DF" w:rsidP="001D2888">
            <w:pPr>
              <w:spacing w:line="200" w:lineRule="exact"/>
              <w:jc w:val="right"/>
            </w:pPr>
            <w:r>
              <w:t>201</w:t>
            </w:r>
            <w:r w:rsidR="001D2888">
              <w:t>3</w:t>
            </w:r>
            <w:r>
              <w:t>-12-31</w:t>
            </w:r>
          </w:p>
        </w:tc>
      </w:tr>
      <w:tr w:rsidR="001D2888" w:rsidRPr="00E7637B" w:rsidTr="006247DF">
        <w:trPr>
          <w:cantSplit/>
          <w:trHeight w:val="20"/>
        </w:trPr>
        <w:tc>
          <w:tcPr>
            <w:tcW w:w="3260" w:type="dxa"/>
            <w:tcBorders>
              <w:top w:val="single" w:sz="4" w:space="0" w:color="auto"/>
            </w:tcBorders>
          </w:tcPr>
          <w:p w:rsidR="001D2888" w:rsidRPr="00E7637B" w:rsidRDefault="001D2888" w:rsidP="006247DF">
            <w:pPr>
              <w:spacing w:line="200" w:lineRule="exact"/>
            </w:pPr>
            <w:r w:rsidRPr="00E7637B">
              <w:t>Reservfond</w:t>
            </w:r>
          </w:p>
        </w:tc>
        <w:tc>
          <w:tcPr>
            <w:tcW w:w="1361" w:type="dxa"/>
            <w:tcBorders>
              <w:top w:val="single" w:sz="4" w:space="0" w:color="auto"/>
            </w:tcBorders>
          </w:tcPr>
          <w:p w:rsidR="001D2888" w:rsidRPr="00E7637B" w:rsidRDefault="001D2888" w:rsidP="006247DF">
            <w:pPr>
              <w:spacing w:line="200" w:lineRule="exact"/>
              <w:jc w:val="right"/>
            </w:pPr>
            <w:r>
              <w:t>500</w:t>
            </w:r>
          </w:p>
        </w:tc>
        <w:tc>
          <w:tcPr>
            <w:tcW w:w="1361" w:type="dxa"/>
            <w:tcBorders>
              <w:top w:val="single" w:sz="4" w:space="0" w:color="auto"/>
            </w:tcBorders>
          </w:tcPr>
          <w:p w:rsidR="001D2888" w:rsidRPr="00E7637B" w:rsidRDefault="001D2888" w:rsidP="006247DF">
            <w:pPr>
              <w:spacing w:line="200" w:lineRule="exact"/>
              <w:jc w:val="right"/>
            </w:pPr>
            <w:r>
              <w:t>500</w:t>
            </w:r>
          </w:p>
        </w:tc>
      </w:tr>
      <w:tr w:rsidR="001D2888" w:rsidRPr="00E7637B" w:rsidTr="006247DF">
        <w:trPr>
          <w:cantSplit/>
          <w:trHeight w:val="20"/>
        </w:trPr>
        <w:tc>
          <w:tcPr>
            <w:tcW w:w="3260" w:type="dxa"/>
          </w:tcPr>
          <w:p w:rsidR="001D2888" w:rsidRPr="00E7637B" w:rsidRDefault="001D2888" w:rsidP="006247DF">
            <w:pPr>
              <w:spacing w:line="200" w:lineRule="exact"/>
            </w:pPr>
            <w:r w:rsidRPr="00E7637B">
              <w:t>Dispositionsfond</w:t>
            </w:r>
          </w:p>
        </w:tc>
        <w:tc>
          <w:tcPr>
            <w:tcW w:w="1361" w:type="dxa"/>
          </w:tcPr>
          <w:p w:rsidR="001D2888" w:rsidRPr="00E7637B" w:rsidRDefault="00EC21F4" w:rsidP="00EC21F4">
            <w:pPr>
              <w:spacing w:line="200" w:lineRule="exact"/>
              <w:jc w:val="right"/>
            </w:pPr>
            <w:r>
              <w:t>29</w:t>
            </w:r>
            <w:r w:rsidR="001D2888">
              <w:t xml:space="preserve"> </w:t>
            </w:r>
            <w:r>
              <w:t>569</w:t>
            </w:r>
          </w:p>
        </w:tc>
        <w:tc>
          <w:tcPr>
            <w:tcW w:w="1361" w:type="dxa"/>
          </w:tcPr>
          <w:p w:rsidR="001D2888" w:rsidRPr="00E7637B" w:rsidRDefault="001D2888" w:rsidP="006247DF">
            <w:pPr>
              <w:spacing w:line="200" w:lineRule="exact"/>
              <w:jc w:val="right"/>
            </w:pPr>
            <w:r>
              <w:t>32 632</w:t>
            </w:r>
          </w:p>
        </w:tc>
      </w:tr>
      <w:tr w:rsidR="001D2888" w:rsidRPr="00E7637B" w:rsidTr="006247DF">
        <w:trPr>
          <w:cantSplit/>
          <w:trHeight w:val="20"/>
        </w:trPr>
        <w:tc>
          <w:tcPr>
            <w:tcW w:w="3260" w:type="dxa"/>
            <w:tcBorders>
              <w:bottom w:val="single" w:sz="4" w:space="0" w:color="auto"/>
            </w:tcBorders>
          </w:tcPr>
          <w:p w:rsidR="001D2888" w:rsidRPr="00E7637B" w:rsidRDefault="001D2888" w:rsidP="006247DF">
            <w:pPr>
              <w:spacing w:line="200" w:lineRule="exact"/>
            </w:pPr>
            <w:r w:rsidRPr="00E7637B">
              <w:t>Resultatutjämningsfond</w:t>
            </w:r>
          </w:p>
        </w:tc>
        <w:tc>
          <w:tcPr>
            <w:tcW w:w="1361" w:type="dxa"/>
            <w:tcBorders>
              <w:bottom w:val="single" w:sz="4" w:space="0" w:color="auto"/>
            </w:tcBorders>
          </w:tcPr>
          <w:p w:rsidR="001D2888" w:rsidRPr="00E7637B" w:rsidRDefault="001D2888" w:rsidP="00EC21F4">
            <w:pPr>
              <w:spacing w:line="200" w:lineRule="exact"/>
              <w:jc w:val="right"/>
            </w:pPr>
            <w:r>
              <w:t>2</w:t>
            </w:r>
            <w:r w:rsidR="00EC21F4">
              <w:t>1</w:t>
            </w:r>
            <w:r>
              <w:t xml:space="preserve"> </w:t>
            </w:r>
            <w:r w:rsidR="00EC21F4">
              <w:t>961</w:t>
            </w:r>
          </w:p>
        </w:tc>
        <w:tc>
          <w:tcPr>
            <w:tcW w:w="1361" w:type="dxa"/>
            <w:tcBorders>
              <w:bottom w:val="single" w:sz="4" w:space="0" w:color="auto"/>
            </w:tcBorders>
          </w:tcPr>
          <w:p w:rsidR="001D2888" w:rsidRPr="00E7637B" w:rsidRDefault="001D2888" w:rsidP="006247DF">
            <w:pPr>
              <w:spacing w:line="200" w:lineRule="exact"/>
              <w:jc w:val="right"/>
            </w:pPr>
            <w:r>
              <w:t>24 209</w:t>
            </w:r>
          </w:p>
        </w:tc>
      </w:tr>
      <w:tr w:rsidR="001D2888" w:rsidRPr="00E7637B" w:rsidTr="006247DF">
        <w:trPr>
          <w:cantSplit/>
          <w:trHeight w:val="20"/>
        </w:trPr>
        <w:tc>
          <w:tcPr>
            <w:tcW w:w="3260" w:type="dxa"/>
            <w:tcBorders>
              <w:top w:val="single" w:sz="4" w:space="0" w:color="auto"/>
              <w:bottom w:val="single" w:sz="4" w:space="0" w:color="auto"/>
            </w:tcBorders>
          </w:tcPr>
          <w:p w:rsidR="001D2888" w:rsidRPr="00E7637B" w:rsidRDefault="001D2888" w:rsidP="006247DF">
            <w:pPr>
              <w:spacing w:line="200" w:lineRule="exact"/>
            </w:pPr>
            <w:r w:rsidRPr="00E7637B">
              <w:t>Summa</w:t>
            </w:r>
          </w:p>
        </w:tc>
        <w:tc>
          <w:tcPr>
            <w:tcW w:w="1361" w:type="dxa"/>
            <w:tcBorders>
              <w:top w:val="single" w:sz="4" w:space="0" w:color="auto"/>
              <w:bottom w:val="single" w:sz="4" w:space="0" w:color="auto"/>
            </w:tcBorders>
          </w:tcPr>
          <w:p w:rsidR="001D2888" w:rsidRPr="00E7637B" w:rsidRDefault="001D2888" w:rsidP="00EC21F4">
            <w:pPr>
              <w:spacing w:line="200" w:lineRule="exact"/>
              <w:jc w:val="right"/>
            </w:pPr>
            <w:r>
              <w:t>5</w:t>
            </w:r>
            <w:r w:rsidR="00EC21F4">
              <w:t>2</w:t>
            </w:r>
            <w:r>
              <w:t xml:space="preserve"> </w:t>
            </w:r>
            <w:r w:rsidR="00EC21F4">
              <w:t>030</w:t>
            </w:r>
          </w:p>
        </w:tc>
        <w:tc>
          <w:tcPr>
            <w:tcW w:w="1361" w:type="dxa"/>
            <w:tcBorders>
              <w:top w:val="single" w:sz="4" w:space="0" w:color="auto"/>
              <w:bottom w:val="single" w:sz="4" w:space="0" w:color="auto"/>
            </w:tcBorders>
          </w:tcPr>
          <w:p w:rsidR="001D2888" w:rsidRPr="00E7637B" w:rsidRDefault="001D2888" w:rsidP="006247DF">
            <w:pPr>
              <w:spacing w:line="200" w:lineRule="exact"/>
              <w:jc w:val="right"/>
            </w:pPr>
            <w:r>
              <w:t>57 341</w:t>
            </w:r>
          </w:p>
        </w:tc>
      </w:tr>
    </w:tbl>
    <w:p w:rsidR="006247DF" w:rsidRPr="00E7637B" w:rsidRDefault="006247DF" w:rsidP="006247DF">
      <w:pPr>
        <w:spacing w:before="120"/>
      </w:pPr>
      <w:r w:rsidRPr="00E7637B">
        <w:t xml:space="preserve">Riksbanken ska enligt riksbankslagen ha en reservfond som uppgår till 500 miljoner kronor och en dispositionsfond. </w:t>
      </w:r>
    </w:p>
    <w:p w:rsidR="006247DF" w:rsidRPr="00A854E3" w:rsidRDefault="006247DF" w:rsidP="0044728D">
      <w:pPr>
        <w:pStyle w:val="Normaltindrag"/>
        <w:suppressAutoHyphens/>
      </w:pPr>
      <w:r w:rsidRPr="00A854E3">
        <w:t>Dispositionsfonden och resultatutjämningsfonden används sedan 1988 enligt riktlinjerna för Riksbankens vinstdisposition som fastställdes samma år. Därutöver har dispositionsfonden använts till att föra uppskrivningsbelopp vid uppskrivning av tillgångar. Riksbankens guldinnehav skrevs upp till mark</w:t>
      </w:r>
      <w:r w:rsidR="00B23FA4">
        <w:softHyphen/>
      </w:r>
      <w:r w:rsidRPr="00A854E3">
        <w:t>nadsvärdet den 31 december 1998, och anläggningstillgångarna aktiverades i balansräkningen 1994 till anskaffningsvärdet minskat med avskrivningar. Under 201</w:t>
      </w:r>
      <w:r w:rsidR="00EC21F4">
        <w:t>4</w:t>
      </w:r>
      <w:r w:rsidRPr="00A854E3">
        <w:t xml:space="preserve"> har </w:t>
      </w:r>
      <w:r>
        <w:t xml:space="preserve">omföring gjorts från </w:t>
      </w:r>
      <w:r w:rsidRPr="005240F3">
        <w:t>delposten</w:t>
      </w:r>
      <w:r>
        <w:t xml:space="preserve"> </w:t>
      </w:r>
      <w:r w:rsidRPr="00A854E3">
        <w:t>uppskrivning av anläggnings</w:t>
      </w:r>
      <w:r w:rsidR="00B23FA4">
        <w:softHyphen/>
      </w:r>
      <w:r w:rsidRPr="00A854E3">
        <w:t xml:space="preserve">tillgångar till vinstdisposition med </w:t>
      </w:r>
      <w:r w:rsidR="004F0ED9">
        <w:t>2</w:t>
      </w:r>
      <w:r w:rsidRPr="00A854E3">
        <w:t> miljoner kronor</w:t>
      </w:r>
      <w:r>
        <w:t xml:space="preserve"> </w:t>
      </w:r>
      <w:r w:rsidRPr="00A854E3">
        <w:t>(</w:t>
      </w:r>
      <w:r w:rsidR="00EC21F4">
        <w:t>2</w:t>
      </w:r>
      <w:r w:rsidRPr="00A854E3">
        <w:t xml:space="preserve">) till följd av årets avyttringar och avskrivningar av de uppskrivna tillgångarna. Värdet på BIS-aktierna skrevs upp 1996 för att motsvara marknadsvärdet på det guld som erlades som likvid för aktietilldelningen samma år. </w:t>
      </w:r>
    </w:p>
    <w:p w:rsidR="006247DF" w:rsidRPr="00E7637B" w:rsidRDefault="006247DF" w:rsidP="0044728D">
      <w:pPr>
        <w:pageBreakBefore/>
        <w:spacing w:before="120" w:after="120"/>
      </w:pPr>
      <w:r w:rsidRPr="00E7637B">
        <w:t>Dessa dispositioner och uppskrivningar framgår av tabellen nedan.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Pr>
        <w:tc>
          <w:tcPr>
            <w:tcW w:w="3260" w:type="dxa"/>
            <w:tcBorders>
              <w:top w:val="single" w:sz="4" w:space="0" w:color="auto"/>
              <w:bottom w:val="single" w:sz="4" w:space="0" w:color="auto"/>
            </w:tcBorders>
          </w:tcPr>
          <w:p w:rsidR="006247DF" w:rsidRPr="00E7637B" w:rsidRDefault="006247DF" w:rsidP="006247DF">
            <w:pPr>
              <w:spacing w:line="200" w:lineRule="atLeast"/>
            </w:pPr>
          </w:p>
        </w:tc>
        <w:tc>
          <w:tcPr>
            <w:tcW w:w="1361" w:type="dxa"/>
            <w:tcBorders>
              <w:top w:val="single" w:sz="4" w:space="0" w:color="auto"/>
              <w:bottom w:val="single" w:sz="4" w:space="0" w:color="auto"/>
            </w:tcBorders>
            <w:vAlign w:val="center"/>
          </w:tcPr>
          <w:p w:rsidR="006247DF" w:rsidRPr="00E7637B" w:rsidRDefault="006247DF" w:rsidP="00EC21F4">
            <w:pPr>
              <w:spacing w:line="200" w:lineRule="atLeast"/>
              <w:jc w:val="right"/>
            </w:pPr>
            <w:r>
              <w:t>201</w:t>
            </w:r>
            <w:r w:rsidR="00EC21F4">
              <w:t>4</w:t>
            </w:r>
            <w:r>
              <w:t>-12-31</w:t>
            </w:r>
          </w:p>
        </w:tc>
        <w:tc>
          <w:tcPr>
            <w:tcW w:w="1361" w:type="dxa"/>
            <w:tcBorders>
              <w:top w:val="single" w:sz="4" w:space="0" w:color="auto"/>
              <w:bottom w:val="single" w:sz="4" w:space="0" w:color="auto"/>
            </w:tcBorders>
            <w:vAlign w:val="center"/>
          </w:tcPr>
          <w:p w:rsidR="006247DF" w:rsidRPr="00E7637B" w:rsidRDefault="006247DF" w:rsidP="00EC21F4">
            <w:pPr>
              <w:spacing w:line="200" w:lineRule="atLeast"/>
              <w:jc w:val="right"/>
            </w:pPr>
            <w:r>
              <w:t>201</w:t>
            </w:r>
            <w:r w:rsidR="00EC21F4">
              <w:t>3</w:t>
            </w:r>
            <w:r>
              <w:t>-12-31</w:t>
            </w:r>
          </w:p>
        </w:tc>
      </w:tr>
      <w:tr w:rsidR="006247DF" w:rsidRPr="00E7637B" w:rsidTr="006247DF">
        <w:trPr>
          <w:cantSplit/>
        </w:trPr>
        <w:tc>
          <w:tcPr>
            <w:tcW w:w="3260" w:type="dxa"/>
            <w:tcBorders>
              <w:top w:val="single" w:sz="4" w:space="0" w:color="auto"/>
            </w:tcBorders>
          </w:tcPr>
          <w:p w:rsidR="006247DF" w:rsidRPr="00E7637B" w:rsidRDefault="006247DF" w:rsidP="006247DF">
            <w:pPr>
              <w:spacing w:line="200" w:lineRule="atLeast"/>
              <w:rPr>
                <w:i/>
              </w:rPr>
            </w:pPr>
            <w:r w:rsidRPr="00E7637B">
              <w:rPr>
                <w:i/>
              </w:rPr>
              <w:t>Vinstdisposition:</w:t>
            </w:r>
          </w:p>
        </w:tc>
        <w:tc>
          <w:tcPr>
            <w:tcW w:w="1361" w:type="dxa"/>
            <w:tcBorders>
              <w:top w:val="single" w:sz="4" w:space="0" w:color="auto"/>
            </w:tcBorders>
          </w:tcPr>
          <w:p w:rsidR="006247DF" w:rsidRPr="00E7637B" w:rsidRDefault="006247DF" w:rsidP="006247DF">
            <w:pPr>
              <w:spacing w:line="200" w:lineRule="atLeast"/>
            </w:pPr>
          </w:p>
        </w:tc>
        <w:tc>
          <w:tcPr>
            <w:tcW w:w="1361" w:type="dxa"/>
            <w:tcBorders>
              <w:top w:val="single" w:sz="4" w:space="0" w:color="auto"/>
            </w:tcBorders>
          </w:tcPr>
          <w:p w:rsidR="006247DF" w:rsidRPr="00E7637B" w:rsidRDefault="006247DF" w:rsidP="006247DF">
            <w:pPr>
              <w:spacing w:line="200" w:lineRule="atLeast"/>
            </w:pPr>
          </w:p>
        </w:tc>
      </w:tr>
      <w:tr w:rsidR="00EC21F4" w:rsidRPr="00E7637B" w:rsidTr="006247DF">
        <w:trPr>
          <w:cantSplit/>
        </w:trPr>
        <w:tc>
          <w:tcPr>
            <w:tcW w:w="3260" w:type="dxa"/>
          </w:tcPr>
          <w:p w:rsidR="00EC21F4" w:rsidRPr="00E7637B" w:rsidRDefault="00EC21F4" w:rsidP="006247DF">
            <w:pPr>
              <w:spacing w:line="200" w:lineRule="atLeast"/>
            </w:pPr>
            <w:r w:rsidRPr="00E7637B">
              <w:t xml:space="preserve">     Valutakurseffekt</w:t>
            </w:r>
          </w:p>
        </w:tc>
        <w:tc>
          <w:tcPr>
            <w:tcW w:w="1361" w:type="dxa"/>
          </w:tcPr>
          <w:p w:rsidR="00EC21F4" w:rsidRPr="00E7637B" w:rsidRDefault="00EC21F4" w:rsidP="00EC21F4">
            <w:pPr>
              <w:spacing w:line="200" w:lineRule="atLeast"/>
              <w:jc w:val="right"/>
            </w:pPr>
            <w:r>
              <w:t>–3 510</w:t>
            </w:r>
          </w:p>
        </w:tc>
        <w:tc>
          <w:tcPr>
            <w:tcW w:w="1361" w:type="dxa"/>
          </w:tcPr>
          <w:p w:rsidR="00EC21F4" w:rsidRPr="00E7637B" w:rsidRDefault="00EC21F4" w:rsidP="006247DF">
            <w:pPr>
              <w:spacing w:line="200" w:lineRule="atLeast"/>
              <w:jc w:val="right"/>
            </w:pPr>
            <w:r>
              <w:t>–447</w:t>
            </w:r>
          </w:p>
        </w:tc>
      </w:tr>
      <w:tr w:rsidR="00EC21F4" w:rsidRPr="00E7637B" w:rsidTr="006247DF">
        <w:trPr>
          <w:cantSplit/>
        </w:trPr>
        <w:tc>
          <w:tcPr>
            <w:tcW w:w="3260" w:type="dxa"/>
          </w:tcPr>
          <w:p w:rsidR="00EC21F4" w:rsidRPr="00E7637B" w:rsidRDefault="00EC21F4" w:rsidP="006247DF">
            <w:pPr>
              <w:spacing w:line="200" w:lineRule="atLeast"/>
            </w:pPr>
            <w:r w:rsidRPr="00E7637B">
              <w:t xml:space="preserve">     Guldvärdeeffekt</w:t>
            </w:r>
          </w:p>
        </w:tc>
        <w:tc>
          <w:tcPr>
            <w:tcW w:w="1361" w:type="dxa"/>
          </w:tcPr>
          <w:p w:rsidR="00EC21F4" w:rsidRPr="00E7637B" w:rsidRDefault="00EC21F4" w:rsidP="006247DF">
            <w:pPr>
              <w:spacing w:line="200" w:lineRule="atLeast"/>
              <w:jc w:val="right"/>
            </w:pPr>
            <w:r>
              <w:t>7 356</w:t>
            </w:r>
          </w:p>
        </w:tc>
        <w:tc>
          <w:tcPr>
            <w:tcW w:w="1361" w:type="dxa"/>
          </w:tcPr>
          <w:p w:rsidR="00EC21F4" w:rsidRPr="00E7637B" w:rsidRDefault="00EC21F4" w:rsidP="006247DF">
            <w:pPr>
              <w:spacing w:line="200" w:lineRule="atLeast"/>
              <w:jc w:val="right"/>
            </w:pPr>
            <w:r>
              <w:t>7 356</w:t>
            </w:r>
          </w:p>
        </w:tc>
      </w:tr>
      <w:tr w:rsidR="00EC21F4" w:rsidRPr="00E7637B" w:rsidTr="006247DF">
        <w:trPr>
          <w:cantSplit/>
        </w:trPr>
        <w:tc>
          <w:tcPr>
            <w:tcW w:w="3260" w:type="dxa"/>
          </w:tcPr>
          <w:p w:rsidR="00EC21F4" w:rsidRPr="00E7637B" w:rsidRDefault="00EC21F4" w:rsidP="006247DF">
            <w:pPr>
              <w:spacing w:line="200" w:lineRule="atLeast"/>
            </w:pPr>
            <w:r w:rsidRPr="00E7637B">
              <w:t xml:space="preserve">     Övrig vinstdisposition</w:t>
            </w:r>
          </w:p>
        </w:tc>
        <w:tc>
          <w:tcPr>
            <w:tcW w:w="1361" w:type="dxa"/>
          </w:tcPr>
          <w:p w:rsidR="00EC21F4" w:rsidRPr="00E7637B" w:rsidRDefault="00EC21F4" w:rsidP="006247DF">
            <w:pPr>
              <w:spacing w:line="200" w:lineRule="atLeast"/>
              <w:jc w:val="right"/>
            </w:pPr>
            <w:r>
              <w:t>16 78</w:t>
            </w:r>
            <w:r w:rsidR="00683465">
              <w:t>9</w:t>
            </w:r>
          </w:p>
        </w:tc>
        <w:tc>
          <w:tcPr>
            <w:tcW w:w="1361" w:type="dxa"/>
          </w:tcPr>
          <w:p w:rsidR="00EC21F4" w:rsidRPr="00E7637B" w:rsidRDefault="00EC21F4" w:rsidP="006247DF">
            <w:pPr>
              <w:spacing w:line="200" w:lineRule="atLeast"/>
              <w:jc w:val="right"/>
            </w:pPr>
            <w:r>
              <w:t>16 787</w:t>
            </w:r>
          </w:p>
        </w:tc>
      </w:tr>
      <w:tr w:rsidR="00EC21F4" w:rsidRPr="00E7637B" w:rsidTr="006247DF">
        <w:trPr>
          <w:cantSplit/>
        </w:trPr>
        <w:tc>
          <w:tcPr>
            <w:tcW w:w="3260" w:type="dxa"/>
          </w:tcPr>
          <w:p w:rsidR="00EC21F4" w:rsidRPr="00E7637B" w:rsidRDefault="00EC21F4" w:rsidP="006247DF">
            <w:pPr>
              <w:spacing w:line="200" w:lineRule="atLeast"/>
              <w:rPr>
                <w:i/>
              </w:rPr>
            </w:pPr>
            <w:r w:rsidRPr="00E7637B">
              <w:rPr>
                <w:i/>
              </w:rPr>
              <w:t>Uppskrivning av tillgångar:</w:t>
            </w:r>
          </w:p>
        </w:tc>
        <w:tc>
          <w:tcPr>
            <w:tcW w:w="1361" w:type="dxa"/>
          </w:tcPr>
          <w:p w:rsidR="00EC21F4" w:rsidRPr="00E7637B" w:rsidRDefault="00EC21F4" w:rsidP="006247DF">
            <w:pPr>
              <w:spacing w:line="200" w:lineRule="atLeast"/>
              <w:jc w:val="right"/>
            </w:pPr>
          </w:p>
        </w:tc>
        <w:tc>
          <w:tcPr>
            <w:tcW w:w="1361" w:type="dxa"/>
          </w:tcPr>
          <w:p w:rsidR="00EC21F4" w:rsidRPr="00E7637B" w:rsidRDefault="00EC21F4" w:rsidP="006247DF">
            <w:pPr>
              <w:spacing w:line="200" w:lineRule="atLeast"/>
              <w:jc w:val="right"/>
            </w:pPr>
          </w:p>
        </w:tc>
      </w:tr>
      <w:tr w:rsidR="00EC21F4" w:rsidRPr="00E7637B" w:rsidTr="006247DF">
        <w:trPr>
          <w:cantSplit/>
        </w:trPr>
        <w:tc>
          <w:tcPr>
            <w:tcW w:w="3260" w:type="dxa"/>
          </w:tcPr>
          <w:p w:rsidR="00EC21F4" w:rsidRPr="00E7637B" w:rsidRDefault="00EC21F4" w:rsidP="006247DF">
            <w:pPr>
              <w:spacing w:line="200" w:lineRule="atLeast"/>
            </w:pPr>
            <w:r w:rsidRPr="00E7637B">
              <w:t xml:space="preserve">     Guldinnehav</w:t>
            </w:r>
          </w:p>
        </w:tc>
        <w:tc>
          <w:tcPr>
            <w:tcW w:w="1361" w:type="dxa"/>
          </w:tcPr>
          <w:p w:rsidR="00EC21F4" w:rsidRPr="00E7637B" w:rsidRDefault="00EC21F4" w:rsidP="006247DF">
            <w:pPr>
              <w:spacing w:line="200" w:lineRule="atLeast"/>
              <w:jc w:val="right"/>
            </w:pPr>
            <w:r>
              <w:t>8 604</w:t>
            </w:r>
          </w:p>
        </w:tc>
        <w:tc>
          <w:tcPr>
            <w:tcW w:w="1361" w:type="dxa"/>
          </w:tcPr>
          <w:p w:rsidR="00EC21F4" w:rsidRPr="00E7637B" w:rsidRDefault="00EC21F4" w:rsidP="006247DF">
            <w:pPr>
              <w:spacing w:line="200" w:lineRule="atLeast"/>
              <w:jc w:val="right"/>
            </w:pPr>
            <w:r>
              <w:t>8 604</w:t>
            </w:r>
          </w:p>
        </w:tc>
      </w:tr>
      <w:tr w:rsidR="00EC21F4" w:rsidRPr="00E7637B" w:rsidTr="006247DF">
        <w:trPr>
          <w:cantSplit/>
        </w:trPr>
        <w:tc>
          <w:tcPr>
            <w:tcW w:w="3260" w:type="dxa"/>
          </w:tcPr>
          <w:p w:rsidR="00EC21F4" w:rsidRPr="00E7637B" w:rsidRDefault="00EC21F4" w:rsidP="006247DF">
            <w:pPr>
              <w:spacing w:line="200" w:lineRule="atLeast"/>
            </w:pPr>
            <w:r w:rsidRPr="00E7637B">
              <w:t xml:space="preserve">     Anläggningstillgångar</w:t>
            </w:r>
          </w:p>
        </w:tc>
        <w:tc>
          <w:tcPr>
            <w:tcW w:w="1361" w:type="dxa"/>
          </w:tcPr>
          <w:p w:rsidR="00EC21F4" w:rsidRPr="00E7637B" w:rsidRDefault="00EC21F4" w:rsidP="006247DF">
            <w:pPr>
              <w:spacing w:line="200" w:lineRule="atLeast"/>
              <w:jc w:val="right"/>
            </w:pPr>
            <w:r>
              <w:t>9</w:t>
            </w:r>
            <w:r w:rsidR="00683465">
              <w:t>5</w:t>
            </w:r>
          </w:p>
        </w:tc>
        <w:tc>
          <w:tcPr>
            <w:tcW w:w="1361" w:type="dxa"/>
          </w:tcPr>
          <w:p w:rsidR="00EC21F4" w:rsidRPr="00E7637B" w:rsidRDefault="00EC21F4" w:rsidP="006247DF">
            <w:pPr>
              <w:spacing w:line="200" w:lineRule="atLeast"/>
              <w:jc w:val="right"/>
            </w:pPr>
            <w:r>
              <w:t>97</w:t>
            </w:r>
          </w:p>
        </w:tc>
      </w:tr>
      <w:tr w:rsidR="00EC21F4" w:rsidRPr="00E7637B" w:rsidTr="006247DF">
        <w:trPr>
          <w:cantSplit/>
        </w:trPr>
        <w:tc>
          <w:tcPr>
            <w:tcW w:w="3260" w:type="dxa"/>
            <w:tcBorders>
              <w:bottom w:val="single" w:sz="4" w:space="0" w:color="auto"/>
            </w:tcBorders>
          </w:tcPr>
          <w:p w:rsidR="00EC21F4" w:rsidRPr="00E7637B" w:rsidRDefault="00EC21F4" w:rsidP="006247DF">
            <w:pPr>
              <w:spacing w:line="200" w:lineRule="atLeast"/>
            </w:pPr>
            <w:r w:rsidRPr="00E7637B">
              <w:t xml:space="preserve">     BIS-aktier</w:t>
            </w:r>
          </w:p>
        </w:tc>
        <w:tc>
          <w:tcPr>
            <w:tcW w:w="1361" w:type="dxa"/>
          </w:tcPr>
          <w:p w:rsidR="00EC21F4" w:rsidRPr="00E7637B" w:rsidRDefault="00EC21F4" w:rsidP="006247DF">
            <w:pPr>
              <w:spacing w:line="200" w:lineRule="atLeast"/>
              <w:jc w:val="right"/>
            </w:pPr>
            <w:r>
              <w:t>235</w:t>
            </w:r>
          </w:p>
        </w:tc>
        <w:tc>
          <w:tcPr>
            <w:tcW w:w="1361" w:type="dxa"/>
          </w:tcPr>
          <w:p w:rsidR="00EC21F4" w:rsidRPr="00E7637B" w:rsidRDefault="00EC21F4" w:rsidP="006247DF">
            <w:pPr>
              <w:spacing w:line="200" w:lineRule="atLeast"/>
              <w:jc w:val="right"/>
            </w:pPr>
            <w:r>
              <w:t>235</w:t>
            </w:r>
          </w:p>
        </w:tc>
      </w:tr>
      <w:tr w:rsidR="00EC21F4" w:rsidRPr="00E7637B" w:rsidTr="006247DF">
        <w:trPr>
          <w:cantSplit/>
        </w:trPr>
        <w:tc>
          <w:tcPr>
            <w:tcW w:w="3260" w:type="dxa"/>
            <w:tcBorders>
              <w:top w:val="single" w:sz="4" w:space="0" w:color="auto"/>
              <w:bottom w:val="single" w:sz="4" w:space="0" w:color="auto"/>
            </w:tcBorders>
            <w:vAlign w:val="center"/>
          </w:tcPr>
          <w:p w:rsidR="00EC21F4" w:rsidRPr="00E7637B" w:rsidRDefault="00EC21F4" w:rsidP="006247DF">
            <w:pPr>
              <w:spacing w:line="200" w:lineRule="atLeast"/>
            </w:pPr>
            <w:r w:rsidRPr="00E7637B">
              <w:t>Summa</w:t>
            </w:r>
          </w:p>
        </w:tc>
        <w:tc>
          <w:tcPr>
            <w:tcW w:w="1361" w:type="dxa"/>
            <w:tcBorders>
              <w:top w:val="single" w:sz="4" w:space="0" w:color="auto"/>
              <w:bottom w:val="single" w:sz="4" w:space="0" w:color="auto"/>
            </w:tcBorders>
            <w:vAlign w:val="center"/>
          </w:tcPr>
          <w:p w:rsidR="00EC21F4" w:rsidRPr="00E7637B" w:rsidRDefault="00EC21F4" w:rsidP="00EC21F4">
            <w:pPr>
              <w:spacing w:line="200" w:lineRule="atLeast"/>
              <w:jc w:val="right"/>
            </w:pPr>
            <w:r>
              <w:t>29 569</w:t>
            </w:r>
          </w:p>
        </w:tc>
        <w:tc>
          <w:tcPr>
            <w:tcW w:w="1361" w:type="dxa"/>
            <w:tcBorders>
              <w:top w:val="single" w:sz="4" w:space="0" w:color="auto"/>
              <w:bottom w:val="single" w:sz="4" w:space="0" w:color="auto"/>
            </w:tcBorders>
            <w:vAlign w:val="center"/>
          </w:tcPr>
          <w:p w:rsidR="00EC21F4" w:rsidRPr="00E7637B" w:rsidRDefault="00EC21F4" w:rsidP="006247DF">
            <w:pPr>
              <w:spacing w:line="200" w:lineRule="atLeast"/>
              <w:jc w:val="right"/>
            </w:pPr>
            <w:r>
              <w:t>32 632</w:t>
            </w:r>
          </w:p>
        </w:tc>
      </w:tr>
    </w:tbl>
    <w:p w:rsidR="006247DF" w:rsidRDefault="006247DF" w:rsidP="006247DF">
      <w:pPr>
        <w:spacing w:before="120" w:after="120"/>
      </w:pPr>
      <w:r w:rsidRPr="00E7637B">
        <w:t>Förändringen av posterna grundfond, reserver och årets resultat förklaras av tabellen nedan.</w:t>
      </w:r>
    </w:p>
    <w:tbl>
      <w:tblPr>
        <w:tblW w:w="6010" w:type="dxa"/>
        <w:tblInd w:w="23" w:type="dxa"/>
        <w:tblLayout w:type="fixed"/>
        <w:tblCellMar>
          <w:left w:w="71" w:type="dxa"/>
          <w:right w:w="71" w:type="dxa"/>
        </w:tblCellMar>
        <w:tblLook w:val="0000" w:firstRow="0" w:lastRow="0" w:firstColumn="0" w:lastColumn="0" w:noHBand="0" w:noVBand="0"/>
      </w:tblPr>
      <w:tblGrid>
        <w:gridCol w:w="2608"/>
        <w:gridCol w:w="1134"/>
        <w:gridCol w:w="1134"/>
        <w:gridCol w:w="1134"/>
      </w:tblGrid>
      <w:tr w:rsidR="006247DF" w:rsidRPr="00E7637B" w:rsidTr="006247DF">
        <w:trPr>
          <w:cantSplit/>
        </w:trPr>
        <w:tc>
          <w:tcPr>
            <w:tcW w:w="2608" w:type="dxa"/>
            <w:tcBorders>
              <w:top w:val="single" w:sz="4" w:space="0" w:color="auto"/>
            </w:tcBorders>
          </w:tcPr>
          <w:p w:rsidR="006247DF" w:rsidRPr="00E7637B" w:rsidRDefault="006247DF" w:rsidP="006247DF">
            <w:pPr>
              <w:spacing w:line="200" w:lineRule="atLeast"/>
            </w:pPr>
          </w:p>
        </w:tc>
        <w:tc>
          <w:tcPr>
            <w:tcW w:w="1134" w:type="dxa"/>
            <w:tcBorders>
              <w:top w:val="single" w:sz="4" w:space="0" w:color="auto"/>
            </w:tcBorders>
          </w:tcPr>
          <w:p w:rsidR="006247DF" w:rsidRPr="00E7637B" w:rsidRDefault="006247DF" w:rsidP="006247DF">
            <w:pPr>
              <w:spacing w:line="200" w:lineRule="atLeast"/>
              <w:jc w:val="right"/>
            </w:pPr>
            <w:r w:rsidRPr="00E7637B">
              <w:t>Grundfond</w:t>
            </w:r>
          </w:p>
        </w:tc>
        <w:tc>
          <w:tcPr>
            <w:tcW w:w="1134" w:type="dxa"/>
            <w:tcBorders>
              <w:top w:val="single" w:sz="4" w:space="0" w:color="auto"/>
            </w:tcBorders>
          </w:tcPr>
          <w:p w:rsidR="006247DF" w:rsidRPr="00E7637B" w:rsidRDefault="006247DF" w:rsidP="006247DF">
            <w:pPr>
              <w:spacing w:line="200" w:lineRule="atLeast"/>
              <w:jc w:val="right"/>
            </w:pPr>
            <w:r w:rsidRPr="00E7637B">
              <w:t>Reserver</w:t>
            </w:r>
          </w:p>
        </w:tc>
        <w:tc>
          <w:tcPr>
            <w:tcW w:w="1134" w:type="dxa"/>
            <w:tcBorders>
              <w:top w:val="single" w:sz="4" w:space="0" w:color="auto"/>
              <w:bottom w:val="single" w:sz="4" w:space="0" w:color="auto"/>
            </w:tcBorders>
          </w:tcPr>
          <w:p w:rsidR="006247DF" w:rsidRPr="00E7637B" w:rsidRDefault="006247DF" w:rsidP="006247DF">
            <w:pPr>
              <w:spacing w:line="200" w:lineRule="atLeast"/>
              <w:ind w:left="-57"/>
              <w:jc w:val="right"/>
              <w:rPr>
                <w:spacing w:val="-4"/>
              </w:rPr>
            </w:pPr>
            <w:r w:rsidRPr="00E7637B">
              <w:rPr>
                <w:spacing w:val="-4"/>
              </w:rPr>
              <w:t>Årets resultat</w:t>
            </w:r>
          </w:p>
        </w:tc>
      </w:tr>
      <w:tr w:rsidR="00EC21F4" w:rsidRPr="00E7637B" w:rsidTr="006247DF">
        <w:trPr>
          <w:cantSplit/>
        </w:trPr>
        <w:tc>
          <w:tcPr>
            <w:tcW w:w="2608" w:type="dxa"/>
            <w:tcBorders>
              <w:top w:val="single" w:sz="4" w:space="0" w:color="auto"/>
            </w:tcBorders>
          </w:tcPr>
          <w:p w:rsidR="00EC21F4" w:rsidRPr="00E7637B" w:rsidRDefault="00EC21F4" w:rsidP="00EC21F4">
            <w:pPr>
              <w:spacing w:line="200" w:lineRule="atLeast"/>
            </w:pPr>
            <w:r>
              <w:t>Saldo 31 december 2012</w:t>
            </w:r>
          </w:p>
        </w:tc>
        <w:tc>
          <w:tcPr>
            <w:tcW w:w="1134" w:type="dxa"/>
            <w:tcBorders>
              <w:top w:val="single" w:sz="4" w:space="0" w:color="auto"/>
            </w:tcBorders>
            <w:vAlign w:val="center"/>
          </w:tcPr>
          <w:p w:rsidR="00EC21F4" w:rsidRPr="00E7637B" w:rsidRDefault="00EC21F4" w:rsidP="006247DF">
            <w:pPr>
              <w:spacing w:line="200" w:lineRule="atLeast"/>
              <w:jc w:val="right"/>
            </w:pPr>
            <w:r w:rsidRPr="00E7637B">
              <w:t>1 000</w:t>
            </w:r>
          </w:p>
        </w:tc>
        <w:tc>
          <w:tcPr>
            <w:tcW w:w="1134" w:type="dxa"/>
            <w:tcBorders>
              <w:top w:val="single" w:sz="4" w:space="0" w:color="auto"/>
            </w:tcBorders>
            <w:vAlign w:val="center"/>
          </w:tcPr>
          <w:p w:rsidR="00EC21F4" w:rsidRPr="00E7637B" w:rsidRDefault="00EC21F4" w:rsidP="006247DF">
            <w:pPr>
              <w:spacing w:line="200" w:lineRule="atLeast"/>
              <w:jc w:val="right"/>
            </w:pPr>
            <w:r>
              <w:t>62</w:t>
            </w:r>
            <w:r w:rsidRPr="00E7637B">
              <w:t xml:space="preserve"> </w:t>
            </w:r>
            <w:r>
              <w:t>207</w:t>
            </w:r>
          </w:p>
        </w:tc>
        <w:tc>
          <w:tcPr>
            <w:tcW w:w="1134" w:type="dxa"/>
            <w:vAlign w:val="center"/>
          </w:tcPr>
          <w:p w:rsidR="00EC21F4" w:rsidRPr="00E7637B" w:rsidRDefault="00EC21F4" w:rsidP="006247DF">
            <w:pPr>
              <w:spacing w:line="200" w:lineRule="atLeast"/>
              <w:jc w:val="right"/>
            </w:pPr>
            <w:r>
              <w:t>1 934</w:t>
            </w:r>
          </w:p>
        </w:tc>
      </w:tr>
      <w:tr w:rsidR="00EC21F4" w:rsidRPr="00E7637B" w:rsidTr="006247DF">
        <w:trPr>
          <w:cantSplit/>
        </w:trPr>
        <w:tc>
          <w:tcPr>
            <w:tcW w:w="2608" w:type="dxa"/>
          </w:tcPr>
          <w:p w:rsidR="00EC21F4" w:rsidRPr="00E7637B" w:rsidRDefault="00EC21F4" w:rsidP="006247DF">
            <w:pPr>
              <w:spacing w:line="200" w:lineRule="atLeast"/>
            </w:pPr>
            <w:r w:rsidRPr="00E7637B">
              <w:t>Inleverans till stats</w:t>
            </w:r>
            <w:r>
              <w:t>kassan</w:t>
            </w:r>
          </w:p>
        </w:tc>
        <w:tc>
          <w:tcPr>
            <w:tcW w:w="1134" w:type="dxa"/>
            <w:vAlign w:val="center"/>
          </w:tcPr>
          <w:p w:rsidR="00EC21F4" w:rsidRPr="000C4345" w:rsidRDefault="00EC21F4" w:rsidP="006247DF">
            <w:pPr>
              <w:spacing w:line="200" w:lineRule="atLeast"/>
              <w:jc w:val="right"/>
            </w:pPr>
            <w:r>
              <w:t>–</w:t>
            </w:r>
          </w:p>
        </w:tc>
        <w:tc>
          <w:tcPr>
            <w:tcW w:w="1134" w:type="dxa"/>
            <w:vAlign w:val="center"/>
          </w:tcPr>
          <w:p w:rsidR="00EC21F4" w:rsidRPr="000C4345" w:rsidRDefault="00EC21F4" w:rsidP="006247DF">
            <w:pPr>
              <w:spacing w:line="200" w:lineRule="atLeast"/>
              <w:jc w:val="right"/>
            </w:pPr>
            <w:r>
              <w:t>–</w:t>
            </w:r>
          </w:p>
        </w:tc>
        <w:tc>
          <w:tcPr>
            <w:tcW w:w="1134" w:type="dxa"/>
            <w:vAlign w:val="center"/>
          </w:tcPr>
          <w:p w:rsidR="00EC21F4" w:rsidRPr="00276C89" w:rsidRDefault="00EC21F4" w:rsidP="006247DF">
            <w:pPr>
              <w:spacing w:line="200" w:lineRule="atLeast"/>
              <w:jc w:val="right"/>
            </w:pPr>
            <w:r>
              <w:t>–6 800</w:t>
            </w:r>
          </w:p>
        </w:tc>
      </w:tr>
      <w:tr w:rsidR="00EC21F4" w:rsidRPr="00E7637B" w:rsidTr="006247DF">
        <w:trPr>
          <w:cantSplit/>
        </w:trPr>
        <w:tc>
          <w:tcPr>
            <w:tcW w:w="2608" w:type="dxa"/>
          </w:tcPr>
          <w:p w:rsidR="00EC21F4" w:rsidRPr="00E7637B" w:rsidRDefault="00EC21F4" w:rsidP="006247DF">
            <w:pPr>
              <w:spacing w:line="200" w:lineRule="atLeast"/>
              <w:rPr>
                <w:i/>
              </w:rPr>
            </w:pPr>
            <w:r w:rsidRPr="00E7637B">
              <w:rPr>
                <w:i/>
              </w:rPr>
              <w:t>Överföring till/från:</w:t>
            </w:r>
          </w:p>
          <w:p w:rsidR="00EC21F4" w:rsidRPr="00E7637B" w:rsidRDefault="00EC21F4" w:rsidP="006247DF">
            <w:pPr>
              <w:spacing w:line="200" w:lineRule="atLeast"/>
            </w:pPr>
            <w:r w:rsidRPr="00E7637B">
              <w:t xml:space="preserve">     Resultatutjämningsfond</w:t>
            </w:r>
          </w:p>
          <w:p w:rsidR="00EC21F4" w:rsidRPr="000C4345" w:rsidRDefault="00EC21F4" w:rsidP="006247DF">
            <w:pPr>
              <w:spacing w:line="200" w:lineRule="atLeast"/>
            </w:pPr>
            <w:r w:rsidRPr="00E7637B">
              <w:t xml:space="preserve">     Dispositionsfond</w:t>
            </w:r>
          </w:p>
        </w:tc>
        <w:tc>
          <w:tcPr>
            <w:tcW w:w="1134" w:type="dxa"/>
            <w:vAlign w:val="center"/>
          </w:tcPr>
          <w:p w:rsidR="00EC21F4" w:rsidRDefault="00EC21F4" w:rsidP="0034442B">
            <w:pPr>
              <w:spacing w:line="200" w:lineRule="atLeast"/>
              <w:jc w:val="right"/>
            </w:pPr>
          </w:p>
          <w:p w:rsidR="00EC21F4" w:rsidRDefault="00EC21F4" w:rsidP="0034442B">
            <w:pPr>
              <w:spacing w:line="200" w:lineRule="atLeast"/>
              <w:jc w:val="right"/>
            </w:pPr>
            <w:r>
              <w:t>–</w:t>
            </w:r>
          </w:p>
          <w:p w:rsidR="00EC21F4" w:rsidRPr="00ED5CAA" w:rsidRDefault="00EC21F4" w:rsidP="006247DF">
            <w:pPr>
              <w:pStyle w:val="Normaltindrag"/>
              <w:jc w:val="right"/>
            </w:pPr>
            <w:r>
              <w:t>–</w:t>
            </w:r>
          </w:p>
        </w:tc>
        <w:tc>
          <w:tcPr>
            <w:tcW w:w="1134" w:type="dxa"/>
            <w:vAlign w:val="center"/>
          </w:tcPr>
          <w:p w:rsidR="00EC21F4" w:rsidRPr="00276C89" w:rsidRDefault="00EC21F4" w:rsidP="0034442B">
            <w:pPr>
              <w:spacing w:line="200" w:lineRule="atLeast"/>
              <w:jc w:val="right"/>
            </w:pPr>
          </w:p>
          <w:p w:rsidR="00EC21F4" w:rsidRPr="00135DE3" w:rsidRDefault="00EC21F4" w:rsidP="0034442B">
            <w:pPr>
              <w:spacing w:line="200" w:lineRule="atLeast"/>
              <w:jc w:val="right"/>
            </w:pPr>
            <w:r>
              <w:t>–2 353</w:t>
            </w:r>
          </w:p>
          <w:p w:rsidR="00EC21F4" w:rsidRPr="008B28A9" w:rsidRDefault="00EC21F4" w:rsidP="006247DF">
            <w:pPr>
              <w:spacing w:line="200" w:lineRule="atLeast"/>
              <w:jc w:val="right"/>
            </w:pPr>
            <w:r>
              <w:t>–2 513</w:t>
            </w:r>
          </w:p>
        </w:tc>
        <w:tc>
          <w:tcPr>
            <w:tcW w:w="1134" w:type="dxa"/>
            <w:vAlign w:val="center"/>
          </w:tcPr>
          <w:p w:rsidR="00EC21F4" w:rsidRPr="00262BC2" w:rsidRDefault="00EC21F4" w:rsidP="0034442B">
            <w:pPr>
              <w:spacing w:line="200" w:lineRule="atLeast"/>
              <w:jc w:val="right"/>
            </w:pPr>
          </w:p>
          <w:p w:rsidR="00EC21F4" w:rsidRPr="00E7637B" w:rsidRDefault="00EC21F4" w:rsidP="0034442B">
            <w:pPr>
              <w:spacing w:line="200" w:lineRule="atLeast"/>
              <w:jc w:val="right"/>
            </w:pPr>
            <w:r>
              <w:t>2 353</w:t>
            </w:r>
          </w:p>
          <w:p w:rsidR="00EC21F4" w:rsidRPr="00E7637B" w:rsidRDefault="00EC21F4" w:rsidP="006247DF">
            <w:pPr>
              <w:spacing w:line="200" w:lineRule="atLeast"/>
              <w:jc w:val="right"/>
            </w:pPr>
            <w:r>
              <w:t>2 513</w:t>
            </w:r>
          </w:p>
        </w:tc>
      </w:tr>
      <w:tr w:rsidR="00EC21F4" w:rsidRPr="00E7637B" w:rsidTr="006247DF">
        <w:trPr>
          <w:cantSplit/>
        </w:trPr>
        <w:tc>
          <w:tcPr>
            <w:tcW w:w="2608" w:type="dxa"/>
            <w:tcBorders>
              <w:bottom w:val="single" w:sz="4" w:space="0" w:color="auto"/>
            </w:tcBorders>
          </w:tcPr>
          <w:p w:rsidR="00EC21F4" w:rsidRPr="00E7637B" w:rsidRDefault="00EC21F4" w:rsidP="006247DF">
            <w:pPr>
              <w:spacing w:line="200" w:lineRule="atLeast"/>
            </w:pPr>
            <w:r w:rsidRPr="00E7637B">
              <w:t>Årets resultat</w:t>
            </w:r>
          </w:p>
        </w:tc>
        <w:tc>
          <w:tcPr>
            <w:tcW w:w="1134" w:type="dxa"/>
            <w:tcBorders>
              <w:bottom w:val="single" w:sz="4" w:space="0" w:color="auto"/>
            </w:tcBorders>
            <w:vAlign w:val="center"/>
          </w:tcPr>
          <w:p w:rsidR="00EC21F4" w:rsidRPr="000C4345" w:rsidRDefault="00EC21F4" w:rsidP="006247DF">
            <w:pPr>
              <w:spacing w:line="200" w:lineRule="atLeast"/>
              <w:jc w:val="right"/>
            </w:pPr>
            <w:r>
              <w:t>–</w:t>
            </w:r>
          </w:p>
        </w:tc>
        <w:tc>
          <w:tcPr>
            <w:tcW w:w="1134" w:type="dxa"/>
            <w:tcBorders>
              <w:bottom w:val="single" w:sz="4" w:space="0" w:color="auto"/>
            </w:tcBorders>
            <w:vAlign w:val="center"/>
          </w:tcPr>
          <w:p w:rsidR="00EC21F4" w:rsidRPr="000C4345" w:rsidRDefault="00EC21F4" w:rsidP="006247DF">
            <w:pPr>
              <w:spacing w:line="200" w:lineRule="atLeast"/>
              <w:jc w:val="right"/>
            </w:pPr>
            <w:r>
              <w:t>–</w:t>
            </w:r>
          </w:p>
        </w:tc>
        <w:tc>
          <w:tcPr>
            <w:tcW w:w="1134" w:type="dxa"/>
            <w:tcBorders>
              <w:bottom w:val="single" w:sz="4" w:space="0" w:color="auto"/>
            </w:tcBorders>
            <w:vAlign w:val="center"/>
          </w:tcPr>
          <w:p w:rsidR="00EC21F4" w:rsidRPr="00135DE3" w:rsidRDefault="00EC21F4" w:rsidP="006247DF">
            <w:pPr>
              <w:spacing w:line="200" w:lineRule="atLeast"/>
              <w:jc w:val="right"/>
            </w:pPr>
            <w:r>
              <w:t>–2 011</w:t>
            </w:r>
          </w:p>
        </w:tc>
      </w:tr>
      <w:tr w:rsidR="00EC21F4" w:rsidRPr="00E7637B" w:rsidTr="006247DF">
        <w:trPr>
          <w:cantSplit/>
        </w:trPr>
        <w:tc>
          <w:tcPr>
            <w:tcW w:w="2608" w:type="dxa"/>
            <w:tcBorders>
              <w:top w:val="single" w:sz="4" w:space="0" w:color="auto"/>
            </w:tcBorders>
            <w:vAlign w:val="center"/>
          </w:tcPr>
          <w:p w:rsidR="00EC21F4" w:rsidRPr="00E7637B" w:rsidRDefault="00EC21F4" w:rsidP="00EC21F4">
            <w:pPr>
              <w:spacing w:line="200" w:lineRule="atLeast"/>
            </w:pPr>
            <w:r w:rsidRPr="00E7637B">
              <w:t>Saldo 31 december 20</w:t>
            </w:r>
            <w:r>
              <w:t>13</w:t>
            </w:r>
          </w:p>
        </w:tc>
        <w:tc>
          <w:tcPr>
            <w:tcW w:w="1134" w:type="dxa"/>
            <w:tcBorders>
              <w:top w:val="single" w:sz="4" w:space="0" w:color="auto"/>
            </w:tcBorders>
            <w:vAlign w:val="center"/>
          </w:tcPr>
          <w:p w:rsidR="00EC21F4" w:rsidRPr="00E7637B" w:rsidRDefault="00EC21F4" w:rsidP="006247DF">
            <w:pPr>
              <w:spacing w:line="200" w:lineRule="atLeast"/>
              <w:jc w:val="right"/>
            </w:pPr>
            <w:r w:rsidRPr="00E7637B">
              <w:t>1 000</w:t>
            </w:r>
          </w:p>
        </w:tc>
        <w:tc>
          <w:tcPr>
            <w:tcW w:w="1134" w:type="dxa"/>
            <w:tcBorders>
              <w:top w:val="single" w:sz="4" w:space="0" w:color="auto"/>
            </w:tcBorders>
            <w:vAlign w:val="center"/>
          </w:tcPr>
          <w:p w:rsidR="00EC21F4" w:rsidRPr="00E7637B" w:rsidRDefault="00EC21F4" w:rsidP="00EC21F4">
            <w:pPr>
              <w:spacing w:line="200" w:lineRule="atLeast"/>
              <w:jc w:val="right"/>
            </w:pPr>
            <w:r>
              <w:t>57</w:t>
            </w:r>
            <w:r w:rsidRPr="00E7637B">
              <w:t xml:space="preserve"> </w:t>
            </w:r>
            <w:r>
              <w:t>341</w:t>
            </w:r>
          </w:p>
        </w:tc>
        <w:tc>
          <w:tcPr>
            <w:tcW w:w="1134" w:type="dxa"/>
            <w:tcBorders>
              <w:top w:val="single" w:sz="4" w:space="0" w:color="auto"/>
            </w:tcBorders>
            <w:vAlign w:val="center"/>
          </w:tcPr>
          <w:p w:rsidR="00EC21F4" w:rsidRPr="00E7637B" w:rsidRDefault="00EC21F4" w:rsidP="00A44295">
            <w:pPr>
              <w:spacing w:line="200" w:lineRule="atLeast"/>
              <w:jc w:val="right"/>
            </w:pPr>
            <w:r>
              <w:t>–2 011</w:t>
            </w:r>
          </w:p>
        </w:tc>
      </w:tr>
      <w:tr w:rsidR="00EC21F4" w:rsidRPr="00E7637B" w:rsidTr="006247DF">
        <w:trPr>
          <w:cantSplit/>
        </w:trPr>
        <w:tc>
          <w:tcPr>
            <w:tcW w:w="2608" w:type="dxa"/>
            <w:vAlign w:val="center"/>
          </w:tcPr>
          <w:p w:rsidR="00EC21F4" w:rsidRPr="00E7637B" w:rsidRDefault="00EC21F4" w:rsidP="006247DF">
            <w:pPr>
              <w:spacing w:line="200" w:lineRule="atLeast"/>
            </w:pPr>
            <w:r w:rsidRPr="00E7637B">
              <w:t>Inleverans till stats</w:t>
            </w:r>
            <w:r>
              <w:t>kassan</w:t>
            </w:r>
          </w:p>
        </w:tc>
        <w:tc>
          <w:tcPr>
            <w:tcW w:w="1134" w:type="dxa"/>
            <w:vAlign w:val="center"/>
          </w:tcPr>
          <w:p w:rsidR="00EC21F4" w:rsidRPr="000C4345" w:rsidRDefault="00EC21F4" w:rsidP="006247DF">
            <w:pPr>
              <w:spacing w:line="200" w:lineRule="atLeast"/>
              <w:jc w:val="right"/>
            </w:pPr>
            <w:r>
              <w:t>–</w:t>
            </w:r>
          </w:p>
        </w:tc>
        <w:tc>
          <w:tcPr>
            <w:tcW w:w="1134" w:type="dxa"/>
            <w:vAlign w:val="center"/>
          </w:tcPr>
          <w:p w:rsidR="00EC21F4" w:rsidRPr="000C4345" w:rsidRDefault="00EC21F4" w:rsidP="006247DF">
            <w:pPr>
              <w:spacing w:line="200" w:lineRule="atLeast"/>
              <w:jc w:val="right"/>
            </w:pPr>
            <w:r>
              <w:t>–</w:t>
            </w:r>
          </w:p>
        </w:tc>
        <w:tc>
          <w:tcPr>
            <w:tcW w:w="1134" w:type="dxa"/>
            <w:vAlign w:val="center"/>
          </w:tcPr>
          <w:p w:rsidR="00EC21F4" w:rsidRPr="00276C89" w:rsidRDefault="00EC21F4" w:rsidP="00EC21F4">
            <w:pPr>
              <w:spacing w:line="200" w:lineRule="atLeast"/>
              <w:jc w:val="right"/>
            </w:pPr>
            <w:r>
              <w:t>–3 300</w:t>
            </w:r>
          </w:p>
        </w:tc>
      </w:tr>
      <w:tr w:rsidR="00EC21F4" w:rsidRPr="00E7637B" w:rsidTr="006247DF">
        <w:trPr>
          <w:cantSplit/>
        </w:trPr>
        <w:tc>
          <w:tcPr>
            <w:tcW w:w="2608" w:type="dxa"/>
            <w:vAlign w:val="center"/>
          </w:tcPr>
          <w:p w:rsidR="00EC21F4" w:rsidRPr="00DD0B30" w:rsidRDefault="00EC21F4" w:rsidP="006247DF">
            <w:pPr>
              <w:spacing w:line="200" w:lineRule="atLeast"/>
              <w:rPr>
                <w:i/>
              </w:rPr>
            </w:pPr>
            <w:r w:rsidRPr="00DD0B30">
              <w:rPr>
                <w:i/>
              </w:rPr>
              <w:t>Överföring till/från:</w:t>
            </w:r>
          </w:p>
          <w:p w:rsidR="00EC21F4" w:rsidRPr="00E7637B" w:rsidRDefault="00EC21F4" w:rsidP="006247DF">
            <w:pPr>
              <w:spacing w:line="200" w:lineRule="atLeast"/>
            </w:pPr>
            <w:r w:rsidRPr="00E7637B">
              <w:t xml:space="preserve">     Resultatutjämningsfond</w:t>
            </w:r>
          </w:p>
          <w:p w:rsidR="00EC21F4" w:rsidRPr="000C4345" w:rsidRDefault="00EC21F4" w:rsidP="006247DF">
            <w:pPr>
              <w:spacing w:line="200" w:lineRule="atLeast"/>
            </w:pPr>
            <w:r w:rsidRPr="00E7637B">
              <w:t xml:space="preserve">     Dispositionsfond</w:t>
            </w:r>
          </w:p>
        </w:tc>
        <w:tc>
          <w:tcPr>
            <w:tcW w:w="1134" w:type="dxa"/>
            <w:vAlign w:val="center"/>
          </w:tcPr>
          <w:p w:rsidR="00EC21F4" w:rsidRDefault="00EC21F4" w:rsidP="006247DF">
            <w:pPr>
              <w:spacing w:line="200" w:lineRule="atLeast"/>
              <w:jc w:val="right"/>
            </w:pPr>
          </w:p>
          <w:p w:rsidR="00EC21F4" w:rsidRDefault="00EC21F4" w:rsidP="006247DF">
            <w:pPr>
              <w:spacing w:line="200" w:lineRule="atLeast"/>
              <w:jc w:val="right"/>
            </w:pPr>
            <w:r>
              <w:t>–</w:t>
            </w:r>
          </w:p>
          <w:p w:rsidR="00EC21F4" w:rsidRPr="00ED5CAA" w:rsidRDefault="00EC21F4" w:rsidP="006247DF">
            <w:pPr>
              <w:pStyle w:val="Normaltindrag"/>
              <w:jc w:val="right"/>
            </w:pPr>
            <w:r>
              <w:t>–</w:t>
            </w:r>
          </w:p>
        </w:tc>
        <w:tc>
          <w:tcPr>
            <w:tcW w:w="1134" w:type="dxa"/>
            <w:vAlign w:val="center"/>
          </w:tcPr>
          <w:p w:rsidR="00EC21F4" w:rsidRPr="00276C89" w:rsidRDefault="00EC21F4" w:rsidP="006247DF">
            <w:pPr>
              <w:spacing w:line="200" w:lineRule="atLeast"/>
              <w:jc w:val="right"/>
            </w:pPr>
          </w:p>
          <w:p w:rsidR="00EC21F4" w:rsidRPr="00135DE3" w:rsidRDefault="00EC21F4" w:rsidP="006247DF">
            <w:pPr>
              <w:spacing w:line="200" w:lineRule="atLeast"/>
              <w:jc w:val="right"/>
            </w:pPr>
            <w:r>
              <w:t>–2 248</w:t>
            </w:r>
          </w:p>
          <w:p w:rsidR="00EC21F4" w:rsidRPr="008B28A9" w:rsidRDefault="00EC21F4" w:rsidP="00EC21F4">
            <w:pPr>
              <w:spacing w:line="200" w:lineRule="atLeast"/>
              <w:jc w:val="right"/>
            </w:pPr>
            <w:r>
              <w:t>–3 063</w:t>
            </w:r>
          </w:p>
        </w:tc>
        <w:tc>
          <w:tcPr>
            <w:tcW w:w="1134" w:type="dxa"/>
            <w:vAlign w:val="center"/>
          </w:tcPr>
          <w:p w:rsidR="00EC21F4" w:rsidRPr="00262BC2" w:rsidRDefault="00EC21F4" w:rsidP="006247DF">
            <w:pPr>
              <w:spacing w:line="200" w:lineRule="atLeast"/>
              <w:jc w:val="right"/>
            </w:pPr>
          </w:p>
          <w:p w:rsidR="00EC21F4" w:rsidRPr="00E7637B" w:rsidRDefault="00EC21F4" w:rsidP="006247DF">
            <w:pPr>
              <w:spacing w:line="200" w:lineRule="atLeast"/>
              <w:jc w:val="right"/>
            </w:pPr>
            <w:r>
              <w:t>2 248</w:t>
            </w:r>
          </w:p>
          <w:p w:rsidR="00EC21F4" w:rsidRPr="00E7637B" w:rsidRDefault="00EC21F4" w:rsidP="00EC21F4">
            <w:pPr>
              <w:spacing w:line="200" w:lineRule="atLeast"/>
              <w:jc w:val="right"/>
            </w:pPr>
            <w:r>
              <w:t>3 063</w:t>
            </w:r>
          </w:p>
        </w:tc>
      </w:tr>
      <w:tr w:rsidR="00EC21F4" w:rsidRPr="00E7637B" w:rsidTr="006247DF">
        <w:trPr>
          <w:cantSplit/>
        </w:trPr>
        <w:tc>
          <w:tcPr>
            <w:tcW w:w="2608" w:type="dxa"/>
            <w:tcBorders>
              <w:bottom w:val="single" w:sz="4" w:space="0" w:color="auto"/>
            </w:tcBorders>
            <w:vAlign w:val="center"/>
          </w:tcPr>
          <w:p w:rsidR="00EC21F4" w:rsidRPr="00E7637B" w:rsidRDefault="00EC21F4" w:rsidP="006247DF">
            <w:pPr>
              <w:spacing w:line="200" w:lineRule="atLeast"/>
            </w:pPr>
            <w:r w:rsidRPr="00E7637B">
              <w:t>Årets resultat</w:t>
            </w:r>
          </w:p>
        </w:tc>
        <w:tc>
          <w:tcPr>
            <w:tcW w:w="1134" w:type="dxa"/>
            <w:tcBorders>
              <w:bottom w:val="single" w:sz="4" w:space="0" w:color="auto"/>
            </w:tcBorders>
            <w:vAlign w:val="center"/>
          </w:tcPr>
          <w:p w:rsidR="00EC21F4" w:rsidRPr="000C4345" w:rsidRDefault="00EC21F4" w:rsidP="006247DF">
            <w:pPr>
              <w:spacing w:line="200" w:lineRule="atLeast"/>
              <w:jc w:val="right"/>
            </w:pPr>
            <w:r>
              <w:t>–</w:t>
            </w:r>
          </w:p>
        </w:tc>
        <w:tc>
          <w:tcPr>
            <w:tcW w:w="1134" w:type="dxa"/>
            <w:tcBorders>
              <w:bottom w:val="single" w:sz="4" w:space="0" w:color="auto"/>
            </w:tcBorders>
            <w:vAlign w:val="center"/>
          </w:tcPr>
          <w:p w:rsidR="00EC21F4" w:rsidRPr="000C4345" w:rsidRDefault="00EC21F4" w:rsidP="006247DF">
            <w:pPr>
              <w:spacing w:line="200" w:lineRule="atLeast"/>
              <w:jc w:val="right"/>
            </w:pPr>
            <w:r>
              <w:t>–</w:t>
            </w:r>
          </w:p>
        </w:tc>
        <w:tc>
          <w:tcPr>
            <w:tcW w:w="1134" w:type="dxa"/>
            <w:tcBorders>
              <w:bottom w:val="single" w:sz="4" w:space="0" w:color="auto"/>
            </w:tcBorders>
            <w:vAlign w:val="center"/>
          </w:tcPr>
          <w:p w:rsidR="00EC21F4" w:rsidRPr="00135DE3" w:rsidRDefault="00EC21F4" w:rsidP="00EC21F4">
            <w:pPr>
              <w:spacing w:line="200" w:lineRule="atLeast"/>
              <w:jc w:val="right"/>
            </w:pPr>
            <w:r>
              <w:t>3 267</w:t>
            </w:r>
          </w:p>
        </w:tc>
      </w:tr>
      <w:tr w:rsidR="00EC21F4" w:rsidRPr="00E7637B" w:rsidTr="006247DF">
        <w:trPr>
          <w:cantSplit/>
        </w:trPr>
        <w:tc>
          <w:tcPr>
            <w:tcW w:w="2608" w:type="dxa"/>
            <w:tcBorders>
              <w:top w:val="single" w:sz="4" w:space="0" w:color="auto"/>
              <w:bottom w:val="single" w:sz="4" w:space="0" w:color="auto"/>
            </w:tcBorders>
            <w:vAlign w:val="center"/>
          </w:tcPr>
          <w:p w:rsidR="00EC21F4" w:rsidRPr="00E7637B" w:rsidRDefault="00EC21F4" w:rsidP="00EC21F4">
            <w:pPr>
              <w:spacing w:line="200" w:lineRule="atLeast"/>
            </w:pPr>
            <w:r>
              <w:t>Saldo 31 december 2014</w:t>
            </w:r>
          </w:p>
        </w:tc>
        <w:tc>
          <w:tcPr>
            <w:tcW w:w="1134" w:type="dxa"/>
            <w:tcBorders>
              <w:top w:val="single" w:sz="4" w:space="0" w:color="auto"/>
              <w:bottom w:val="single" w:sz="4" w:space="0" w:color="auto"/>
            </w:tcBorders>
            <w:vAlign w:val="center"/>
          </w:tcPr>
          <w:p w:rsidR="00EC21F4" w:rsidRPr="00E7637B" w:rsidRDefault="00EC21F4" w:rsidP="006247DF">
            <w:pPr>
              <w:spacing w:line="200" w:lineRule="atLeast"/>
              <w:jc w:val="right"/>
            </w:pPr>
            <w:r w:rsidRPr="00E7637B">
              <w:t>1 000</w:t>
            </w:r>
          </w:p>
        </w:tc>
        <w:tc>
          <w:tcPr>
            <w:tcW w:w="1134" w:type="dxa"/>
            <w:tcBorders>
              <w:top w:val="single" w:sz="4" w:space="0" w:color="auto"/>
              <w:bottom w:val="single" w:sz="4" w:space="0" w:color="auto"/>
            </w:tcBorders>
            <w:vAlign w:val="center"/>
          </w:tcPr>
          <w:p w:rsidR="00EC21F4" w:rsidRPr="00E7637B" w:rsidRDefault="00EC21F4" w:rsidP="00EC21F4">
            <w:pPr>
              <w:spacing w:line="200" w:lineRule="atLeast"/>
              <w:jc w:val="right"/>
            </w:pPr>
            <w:r>
              <w:t>52 030</w:t>
            </w:r>
          </w:p>
        </w:tc>
        <w:tc>
          <w:tcPr>
            <w:tcW w:w="1134" w:type="dxa"/>
            <w:tcBorders>
              <w:top w:val="single" w:sz="4" w:space="0" w:color="auto"/>
              <w:bottom w:val="single" w:sz="4" w:space="0" w:color="auto"/>
            </w:tcBorders>
            <w:vAlign w:val="center"/>
          </w:tcPr>
          <w:p w:rsidR="00EC21F4" w:rsidRPr="00E7637B" w:rsidRDefault="00EC21F4" w:rsidP="00EC21F4">
            <w:pPr>
              <w:spacing w:line="200" w:lineRule="atLeast"/>
              <w:jc w:val="right"/>
            </w:pPr>
            <w:r>
              <w:t>3 267</w:t>
            </w:r>
          </w:p>
        </w:tc>
      </w:tr>
    </w:tbl>
    <w:p w:rsidR="006247DF" w:rsidRPr="0071516A" w:rsidRDefault="006247DF" w:rsidP="006247DF">
      <w:pPr>
        <w:pStyle w:val="Normaltindrag"/>
      </w:pPr>
    </w:p>
    <w:p w:rsidR="006247DF" w:rsidRPr="00E7637B" w:rsidRDefault="006247DF" w:rsidP="0044728D">
      <w:pPr>
        <w:pageBreakBefore/>
        <w:spacing w:before="0"/>
        <w:outlineLvl w:val="0"/>
        <w:rPr>
          <w:b/>
        </w:rPr>
      </w:pPr>
      <w:r w:rsidRPr="00E7637B">
        <w:rPr>
          <w:b/>
        </w:rPr>
        <w:t xml:space="preserve">Not </w:t>
      </w:r>
      <w:r>
        <w:rPr>
          <w:b/>
        </w:rPr>
        <w:t>28</w:t>
      </w:r>
      <w:r w:rsidRPr="00E7637B">
        <w:rPr>
          <w:b/>
        </w:rPr>
        <w:t xml:space="preserve"> Ränteintäkter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jc w:val="left"/>
            </w:pPr>
          </w:p>
        </w:tc>
        <w:tc>
          <w:tcPr>
            <w:tcW w:w="1361" w:type="dxa"/>
            <w:tcBorders>
              <w:top w:val="single" w:sz="4" w:space="0" w:color="auto"/>
            </w:tcBorders>
            <w:vAlign w:val="center"/>
          </w:tcPr>
          <w:p w:rsidR="006247DF" w:rsidRPr="00E7637B" w:rsidRDefault="006247DF" w:rsidP="0034442B">
            <w:pPr>
              <w:spacing w:line="200" w:lineRule="exact"/>
              <w:jc w:val="right"/>
            </w:pPr>
            <w:r>
              <w:t>201</w:t>
            </w:r>
            <w:r w:rsidR="0034442B">
              <w:t>4</w:t>
            </w:r>
          </w:p>
        </w:tc>
        <w:tc>
          <w:tcPr>
            <w:tcW w:w="1361" w:type="dxa"/>
            <w:tcBorders>
              <w:top w:val="single" w:sz="4" w:space="0" w:color="auto"/>
            </w:tcBorders>
            <w:vAlign w:val="center"/>
          </w:tcPr>
          <w:p w:rsidR="006247DF" w:rsidRPr="00E7637B" w:rsidRDefault="006247DF" w:rsidP="0034442B">
            <w:pPr>
              <w:spacing w:line="200" w:lineRule="exact"/>
              <w:jc w:val="right"/>
            </w:pPr>
            <w:r>
              <w:t>201</w:t>
            </w:r>
            <w:r w:rsidR="0034442B">
              <w:t>3</w:t>
            </w:r>
          </w:p>
        </w:tc>
      </w:tr>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jc w:val="left"/>
              <w:rPr>
                <w:i/>
              </w:rPr>
            </w:pPr>
            <w:r w:rsidRPr="00E7637B">
              <w:rPr>
                <w:i/>
              </w:rPr>
              <w:t>Från utländska tillgångar:</w:t>
            </w:r>
          </w:p>
        </w:tc>
        <w:tc>
          <w:tcPr>
            <w:tcW w:w="1361" w:type="dxa"/>
            <w:tcBorders>
              <w:top w:val="single" w:sz="4" w:space="0" w:color="auto"/>
            </w:tcBorders>
          </w:tcPr>
          <w:p w:rsidR="006247DF" w:rsidRPr="00E7637B" w:rsidRDefault="006247DF" w:rsidP="006247DF">
            <w:pPr>
              <w:spacing w:line="200" w:lineRule="exact"/>
              <w:jc w:val="right"/>
            </w:pPr>
          </w:p>
        </w:tc>
        <w:tc>
          <w:tcPr>
            <w:tcW w:w="1361" w:type="dxa"/>
            <w:tcBorders>
              <w:top w:val="single" w:sz="4" w:space="0" w:color="auto"/>
            </w:tcBorders>
          </w:tcPr>
          <w:p w:rsidR="006247DF" w:rsidRPr="00E7637B" w:rsidRDefault="006247DF" w:rsidP="006247DF">
            <w:pPr>
              <w:spacing w:line="200" w:lineRule="exact"/>
              <w:jc w:val="right"/>
            </w:pPr>
          </w:p>
        </w:tc>
      </w:tr>
      <w:tr w:rsidR="0034442B" w:rsidRPr="00E7637B" w:rsidTr="006247DF">
        <w:trPr>
          <w:cantSplit/>
          <w:trHeight w:val="20"/>
        </w:trPr>
        <w:tc>
          <w:tcPr>
            <w:tcW w:w="3260" w:type="dxa"/>
            <w:tcBorders>
              <w:top w:val="single" w:sz="4" w:space="0" w:color="auto"/>
            </w:tcBorders>
          </w:tcPr>
          <w:p w:rsidR="0034442B" w:rsidRPr="00937A6B" w:rsidRDefault="0034442B" w:rsidP="006247DF">
            <w:pPr>
              <w:spacing w:line="200" w:lineRule="exact"/>
              <w:jc w:val="left"/>
            </w:pPr>
            <w:r>
              <w:t>SDR</w:t>
            </w:r>
          </w:p>
        </w:tc>
        <w:tc>
          <w:tcPr>
            <w:tcW w:w="1361" w:type="dxa"/>
            <w:tcBorders>
              <w:top w:val="single" w:sz="4" w:space="0" w:color="auto"/>
            </w:tcBorders>
          </w:tcPr>
          <w:p w:rsidR="0034442B" w:rsidRPr="00E7637B" w:rsidRDefault="0034442B" w:rsidP="00267B52">
            <w:pPr>
              <w:spacing w:line="200" w:lineRule="exact"/>
              <w:jc w:val="right"/>
            </w:pPr>
            <w:r>
              <w:t>1</w:t>
            </w:r>
            <w:r w:rsidR="00267B52">
              <w:t>9</w:t>
            </w:r>
          </w:p>
        </w:tc>
        <w:tc>
          <w:tcPr>
            <w:tcW w:w="1361" w:type="dxa"/>
            <w:tcBorders>
              <w:top w:val="single" w:sz="4" w:space="0" w:color="auto"/>
            </w:tcBorders>
          </w:tcPr>
          <w:p w:rsidR="0034442B" w:rsidRPr="00E7637B" w:rsidRDefault="0034442B" w:rsidP="006247DF">
            <w:pPr>
              <w:spacing w:line="200" w:lineRule="exact"/>
              <w:jc w:val="right"/>
            </w:pPr>
            <w:r>
              <w:t>17</w:t>
            </w:r>
          </w:p>
        </w:tc>
      </w:tr>
      <w:tr w:rsidR="0034442B" w:rsidRPr="00E7637B" w:rsidTr="006247DF">
        <w:trPr>
          <w:cantSplit/>
          <w:trHeight w:val="20"/>
        </w:trPr>
        <w:tc>
          <w:tcPr>
            <w:tcW w:w="3260" w:type="dxa"/>
          </w:tcPr>
          <w:p w:rsidR="0034442B" w:rsidRPr="00937A6B" w:rsidRDefault="0034442B" w:rsidP="006247DF">
            <w:pPr>
              <w:spacing w:line="200" w:lineRule="exact"/>
              <w:jc w:val="left"/>
            </w:pPr>
            <w:r>
              <w:t>Reservposition i IMF</w:t>
            </w:r>
          </w:p>
        </w:tc>
        <w:tc>
          <w:tcPr>
            <w:tcW w:w="1361" w:type="dxa"/>
          </w:tcPr>
          <w:p w:rsidR="0034442B" w:rsidRPr="00E7637B" w:rsidRDefault="0034442B" w:rsidP="006247DF">
            <w:pPr>
              <w:spacing w:line="200" w:lineRule="exact"/>
              <w:jc w:val="right"/>
            </w:pPr>
            <w:r>
              <w:t>4</w:t>
            </w:r>
          </w:p>
        </w:tc>
        <w:tc>
          <w:tcPr>
            <w:tcW w:w="1361" w:type="dxa"/>
          </w:tcPr>
          <w:p w:rsidR="0034442B" w:rsidRPr="00E7637B" w:rsidRDefault="0034442B" w:rsidP="006247DF">
            <w:pPr>
              <w:spacing w:line="200" w:lineRule="exact"/>
              <w:jc w:val="right"/>
            </w:pPr>
            <w:r>
              <w:t>4</w:t>
            </w:r>
          </w:p>
        </w:tc>
      </w:tr>
      <w:tr w:rsidR="0034442B" w:rsidRPr="00E7637B" w:rsidTr="006247DF">
        <w:trPr>
          <w:cantSplit/>
          <w:trHeight w:val="20"/>
        </w:trPr>
        <w:tc>
          <w:tcPr>
            <w:tcW w:w="3260" w:type="dxa"/>
          </w:tcPr>
          <w:p w:rsidR="0034442B" w:rsidRPr="00937A6B" w:rsidRDefault="0034442B" w:rsidP="006247DF">
            <w:pPr>
              <w:spacing w:line="200" w:lineRule="exact"/>
              <w:jc w:val="left"/>
              <w:rPr>
                <w:lang w:val="en-US"/>
              </w:rPr>
            </w:pPr>
            <w:r w:rsidRPr="00937A6B">
              <w:rPr>
                <w:lang w:val="en-US"/>
              </w:rPr>
              <w:t xml:space="preserve">NAB </w:t>
            </w:r>
            <w:r>
              <w:rPr>
                <w:lang w:val="en-US"/>
              </w:rPr>
              <w:t>(</w:t>
            </w:r>
            <w:r w:rsidRPr="00937A6B">
              <w:rPr>
                <w:lang w:val="en-US"/>
              </w:rPr>
              <w:t>New Arrangement</w:t>
            </w:r>
            <w:r>
              <w:rPr>
                <w:lang w:val="en-US"/>
              </w:rPr>
              <w:t>s</w:t>
            </w:r>
            <w:r w:rsidRPr="00937A6B">
              <w:rPr>
                <w:lang w:val="en-US"/>
              </w:rPr>
              <w:t xml:space="preserve"> to Borrow</w:t>
            </w:r>
            <w:r>
              <w:rPr>
                <w:lang w:val="en-US"/>
              </w:rPr>
              <w:t>)</w:t>
            </w:r>
          </w:p>
        </w:tc>
        <w:tc>
          <w:tcPr>
            <w:tcW w:w="1361" w:type="dxa"/>
          </w:tcPr>
          <w:p w:rsidR="0034442B" w:rsidRPr="00DD21C0" w:rsidRDefault="0034442B" w:rsidP="006247DF">
            <w:pPr>
              <w:spacing w:line="200" w:lineRule="exact"/>
              <w:jc w:val="right"/>
              <w:rPr>
                <w:lang w:val="en-US"/>
              </w:rPr>
            </w:pPr>
            <w:r>
              <w:rPr>
                <w:lang w:val="en-US"/>
              </w:rPr>
              <w:t>5</w:t>
            </w:r>
          </w:p>
        </w:tc>
        <w:tc>
          <w:tcPr>
            <w:tcW w:w="1361" w:type="dxa"/>
          </w:tcPr>
          <w:p w:rsidR="0034442B" w:rsidRPr="00E7637B" w:rsidRDefault="0034442B" w:rsidP="006247DF">
            <w:pPr>
              <w:spacing w:line="200" w:lineRule="exact"/>
              <w:jc w:val="right"/>
            </w:pPr>
            <w:r>
              <w:rPr>
                <w:lang w:val="en-US"/>
              </w:rPr>
              <w:t>5</w:t>
            </w:r>
          </w:p>
        </w:tc>
      </w:tr>
      <w:tr w:rsidR="0034442B" w:rsidRPr="00E7637B" w:rsidTr="006247DF">
        <w:trPr>
          <w:cantSplit/>
          <w:trHeight w:val="20"/>
        </w:trPr>
        <w:tc>
          <w:tcPr>
            <w:tcW w:w="3260" w:type="dxa"/>
          </w:tcPr>
          <w:p w:rsidR="0034442B" w:rsidRDefault="0034442B" w:rsidP="006247DF">
            <w:pPr>
              <w:spacing w:line="200" w:lineRule="exact"/>
              <w:jc w:val="left"/>
            </w:pPr>
            <w:r>
              <w:t>Bankkonton</w:t>
            </w:r>
          </w:p>
        </w:tc>
        <w:tc>
          <w:tcPr>
            <w:tcW w:w="1361" w:type="dxa"/>
          </w:tcPr>
          <w:p w:rsidR="0034442B" w:rsidRDefault="0034442B" w:rsidP="006247DF">
            <w:pPr>
              <w:spacing w:line="200" w:lineRule="exact"/>
              <w:jc w:val="right"/>
            </w:pPr>
            <w:r>
              <w:t>1</w:t>
            </w:r>
          </w:p>
        </w:tc>
        <w:tc>
          <w:tcPr>
            <w:tcW w:w="1361" w:type="dxa"/>
          </w:tcPr>
          <w:p w:rsidR="0034442B" w:rsidRDefault="0034442B" w:rsidP="006247DF">
            <w:pPr>
              <w:spacing w:line="200" w:lineRule="exact"/>
              <w:jc w:val="right"/>
            </w:pPr>
            <w:r>
              <w:t>1</w:t>
            </w:r>
          </w:p>
        </w:tc>
      </w:tr>
      <w:tr w:rsidR="0034442B" w:rsidRPr="00E7637B" w:rsidTr="006247DF">
        <w:trPr>
          <w:cantSplit/>
          <w:trHeight w:val="20"/>
        </w:trPr>
        <w:tc>
          <w:tcPr>
            <w:tcW w:w="3260" w:type="dxa"/>
          </w:tcPr>
          <w:p w:rsidR="0034442B" w:rsidRDefault="0034442B" w:rsidP="006247DF">
            <w:pPr>
              <w:spacing w:line="200" w:lineRule="exact"/>
              <w:jc w:val="left"/>
            </w:pPr>
            <w:r>
              <w:t>Bankutlåning</w:t>
            </w:r>
          </w:p>
        </w:tc>
        <w:tc>
          <w:tcPr>
            <w:tcW w:w="1361" w:type="dxa"/>
          </w:tcPr>
          <w:p w:rsidR="0034442B" w:rsidRDefault="00267B52" w:rsidP="00267B52">
            <w:pPr>
              <w:spacing w:line="200" w:lineRule="exact"/>
              <w:jc w:val="right"/>
            </w:pPr>
            <w:r>
              <w:t>23</w:t>
            </w:r>
          </w:p>
        </w:tc>
        <w:tc>
          <w:tcPr>
            <w:tcW w:w="1361" w:type="dxa"/>
          </w:tcPr>
          <w:p w:rsidR="0034442B" w:rsidRDefault="0034442B" w:rsidP="006247DF">
            <w:pPr>
              <w:spacing w:line="200" w:lineRule="exact"/>
              <w:jc w:val="right"/>
            </w:pPr>
            <w:r>
              <w:t>44</w:t>
            </w:r>
          </w:p>
        </w:tc>
      </w:tr>
      <w:tr w:rsidR="0034442B" w:rsidRPr="00E7637B" w:rsidTr="006247DF">
        <w:trPr>
          <w:cantSplit/>
          <w:trHeight w:val="20"/>
        </w:trPr>
        <w:tc>
          <w:tcPr>
            <w:tcW w:w="3260" w:type="dxa"/>
          </w:tcPr>
          <w:p w:rsidR="0034442B" w:rsidRDefault="0034442B" w:rsidP="006247DF">
            <w:pPr>
              <w:spacing w:line="200" w:lineRule="exact"/>
              <w:jc w:val="left"/>
            </w:pPr>
            <w:r>
              <w:t>Obligationer</w:t>
            </w:r>
          </w:p>
        </w:tc>
        <w:tc>
          <w:tcPr>
            <w:tcW w:w="1361" w:type="dxa"/>
          </w:tcPr>
          <w:p w:rsidR="0034442B" w:rsidRDefault="0034442B" w:rsidP="00267B52">
            <w:pPr>
              <w:spacing w:line="200" w:lineRule="exact"/>
              <w:jc w:val="right"/>
            </w:pPr>
            <w:r>
              <w:t>3 6</w:t>
            </w:r>
            <w:r w:rsidR="00267B52">
              <w:t>57</w:t>
            </w:r>
          </w:p>
        </w:tc>
        <w:tc>
          <w:tcPr>
            <w:tcW w:w="1361" w:type="dxa"/>
          </w:tcPr>
          <w:p w:rsidR="0034442B" w:rsidRDefault="0034442B" w:rsidP="006247DF">
            <w:pPr>
              <w:spacing w:line="200" w:lineRule="exact"/>
              <w:jc w:val="right"/>
            </w:pPr>
            <w:r>
              <w:t>3 620</w:t>
            </w:r>
          </w:p>
        </w:tc>
      </w:tr>
      <w:tr w:rsidR="0034442B" w:rsidRPr="00E7637B" w:rsidTr="006247DF">
        <w:trPr>
          <w:cantSplit/>
          <w:trHeight w:val="20"/>
        </w:trPr>
        <w:tc>
          <w:tcPr>
            <w:tcW w:w="3260" w:type="dxa"/>
          </w:tcPr>
          <w:p w:rsidR="0034442B" w:rsidRPr="00C631B0" w:rsidRDefault="0034442B" w:rsidP="006247DF">
            <w:pPr>
              <w:spacing w:line="200" w:lineRule="exact"/>
              <w:jc w:val="left"/>
            </w:pPr>
            <w:r>
              <w:t>Korta värdepapper</w:t>
            </w:r>
          </w:p>
        </w:tc>
        <w:tc>
          <w:tcPr>
            <w:tcW w:w="1361" w:type="dxa"/>
          </w:tcPr>
          <w:p w:rsidR="0034442B" w:rsidRPr="00C15395" w:rsidRDefault="0034442B" w:rsidP="006247DF">
            <w:pPr>
              <w:spacing w:line="200" w:lineRule="exact"/>
              <w:jc w:val="right"/>
            </w:pPr>
            <w:r>
              <w:t>34</w:t>
            </w:r>
          </w:p>
        </w:tc>
        <w:tc>
          <w:tcPr>
            <w:tcW w:w="1361" w:type="dxa"/>
          </w:tcPr>
          <w:p w:rsidR="0034442B" w:rsidRPr="00C15395" w:rsidRDefault="0034442B" w:rsidP="006247DF">
            <w:pPr>
              <w:spacing w:line="200" w:lineRule="exact"/>
              <w:jc w:val="right"/>
            </w:pPr>
            <w:r>
              <w:t>34</w:t>
            </w:r>
          </w:p>
        </w:tc>
      </w:tr>
      <w:tr w:rsidR="0034442B" w:rsidRPr="00E7637B" w:rsidTr="006247DF">
        <w:trPr>
          <w:cantSplit/>
          <w:trHeight w:val="20"/>
        </w:trPr>
        <w:tc>
          <w:tcPr>
            <w:tcW w:w="3260" w:type="dxa"/>
          </w:tcPr>
          <w:p w:rsidR="0034442B" w:rsidRPr="00E7637B" w:rsidDel="008F4B4A" w:rsidRDefault="0034442B" w:rsidP="006247DF">
            <w:pPr>
              <w:spacing w:line="200" w:lineRule="exact"/>
              <w:jc w:val="left"/>
            </w:pPr>
            <w:r w:rsidRPr="00E7637B">
              <w:t>Derivatinstrument</w:t>
            </w:r>
          </w:p>
        </w:tc>
        <w:tc>
          <w:tcPr>
            <w:tcW w:w="1361" w:type="dxa"/>
          </w:tcPr>
          <w:p w:rsidR="0034442B" w:rsidRPr="00E7637B" w:rsidRDefault="00267B52" w:rsidP="00267B52">
            <w:pPr>
              <w:spacing w:line="200" w:lineRule="exact"/>
              <w:jc w:val="right"/>
            </w:pPr>
            <w:r>
              <w:t>303</w:t>
            </w:r>
          </w:p>
        </w:tc>
        <w:tc>
          <w:tcPr>
            <w:tcW w:w="1361" w:type="dxa"/>
          </w:tcPr>
          <w:p w:rsidR="0034442B" w:rsidRPr="00E7637B" w:rsidRDefault="0034442B" w:rsidP="006247DF">
            <w:pPr>
              <w:spacing w:line="200" w:lineRule="exact"/>
              <w:jc w:val="right"/>
            </w:pPr>
            <w:r>
              <w:t>282</w:t>
            </w:r>
          </w:p>
        </w:tc>
      </w:tr>
      <w:tr w:rsidR="0034442B" w:rsidRPr="00E7637B" w:rsidTr="006247DF">
        <w:trPr>
          <w:cantSplit/>
          <w:trHeight w:val="20"/>
        </w:trPr>
        <w:tc>
          <w:tcPr>
            <w:tcW w:w="3260" w:type="dxa"/>
          </w:tcPr>
          <w:p w:rsidR="0034442B" w:rsidRPr="00E7637B" w:rsidRDefault="0034442B" w:rsidP="006247DF">
            <w:pPr>
              <w:spacing w:line="200" w:lineRule="exact"/>
              <w:jc w:val="left"/>
            </w:pPr>
          </w:p>
        </w:tc>
        <w:tc>
          <w:tcPr>
            <w:tcW w:w="1361" w:type="dxa"/>
            <w:tcBorders>
              <w:top w:val="single" w:sz="4" w:space="0" w:color="auto"/>
            </w:tcBorders>
          </w:tcPr>
          <w:p w:rsidR="0034442B" w:rsidRPr="00E7637B" w:rsidRDefault="0034442B" w:rsidP="006247DF">
            <w:pPr>
              <w:spacing w:line="200" w:lineRule="exact"/>
              <w:jc w:val="right"/>
            </w:pPr>
            <w:r>
              <w:t>4 0</w:t>
            </w:r>
            <w:r w:rsidR="004F0ED9">
              <w:t>46</w:t>
            </w:r>
          </w:p>
        </w:tc>
        <w:tc>
          <w:tcPr>
            <w:tcW w:w="1361" w:type="dxa"/>
            <w:tcBorders>
              <w:top w:val="single" w:sz="4" w:space="0" w:color="auto"/>
            </w:tcBorders>
          </w:tcPr>
          <w:p w:rsidR="0034442B" w:rsidRPr="00E7637B" w:rsidRDefault="0034442B" w:rsidP="006247DF">
            <w:pPr>
              <w:spacing w:line="200" w:lineRule="exact"/>
              <w:jc w:val="right"/>
            </w:pPr>
            <w:r>
              <w:t>4 007</w:t>
            </w:r>
          </w:p>
        </w:tc>
      </w:tr>
      <w:tr w:rsidR="0034442B" w:rsidRPr="00E7637B" w:rsidTr="006247DF">
        <w:trPr>
          <w:cantSplit/>
          <w:trHeight w:val="20"/>
        </w:trPr>
        <w:tc>
          <w:tcPr>
            <w:tcW w:w="3260" w:type="dxa"/>
          </w:tcPr>
          <w:p w:rsidR="0034442B" w:rsidRPr="00E7637B" w:rsidRDefault="0034442B" w:rsidP="006247DF">
            <w:pPr>
              <w:spacing w:line="200" w:lineRule="exact"/>
              <w:jc w:val="left"/>
              <w:rPr>
                <w:i/>
              </w:rPr>
            </w:pPr>
            <w:r w:rsidRPr="00E7637B">
              <w:rPr>
                <w:i/>
              </w:rPr>
              <w:t>Från inhemska tillgångar:</w:t>
            </w:r>
          </w:p>
        </w:tc>
        <w:tc>
          <w:tcPr>
            <w:tcW w:w="1361" w:type="dxa"/>
          </w:tcPr>
          <w:p w:rsidR="0034442B" w:rsidRPr="00E7637B" w:rsidRDefault="0034442B" w:rsidP="006247DF">
            <w:pPr>
              <w:spacing w:line="200" w:lineRule="exact"/>
              <w:jc w:val="right"/>
            </w:pPr>
          </w:p>
        </w:tc>
        <w:tc>
          <w:tcPr>
            <w:tcW w:w="1361" w:type="dxa"/>
          </w:tcPr>
          <w:p w:rsidR="0034442B" w:rsidRPr="00E7637B" w:rsidRDefault="0034442B" w:rsidP="006247DF">
            <w:pPr>
              <w:spacing w:line="200" w:lineRule="exact"/>
              <w:jc w:val="right"/>
            </w:pPr>
          </w:p>
        </w:tc>
      </w:tr>
      <w:tr w:rsidR="0034442B" w:rsidRPr="00E7637B" w:rsidTr="006247DF">
        <w:trPr>
          <w:cantSplit/>
          <w:trHeight w:val="20"/>
        </w:trPr>
        <w:tc>
          <w:tcPr>
            <w:tcW w:w="3260" w:type="dxa"/>
          </w:tcPr>
          <w:p w:rsidR="0034442B" w:rsidRPr="00E7637B" w:rsidRDefault="0034442B" w:rsidP="006247DF">
            <w:pPr>
              <w:spacing w:line="200" w:lineRule="exact"/>
              <w:jc w:val="left"/>
            </w:pPr>
            <w:r>
              <w:t xml:space="preserve">Finjusterande </w:t>
            </w:r>
            <w:r w:rsidRPr="00E7637B">
              <w:t>transaktioner</w:t>
            </w:r>
          </w:p>
        </w:tc>
        <w:tc>
          <w:tcPr>
            <w:tcW w:w="1361" w:type="dxa"/>
          </w:tcPr>
          <w:p w:rsidR="0034442B" w:rsidRPr="00E7637B" w:rsidRDefault="0034442B" w:rsidP="006247DF">
            <w:pPr>
              <w:spacing w:line="200" w:lineRule="exact"/>
              <w:jc w:val="right"/>
            </w:pPr>
            <w:r>
              <w:t>0</w:t>
            </w:r>
          </w:p>
        </w:tc>
        <w:tc>
          <w:tcPr>
            <w:tcW w:w="1361" w:type="dxa"/>
          </w:tcPr>
          <w:p w:rsidR="0034442B" w:rsidRPr="00E7637B" w:rsidRDefault="0034442B" w:rsidP="006247DF">
            <w:pPr>
              <w:spacing w:line="200" w:lineRule="exact"/>
              <w:jc w:val="right"/>
            </w:pPr>
            <w:r>
              <w:t>0</w:t>
            </w:r>
          </w:p>
        </w:tc>
      </w:tr>
      <w:tr w:rsidR="0034442B" w:rsidRPr="00E7637B" w:rsidTr="006247DF">
        <w:trPr>
          <w:cantSplit/>
          <w:trHeight w:val="20"/>
        </w:trPr>
        <w:tc>
          <w:tcPr>
            <w:tcW w:w="3260" w:type="dxa"/>
          </w:tcPr>
          <w:p w:rsidR="0034442B" w:rsidRPr="00E7637B" w:rsidRDefault="0034442B" w:rsidP="006247DF">
            <w:pPr>
              <w:spacing w:line="200" w:lineRule="exact"/>
              <w:jc w:val="left"/>
            </w:pPr>
            <w:r w:rsidRPr="00E7637B">
              <w:t>Utlåningsfacilitet</w:t>
            </w:r>
          </w:p>
        </w:tc>
        <w:tc>
          <w:tcPr>
            <w:tcW w:w="1361" w:type="dxa"/>
          </w:tcPr>
          <w:p w:rsidR="0034442B" w:rsidRPr="00E7637B" w:rsidRDefault="00267B52" w:rsidP="00267B52">
            <w:pPr>
              <w:spacing w:line="200" w:lineRule="exact"/>
              <w:jc w:val="right"/>
            </w:pPr>
            <w:r>
              <w:t>2</w:t>
            </w:r>
          </w:p>
        </w:tc>
        <w:tc>
          <w:tcPr>
            <w:tcW w:w="1361" w:type="dxa"/>
          </w:tcPr>
          <w:p w:rsidR="0034442B" w:rsidRPr="00E7637B" w:rsidRDefault="0034442B" w:rsidP="006247DF">
            <w:pPr>
              <w:spacing w:line="200" w:lineRule="exact"/>
              <w:jc w:val="right"/>
            </w:pPr>
            <w:r>
              <w:t>1</w:t>
            </w:r>
          </w:p>
        </w:tc>
      </w:tr>
      <w:tr w:rsidR="00267B52" w:rsidRPr="00E7637B" w:rsidTr="006247DF">
        <w:trPr>
          <w:cantSplit/>
          <w:trHeight w:val="20"/>
        </w:trPr>
        <w:tc>
          <w:tcPr>
            <w:tcW w:w="3260" w:type="dxa"/>
          </w:tcPr>
          <w:p w:rsidR="00267B52" w:rsidRDefault="00267B52" w:rsidP="006247DF">
            <w:pPr>
              <w:spacing w:line="200" w:lineRule="exact"/>
              <w:jc w:val="left"/>
            </w:pPr>
            <w:r>
              <w:t>Utlåningsrepor</w:t>
            </w:r>
          </w:p>
        </w:tc>
        <w:tc>
          <w:tcPr>
            <w:tcW w:w="1361" w:type="dxa"/>
          </w:tcPr>
          <w:p w:rsidR="00267B52" w:rsidRDefault="00267B52" w:rsidP="00267B52">
            <w:pPr>
              <w:spacing w:line="200" w:lineRule="exact"/>
              <w:jc w:val="right"/>
            </w:pPr>
            <w:r>
              <w:t>5</w:t>
            </w:r>
          </w:p>
        </w:tc>
        <w:tc>
          <w:tcPr>
            <w:tcW w:w="1361" w:type="dxa"/>
          </w:tcPr>
          <w:p w:rsidR="00267B52" w:rsidRDefault="00267B52" w:rsidP="006247DF">
            <w:pPr>
              <w:spacing w:line="200" w:lineRule="exact"/>
              <w:jc w:val="right"/>
            </w:pPr>
            <w:r>
              <w:t>–</w:t>
            </w:r>
          </w:p>
        </w:tc>
      </w:tr>
      <w:tr w:rsidR="0034442B" w:rsidRPr="00E7637B" w:rsidTr="006247DF">
        <w:trPr>
          <w:cantSplit/>
          <w:trHeight w:val="20"/>
        </w:trPr>
        <w:tc>
          <w:tcPr>
            <w:tcW w:w="3260" w:type="dxa"/>
          </w:tcPr>
          <w:p w:rsidR="0034442B" w:rsidRPr="00B0550A" w:rsidRDefault="0034442B" w:rsidP="006247DF">
            <w:pPr>
              <w:spacing w:line="200" w:lineRule="exact"/>
              <w:jc w:val="left"/>
            </w:pPr>
            <w:r w:rsidRPr="00E7637B">
              <w:t>Övrig utlåning</w:t>
            </w:r>
            <w:r>
              <w:t xml:space="preserve">                           </w:t>
            </w:r>
          </w:p>
        </w:tc>
        <w:tc>
          <w:tcPr>
            <w:tcW w:w="1361" w:type="dxa"/>
          </w:tcPr>
          <w:p w:rsidR="0034442B" w:rsidRPr="00262BC2" w:rsidRDefault="00267B52" w:rsidP="00267B52">
            <w:pPr>
              <w:spacing w:line="200" w:lineRule="exact"/>
              <w:jc w:val="right"/>
            </w:pPr>
            <w:r>
              <w:t>0</w:t>
            </w:r>
          </w:p>
        </w:tc>
        <w:tc>
          <w:tcPr>
            <w:tcW w:w="1361" w:type="dxa"/>
          </w:tcPr>
          <w:p w:rsidR="0034442B" w:rsidRPr="00262BC2" w:rsidRDefault="0034442B" w:rsidP="006247DF">
            <w:pPr>
              <w:spacing w:line="200" w:lineRule="exact"/>
              <w:jc w:val="right"/>
            </w:pPr>
            <w:r>
              <w:t>1</w:t>
            </w:r>
          </w:p>
        </w:tc>
      </w:tr>
      <w:tr w:rsidR="0034442B" w:rsidRPr="00E7637B" w:rsidTr="006247DF">
        <w:trPr>
          <w:cantSplit/>
          <w:trHeight w:val="20"/>
        </w:trPr>
        <w:tc>
          <w:tcPr>
            <w:tcW w:w="3260" w:type="dxa"/>
          </w:tcPr>
          <w:p w:rsidR="0034442B" w:rsidRPr="00E7637B" w:rsidRDefault="0034442B" w:rsidP="006247DF">
            <w:pPr>
              <w:spacing w:line="200" w:lineRule="exact"/>
              <w:jc w:val="left"/>
            </w:pPr>
            <w:r>
              <w:t>Obligationer</w:t>
            </w:r>
          </w:p>
        </w:tc>
        <w:tc>
          <w:tcPr>
            <w:tcW w:w="1361" w:type="dxa"/>
          </w:tcPr>
          <w:p w:rsidR="0034442B" w:rsidRPr="00262BC2" w:rsidRDefault="0034442B" w:rsidP="00267B52">
            <w:pPr>
              <w:spacing w:line="200" w:lineRule="exact"/>
              <w:jc w:val="right"/>
            </w:pPr>
            <w:r>
              <w:t>1</w:t>
            </w:r>
            <w:r w:rsidR="00267B52">
              <w:t>35</w:t>
            </w:r>
          </w:p>
        </w:tc>
        <w:tc>
          <w:tcPr>
            <w:tcW w:w="1361" w:type="dxa"/>
          </w:tcPr>
          <w:p w:rsidR="0034442B" w:rsidRPr="00262BC2" w:rsidRDefault="0034442B" w:rsidP="006247DF">
            <w:pPr>
              <w:spacing w:line="200" w:lineRule="exact"/>
              <w:jc w:val="right"/>
            </w:pPr>
            <w:r>
              <w:t>100</w:t>
            </w:r>
          </w:p>
        </w:tc>
      </w:tr>
      <w:tr w:rsidR="0034442B" w:rsidRPr="00E7637B" w:rsidTr="006247DF">
        <w:trPr>
          <w:cantSplit/>
          <w:trHeight w:val="20"/>
        </w:trPr>
        <w:tc>
          <w:tcPr>
            <w:tcW w:w="3260" w:type="dxa"/>
          </w:tcPr>
          <w:p w:rsidR="0034442B" w:rsidRPr="00E7637B" w:rsidRDefault="0034442B" w:rsidP="006247DF">
            <w:pPr>
              <w:spacing w:line="200" w:lineRule="exact"/>
              <w:jc w:val="left"/>
            </w:pPr>
            <w:r w:rsidRPr="00E7637B">
              <w:t>Personallån</w:t>
            </w:r>
          </w:p>
        </w:tc>
        <w:tc>
          <w:tcPr>
            <w:tcW w:w="1361" w:type="dxa"/>
            <w:tcBorders>
              <w:bottom w:val="single" w:sz="4" w:space="0" w:color="auto"/>
            </w:tcBorders>
          </w:tcPr>
          <w:p w:rsidR="0034442B" w:rsidRPr="00E7637B" w:rsidRDefault="00267B52" w:rsidP="00267B52">
            <w:pPr>
              <w:spacing w:line="200" w:lineRule="exact"/>
              <w:jc w:val="right"/>
            </w:pPr>
            <w:r>
              <w:t>5</w:t>
            </w:r>
          </w:p>
        </w:tc>
        <w:tc>
          <w:tcPr>
            <w:tcW w:w="1361" w:type="dxa"/>
            <w:tcBorders>
              <w:bottom w:val="single" w:sz="4" w:space="0" w:color="auto"/>
            </w:tcBorders>
          </w:tcPr>
          <w:p w:rsidR="0034442B" w:rsidRPr="00E7637B" w:rsidRDefault="0034442B" w:rsidP="006247DF">
            <w:pPr>
              <w:spacing w:line="200" w:lineRule="exact"/>
              <w:jc w:val="right"/>
            </w:pPr>
            <w:r>
              <w:t>4</w:t>
            </w:r>
          </w:p>
        </w:tc>
      </w:tr>
      <w:tr w:rsidR="0034442B" w:rsidRPr="00E7637B" w:rsidTr="006247DF">
        <w:trPr>
          <w:cantSplit/>
          <w:trHeight w:val="20"/>
        </w:trPr>
        <w:tc>
          <w:tcPr>
            <w:tcW w:w="3260" w:type="dxa"/>
          </w:tcPr>
          <w:p w:rsidR="0034442B" w:rsidRPr="00E7637B" w:rsidRDefault="0034442B" w:rsidP="006247DF">
            <w:pPr>
              <w:spacing w:line="200" w:lineRule="exact"/>
              <w:jc w:val="left"/>
            </w:pPr>
          </w:p>
        </w:tc>
        <w:tc>
          <w:tcPr>
            <w:tcW w:w="1361" w:type="dxa"/>
            <w:tcBorders>
              <w:top w:val="single" w:sz="4" w:space="0" w:color="auto"/>
              <w:bottom w:val="single" w:sz="4" w:space="0" w:color="auto"/>
            </w:tcBorders>
          </w:tcPr>
          <w:p w:rsidR="0034442B" w:rsidRPr="00E7637B" w:rsidRDefault="0034442B" w:rsidP="00267B52">
            <w:pPr>
              <w:spacing w:line="200" w:lineRule="exact"/>
              <w:jc w:val="right"/>
            </w:pPr>
            <w:r>
              <w:t>1</w:t>
            </w:r>
            <w:r w:rsidR="00267B52">
              <w:t>47</w:t>
            </w:r>
          </w:p>
        </w:tc>
        <w:tc>
          <w:tcPr>
            <w:tcW w:w="1361" w:type="dxa"/>
            <w:tcBorders>
              <w:top w:val="single" w:sz="4" w:space="0" w:color="auto"/>
              <w:bottom w:val="single" w:sz="4" w:space="0" w:color="auto"/>
            </w:tcBorders>
          </w:tcPr>
          <w:p w:rsidR="0034442B" w:rsidRPr="00E7637B" w:rsidRDefault="0034442B" w:rsidP="006247DF">
            <w:pPr>
              <w:spacing w:line="200" w:lineRule="exact"/>
              <w:jc w:val="right"/>
            </w:pPr>
            <w:r>
              <w:t>106</w:t>
            </w:r>
          </w:p>
        </w:tc>
      </w:tr>
      <w:tr w:rsidR="0034442B" w:rsidRPr="00E7637B" w:rsidTr="006247DF">
        <w:trPr>
          <w:cantSplit/>
          <w:trHeight w:val="20"/>
        </w:trPr>
        <w:tc>
          <w:tcPr>
            <w:tcW w:w="3260" w:type="dxa"/>
            <w:tcBorders>
              <w:bottom w:val="single" w:sz="4" w:space="0" w:color="auto"/>
            </w:tcBorders>
            <w:vAlign w:val="center"/>
          </w:tcPr>
          <w:p w:rsidR="0034442B" w:rsidRPr="00E7637B" w:rsidRDefault="0034442B" w:rsidP="006247DF">
            <w:pPr>
              <w:spacing w:line="200" w:lineRule="exact"/>
              <w:jc w:val="left"/>
            </w:pPr>
            <w:r w:rsidRPr="00E7637B">
              <w:t>Summa</w:t>
            </w:r>
          </w:p>
        </w:tc>
        <w:tc>
          <w:tcPr>
            <w:tcW w:w="1361" w:type="dxa"/>
            <w:tcBorders>
              <w:top w:val="single" w:sz="4" w:space="0" w:color="auto"/>
              <w:bottom w:val="single" w:sz="4" w:space="0" w:color="auto"/>
            </w:tcBorders>
            <w:vAlign w:val="center"/>
          </w:tcPr>
          <w:p w:rsidR="0034442B" w:rsidRPr="00E7637B" w:rsidRDefault="0034442B" w:rsidP="00267B52">
            <w:pPr>
              <w:spacing w:line="200" w:lineRule="exact"/>
              <w:jc w:val="right"/>
            </w:pPr>
            <w:r>
              <w:t>4 1</w:t>
            </w:r>
            <w:r w:rsidR="00267B52">
              <w:t>9</w:t>
            </w:r>
            <w:r>
              <w:t>3</w:t>
            </w:r>
          </w:p>
        </w:tc>
        <w:tc>
          <w:tcPr>
            <w:tcW w:w="1361" w:type="dxa"/>
            <w:tcBorders>
              <w:top w:val="single" w:sz="4" w:space="0" w:color="auto"/>
              <w:bottom w:val="single" w:sz="4" w:space="0" w:color="auto"/>
            </w:tcBorders>
            <w:vAlign w:val="center"/>
          </w:tcPr>
          <w:p w:rsidR="0034442B" w:rsidRPr="00E7637B" w:rsidRDefault="0034442B" w:rsidP="006247DF">
            <w:pPr>
              <w:spacing w:line="200" w:lineRule="exact"/>
              <w:jc w:val="right"/>
            </w:pPr>
            <w:r>
              <w:t>4 113</w:t>
            </w:r>
          </w:p>
        </w:tc>
      </w:tr>
    </w:tbl>
    <w:p w:rsidR="006247DF" w:rsidRPr="00E7637B" w:rsidRDefault="006247DF" w:rsidP="006247DF">
      <w:pPr>
        <w:spacing w:before="187"/>
        <w:outlineLvl w:val="0"/>
        <w:rPr>
          <w:b/>
        </w:rPr>
      </w:pPr>
      <w:r w:rsidRPr="00E7637B">
        <w:rPr>
          <w:b/>
        </w:rPr>
        <w:t xml:space="preserve">Not </w:t>
      </w:r>
      <w:r>
        <w:rPr>
          <w:b/>
        </w:rPr>
        <w:t>29</w:t>
      </w:r>
      <w:r w:rsidRPr="00E7637B">
        <w:rPr>
          <w:b/>
        </w:rPr>
        <w:t xml:space="preserve"> Räntekostnader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rPr>
                <w:szCs w:val="19"/>
              </w:rPr>
            </w:pPr>
          </w:p>
        </w:tc>
        <w:tc>
          <w:tcPr>
            <w:tcW w:w="1361" w:type="dxa"/>
            <w:tcBorders>
              <w:top w:val="single" w:sz="4" w:space="0" w:color="auto"/>
            </w:tcBorders>
            <w:vAlign w:val="center"/>
          </w:tcPr>
          <w:p w:rsidR="006247DF" w:rsidRPr="00E7637B" w:rsidRDefault="006247DF" w:rsidP="00267B52">
            <w:pPr>
              <w:spacing w:line="200" w:lineRule="exact"/>
              <w:jc w:val="right"/>
              <w:rPr>
                <w:szCs w:val="19"/>
              </w:rPr>
            </w:pPr>
            <w:r>
              <w:rPr>
                <w:szCs w:val="19"/>
              </w:rPr>
              <w:t>201</w:t>
            </w:r>
            <w:r w:rsidR="00267B52">
              <w:rPr>
                <w:szCs w:val="19"/>
              </w:rPr>
              <w:t>4</w:t>
            </w:r>
          </w:p>
        </w:tc>
        <w:tc>
          <w:tcPr>
            <w:tcW w:w="1361" w:type="dxa"/>
            <w:tcBorders>
              <w:top w:val="single" w:sz="4" w:space="0" w:color="auto"/>
            </w:tcBorders>
            <w:vAlign w:val="center"/>
          </w:tcPr>
          <w:p w:rsidR="006247DF" w:rsidRPr="00E7637B" w:rsidRDefault="006247DF" w:rsidP="00267B52">
            <w:pPr>
              <w:spacing w:line="200" w:lineRule="exact"/>
              <w:jc w:val="right"/>
              <w:rPr>
                <w:szCs w:val="19"/>
              </w:rPr>
            </w:pPr>
            <w:r>
              <w:rPr>
                <w:szCs w:val="19"/>
              </w:rPr>
              <w:t>201</w:t>
            </w:r>
            <w:r w:rsidR="00267B52">
              <w:rPr>
                <w:szCs w:val="19"/>
              </w:rPr>
              <w:t>3</w:t>
            </w:r>
          </w:p>
        </w:tc>
      </w:tr>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rPr>
                <w:i/>
                <w:szCs w:val="19"/>
              </w:rPr>
            </w:pPr>
            <w:r w:rsidRPr="00E7637B">
              <w:rPr>
                <w:i/>
                <w:szCs w:val="19"/>
              </w:rPr>
              <w:t>Från utländska skulder:</w:t>
            </w:r>
          </w:p>
        </w:tc>
        <w:tc>
          <w:tcPr>
            <w:tcW w:w="1361" w:type="dxa"/>
            <w:tcBorders>
              <w:top w:val="single" w:sz="4" w:space="0" w:color="auto"/>
            </w:tcBorders>
          </w:tcPr>
          <w:p w:rsidR="006247DF" w:rsidRPr="00E7637B" w:rsidRDefault="006247DF" w:rsidP="006247DF">
            <w:pPr>
              <w:spacing w:line="200" w:lineRule="exact"/>
              <w:jc w:val="right"/>
              <w:rPr>
                <w:szCs w:val="19"/>
              </w:rPr>
            </w:pPr>
          </w:p>
        </w:tc>
        <w:tc>
          <w:tcPr>
            <w:tcW w:w="1361" w:type="dxa"/>
            <w:tcBorders>
              <w:top w:val="single" w:sz="4" w:space="0" w:color="auto"/>
            </w:tcBorders>
          </w:tcPr>
          <w:p w:rsidR="006247DF" w:rsidRPr="00E7637B" w:rsidRDefault="006247DF" w:rsidP="006247DF">
            <w:pPr>
              <w:spacing w:line="200" w:lineRule="exact"/>
              <w:jc w:val="right"/>
              <w:rPr>
                <w:szCs w:val="19"/>
              </w:rPr>
            </w:pPr>
          </w:p>
        </w:tc>
      </w:tr>
      <w:tr w:rsidR="00267B52" w:rsidRPr="00E7637B" w:rsidTr="006247DF">
        <w:trPr>
          <w:cantSplit/>
          <w:trHeight w:val="20"/>
        </w:trPr>
        <w:tc>
          <w:tcPr>
            <w:tcW w:w="3260" w:type="dxa"/>
          </w:tcPr>
          <w:p w:rsidR="00267B52" w:rsidRPr="00C15395" w:rsidRDefault="00267B52" w:rsidP="006247DF">
            <w:pPr>
              <w:spacing w:line="200" w:lineRule="exact"/>
              <w:rPr>
                <w:szCs w:val="19"/>
              </w:rPr>
            </w:pPr>
            <w:r w:rsidRPr="00E7637B">
              <w:rPr>
                <w:szCs w:val="19"/>
              </w:rPr>
              <w:t>Inlåning</w:t>
            </w:r>
            <w:r>
              <w:rPr>
                <w:szCs w:val="19"/>
              </w:rPr>
              <w:t xml:space="preserve"> Riksgälden</w:t>
            </w:r>
          </w:p>
        </w:tc>
        <w:tc>
          <w:tcPr>
            <w:tcW w:w="1361" w:type="dxa"/>
          </w:tcPr>
          <w:p w:rsidR="00267B52" w:rsidRPr="00C15395" w:rsidRDefault="00267B52" w:rsidP="00267B52">
            <w:pPr>
              <w:tabs>
                <w:tab w:val="left" w:pos="1377"/>
              </w:tabs>
              <w:spacing w:line="200" w:lineRule="exact"/>
              <w:jc w:val="right"/>
              <w:rPr>
                <w:szCs w:val="19"/>
              </w:rPr>
            </w:pPr>
            <w:r>
              <w:t>–1 487</w:t>
            </w:r>
          </w:p>
        </w:tc>
        <w:tc>
          <w:tcPr>
            <w:tcW w:w="1361" w:type="dxa"/>
          </w:tcPr>
          <w:p w:rsidR="00267B52" w:rsidRPr="00C15395" w:rsidRDefault="00267B52" w:rsidP="006247DF">
            <w:pPr>
              <w:tabs>
                <w:tab w:val="left" w:pos="1377"/>
              </w:tabs>
              <w:spacing w:line="200" w:lineRule="exact"/>
              <w:jc w:val="right"/>
              <w:rPr>
                <w:szCs w:val="19"/>
              </w:rPr>
            </w:pPr>
            <w:r>
              <w:t>–1 236</w:t>
            </w:r>
          </w:p>
        </w:tc>
      </w:tr>
      <w:tr w:rsidR="00267B52" w:rsidRPr="00E7637B" w:rsidTr="006247DF">
        <w:trPr>
          <w:cantSplit/>
          <w:trHeight w:val="20"/>
        </w:trPr>
        <w:tc>
          <w:tcPr>
            <w:tcW w:w="3260" w:type="dxa"/>
          </w:tcPr>
          <w:p w:rsidR="00267B52" w:rsidRPr="000C4345" w:rsidRDefault="00267B52" w:rsidP="006247DF">
            <w:pPr>
              <w:spacing w:line="200" w:lineRule="exact"/>
              <w:rPr>
                <w:szCs w:val="19"/>
              </w:rPr>
            </w:pPr>
            <w:r>
              <w:rPr>
                <w:szCs w:val="19"/>
              </w:rPr>
              <w:t>Inlåningsrepor</w:t>
            </w:r>
          </w:p>
        </w:tc>
        <w:tc>
          <w:tcPr>
            <w:tcW w:w="1361" w:type="dxa"/>
          </w:tcPr>
          <w:p w:rsidR="00267B52" w:rsidRPr="00C15395" w:rsidRDefault="00267B52" w:rsidP="00267B52">
            <w:pPr>
              <w:spacing w:line="200" w:lineRule="exact"/>
              <w:jc w:val="right"/>
              <w:rPr>
                <w:szCs w:val="19"/>
              </w:rPr>
            </w:pPr>
            <w:r>
              <w:t>–</w:t>
            </w:r>
          </w:p>
        </w:tc>
        <w:tc>
          <w:tcPr>
            <w:tcW w:w="1361" w:type="dxa"/>
          </w:tcPr>
          <w:p w:rsidR="00267B52" w:rsidRPr="00C15395" w:rsidRDefault="00267B52" w:rsidP="006247DF">
            <w:pPr>
              <w:spacing w:line="200" w:lineRule="exact"/>
              <w:jc w:val="right"/>
              <w:rPr>
                <w:szCs w:val="19"/>
              </w:rPr>
            </w:pPr>
            <w:r>
              <w:t>0</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r w:rsidRPr="00C631B0">
              <w:rPr>
                <w:szCs w:val="19"/>
              </w:rPr>
              <w:t>Motpost till s</w:t>
            </w:r>
            <w:r w:rsidRPr="00C15395">
              <w:rPr>
                <w:szCs w:val="19"/>
              </w:rPr>
              <w:t>ärskilda dragningsrät</w:t>
            </w:r>
            <w:r w:rsidRPr="000C4345">
              <w:rPr>
                <w:szCs w:val="19"/>
              </w:rPr>
              <w:t>ter</w:t>
            </w:r>
          </w:p>
        </w:tc>
        <w:tc>
          <w:tcPr>
            <w:tcW w:w="1361" w:type="dxa"/>
          </w:tcPr>
          <w:p w:rsidR="00267B52" w:rsidRDefault="00267B52" w:rsidP="00267B52">
            <w:pPr>
              <w:spacing w:line="200" w:lineRule="exact"/>
              <w:jc w:val="right"/>
              <w:rPr>
                <w:szCs w:val="19"/>
              </w:rPr>
            </w:pPr>
            <w:r>
              <w:t>–20</w:t>
            </w:r>
          </w:p>
        </w:tc>
        <w:tc>
          <w:tcPr>
            <w:tcW w:w="1361" w:type="dxa"/>
          </w:tcPr>
          <w:p w:rsidR="00267B52" w:rsidRDefault="00267B52" w:rsidP="006247DF">
            <w:pPr>
              <w:spacing w:line="200" w:lineRule="exact"/>
              <w:jc w:val="right"/>
              <w:rPr>
                <w:szCs w:val="19"/>
              </w:rPr>
            </w:pPr>
            <w:r>
              <w:t>–18</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r w:rsidRPr="00E7637B">
              <w:rPr>
                <w:szCs w:val="19"/>
              </w:rPr>
              <w:t>Derivatinstrument</w:t>
            </w:r>
          </w:p>
        </w:tc>
        <w:tc>
          <w:tcPr>
            <w:tcW w:w="1361" w:type="dxa"/>
            <w:tcBorders>
              <w:bottom w:val="single" w:sz="4" w:space="0" w:color="auto"/>
            </w:tcBorders>
          </w:tcPr>
          <w:p w:rsidR="00267B52" w:rsidRPr="00262BC2" w:rsidRDefault="00267B52" w:rsidP="00267B52">
            <w:pPr>
              <w:spacing w:line="200" w:lineRule="exact"/>
              <w:jc w:val="right"/>
              <w:rPr>
                <w:szCs w:val="19"/>
              </w:rPr>
            </w:pPr>
            <w:r>
              <w:t>–1</w:t>
            </w:r>
          </w:p>
        </w:tc>
        <w:tc>
          <w:tcPr>
            <w:tcW w:w="1361" w:type="dxa"/>
            <w:tcBorders>
              <w:bottom w:val="single" w:sz="4" w:space="0" w:color="auto"/>
            </w:tcBorders>
          </w:tcPr>
          <w:p w:rsidR="00267B52" w:rsidRPr="00262BC2" w:rsidRDefault="00267B52" w:rsidP="006247DF">
            <w:pPr>
              <w:spacing w:line="200" w:lineRule="exact"/>
              <w:jc w:val="right"/>
              <w:rPr>
                <w:szCs w:val="19"/>
              </w:rPr>
            </w:pPr>
            <w:r>
              <w:t>–</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p>
        </w:tc>
        <w:tc>
          <w:tcPr>
            <w:tcW w:w="1361" w:type="dxa"/>
            <w:tcBorders>
              <w:top w:val="single" w:sz="4" w:space="0" w:color="auto"/>
            </w:tcBorders>
          </w:tcPr>
          <w:p w:rsidR="00267B52" w:rsidRPr="00262BC2" w:rsidRDefault="00267B52" w:rsidP="00267B52">
            <w:pPr>
              <w:spacing w:line="200" w:lineRule="exact"/>
              <w:jc w:val="right"/>
              <w:rPr>
                <w:szCs w:val="19"/>
              </w:rPr>
            </w:pPr>
            <w:r>
              <w:t>–1 508</w:t>
            </w:r>
          </w:p>
        </w:tc>
        <w:tc>
          <w:tcPr>
            <w:tcW w:w="1361" w:type="dxa"/>
            <w:tcBorders>
              <w:top w:val="single" w:sz="4" w:space="0" w:color="auto"/>
            </w:tcBorders>
          </w:tcPr>
          <w:p w:rsidR="00267B52" w:rsidRPr="00262BC2" w:rsidRDefault="00267B52" w:rsidP="006247DF">
            <w:pPr>
              <w:spacing w:line="200" w:lineRule="exact"/>
              <w:jc w:val="right"/>
              <w:rPr>
                <w:szCs w:val="19"/>
              </w:rPr>
            </w:pPr>
            <w:r>
              <w:t>–1 254</w:t>
            </w:r>
          </w:p>
        </w:tc>
      </w:tr>
      <w:tr w:rsidR="00267B52" w:rsidRPr="00E7637B" w:rsidTr="006247DF">
        <w:trPr>
          <w:cantSplit/>
          <w:trHeight w:val="20"/>
        </w:trPr>
        <w:tc>
          <w:tcPr>
            <w:tcW w:w="3260" w:type="dxa"/>
          </w:tcPr>
          <w:p w:rsidR="00267B52" w:rsidRPr="00E7637B" w:rsidRDefault="00267B52" w:rsidP="006247DF">
            <w:pPr>
              <w:spacing w:line="200" w:lineRule="exact"/>
              <w:rPr>
                <w:i/>
                <w:szCs w:val="19"/>
              </w:rPr>
            </w:pPr>
            <w:r w:rsidRPr="00E7637B">
              <w:rPr>
                <w:i/>
                <w:szCs w:val="19"/>
              </w:rPr>
              <w:t>Från inhemska skulder:</w:t>
            </w:r>
          </w:p>
        </w:tc>
        <w:tc>
          <w:tcPr>
            <w:tcW w:w="1361" w:type="dxa"/>
          </w:tcPr>
          <w:p w:rsidR="00267B52" w:rsidRPr="00E7637B" w:rsidRDefault="00267B52" w:rsidP="006247DF">
            <w:pPr>
              <w:spacing w:line="200" w:lineRule="exact"/>
              <w:jc w:val="right"/>
              <w:rPr>
                <w:szCs w:val="19"/>
              </w:rPr>
            </w:pPr>
          </w:p>
        </w:tc>
        <w:tc>
          <w:tcPr>
            <w:tcW w:w="1361" w:type="dxa"/>
          </w:tcPr>
          <w:p w:rsidR="00267B52" w:rsidRPr="00E7637B" w:rsidRDefault="00267B52" w:rsidP="006247DF">
            <w:pPr>
              <w:spacing w:line="200" w:lineRule="exact"/>
              <w:jc w:val="right"/>
              <w:rPr>
                <w:szCs w:val="19"/>
              </w:rPr>
            </w:pP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r w:rsidRPr="00C631B0">
              <w:rPr>
                <w:szCs w:val="19"/>
              </w:rPr>
              <w:t>Finjusterande transaktioner</w:t>
            </w:r>
            <w:r>
              <w:rPr>
                <w:szCs w:val="19"/>
              </w:rPr>
              <w:t xml:space="preserve"> </w:t>
            </w:r>
          </w:p>
        </w:tc>
        <w:tc>
          <w:tcPr>
            <w:tcW w:w="1361" w:type="dxa"/>
          </w:tcPr>
          <w:p w:rsidR="00267B52" w:rsidRDefault="00267B52" w:rsidP="00267B52">
            <w:pPr>
              <w:spacing w:line="200" w:lineRule="exact"/>
              <w:jc w:val="right"/>
              <w:rPr>
                <w:szCs w:val="19"/>
              </w:rPr>
            </w:pPr>
            <w:r>
              <w:t>–78</w:t>
            </w:r>
          </w:p>
        </w:tc>
        <w:tc>
          <w:tcPr>
            <w:tcW w:w="1361" w:type="dxa"/>
          </w:tcPr>
          <w:p w:rsidR="00267B52" w:rsidRDefault="00267B52" w:rsidP="006247DF">
            <w:pPr>
              <w:spacing w:line="200" w:lineRule="exact"/>
              <w:jc w:val="right"/>
              <w:rPr>
                <w:szCs w:val="19"/>
              </w:rPr>
            </w:pPr>
            <w:r>
              <w:t>–197</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r w:rsidRPr="00E7637B">
              <w:rPr>
                <w:szCs w:val="19"/>
              </w:rPr>
              <w:t>Emitterade skuldcertifikat</w:t>
            </w:r>
          </w:p>
        </w:tc>
        <w:tc>
          <w:tcPr>
            <w:tcW w:w="1361" w:type="dxa"/>
          </w:tcPr>
          <w:p w:rsidR="00267B52" w:rsidRPr="00262BC2" w:rsidRDefault="00267B52" w:rsidP="00267B52">
            <w:pPr>
              <w:spacing w:line="200" w:lineRule="exact"/>
              <w:jc w:val="right"/>
              <w:rPr>
                <w:szCs w:val="19"/>
              </w:rPr>
            </w:pPr>
            <w:r>
              <w:t>–154</w:t>
            </w:r>
          </w:p>
        </w:tc>
        <w:tc>
          <w:tcPr>
            <w:tcW w:w="1361" w:type="dxa"/>
          </w:tcPr>
          <w:p w:rsidR="00267B52" w:rsidRPr="00262BC2" w:rsidRDefault="00267B52" w:rsidP="006247DF">
            <w:pPr>
              <w:spacing w:line="200" w:lineRule="exact"/>
              <w:jc w:val="right"/>
              <w:rPr>
                <w:szCs w:val="19"/>
              </w:rPr>
            </w:pPr>
            <w:r>
              <w:t>–199</w:t>
            </w:r>
          </w:p>
        </w:tc>
      </w:tr>
      <w:tr w:rsidR="00267B52" w:rsidRPr="00E7637B" w:rsidTr="006247DF">
        <w:trPr>
          <w:cantSplit/>
          <w:trHeight w:val="20"/>
        </w:trPr>
        <w:tc>
          <w:tcPr>
            <w:tcW w:w="3260" w:type="dxa"/>
          </w:tcPr>
          <w:p w:rsidR="00267B52" w:rsidRDefault="00267B52" w:rsidP="006247DF">
            <w:pPr>
              <w:spacing w:line="200" w:lineRule="exact"/>
              <w:rPr>
                <w:szCs w:val="19"/>
              </w:rPr>
            </w:pPr>
            <w:r>
              <w:rPr>
                <w:szCs w:val="19"/>
              </w:rPr>
              <w:t>Inlåningsrepor</w:t>
            </w:r>
          </w:p>
        </w:tc>
        <w:tc>
          <w:tcPr>
            <w:tcW w:w="1361" w:type="dxa"/>
          </w:tcPr>
          <w:p w:rsidR="00267B52" w:rsidRPr="000C4345" w:rsidRDefault="00267B52" w:rsidP="00267B52">
            <w:pPr>
              <w:spacing w:line="200" w:lineRule="exact"/>
              <w:jc w:val="right"/>
              <w:rPr>
                <w:szCs w:val="19"/>
              </w:rPr>
            </w:pPr>
            <w:r>
              <w:t>–3</w:t>
            </w:r>
          </w:p>
        </w:tc>
        <w:tc>
          <w:tcPr>
            <w:tcW w:w="1361" w:type="dxa"/>
          </w:tcPr>
          <w:p w:rsidR="00267B52" w:rsidRDefault="00267B52" w:rsidP="006247DF">
            <w:pPr>
              <w:spacing w:line="200" w:lineRule="exact"/>
              <w:jc w:val="right"/>
              <w:rPr>
                <w:szCs w:val="19"/>
              </w:rPr>
            </w:pPr>
            <w:r>
              <w:t>–1</w:t>
            </w:r>
          </w:p>
        </w:tc>
      </w:tr>
      <w:tr w:rsidR="00267B52" w:rsidRPr="00E7637B" w:rsidTr="006247DF">
        <w:trPr>
          <w:cantSplit/>
          <w:trHeight w:val="20"/>
        </w:trPr>
        <w:tc>
          <w:tcPr>
            <w:tcW w:w="3260" w:type="dxa"/>
          </w:tcPr>
          <w:p w:rsidR="00267B52" w:rsidRPr="00C631B0" w:rsidRDefault="00267B52" w:rsidP="006247DF">
            <w:pPr>
              <w:spacing w:line="200" w:lineRule="exact"/>
              <w:rPr>
                <w:szCs w:val="19"/>
              </w:rPr>
            </w:pPr>
            <w:r>
              <w:rPr>
                <w:szCs w:val="19"/>
              </w:rPr>
              <w:t>Bankkonton</w:t>
            </w:r>
          </w:p>
        </w:tc>
        <w:tc>
          <w:tcPr>
            <w:tcW w:w="1361" w:type="dxa"/>
          </w:tcPr>
          <w:p w:rsidR="00267B52" w:rsidRPr="000C4345" w:rsidRDefault="00267B52" w:rsidP="00267B52">
            <w:pPr>
              <w:spacing w:line="200" w:lineRule="exact"/>
              <w:jc w:val="right"/>
              <w:rPr>
                <w:szCs w:val="19"/>
              </w:rPr>
            </w:pPr>
            <w:r>
              <w:t>0</w:t>
            </w:r>
          </w:p>
        </w:tc>
        <w:tc>
          <w:tcPr>
            <w:tcW w:w="1361" w:type="dxa"/>
          </w:tcPr>
          <w:p w:rsidR="00267B52" w:rsidRPr="000C4345" w:rsidRDefault="00267B52" w:rsidP="006247DF">
            <w:pPr>
              <w:spacing w:line="200" w:lineRule="exact"/>
              <w:jc w:val="right"/>
              <w:rPr>
                <w:szCs w:val="19"/>
              </w:rPr>
            </w:pPr>
            <w:r>
              <w:t>–1</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r w:rsidRPr="00E7637B">
              <w:rPr>
                <w:szCs w:val="19"/>
              </w:rPr>
              <w:t>Kontantdepåer</w:t>
            </w:r>
          </w:p>
        </w:tc>
        <w:tc>
          <w:tcPr>
            <w:tcW w:w="1361" w:type="dxa"/>
          </w:tcPr>
          <w:p w:rsidR="00267B52" w:rsidRPr="00262BC2" w:rsidRDefault="00267B52" w:rsidP="00267B52">
            <w:pPr>
              <w:spacing w:line="200" w:lineRule="exact"/>
              <w:jc w:val="right"/>
              <w:rPr>
                <w:szCs w:val="19"/>
              </w:rPr>
            </w:pPr>
            <w:r>
              <w:t>–18</w:t>
            </w:r>
          </w:p>
        </w:tc>
        <w:tc>
          <w:tcPr>
            <w:tcW w:w="1361" w:type="dxa"/>
          </w:tcPr>
          <w:p w:rsidR="00267B52" w:rsidRPr="00262BC2" w:rsidRDefault="00267B52" w:rsidP="006247DF">
            <w:pPr>
              <w:spacing w:line="200" w:lineRule="exact"/>
              <w:jc w:val="right"/>
              <w:rPr>
                <w:szCs w:val="19"/>
              </w:rPr>
            </w:pPr>
            <w:r>
              <w:t>–32</w:t>
            </w:r>
          </w:p>
        </w:tc>
      </w:tr>
      <w:tr w:rsidR="00267B52" w:rsidRPr="00E7637B" w:rsidTr="006247DF">
        <w:trPr>
          <w:cantSplit/>
          <w:trHeight w:val="20"/>
        </w:trPr>
        <w:tc>
          <w:tcPr>
            <w:tcW w:w="3260" w:type="dxa"/>
          </w:tcPr>
          <w:p w:rsidR="00267B52" w:rsidRPr="00E7637B" w:rsidRDefault="00267B52" w:rsidP="006247DF">
            <w:pPr>
              <w:spacing w:line="200" w:lineRule="exact"/>
              <w:rPr>
                <w:szCs w:val="19"/>
              </w:rPr>
            </w:pPr>
          </w:p>
        </w:tc>
        <w:tc>
          <w:tcPr>
            <w:tcW w:w="1361" w:type="dxa"/>
            <w:tcBorders>
              <w:top w:val="single" w:sz="4" w:space="0" w:color="auto"/>
            </w:tcBorders>
          </w:tcPr>
          <w:p w:rsidR="00267B52" w:rsidRPr="00262BC2" w:rsidRDefault="00267B52" w:rsidP="00267B52">
            <w:pPr>
              <w:spacing w:line="200" w:lineRule="exact"/>
              <w:jc w:val="right"/>
              <w:rPr>
                <w:szCs w:val="19"/>
              </w:rPr>
            </w:pPr>
            <w:r>
              <w:t>–253</w:t>
            </w:r>
          </w:p>
        </w:tc>
        <w:tc>
          <w:tcPr>
            <w:tcW w:w="1361" w:type="dxa"/>
            <w:tcBorders>
              <w:top w:val="single" w:sz="4" w:space="0" w:color="auto"/>
            </w:tcBorders>
          </w:tcPr>
          <w:p w:rsidR="00267B52" w:rsidRPr="00262BC2" w:rsidRDefault="00267B52" w:rsidP="006247DF">
            <w:pPr>
              <w:spacing w:line="200" w:lineRule="exact"/>
              <w:jc w:val="right"/>
              <w:rPr>
                <w:szCs w:val="19"/>
              </w:rPr>
            </w:pPr>
            <w:r>
              <w:t>–430</w:t>
            </w:r>
          </w:p>
        </w:tc>
      </w:tr>
      <w:tr w:rsidR="00267B52" w:rsidRPr="00E7637B" w:rsidTr="006247DF">
        <w:trPr>
          <w:cantSplit/>
          <w:trHeight w:val="20"/>
        </w:trPr>
        <w:tc>
          <w:tcPr>
            <w:tcW w:w="3260" w:type="dxa"/>
            <w:tcBorders>
              <w:bottom w:val="single" w:sz="4" w:space="0" w:color="auto"/>
            </w:tcBorders>
            <w:vAlign w:val="center"/>
          </w:tcPr>
          <w:p w:rsidR="00267B52" w:rsidRPr="00E7637B" w:rsidRDefault="00267B52" w:rsidP="006247DF">
            <w:pPr>
              <w:spacing w:line="200" w:lineRule="exact"/>
              <w:rPr>
                <w:szCs w:val="19"/>
              </w:rPr>
            </w:pPr>
            <w:r w:rsidRPr="00E7637B">
              <w:rPr>
                <w:szCs w:val="19"/>
              </w:rPr>
              <w:t>Summa</w:t>
            </w:r>
          </w:p>
        </w:tc>
        <w:tc>
          <w:tcPr>
            <w:tcW w:w="1361" w:type="dxa"/>
            <w:tcBorders>
              <w:top w:val="single" w:sz="4" w:space="0" w:color="auto"/>
              <w:bottom w:val="single" w:sz="4" w:space="0" w:color="auto"/>
            </w:tcBorders>
            <w:vAlign w:val="center"/>
          </w:tcPr>
          <w:p w:rsidR="00267B52" w:rsidRPr="00262BC2" w:rsidRDefault="00267B52" w:rsidP="00267B52">
            <w:pPr>
              <w:spacing w:line="200" w:lineRule="exact"/>
              <w:jc w:val="right"/>
              <w:rPr>
                <w:szCs w:val="19"/>
              </w:rPr>
            </w:pPr>
            <w:r>
              <w:t>–1 761</w:t>
            </w:r>
          </w:p>
        </w:tc>
        <w:tc>
          <w:tcPr>
            <w:tcW w:w="1361" w:type="dxa"/>
            <w:tcBorders>
              <w:top w:val="single" w:sz="4" w:space="0" w:color="auto"/>
              <w:bottom w:val="single" w:sz="4" w:space="0" w:color="auto"/>
            </w:tcBorders>
            <w:vAlign w:val="center"/>
          </w:tcPr>
          <w:p w:rsidR="00267B52" w:rsidRPr="00262BC2" w:rsidRDefault="00267B52" w:rsidP="006247DF">
            <w:pPr>
              <w:spacing w:line="200" w:lineRule="exact"/>
              <w:jc w:val="right"/>
              <w:rPr>
                <w:szCs w:val="19"/>
              </w:rPr>
            </w:pPr>
            <w:r>
              <w:t>–1 684</w:t>
            </w:r>
          </w:p>
        </w:tc>
      </w:tr>
    </w:tbl>
    <w:p w:rsidR="00A72074" w:rsidRPr="00A72074" w:rsidRDefault="00A72074" w:rsidP="00A72074">
      <w:pPr>
        <w:pStyle w:val="Normaltindrag"/>
      </w:pPr>
    </w:p>
    <w:p w:rsidR="006247DF" w:rsidRPr="00E7637B" w:rsidRDefault="006247DF" w:rsidP="0044728D">
      <w:pPr>
        <w:pageBreakBefore/>
        <w:spacing w:before="0"/>
        <w:outlineLvl w:val="0"/>
        <w:rPr>
          <w:b/>
        </w:rPr>
      </w:pPr>
      <w:r w:rsidRPr="00E7637B">
        <w:rPr>
          <w:b/>
        </w:rPr>
        <w:t>Not 3</w:t>
      </w:r>
      <w:r>
        <w:rPr>
          <w:b/>
        </w:rPr>
        <w:t>0</w:t>
      </w:r>
      <w:r w:rsidRPr="00E7637B">
        <w:rPr>
          <w:b/>
        </w:rPr>
        <w:t xml:space="preserve"> Nettoresultat av finansiella transaktioner</w:t>
      </w:r>
      <w:r>
        <w:rPr>
          <w:b/>
        </w:rPr>
        <w:t xml:space="preserve"> och nedskrivningar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267B52">
            <w:pPr>
              <w:spacing w:line="200" w:lineRule="exact"/>
              <w:jc w:val="right"/>
            </w:pPr>
            <w:r>
              <w:t>201</w:t>
            </w:r>
            <w:r w:rsidR="00267B52">
              <w:t>4</w:t>
            </w:r>
          </w:p>
        </w:tc>
        <w:tc>
          <w:tcPr>
            <w:tcW w:w="1361" w:type="dxa"/>
            <w:tcBorders>
              <w:top w:val="single" w:sz="4" w:space="0" w:color="auto"/>
            </w:tcBorders>
            <w:vAlign w:val="center"/>
          </w:tcPr>
          <w:p w:rsidR="006247DF" w:rsidRPr="00E7637B" w:rsidRDefault="006247DF" w:rsidP="00267B52">
            <w:pPr>
              <w:spacing w:line="200" w:lineRule="exact"/>
              <w:jc w:val="right"/>
            </w:pPr>
            <w:r>
              <w:t>201</w:t>
            </w:r>
            <w:r w:rsidR="00267B52">
              <w:t>3</w:t>
            </w:r>
          </w:p>
        </w:tc>
      </w:tr>
      <w:tr w:rsidR="00267B52" w:rsidRPr="00E7637B" w:rsidTr="006247DF">
        <w:trPr>
          <w:cantSplit/>
          <w:trHeight w:val="20"/>
        </w:trPr>
        <w:tc>
          <w:tcPr>
            <w:tcW w:w="3260" w:type="dxa"/>
            <w:tcBorders>
              <w:top w:val="single" w:sz="4" w:space="0" w:color="auto"/>
            </w:tcBorders>
          </w:tcPr>
          <w:p w:rsidR="00267B52" w:rsidRPr="00E7637B" w:rsidRDefault="00267B52" w:rsidP="006247DF">
            <w:pPr>
              <w:spacing w:line="200" w:lineRule="exact"/>
            </w:pPr>
            <w:r w:rsidRPr="00E7637B">
              <w:t xml:space="preserve">Priseffekt </w:t>
            </w:r>
          </w:p>
        </w:tc>
        <w:tc>
          <w:tcPr>
            <w:tcW w:w="1361" w:type="dxa"/>
            <w:tcBorders>
              <w:top w:val="single" w:sz="4" w:space="0" w:color="auto"/>
            </w:tcBorders>
          </w:tcPr>
          <w:p w:rsidR="00267B52" w:rsidRPr="00E7637B" w:rsidRDefault="00267B52" w:rsidP="00267B52">
            <w:pPr>
              <w:spacing w:line="200" w:lineRule="exact"/>
              <w:jc w:val="right"/>
            </w:pPr>
            <w:r>
              <w:rPr>
                <w:szCs w:val="19"/>
              </w:rPr>
              <w:t>1 087</w:t>
            </w:r>
          </w:p>
        </w:tc>
        <w:tc>
          <w:tcPr>
            <w:tcW w:w="1361" w:type="dxa"/>
            <w:tcBorders>
              <w:top w:val="single" w:sz="4" w:space="0" w:color="auto"/>
            </w:tcBorders>
          </w:tcPr>
          <w:p w:rsidR="00267B52" w:rsidRPr="00E7637B" w:rsidRDefault="00267B52" w:rsidP="006247DF">
            <w:pPr>
              <w:spacing w:line="200" w:lineRule="exact"/>
              <w:jc w:val="right"/>
            </w:pPr>
            <w:r>
              <w:rPr>
                <w:szCs w:val="19"/>
              </w:rPr>
              <w:t>–721</w:t>
            </w:r>
          </w:p>
        </w:tc>
      </w:tr>
      <w:tr w:rsidR="00267B52" w:rsidRPr="00E7637B" w:rsidTr="006247DF">
        <w:trPr>
          <w:cantSplit/>
          <w:trHeight w:val="20"/>
        </w:trPr>
        <w:tc>
          <w:tcPr>
            <w:tcW w:w="3260" w:type="dxa"/>
          </w:tcPr>
          <w:p w:rsidR="00267B52" w:rsidRPr="00E7637B" w:rsidRDefault="00267B52" w:rsidP="006247DF">
            <w:pPr>
              <w:spacing w:line="200" w:lineRule="exact"/>
            </w:pPr>
            <w:r w:rsidRPr="00E7637B">
              <w:t>Valutakurseffekt</w:t>
            </w:r>
          </w:p>
        </w:tc>
        <w:tc>
          <w:tcPr>
            <w:tcW w:w="1361" w:type="dxa"/>
          </w:tcPr>
          <w:p w:rsidR="00267B52" w:rsidRPr="00262BC2" w:rsidRDefault="00267B52" w:rsidP="00267B52">
            <w:pPr>
              <w:spacing w:line="200" w:lineRule="exact"/>
              <w:jc w:val="right"/>
            </w:pPr>
            <w:r>
              <w:rPr>
                <w:szCs w:val="19"/>
              </w:rPr>
              <w:t>544</w:t>
            </w:r>
          </w:p>
        </w:tc>
        <w:tc>
          <w:tcPr>
            <w:tcW w:w="1361" w:type="dxa"/>
          </w:tcPr>
          <w:p w:rsidR="00267B52" w:rsidRPr="00262BC2" w:rsidRDefault="00267B52" w:rsidP="006247DF">
            <w:pPr>
              <w:spacing w:line="200" w:lineRule="exact"/>
              <w:jc w:val="right"/>
            </w:pPr>
            <w:r>
              <w:rPr>
                <w:szCs w:val="19"/>
              </w:rPr>
              <w:t>–3 063</w:t>
            </w:r>
          </w:p>
        </w:tc>
      </w:tr>
      <w:tr w:rsidR="00267B52" w:rsidRPr="00E7637B" w:rsidTr="006247DF">
        <w:trPr>
          <w:cantSplit/>
          <w:trHeight w:val="20"/>
        </w:trPr>
        <w:tc>
          <w:tcPr>
            <w:tcW w:w="3260" w:type="dxa"/>
            <w:tcBorders>
              <w:bottom w:val="single" w:sz="4" w:space="0" w:color="auto"/>
            </w:tcBorders>
          </w:tcPr>
          <w:p w:rsidR="00267B52" w:rsidRPr="00E7637B" w:rsidRDefault="00267B52" w:rsidP="006247DF">
            <w:pPr>
              <w:spacing w:line="200" w:lineRule="exact"/>
            </w:pPr>
            <w:r w:rsidRPr="00E7637B">
              <w:t>Guldvärdeeffekt</w:t>
            </w:r>
          </w:p>
        </w:tc>
        <w:tc>
          <w:tcPr>
            <w:tcW w:w="1361" w:type="dxa"/>
          </w:tcPr>
          <w:p w:rsidR="00267B52" w:rsidRPr="00262BC2" w:rsidRDefault="00267B52" w:rsidP="006247DF">
            <w:pPr>
              <w:spacing w:line="200" w:lineRule="exact"/>
              <w:jc w:val="right"/>
            </w:pPr>
            <w:r>
              <w:rPr>
                <w:szCs w:val="19"/>
              </w:rPr>
              <w:t>–</w:t>
            </w:r>
          </w:p>
        </w:tc>
        <w:tc>
          <w:tcPr>
            <w:tcW w:w="1361" w:type="dxa"/>
          </w:tcPr>
          <w:p w:rsidR="00267B52" w:rsidRPr="00262BC2" w:rsidRDefault="00267B52" w:rsidP="006247DF">
            <w:pPr>
              <w:spacing w:line="200" w:lineRule="exact"/>
              <w:jc w:val="right"/>
            </w:pPr>
            <w:r>
              <w:rPr>
                <w:szCs w:val="19"/>
              </w:rPr>
              <w:t>–</w:t>
            </w:r>
          </w:p>
        </w:tc>
      </w:tr>
      <w:tr w:rsidR="00267B52" w:rsidRPr="00E7637B" w:rsidTr="006247DF">
        <w:trPr>
          <w:cantSplit/>
          <w:trHeight w:val="20"/>
        </w:trPr>
        <w:tc>
          <w:tcPr>
            <w:tcW w:w="3260" w:type="dxa"/>
            <w:tcBorders>
              <w:top w:val="single" w:sz="4" w:space="0" w:color="auto"/>
              <w:bottom w:val="single" w:sz="4" w:space="0" w:color="auto"/>
            </w:tcBorders>
            <w:vAlign w:val="center"/>
          </w:tcPr>
          <w:p w:rsidR="00267B52" w:rsidRPr="00E7637B" w:rsidRDefault="00267B52" w:rsidP="006247DF">
            <w:pPr>
              <w:spacing w:line="200" w:lineRule="exact"/>
            </w:pPr>
            <w:r w:rsidRPr="00E7637B">
              <w:t>Summa</w:t>
            </w:r>
          </w:p>
        </w:tc>
        <w:tc>
          <w:tcPr>
            <w:tcW w:w="1361" w:type="dxa"/>
            <w:tcBorders>
              <w:top w:val="single" w:sz="4" w:space="0" w:color="auto"/>
              <w:bottom w:val="single" w:sz="4" w:space="0" w:color="auto"/>
            </w:tcBorders>
            <w:vAlign w:val="center"/>
          </w:tcPr>
          <w:p w:rsidR="00267B52" w:rsidRPr="00262BC2" w:rsidRDefault="00267B52" w:rsidP="00267B52">
            <w:pPr>
              <w:spacing w:line="200" w:lineRule="exact"/>
              <w:jc w:val="right"/>
            </w:pPr>
            <w:r>
              <w:rPr>
                <w:szCs w:val="19"/>
              </w:rPr>
              <w:t>1 631</w:t>
            </w:r>
          </w:p>
        </w:tc>
        <w:tc>
          <w:tcPr>
            <w:tcW w:w="1361" w:type="dxa"/>
            <w:tcBorders>
              <w:top w:val="single" w:sz="4" w:space="0" w:color="auto"/>
              <w:bottom w:val="single" w:sz="4" w:space="0" w:color="auto"/>
            </w:tcBorders>
            <w:vAlign w:val="center"/>
          </w:tcPr>
          <w:p w:rsidR="00267B52" w:rsidRPr="00262BC2" w:rsidRDefault="00267B52" w:rsidP="006247DF">
            <w:pPr>
              <w:spacing w:line="200" w:lineRule="exact"/>
              <w:jc w:val="right"/>
            </w:pPr>
            <w:r>
              <w:rPr>
                <w:szCs w:val="19"/>
              </w:rPr>
              <w:t>–3 784</w:t>
            </w:r>
          </w:p>
        </w:tc>
      </w:tr>
    </w:tbl>
    <w:p w:rsidR="006247DF" w:rsidRPr="00E7637B" w:rsidRDefault="006247DF" w:rsidP="006247DF">
      <w:pPr>
        <w:spacing w:before="120"/>
      </w:pPr>
      <w:r w:rsidRPr="00E7637B">
        <w:t xml:space="preserve">Priseffekten innefattar realiserade kursvinster och -förluster på värdepapper om </w:t>
      </w:r>
      <w:r w:rsidR="00267B52">
        <w:t>1 142</w:t>
      </w:r>
      <w:r>
        <w:t xml:space="preserve"> </w:t>
      </w:r>
      <w:r w:rsidRPr="00E7637B">
        <w:t>miljoner kronor (</w:t>
      </w:r>
      <w:r w:rsidR="00267B52">
        <w:t>702</w:t>
      </w:r>
      <w:r w:rsidRPr="00E7637B">
        <w:t>) samt orealiserade kursförluster på värdepa</w:t>
      </w:r>
      <w:r w:rsidRPr="00E7637B">
        <w:t>p</w:t>
      </w:r>
      <w:r w:rsidRPr="00E7637B">
        <w:t xml:space="preserve">per om </w:t>
      </w:r>
      <w:r>
        <w:t>–</w:t>
      </w:r>
      <w:r w:rsidR="00267B52">
        <w:t>55</w:t>
      </w:r>
      <w:r w:rsidRPr="00E7637B">
        <w:t xml:space="preserve"> miljoner kronor (–</w:t>
      </w:r>
      <w:r w:rsidR="00267B52">
        <w:t xml:space="preserve">1 </w:t>
      </w:r>
      <w:r>
        <w:t>4</w:t>
      </w:r>
      <w:r w:rsidR="00267B52">
        <w:t>23</w:t>
      </w:r>
      <w:r w:rsidRPr="00E7637B">
        <w:t>) som förts till resultatet till följd av ne</w:t>
      </w:r>
      <w:r w:rsidRPr="00E7637B">
        <w:t>d</w:t>
      </w:r>
      <w:r w:rsidRPr="00E7637B">
        <w:t>skrivning av värdepappersinnehavet.</w:t>
      </w:r>
    </w:p>
    <w:p w:rsidR="006247DF" w:rsidRPr="00A854E3" w:rsidRDefault="006247DF" w:rsidP="006247DF">
      <w:pPr>
        <w:pStyle w:val="Normaltindrag"/>
      </w:pPr>
      <w:r w:rsidRPr="00A854E3">
        <w:t xml:space="preserve">Valutakurseffekten innefattar realiserade valutakursvinster och -förluster om </w:t>
      </w:r>
      <w:r w:rsidR="00267B52">
        <w:t>779</w:t>
      </w:r>
      <w:r w:rsidRPr="00A854E3">
        <w:t xml:space="preserve"> miljoner kronor (</w:t>
      </w:r>
      <w:r w:rsidR="00267B52">
        <w:t>–148</w:t>
      </w:r>
      <w:r w:rsidRPr="00A854E3">
        <w:t xml:space="preserve">) samt orealiserade valutakursförluster om </w:t>
      </w:r>
      <w:r w:rsidRPr="00A854E3">
        <w:br/>
      </w:r>
      <w:r>
        <w:t>–2</w:t>
      </w:r>
      <w:r w:rsidR="00267B52">
        <w:t>35</w:t>
      </w:r>
      <w:r w:rsidRPr="00A854E3">
        <w:t xml:space="preserve"> miljoner kronor (–</w:t>
      </w:r>
      <w:r w:rsidR="00267B52">
        <w:t>2</w:t>
      </w:r>
      <w:r>
        <w:t xml:space="preserve"> </w:t>
      </w:r>
      <w:r w:rsidR="00267B52">
        <w:t>915</w:t>
      </w:r>
      <w:r w:rsidRPr="00A854E3">
        <w:t>)</w:t>
      </w:r>
      <w:r>
        <w:t xml:space="preserve"> </w:t>
      </w:r>
      <w:r w:rsidRPr="00A854E3">
        <w:t>som förts till resultatet till följd av nedskri</w:t>
      </w:r>
      <w:r w:rsidRPr="00A854E3">
        <w:t>v</w:t>
      </w:r>
      <w:r w:rsidRPr="00A854E3">
        <w:t>ning av valutainnehavet.</w:t>
      </w:r>
      <w:r w:rsidR="00C94F51">
        <w:t xml:space="preserve"> Vid beräkning av Riksbankens vinstutdelning exkl</w:t>
      </w:r>
      <w:r w:rsidR="00C94F51">
        <w:t>u</w:t>
      </w:r>
      <w:r w:rsidR="00C94F51">
        <w:t>deras valutakurseffekten från det redovisade resultatet.</w:t>
      </w:r>
    </w:p>
    <w:p w:rsidR="006247DF" w:rsidRPr="00E7637B" w:rsidRDefault="006247DF" w:rsidP="006247DF">
      <w:pPr>
        <w:spacing w:before="187"/>
        <w:outlineLvl w:val="0"/>
        <w:rPr>
          <w:b/>
        </w:rPr>
      </w:pPr>
      <w:r w:rsidRPr="00E7637B">
        <w:rPr>
          <w:b/>
        </w:rPr>
        <w:t>Not 3</w:t>
      </w:r>
      <w:r>
        <w:rPr>
          <w:b/>
        </w:rPr>
        <w:t>1</w:t>
      </w:r>
      <w:r w:rsidRPr="00E7637B">
        <w:rPr>
          <w:b/>
        </w:rPr>
        <w:t xml:space="preserve"> Avgifts- och provisionsintäkter</w:t>
      </w:r>
    </w:p>
    <w:p w:rsidR="006247DF" w:rsidRPr="00E7637B" w:rsidRDefault="006247DF" w:rsidP="006247DF">
      <w:r w:rsidRPr="00E7637B">
        <w:t xml:space="preserve">Posten innefattar års- och transaktionsavgifter för RIX-systemet med </w:t>
      </w:r>
      <w:r>
        <w:t>6</w:t>
      </w:r>
      <w:r w:rsidR="002042BB">
        <w:t>4</w:t>
      </w:r>
      <w:r w:rsidRPr="00E7637B">
        <w:t xml:space="preserve"> mi</w:t>
      </w:r>
      <w:r w:rsidRPr="00E7637B">
        <w:t>l</w:t>
      </w:r>
      <w:r w:rsidRPr="00E7637B">
        <w:t>joner kronor (</w:t>
      </w:r>
      <w:r w:rsidR="002042BB">
        <w:t>65</w:t>
      </w:r>
      <w:r w:rsidRPr="00E7637B">
        <w:t xml:space="preserve">). </w:t>
      </w:r>
    </w:p>
    <w:p w:rsidR="006247DF" w:rsidRPr="00E7637B" w:rsidRDefault="006247DF" w:rsidP="006247DF">
      <w:pPr>
        <w:spacing w:before="187"/>
        <w:outlineLvl w:val="0"/>
        <w:rPr>
          <w:b/>
        </w:rPr>
      </w:pPr>
      <w:r w:rsidRPr="00E7637B">
        <w:rPr>
          <w:b/>
        </w:rPr>
        <w:t>Not 3</w:t>
      </w:r>
      <w:r>
        <w:rPr>
          <w:b/>
        </w:rPr>
        <w:t>2</w:t>
      </w:r>
      <w:r w:rsidRPr="00E7637B">
        <w:rPr>
          <w:b/>
        </w:rPr>
        <w:t xml:space="preserve"> Avgifts- och provisionskostnader</w:t>
      </w:r>
    </w:p>
    <w:p w:rsidR="006247DF" w:rsidRPr="00B51C85" w:rsidRDefault="006247DF" w:rsidP="006247DF">
      <w:r w:rsidRPr="00E7637B">
        <w:t>Posten innefattar främst depå- och transaktionskostnader för valutareservs</w:t>
      </w:r>
      <w:r w:rsidR="007A632D">
        <w:softHyphen/>
      </w:r>
      <w:r w:rsidRPr="00E7637B">
        <w:t>fö</w:t>
      </w:r>
      <w:r w:rsidRPr="00E7637B">
        <w:t>r</w:t>
      </w:r>
      <w:r w:rsidRPr="00E7637B">
        <w:t>valtningen</w:t>
      </w:r>
      <w:r>
        <w:t>.</w:t>
      </w:r>
    </w:p>
    <w:p w:rsidR="006247DF" w:rsidRPr="00C631B0" w:rsidRDefault="006247DF" w:rsidP="006247DF">
      <w:pPr>
        <w:spacing w:before="187"/>
        <w:outlineLvl w:val="0"/>
        <w:rPr>
          <w:b/>
        </w:rPr>
      </w:pPr>
      <w:r w:rsidRPr="00DD4619">
        <w:rPr>
          <w:b/>
        </w:rPr>
        <w:t>Not 3</w:t>
      </w:r>
      <w:r>
        <w:rPr>
          <w:b/>
        </w:rPr>
        <w:t>3</w:t>
      </w:r>
      <w:r w:rsidRPr="00C631B0">
        <w:rPr>
          <w:b/>
        </w:rPr>
        <w:t xml:space="preserve"> Erhållna utdelningar</w:t>
      </w:r>
    </w:p>
    <w:p w:rsidR="006247DF" w:rsidRDefault="006247DF" w:rsidP="006247DF">
      <w:r w:rsidRPr="00C15395">
        <w:t>Und</w:t>
      </w:r>
      <w:r w:rsidRPr="000C4345">
        <w:t>er 201</w:t>
      </w:r>
      <w:r w:rsidR="002042BB">
        <w:t>4</w:t>
      </w:r>
      <w:r w:rsidRPr="000C4345">
        <w:t xml:space="preserve"> erhöll Riksbanken </w:t>
      </w:r>
      <w:r w:rsidRPr="00135DE3">
        <w:t>e</w:t>
      </w:r>
      <w:r w:rsidRPr="008B28A9">
        <w:t>n u</w:t>
      </w:r>
      <w:r w:rsidRPr="00262BC2">
        <w:t xml:space="preserve">tdelning från BIS </w:t>
      </w:r>
      <w:r w:rsidRPr="00E7637B">
        <w:t xml:space="preserve">på </w:t>
      </w:r>
      <w:r w:rsidR="002042BB">
        <w:t>39</w:t>
      </w:r>
      <w:r w:rsidRPr="00E7637B">
        <w:t xml:space="preserve"> miljoner kronor (</w:t>
      </w:r>
      <w:r>
        <w:t>5</w:t>
      </w:r>
      <w:r w:rsidR="002042BB">
        <w:t>5</w:t>
      </w:r>
      <w:r w:rsidRPr="00E7637B">
        <w:t xml:space="preserve">). </w:t>
      </w:r>
    </w:p>
    <w:p w:rsidR="006247DF" w:rsidRPr="00E7637B" w:rsidRDefault="006247DF" w:rsidP="006247DF">
      <w:pPr>
        <w:spacing w:before="187"/>
        <w:outlineLvl w:val="0"/>
        <w:rPr>
          <w:b/>
        </w:rPr>
      </w:pPr>
      <w:r w:rsidRPr="00E7637B">
        <w:rPr>
          <w:b/>
        </w:rPr>
        <w:t>Not 3</w:t>
      </w:r>
      <w:r>
        <w:rPr>
          <w:b/>
        </w:rPr>
        <w:t>4</w:t>
      </w:r>
      <w:r w:rsidRPr="00E7637B">
        <w:rPr>
          <w:b/>
        </w:rPr>
        <w:t xml:space="preserve"> Övriga intäkter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bottom w:val="single" w:sz="4" w:space="0" w:color="auto"/>
            </w:tcBorders>
          </w:tcPr>
          <w:p w:rsidR="006247DF" w:rsidRPr="00E7637B" w:rsidRDefault="006247DF" w:rsidP="006247DF">
            <w:pPr>
              <w:spacing w:line="200" w:lineRule="exact"/>
            </w:pPr>
          </w:p>
        </w:tc>
        <w:tc>
          <w:tcPr>
            <w:tcW w:w="1361" w:type="dxa"/>
            <w:tcBorders>
              <w:top w:val="single" w:sz="4" w:space="0" w:color="auto"/>
              <w:bottom w:val="single" w:sz="4" w:space="0" w:color="auto"/>
            </w:tcBorders>
            <w:vAlign w:val="center"/>
          </w:tcPr>
          <w:p w:rsidR="006247DF" w:rsidRPr="00E7637B" w:rsidRDefault="006247DF" w:rsidP="002042BB">
            <w:pPr>
              <w:spacing w:line="200" w:lineRule="exact"/>
              <w:jc w:val="right"/>
            </w:pPr>
            <w:r>
              <w:t>201</w:t>
            </w:r>
            <w:r w:rsidR="002042BB">
              <w:t>4</w:t>
            </w:r>
          </w:p>
        </w:tc>
        <w:tc>
          <w:tcPr>
            <w:tcW w:w="1361" w:type="dxa"/>
            <w:tcBorders>
              <w:top w:val="single" w:sz="4" w:space="0" w:color="auto"/>
              <w:bottom w:val="single" w:sz="4" w:space="0" w:color="auto"/>
            </w:tcBorders>
            <w:vAlign w:val="center"/>
          </w:tcPr>
          <w:p w:rsidR="006247DF" w:rsidRPr="00E7637B" w:rsidRDefault="006247DF" w:rsidP="002042BB">
            <w:pPr>
              <w:spacing w:line="200" w:lineRule="exact"/>
              <w:jc w:val="right"/>
            </w:pPr>
            <w:r>
              <w:t>201</w:t>
            </w:r>
            <w:r w:rsidR="002042BB">
              <w:t>3</w:t>
            </w:r>
          </w:p>
        </w:tc>
      </w:tr>
      <w:tr w:rsidR="00A612D2" w:rsidRPr="00E7637B" w:rsidTr="00A612D2">
        <w:trPr>
          <w:cantSplit/>
          <w:trHeight w:val="20"/>
        </w:trPr>
        <w:tc>
          <w:tcPr>
            <w:tcW w:w="3260" w:type="dxa"/>
            <w:tcBorders>
              <w:top w:val="single" w:sz="4" w:space="0" w:color="auto"/>
            </w:tcBorders>
          </w:tcPr>
          <w:p w:rsidR="00A612D2" w:rsidRPr="00E7637B" w:rsidRDefault="00A612D2" w:rsidP="006247DF">
            <w:pPr>
              <w:spacing w:line="200" w:lineRule="exact"/>
            </w:pPr>
            <w:r>
              <w:t>Ersättning för i</w:t>
            </w:r>
            <w:r w:rsidRPr="00A612D2">
              <w:t>nlösen av ogiltiga sedlar</w:t>
            </w:r>
          </w:p>
        </w:tc>
        <w:tc>
          <w:tcPr>
            <w:tcW w:w="1361" w:type="dxa"/>
            <w:tcBorders>
              <w:top w:val="single" w:sz="4" w:space="0" w:color="auto"/>
            </w:tcBorders>
          </w:tcPr>
          <w:p w:rsidR="00A612D2" w:rsidRDefault="00A612D2" w:rsidP="002042BB">
            <w:pPr>
              <w:spacing w:line="200" w:lineRule="exact"/>
              <w:jc w:val="right"/>
              <w:rPr>
                <w:szCs w:val="19"/>
              </w:rPr>
            </w:pPr>
            <w:r>
              <w:rPr>
                <w:szCs w:val="19"/>
              </w:rPr>
              <w:t>3</w:t>
            </w:r>
          </w:p>
        </w:tc>
        <w:tc>
          <w:tcPr>
            <w:tcW w:w="1361" w:type="dxa"/>
            <w:tcBorders>
              <w:top w:val="single" w:sz="4" w:space="0" w:color="auto"/>
            </w:tcBorders>
          </w:tcPr>
          <w:p w:rsidR="00A612D2" w:rsidRDefault="00A612D2" w:rsidP="006247DF">
            <w:pPr>
              <w:spacing w:line="200" w:lineRule="exact"/>
              <w:jc w:val="right"/>
            </w:pPr>
            <w:r>
              <w:t>0</w:t>
            </w:r>
          </w:p>
        </w:tc>
      </w:tr>
      <w:tr w:rsidR="002042BB" w:rsidRPr="00E7637B" w:rsidTr="00A612D2">
        <w:trPr>
          <w:cantSplit/>
          <w:trHeight w:val="20"/>
        </w:trPr>
        <w:tc>
          <w:tcPr>
            <w:tcW w:w="3260" w:type="dxa"/>
          </w:tcPr>
          <w:p w:rsidR="002042BB" w:rsidRPr="00E7637B" w:rsidRDefault="002042BB" w:rsidP="006247DF">
            <w:pPr>
              <w:spacing w:line="200" w:lineRule="exact"/>
            </w:pPr>
            <w:r w:rsidRPr="00E7637B">
              <w:t>Mottagna ej inlösta kontanter</w:t>
            </w:r>
          </w:p>
        </w:tc>
        <w:tc>
          <w:tcPr>
            <w:tcW w:w="1361" w:type="dxa"/>
          </w:tcPr>
          <w:p w:rsidR="002042BB" w:rsidRPr="00E7637B" w:rsidRDefault="002042BB" w:rsidP="002042BB">
            <w:pPr>
              <w:spacing w:line="200" w:lineRule="exact"/>
              <w:jc w:val="right"/>
            </w:pPr>
            <w:r>
              <w:rPr>
                <w:szCs w:val="19"/>
              </w:rPr>
              <w:t>–</w:t>
            </w:r>
          </w:p>
        </w:tc>
        <w:tc>
          <w:tcPr>
            <w:tcW w:w="1361" w:type="dxa"/>
          </w:tcPr>
          <w:p w:rsidR="002042BB" w:rsidRPr="00E7637B" w:rsidRDefault="002042BB" w:rsidP="006247DF">
            <w:pPr>
              <w:spacing w:line="200" w:lineRule="exact"/>
              <w:jc w:val="right"/>
            </w:pPr>
            <w:r>
              <w:t>1</w:t>
            </w:r>
          </w:p>
        </w:tc>
      </w:tr>
      <w:tr w:rsidR="002042BB" w:rsidRPr="00E7637B" w:rsidTr="006247DF">
        <w:trPr>
          <w:cantSplit/>
          <w:trHeight w:val="20"/>
        </w:trPr>
        <w:tc>
          <w:tcPr>
            <w:tcW w:w="3260" w:type="dxa"/>
          </w:tcPr>
          <w:p w:rsidR="002042BB" w:rsidRPr="00E7637B" w:rsidRDefault="002042BB" w:rsidP="006247DF">
            <w:pPr>
              <w:spacing w:line="200" w:lineRule="exact"/>
            </w:pPr>
            <w:r w:rsidRPr="00E7637B">
              <w:t>Ersättning för infärgade sedlar m.m.</w:t>
            </w:r>
          </w:p>
        </w:tc>
        <w:tc>
          <w:tcPr>
            <w:tcW w:w="1361" w:type="dxa"/>
          </w:tcPr>
          <w:p w:rsidR="002042BB" w:rsidRPr="00E7637B" w:rsidRDefault="002042BB" w:rsidP="002042BB">
            <w:pPr>
              <w:spacing w:line="200" w:lineRule="exact"/>
              <w:jc w:val="right"/>
            </w:pPr>
            <w:r>
              <w:t>1</w:t>
            </w:r>
          </w:p>
        </w:tc>
        <w:tc>
          <w:tcPr>
            <w:tcW w:w="1361" w:type="dxa"/>
          </w:tcPr>
          <w:p w:rsidR="002042BB" w:rsidRPr="00E7637B" w:rsidRDefault="002042BB" w:rsidP="006247DF">
            <w:pPr>
              <w:spacing w:line="200" w:lineRule="exact"/>
              <w:jc w:val="right"/>
            </w:pPr>
            <w:r>
              <w:t>3</w:t>
            </w:r>
          </w:p>
        </w:tc>
      </w:tr>
      <w:tr w:rsidR="002042BB" w:rsidRPr="00E7637B" w:rsidTr="006247DF">
        <w:trPr>
          <w:cantSplit/>
          <w:trHeight w:val="20"/>
        </w:trPr>
        <w:tc>
          <w:tcPr>
            <w:tcW w:w="3260" w:type="dxa"/>
          </w:tcPr>
          <w:p w:rsidR="002042BB" w:rsidRPr="00E7637B" w:rsidRDefault="002042BB" w:rsidP="006247DF">
            <w:pPr>
              <w:spacing w:line="200" w:lineRule="exact"/>
            </w:pPr>
            <w:r w:rsidRPr="00E7637B">
              <w:t>Skuldavskrivna mynt</w:t>
            </w:r>
          </w:p>
        </w:tc>
        <w:tc>
          <w:tcPr>
            <w:tcW w:w="1361" w:type="dxa"/>
          </w:tcPr>
          <w:p w:rsidR="002042BB" w:rsidRPr="00E7637B" w:rsidRDefault="002042BB" w:rsidP="002042BB">
            <w:pPr>
              <w:spacing w:line="200" w:lineRule="exact"/>
              <w:jc w:val="right"/>
            </w:pPr>
            <w:r>
              <w:t>22</w:t>
            </w:r>
          </w:p>
        </w:tc>
        <w:tc>
          <w:tcPr>
            <w:tcW w:w="1361" w:type="dxa"/>
          </w:tcPr>
          <w:p w:rsidR="002042BB" w:rsidRPr="00E7637B" w:rsidRDefault="002042BB" w:rsidP="006247DF">
            <w:pPr>
              <w:spacing w:line="200" w:lineRule="exact"/>
              <w:jc w:val="right"/>
            </w:pPr>
            <w:r>
              <w:t>17</w:t>
            </w:r>
          </w:p>
        </w:tc>
      </w:tr>
      <w:tr w:rsidR="002042BB" w:rsidRPr="00C15395" w:rsidTr="006247DF">
        <w:trPr>
          <w:cantSplit/>
          <w:trHeight w:val="20"/>
        </w:trPr>
        <w:tc>
          <w:tcPr>
            <w:tcW w:w="3260" w:type="dxa"/>
          </w:tcPr>
          <w:p w:rsidR="002042BB" w:rsidRPr="00C631B0" w:rsidRDefault="002042BB" w:rsidP="006247DF">
            <w:pPr>
              <w:spacing w:line="200" w:lineRule="exact"/>
            </w:pPr>
            <w:r>
              <w:t>Sida</w:t>
            </w:r>
          </w:p>
        </w:tc>
        <w:tc>
          <w:tcPr>
            <w:tcW w:w="1361" w:type="dxa"/>
          </w:tcPr>
          <w:p w:rsidR="002042BB" w:rsidRPr="00600B6E" w:rsidRDefault="002042BB" w:rsidP="002042BB">
            <w:pPr>
              <w:pStyle w:val="Normaltindrag"/>
              <w:jc w:val="right"/>
            </w:pPr>
            <w:r>
              <w:t>4</w:t>
            </w:r>
          </w:p>
        </w:tc>
        <w:tc>
          <w:tcPr>
            <w:tcW w:w="1361" w:type="dxa"/>
          </w:tcPr>
          <w:p w:rsidR="002042BB" w:rsidRPr="00600B6E" w:rsidRDefault="002042BB" w:rsidP="006247DF">
            <w:pPr>
              <w:pStyle w:val="Normaltindrag"/>
              <w:jc w:val="right"/>
            </w:pPr>
            <w:r>
              <w:t>2</w:t>
            </w:r>
          </w:p>
        </w:tc>
      </w:tr>
      <w:tr w:rsidR="002042BB" w:rsidRPr="00E7637B" w:rsidTr="006247DF">
        <w:trPr>
          <w:cantSplit/>
          <w:trHeight w:val="20"/>
        </w:trPr>
        <w:tc>
          <w:tcPr>
            <w:tcW w:w="3260" w:type="dxa"/>
          </w:tcPr>
          <w:p w:rsidR="002042BB" w:rsidRPr="00E7637B" w:rsidRDefault="002042BB" w:rsidP="006247DF">
            <w:pPr>
              <w:spacing w:line="200" w:lineRule="exact"/>
            </w:pPr>
            <w:r w:rsidRPr="00E7637B">
              <w:t>Övrigt</w:t>
            </w:r>
          </w:p>
        </w:tc>
        <w:tc>
          <w:tcPr>
            <w:tcW w:w="1361" w:type="dxa"/>
          </w:tcPr>
          <w:p w:rsidR="002042BB" w:rsidRPr="00C15395" w:rsidRDefault="00A612D2" w:rsidP="002042BB">
            <w:pPr>
              <w:spacing w:line="200" w:lineRule="exact"/>
              <w:jc w:val="right"/>
            </w:pPr>
            <w:r>
              <w:t>3</w:t>
            </w:r>
          </w:p>
        </w:tc>
        <w:tc>
          <w:tcPr>
            <w:tcW w:w="1361" w:type="dxa"/>
          </w:tcPr>
          <w:p w:rsidR="002042BB" w:rsidRPr="00C15395" w:rsidRDefault="002042BB" w:rsidP="006247DF">
            <w:pPr>
              <w:spacing w:line="200" w:lineRule="exact"/>
              <w:jc w:val="right"/>
            </w:pPr>
            <w:r>
              <w:t>3</w:t>
            </w:r>
          </w:p>
        </w:tc>
      </w:tr>
      <w:tr w:rsidR="002042BB" w:rsidRPr="00E7637B" w:rsidTr="006247DF">
        <w:trPr>
          <w:cantSplit/>
          <w:trHeight w:val="20"/>
        </w:trPr>
        <w:tc>
          <w:tcPr>
            <w:tcW w:w="3260" w:type="dxa"/>
            <w:tcBorders>
              <w:top w:val="single" w:sz="4" w:space="0" w:color="auto"/>
              <w:bottom w:val="single" w:sz="4" w:space="0" w:color="auto"/>
            </w:tcBorders>
            <w:vAlign w:val="center"/>
          </w:tcPr>
          <w:p w:rsidR="002042BB" w:rsidRPr="00E7637B" w:rsidRDefault="002042BB" w:rsidP="006247DF">
            <w:pPr>
              <w:spacing w:line="200" w:lineRule="exact"/>
            </w:pPr>
            <w:r w:rsidRPr="00E7637B">
              <w:t>Summa</w:t>
            </w:r>
          </w:p>
        </w:tc>
        <w:tc>
          <w:tcPr>
            <w:tcW w:w="1361" w:type="dxa"/>
            <w:tcBorders>
              <w:top w:val="single" w:sz="4" w:space="0" w:color="auto"/>
              <w:bottom w:val="single" w:sz="4" w:space="0" w:color="auto"/>
            </w:tcBorders>
            <w:vAlign w:val="center"/>
          </w:tcPr>
          <w:p w:rsidR="002042BB" w:rsidRPr="00E7637B" w:rsidRDefault="002042BB" w:rsidP="002042BB">
            <w:pPr>
              <w:spacing w:line="200" w:lineRule="exact"/>
              <w:jc w:val="right"/>
            </w:pPr>
            <w:r>
              <w:t>33</w:t>
            </w:r>
          </w:p>
        </w:tc>
        <w:tc>
          <w:tcPr>
            <w:tcW w:w="1361" w:type="dxa"/>
            <w:tcBorders>
              <w:top w:val="single" w:sz="4" w:space="0" w:color="auto"/>
              <w:bottom w:val="single" w:sz="4" w:space="0" w:color="auto"/>
            </w:tcBorders>
            <w:vAlign w:val="center"/>
          </w:tcPr>
          <w:p w:rsidR="002042BB" w:rsidRPr="00E7637B" w:rsidRDefault="002042BB" w:rsidP="006247DF">
            <w:pPr>
              <w:spacing w:line="200" w:lineRule="exact"/>
              <w:jc w:val="right"/>
            </w:pPr>
            <w:r>
              <w:t>26</w:t>
            </w:r>
          </w:p>
        </w:tc>
      </w:tr>
    </w:tbl>
    <w:p w:rsidR="006247DF" w:rsidRDefault="006247DF" w:rsidP="006247DF">
      <w:pPr>
        <w:spacing w:before="120"/>
      </w:pPr>
      <w:r>
        <w:t>Under 201</w:t>
      </w:r>
      <w:r w:rsidR="002042BB">
        <w:t>4</w:t>
      </w:r>
      <w:r>
        <w:t xml:space="preserve"> skrevs posten skuldavskrivna mynt ned med </w:t>
      </w:r>
      <w:r w:rsidR="002042BB">
        <w:t>22</w:t>
      </w:r>
      <w:r>
        <w:t xml:space="preserve"> miljoner kronor (</w:t>
      </w:r>
      <w:r w:rsidR="002042BB">
        <w:t>17</w:t>
      </w:r>
      <w:r>
        <w:t xml:space="preserve">) avseende </w:t>
      </w:r>
      <w:r w:rsidRPr="00DE5087">
        <w:t xml:space="preserve">utelöpande minnesmynt på utgåvor </w:t>
      </w:r>
      <w:r w:rsidR="00057A2D">
        <w:t xml:space="preserve">som är </w:t>
      </w:r>
      <w:r w:rsidRPr="00DE5087">
        <w:t xml:space="preserve">äldre än tio år. </w:t>
      </w:r>
      <w:r>
        <w:t xml:space="preserve"> </w:t>
      </w:r>
    </w:p>
    <w:p w:rsidR="006247DF" w:rsidRDefault="006247DF" w:rsidP="009F4F54">
      <w:pPr>
        <w:pStyle w:val="Normaltindrag"/>
        <w:spacing w:after="120"/>
      </w:pPr>
      <w:r w:rsidRPr="00A854E3">
        <w:t>Intäkterna från Sida avser ersättning för experthjälp till centralbanker i några utvecklingsländer</w:t>
      </w:r>
      <w:r w:rsidR="00057A2D">
        <w:t xml:space="preserve"> (se rutan Internationella åtaganden)</w:t>
      </w:r>
      <w:r w:rsidRPr="00A854E3">
        <w:t>.</w:t>
      </w:r>
    </w:p>
    <w:p w:rsidR="006247DF" w:rsidRDefault="006247DF" w:rsidP="009F4F54">
      <w:pPr>
        <w:pStyle w:val="Normaltindrag"/>
        <w:spacing w:after="120"/>
      </w:pPr>
    </w:p>
    <w:p w:rsidR="006247DF" w:rsidRPr="00E7637B" w:rsidRDefault="006247DF" w:rsidP="009F4F54">
      <w:pPr>
        <w:spacing w:before="187"/>
        <w:outlineLvl w:val="0"/>
      </w:pPr>
      <w:r w:rsidRPr="00E7637B">
        <w:rPr>
          <w:b/>
        </w:rPr>
        <w:t>Not 3</w:t>
      </w:r>
      <w:r>
        <w:rPr>
          <w:b/>
        </w:rPr>
        <w:t>5</w:t>
      </w:r>
      <w:r w:rsidRPr="00E7637B">
        <w:rPr>
          <w:b/>
        </w:rPr>
        <w:t xml:space="preserve"> Personalkostnader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941249"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941249" w:rsidRDefault="006247DF" w:rsidP="002042BB">
            <w:pPr>
              <w:spacing w:line="200" w:lineRule="exact"/>
              <w:jc w:val="right"/>
            </w:pPr>
            <w:r w:rsidRPr="00941249">
              <w:t>201</w:t>
            </w:r>
            <w:r w:rsidR="002042BB" w:rsidRPr="00941249">
              <w:t>4</w:t>
            </w:r>
          </w:p>
        </w:tc>
        <w:tc>
          <w:tcPr>
            <w:tcW w:w="1361" w:type="dxa"/>
            <w:tcBorders>
              <w:top w:val="single" w:sz="4" w:space="0" w:color="auto"/>
            </w:tcBorders>
            <w:vAlign w:val="center"/>
          </w:tcPr>
          <w:p w:rsidR="006247DF" w:rsidRPr="00941249" w:rsidRDefault="006247DF" w:rsidP="002042BB">
            <w:pPr>
              <w:spacing w:line="200" w:lineRule="exact"/>
              <w:jc w:val="right"/>
            </w:pPr>
            <w:r w:rsidRPr="00941249">
              <w:t>201</w:t>
            </w:r>
            <w:r w:rsidR="002042BB" w:rsidRPr="00941249">
              <w:t>3</w:t>
            </w:r>
          </w:p>
        </w:tc>
      </w:tr>
      <w:tr w:rsidR="002042BB" w:rsidRPr="00941249" w:rsidTr="006247DF">
        <w:trPr>
          <w:cantSplit/>
          <w:trHeight w:val="20"/>
        </w:trPr>
        <w:tc>
          <w:tcPr>
            <w:tcW w:w="3260" w:type="dxa"/>
            <w:tcBorders>
              <w:top w:val="single" w:sz="4" w:space="0" w:color="auto"/>
            </w:tcBorders>
          </w:tcPr>
          <w:p w:rsidR="002042BB" w:rsidRPr="00941249" w:rsidRDefault="002042BB" w:rsidP="006247DF">
            <w:pPr>
              <w:spacing w:line="200" w:lineRule="exact"/>
            </w:pPr>
            <w:r w:rsidRPr="00941249">
              <w:t>Löner och andra ersättningar</w:t>
            </w:r>
          </w:p>
        </w:tc>
        <w:tc>
          <w:tcPr>
            <w:tcW w:w="1361" w:type="dxa"/>
            <w:tcBorders>
              <w:top w:val="single" w:sz="4" w:space="0" w:color="auto"/>
            </w:tcBorders>
          </w:tcPr>
          <w:p w:rsidR="002042BB" w:rsidRPr="00941249" w:rsidRDefault="00E46F64" w:rsidP="002042BB">
            <w:pPr>
              <w:spacing w:line="200" w:lineRule="exact"/>
              <w:jc w:val="right"/>
            </w:pPr>
            <w:r w:rsidRPr="00941249">
              <w:t>–</w:t>
            </w:r>
            <w:r w:rsidR="00941249" w:rsidRPr="00941249">
              <w:t>224</w:t>
            </w:r>
          </w:p>
        </w:tc>
        <w:tc>
          <w:tcPr>
            <w:tcW w:w="1361" w:type="dxa"/>
            <w:tcBorders>
              <w:top w:val="single" w:sz="4" w:space="0" w:color="auto"/>
            </w:tcBorders>
          </w:tcPr>
          <w:p w:rsidR="002042BB" w:rsidRPr="00941249" w:rsidRDefault="002042BB" w:rsidP="006247DF">
            <w:pPr>
              <w:spacing w:line="200" w:lineRule="exact"/>
              <w:jc w:val="right"/>
            </w:pPr>
            <w:r w:rsidRPr="00941249">
              <w:t>–231</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Tillgångsförda löner</w:t>
            </w:r>
          </w:p>
        </w:tc>
        <w:tc>
          <w:tcPr>
            <w:tcW w:w="1361" w:type="dxa"/>
          </w:tcPr>
          <w:p w:rsidR="002042BB" w:rsidRPr="00941249" w:rsidRDefault="00941249" w:rsidP="002042BB">
            <w:pPr>
              <w:spacing w:line="200" w:lineRule="exact"/>
              <w:jc w:val="right"/>
            </w:pPr>
            <w:r w:rsidRPr="00941249">
              <w:t>2</w:t>
            </w:r>
          </w:p>
        </w:tc>
        <w:tc>
          <w:tcPr>
            <w:tcW w:w="1361" w:type="dxa"/>
          </w:tcPr>
          <w:p w:rsidR="002042BB" w:rsidRPr="00941249" w:rsidRDefault="002042BB" w:rsidP="006247DF">
            <w:pPr>
              <w:spacing w:line="200" w:lineRule="exact"/>
              <w:jc w:val="right"/>
            </w:pPr>
            <w:r w:rsidRPr="00941249">
              <w:t>0</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Sociala avgifter</w:t>
            </w:r>
          </w:p>
        </w:tc>
        <w:tc>
          <w:tcPr>
            <w:tcW w:w="1361" w:type="dxa"/>
            <w:tcBorders>
              <w:bottom w:val="single" w:sz="4" w:space="0" w:color="auto"/>
            </w:tcBorders>
          </w:tcPr>
          <w:p w:rsidR="002042BB" w:rsidRPr="00941249" w:rsidRDefault="00E46F64" w:rsidP="002042BB">
            <w:pPr>
              <w:spacing w:line="200" w:lineRule="exact"/>
              <w:jc w:val="right"/>
            </w:pPr>
            <w:r w:rsidRPr="00941249">
              <w:t>–</w:t>
            </w:r>
            <w:r w:rsidR="00941249" w:rsidRPr="00941249">
              <w:t>70</w:t>
            </w:r>
          </w:p>
        </w:tc>
        <w:tc>
          <w:tcPr>
            <w:tcW w:w="1361" w:type="dxa"/>
            <w:tcBorders>
              <w:bottom w:val="single" w:sz="4" w:space="0" w:color="auto"/>
            </w:tcBorders>
          </w:tcPr>
          <w:p w:rsidR="002042BB" w:rsidRPr="00941249" w:rsidRDefault="002042BB" w:rsidP="006247DF">
            <w:pPr>
              <w:spacing w:line="200" w:lineRule="exact"/>
              <w:jc w:val="right"/>
            </w:pPr>
            <w:r w:rsidRPr="00941249">
              <w:t>–72</w:t>
            </w:r>
          </w:p>
        </w:tc>
      </w:tr>
      <w:tr w:rsidR="002042BB" w:rsidRPr="00941249" w:rsidTr="006247DF">
        <w:trPr>
          <w:cantSplit/>
          <w:trHeight w:val="20"/>
        </w:trPr>
        <w:tc>
          <w:tcPr>
            <w:tcW w:w="3260" w:type="dxa"/>
          </w:tcPr>
          <w:p w:rsidR="002042BB" w:rsidRPr="00941249" w:rsidRDefault="002042BB" w:rsidP="006247DF">
            <w:pPr>
              <w:spacing w:line="200" w:lineRule="exact"/>
            </w:pPr>
          </w:p>
        </w:tc>
        <w:tc>
          <w:tcPr>
            <w:tcW w:w="1361" w:type="dxa"/>
            <w:tcBorders>
              <w:top w:val="single" w:sz="4" w:space="0" w:color="auto"/>
            </w:tcBorders>
          </w:tcPr>
          <w:p w:rsidR="002042BB" w:rsidRPr="00941249" w:rsidRDefault="00E46F64" w:rsidP="002042BB">
            <w:pPr>
              <w:spacing w:line="200" w:lineRule="exact"/>
              <w:jc w:val="right"/>
            </w:pPr>
            <w:r w:rsidRPr="00941249">
              <w:t>–</w:t>
            </w:r>
            <w:r w:rsidR="00941249" w:rsidRPr="00941249">
              <w:t>292</w:t>
            </w:r>
          </w:p>
        </w:tc>
        <w:tc>
          <w:tcPr>
            <w:tcW w:w="1361" w:type="dxa"/>
            <w:tcBorders>
              <w:top w:val="single" w:sz="4" w:space="0" w:color="auto"/>
            </w:tcBorders>
          </w:tcPr>
          <w:p w:rsidR="002042BB" w:rsidRPr="00941249" w:rsidRDefault="002042BB" w:rsidP="006247DF">
            <w:pPr>
              <w:spacing w:line="200" w:lineRule="exact"/>
              <w:jc w:val="right"/>
            </w:pPr>
            <w:r w:rsidRPr="00941249">
              <w:t>–303</w:t>
            </w:r>
          </w:p>
        </w:tc>
      </w:tr>
      <w:tr w:rsidR="002042BB" w:rsidRPr="00941249" w:rsidTr="006247DF">
        <w:trPr>
          <w:cantSplit/>
          <w:trHeight w:val="20"/>
        </w:trPr>
        <w:tc>
          <w:tcPr>
            <w:tcW w:w="3260" w:type="dxa"/>
          </w:tcPr>
          <w:p w:rsidR="002042BB" w:rsidRPr="00941249" w:rsidRDefault="002042BB" w:rsidP="006247DF">
            <w:pPr>
              <w:spacing w:line="200" w:lineRule="exact"/>
            </w:pPr>
          </w:p>
        </w:tc>
        <w:tc>
          <w:tcPr>
            <w:tcW w:w="1361" w:type="dxa"/>
          </w:tcPr>
          <w:p w:rsidR="002042BB" w:rsidRPr="00941249" w:rsidRDefault="002042BB" w:rsidP="006247DF">
            <w:pPr>
              <w:spacing w:line="200" w:lineRule="exact"/>
              <w:jc w:val="right"/>
            </w:pPr>
          </w:p>
        </w:tc>
        <w:tc>
          <w:tcPr>
            <w:tcW w:w="1361" w:type="dxa"/>
          </w:tcPr>
          <w:p w:rsidR="002042BB" w:rsidRPr="00941249" w:rsidRDefault="002042BB" w:rsidP="006247DF">
            <w:pPr>
              <w:spacing w:line="200" w:lineRule="exact"/>
              <w:jc w:val="right"/>
            </w:pPr>
          </w:p>
        </w:tc>
      </w:tr>
      <w:tr w:rsidR="002042BB" w:rsidRPr="00941249" w:rsidTr="006247DF">
        <w:trPr>
          <w:cantSplit/>
          <w:trHeight w:val="20"/>
        </w:trPr>
        <w:tc>
          <w:tcPr>
            <w:tcW w:w="3260" w:type="dxa"/>
          </w:tcPr>
          <w:p w:rsidR="002042BB" w:rsidRPr="00941249" w:rsidRDefault="002042BB" w:rsidP="006247DF">
            <w:pPr>
              <w:spacing w:line="200" w:lineRule="exact"/>
            </w:pPr>
            <w:r w:rsidRPr="00941249">
              <w:t>Pensionspremier</w:t>
            </w:r>
          </w:p>
        </w:tc>
        <w:tc>
          <w:tcPr>
            <w:tcW w:w="1361" w:type="dxa"/>
          </w:tcPr>
          <w:p w:rsidR="002042BB" w:rsidRPr="00941249" w:rsidRDefault="00E46F64" w:rsidP="002042BB">
            <w:pPr>
              <w:spacing w:line="200" w:lineRule="exact"/>
              <w:jc w:val="right"/>
            </w:pPr>
            <w:r w:rsidRPr="00941249">
              <w:t>–</w:t>
            </w:r>
            <w:r w:rsidR="00941249" w:rsidRPr="00941249">
              <w:t>42</w:t>
            </w:r>
          </w:p>
        </w:tc>
        <w:tc>
          <w:tcPr>
            <w:tcW w:w="1361" w:type="dxa"/>
          </w:tcPr>
          <w:p w:rsidR="002042BB" w:rsidRPr="00941249" w:rsidRDefault="002042BB" w:rsidP="006247DF">
            <w:pPr>
              <w:spacing w:line="200" w:lineRule="exact"/>
              <w:jc w:val="right"/>
            </w:pPr>
            <w:r w:rsidRPr="00941249">
              <w:t>–41</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Pensionsutbetalningar</w:t>
            </w:r>
          </w:p>
        </w:tc>
        <w:tc>
          <w:tcPr>
            <w:tcW w:w="1361" w:type="dxa"/>
          </w:tcPr>
          <w:p w:rsidR="002042BB" w:rsidRPr="00941249" w:rsidRDefault="00E46F64" w:rsidP="002042BB">
            <w:pPr>
              <w:spacing w:line="200" w:lineRule="exact"/>
              <w:jc w:val="right"/>
            </w:pPr>
            <w:r w:rsidRPr="00941249">
              <w:t>–</w:t>
            </w:r>
            <w:r w:rsidR="00941249" w:rsidRPr="00941249">
              <w:t>11</w:t>
            </w:r>
          </w:p>
        </w:tc>
        <w:tc>
          <w:tcPr>
            <w:tcW w:w="1361" w:type="dxa"/>
          </w:tcPr>
          <w:p w:rsidR="002042BB" w:rsidRPr="00941249" w:rsidRDefault="002042BB" w:rsidP="006247DF">
            <w:pPr>
              <w:spacing w:line="200" w:lineRule="exact"/>
              <w:jc w:val="right"/>
            </w:pPr>
            <w:r w:rsidRPr="00941249">
              <w:t>–12</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Förändring av pensionsskulden</w:t>
            </w:r>
          </w:p>
        </w:tc>
        <w:tc>
          <w:tcPr>
            <w:tcW w:w="1361" w:type="dxa"/>
          </w:tcPr>
          <w:p w:rsidR="002042BB" w:rsidRPr="00941249" w:rsidRDefault="00941249" w:rsidP="002042BB">
            <w:pPr>
              <w:spacing w:line="200" w:lineRule="exact"/>
              <w:jc w:val="right"/>
            </w:pPr>
            <w:r w:rsidRPr="00941249">
              <w:t>11</w:t>
            </w:r>
          </w:p>
        </w:tc>
        <w:tc>
          <w:tcPr>
            <w:tcW w:w="1361" w:type="dxa"/>
          </w:tcPr>
          <w:p w:rsidR="002042BB" w:rsidRPr="00941249" w:rsidRDefault="002042BB" w:rsidP="006247DF">
            <w:pPr>
              <w:spacing w:line="200" w:lineRule="exact"/>
              <w:jc w:val="right"/>
            </w:pPr>
            <w:r w:rsidRPr="00941249">
              <w:t>8</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 xml:space="preserve">Särskild löneskatt </w:t>
            </w:r>
          </w:p>
        </w:tc>
        <w:tc>
          <w:tcPr>
            <w:tcW w:w="1361" w:type="dxa"/>
            <w:tcBorders>
              <w:bottom w:val="single" w:sz="4" w:space="0" w:color="auto"/>
            </w:tcBorders>
          </w:tcPr>
          <w:p w:rsidR="002042BB" w:rsidRPr="00941249" w:rsidRDefault="00E46F64" w:rsidP="002042BB">
            <w:pPr>
              <w:spacing w:line="200" w:lineRule="exact"/>
              <w:jc w:val="right"/>
            </w:pPr>
            <w:r w:rsidRPr="00941249">
              <w:t>–</w:t>
            </w:r>
            <w:r w:rsidR="00941249" w:rsidRPr="00941249">
              <w:t>13</w:t>
            </w:r>
          </w:p>
        </w:tc>
        <w:tc>
          <w:tcPr>
            <w:tcW w:w="1361" w:type="dxa"/>
            <w:tcBorders>
              <w:bottom w:val="single" w:sz="4" w:space="0" w:color="auto"/>
            </w:tcBorders>
          </w:tcPr>
          <w:p w:rsidR="002042BB" w:rsidRPr="00941249" w:rsidRDefault="002042BB" w:rsidP="006247DF">
            <w:pPr>
              <w:spacing w:line="200" w:lineRule="exact"/>
              <w:jc w:val="right"/>
            </w:pPr>
            <w:r w:rsidRPr="00941249">
              <w:t>–13</w:t>
            </w:r>
          </w:p>
        </w:tc>
      </w:tr>
      <w:tr w:rsidR="002042BB" w:rsidRPr="00941249" w:rsidTr="006247DF">
        <w:trPr>
          <w:cantSplit/>
          <w:trHeight w:val="20"/>
        </w:trPr>
        <w:tc>
          <w:tcPr>
            <w:tcW w:w="3260" w:type="dxa"/>
          </w:tcPr>
          <w:p w:rsidR="002042BB" w:rsidRPr="00941249" w:rsidRDefault="002042BB" w:rsidP="006247DF">
            <w:pPr>
              <w:spacing w:line="200" w:lineRule="exact"/>
            </w:pPr>
          </w:p>
        </w:tc>
        <w:tc>
          <w:tcPr>
            <w:tcW w:w="1361" w:type="dxa"/>
            <w:tcBorders>
              <w:top w:val="single" w:sz="4" w:space="0" w:color="auto"/>
            </w:tcBorders>
          </w:tcPr>
          <w:p w:rsidR="002042BB" w:rsidRPr="00941249" w:rsidRDefault="00E46F64" w:rsidP="002042BB">
            <w:pPr>
              <w:spacing w:line="200" w:lineRule="exact"/>
              <w:jc w:val="right"/>
            </w:pPr>
            <w:r w:rsidRPr="00941249">
              <w:t>–</w:t>
            </w:r>
            <w:r w:rsidR="00941249" w:rsidRPr="00941249">
              <w:t>55</w:t>
            </w:r>
          </w:p>
        </w:tc>
        <w:tc>
          <w:tcPr>
            <w:tcW w:w="1361" w:type="dxa"/>
            <w:tcBorders>
              <w:top w:val="single" w:sz="4" w:space="0" w:color="auto"/>
            </w:tcBorders>
          </w:tcPr>
          <w:p w:rsidR="002042BB" w:rsidRPr="00941249" w:rsidRDefault="002042BB" w:rsidP="006247DF">
            <w:pPr>
              <w:spacing w:line="200" w:lineRule="exact"/>
              <w:jc w:val="right"/>
            </w:pPr>
            <w:r w:rsidRPr="00941249">
              <w:t>–58</w:t>
            </w:r>
          </w:p>
        </w:tc>
      </w:tr>
      <w:tr w:rsidR="002042BB" w:rsidRPr="00941249" w:rsidTr="006247DF">
        <w:trPr>
          <w:cantSplit/>
          <w:trHeight w:val="20"/>
        </w:trPr>
        <w:tc>
          <w:tcPr>
            <w:tcW w:w="3260" w:type="dxa"/>
          </w:tcPr>
          <w:p w:rsidR="002042BB" w:rsidRPr="00941249" w:rsidRDefault="002042BB" w:rsidP="006247DF">
            <w:pPr>
              <w:spacing w:line="200" w:lineRule="exact"/>
            </w:pPr>
          </w:p>
        </w:tc>
        <w:tc>
          <w:tcPr>
            <w:tcW w:w="1361" w:type="dxa"/>
          </w:tcPr>
          <w:p w:rsidR="002042BB" w:rsidRPr="00941249" w:rsidRDefault="002042BB" w:rsidP="006247DF">
            <w:pPr>
              <w:spacing w:line="200" w:lineRule="exact"/>
              <w:jc w:val="right"/>
            </w:pPr>
          </w:p>
        </w:tc>
        <w:tc>
          <w:tcPr>
            <w:tcW w:w="1361" w:type="dxa"/>
          </w:tcPr>
          <w:p w:rsidR="002042BB" w:rsidRPr="00941249" w:rsidRDefault="002042BB" w:rsidP="006247DF">
            <w:pPr>
              <w:spacing w:line="200" w:lineRule="exact"/>
              <w:jc w:val="right"/>
            </w:pPr>
          </w:p>
        </w:tc>
      </w:tr>
      <w:tr w:rsidR="002042BB" w:rsidRPr="00941249" w:rsidTr="006247DF">
        <w:trPr>
          <w:cantSplit/>
          <w:trHeight w:val="20"/>
        </w:trPr>
        <w:tc>
          <w:tcPr>
            <w:tcW w:w="3260" w:type="dxa"/>
          </w:tcPr>
          <w:p w:rsidR="002042BB" w:rsidRPr="00941249" w:rsidRDefault="002042BB" w:rsidP="006247DF">
            <w:pPr>
              <w:spacing w:line="200" w:lineRule="exact"/>
            </w:pPr>
            <w:r w:rsidRPr="00941249">
              <w:t>Utbildning</w:t>
            </w:r>
          </w:p>
        </w:tc>
        <w:tc>
          <w:tcPr>
            <w:tcW w:w="1361" w:type="dxa"/>
          </w:tcPr>
          <w:p w:rsidR="002042BB" w:rsidRPr="00941249" w:rsidRDefault="00E46F64" w:rsidP="002042BB">
            <w:pPr>
              <w:spacing w:line="200" w:lineRule="exact"/>
              <w:jc w:val="right"/>
            </w:pPr>
            <w:r w:rsidRPr="00941249">
              <w:t>–</w:t>
            </w:r>
            <w:r w:rsidR="00941249" w:rsidRPr="00941249">
              <w:t>3</w:t>
            </w:r>
          </w:p>
        </w:tc>
        <w:tc>
          <w:tcPr>
            <w:tcW w:w="1361" w:type="dxa"/>
          </w:tcPr>
          <w:p w:rsidR="002042BB" w:rsidRPr="00941249" w:rsidRDefault="002042BB" w:rsidP="006247DF">
            <w:pPr>
              <w:spacing w:line="200" w:lineRule="exact"/>
              <w:jc w:val="right"/>
            </w:pPr>
            <w:r w:rsidRPr="00941249">
              <w:t>–4</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Personalrepresentation</w:t>
            </w:r>
          </w:p>
        </w:tc>
        <w:tc>
          <w:tcPr>
            <w:tcW w:w="1361" w:type="dxa"/>
          </w:tcPr>
          <w:p w:rsidR="002042BB" w:rsidRPr="00941249" w:rsidRDefault="00E46F64" w:rsidP="002042BB">
            <w:pPr>
              <w:spacing w:line="200" w:lineRule="exact"/>
              <w:jc w:val="right"/>
            </w:pPr>
            <w:r w:rsidRPr="00941249">
              <w:t>–</w:t>
            </w:r>
            <w:r w:rsidR="00941249" w:rsidRPr="00941249">
              <w:t>2</w:t>
            </w:r>
          </w:p>
        </w:tc>
        <w:tc>
          <w:tcPr>
            <w:tcW w:w="1361" w:type="dxa"/>
          </w:tcPr>
          <w:p w:rsidR="002042BB" w:rsidRPr="00941249" w:rsidRDefault="002042BB" w:rsidP="006247DF">
            <w:pPr>
              <w:spacing w:line="200" w:lineRule="exact"/>
              <w:jc w:val="right"/>
            </w:pPr>
            <w:r w:rsidRPr="00941249">
              <w:t>–2</w:t>
            </w:r>
          </w:p>
        </w:tc>
      </w:tr>
      <w:tr w:rsidR="002042BB" w:rsidRPr="00941249" w:rsidTr="006247DF">
        <w:trPr>
          <w:cantSplit/>
          <w:trHeight w:val="20"/>
        </w:trPr>
        <w:tc>
          <w:tcPr>
            <w:tcW w:w="3260" w:type="dxa"/>
          </w:tcPr>
          <w:p w:rsidR="002042BB" w:rsidRPr="00941249" w:rsidRDefault="002042BB" w:rsidP="006247DF">
            <w:pPr>
              <w:spacing w:line="200" w:lineRule="exact"/>
            </w:pPr>
            <w:r w:rsidRPr="00941249">
              <w:t>Övrigt</w:t>
            </w:r>
          </w:p>
        </w:tc>
        <w:tc>
          <w:tcPr>
            <w:tcW w:w="1361" w:type="dxa"/>
            <w:tcBorders>
              <w:bottom w:val="single" w:sz="4" w:space="0" w:color="auto"/>
            </w:tcBorders>
          </w:tcPr>
          <w:p w:rsidR="002042BB" w:rsidRPr="00941249" w:rsidRDefault="00E46F64" w:rsidP="002042BB">
            <w:pPr>
              <w:spacing w:line="200" w:lineRule="exact"/>
              <w:jc w:val="right"/>
            </w:pPr>
            <w:r w:rsidRPr="00941249">
              <w:t>–</w:t>
            </w:r>
            <w:r w:rsidR="00941249" w:rsidRPr="00941249">
              <w:t>9</w:t>
            </w:r>
          </w:p>
        </w:tc>
        <w:tc>
          <w:tcPr>
            <w:tcW w:w="1361" w:type="dxa"/>
            <w:tcBorders>
              <w:bottom w:val="single" w:sz="4" w:space="0" w:color="auto"/>
            </w:tcBorders>
          </w:tcPr>
          <w:p w:rsidR="002042BB" w:rsidRPr="00941249" w:rsidRDefault="002042BB" w:rsidP="006247DF">
            <w:pPr>
              <w:spacing w:line="200" w:lineRule="exact"/>
              <w:jc w:val="right"/>
            </w:pPr>
            <w:r w:rsidRPr="00941249">
              <w:t>–8</w:t>
            </w:r>
          </w:p>
        </w:tc>
      </w:tr>
      <w:tr w:rsidR="002042BB" w:rsidRPr="00941249" w:rsidTr="006247DF">
        <w:trPr>
          <w:cantSplit/>
          <w:trHeight w:val="20"/>
        </w:trPr>
        <w:tc>
          <w:tcPr>
            <w:tcW w:w="3260" w:type="dxa"/>
          </w:tcPr>
          <w:p w:rsidR="002042BB" w:rsidRPr="00941249" w:rsidRDefault="002042BB" w:rsidP="006247DF">
            <w:pPr>
              <w:spacing w:line="200" w:lineRule="exact"/>
            </w:pPr>
          </w:p>
        </w:tc>
        <w:tc>
          <w:tcPr>
            <w:tcW w:w="1361" w:type="dxa"/>
            <w:tcBorders>
              <w:top w:val="single" w:sz="4" w:space="0" w:color="auto"/>
              <w:bottom w:val="single" w:sz="4" w:space="0" w:color="auto"/>
            </w:tcBorders>
          </w:tcPr>
          <w:p w:rsidR="002042BB" w:rsidRPr="00941249" w:rsidRDefault="00E46F64" w:rsidP="002042BB">
            <w:pPr>
              <w:spacing w:line="200" w:lineRule="exact"/>
              <w:jc w:val="right"/>
            </w:pPr>
            <w:r w:rsidRPr="00941249">
              <w:t>–</w:t>
            </w:r>
            <w:r w:rsidR="00941249" w:rsidRPr="00941249">
              <w:t>14</w:t>
            </w:r>
          </w:p>
        </w:tc>
        <w:tc>
          <w:tcPr>
            <w:tcW w:w="1361" w:type="dxa"/>
            <w:tcBorders>
              <w:top w:val="single" w:sz="4" w:space="0" w:color="auto"/>
              <w:bottom w:val="single" w:sz="4" w:space="0" w:color="auto"/>
            </w:tcBorders>
          </w:tcPr>
          <w:p w:rsidR="002042BB" w:rsidRPr="00941249" w:rsidRDefault="002042BB" w:rsidP="006247DF">
            <w:pPr>
              <w:spacing w:line="200" w:lineRule="exact"/>
              <w:jc w:val="right"/>
            </w:pPr>
            <w:r w:rsidRPr="00941249">
              <w:t>–14</w:t>
            </w:r>
          </w:p>
        </w:tc>
      </w:tr>
      <w:tr w:rsidR="002042BB" w:rsidRPr="00941249" w:rsidTr="006247DF">
        <w:trPr>
          <w:cantSplit/>
          <w:trHeight w:val="20"/>
        </w:trPr>
        <w:tc>
          <w:tcPr>
            <w:tcW w:w="3260" w:type="dxa"/>
            <w:tcBorders>
              <w:bottom w:val="single" w:sz="4" w:space="0" w:color="auto"/>
            </w:tcBorders>
          </w:tcPr>
          <w:p w:rsidR="002042BB" w:rsidRPr="00941249" w:rsidRDefault="002042BB" w:rsidP="006247DF">
            <w:pPr>
              <w:spacing w:line="200" w:lineRule="exact"/>
            </w:pPr>
            <w:r w:rsidRPr="00941249">
              <w:t>Summa</w:t>
            </w:r>
          </w:p>
        </w:tc>
        <w:tc>
          <w:tcPr>
            <w:tcW w:w="1361" w:type="dxa"/>
            <w:tcBorders>
              <w:top w:val="single" w:sz="4" w:space="0" w:color="auto"/>
              <w:bottom w:val="single" w:sz="4" w:space="0" w:color="auto"/>
            </w:tcBorders>
          </w:tcPr>
          <w:p w:rsidR="002042BB" w:rsidRPr="00941249" w:rsidRDefault="002042BB" w:rsidP="002042BB">
            <w:pPr>
              <w:spacing w:line="200" w:lineRule="exact"/>
              <w:jc w:val="right"/>
            </w:pPr>
            <w:r w:rsidRPr="00941249">
              <w:t>–361</w:t>
            </w:r>
          </w:p>
        </w:tc>
        <w:tc>
          <w:tcPr>
            <w:tcW w:w="1361" w:type="dxa"/>
            <w:tcBorders>
              <w:top w:val="single" w:sz="4" w:space="0" w:color="auto"/>
              <w:bottom w:val="single" w:sz="4" w:space="0" w:color="auto"/>
            </w:tcBorders>
          </w:tcPr>
          <w:p w:rsidR="002042BB" w:rsidRPr="00941249" w:rsidRDefault="002042BB" w:rsidP="006247DF">
            <w:pPr>
              <w:spacing w:line="200" w:lineRule="exact"/>
              <w:jc w:val="right"/>
            </w:pPr>
            <w:r w:rsidRPr="00941249">
              <w:t>–375</w:t>
            </w:r>
          </w:p>
        </w:tc>
      </w:tr>
    </w:tbl>
    <w:p w:rsidR="006247DF" w:rsidRPr="00E7637B" w:rsidRDefault="006247DF" w:rsidP="006247DF">
      <w:pPr>
        <w:spacing w:before="120"/>
      </w:pPr>
      <w:r w:rsidRPr="00941249">
        <w:t>Pensionspremier har utbetalats i enlighet med pensionsavtal för arbetstag</w:t>
      </w:r>
      <w:r w:rsidRPr="00E7637B">
        <w:t>are hos staten med flera, PA 03 och PA</w:t>
      </w:r>
      <w:r>
        <w:t>-</w:t>
      </w:r>
      <w:r w:rsidRPr="00E7637B">
        <w:t>91.</w:t>
      </w:r>
    </w:p>
    <w:p w:rsidR="006247DF" w:rsidRDefault="006247DF" w:rsidP="006247DF">
      <w:pPr>
        <w:pStyle w:val="Normaltindrag"/>
      </w:pPr>
      <w:r w:rsidRPr="00A854E3">
        <w:t xml:space="preserve">Posten </w:t>
      </w:r>
      <w:r>
        <w:t>P</w:t>
      </w:r>
      <w:r w:rsidRPr="00A854E3">
        <w:t xml:space="preserve">ensionsutbetalningar avser utbetalningar dels till pensionärer med avgångsdag före 2003, dels till personer som från och med 2003 beviljats delpension alternativt pensionsersättning före 65 års ålder. </w:t>
      </w:r>
    </w:p>
    <w:p w:rsidR="006247DF" w:rsidRPr="00592AC0" w:rsidRDefault="006247DF" w:rsidP="006247DF">
      <w:pPr>
        <w:pStyle w:val="Normaltindrag"/>
      </w:pPr>
      <w:r w:rsidRPr="00592AC0">
        <w:t xml:space="preserve">Personalrepresentationskostnader om </w:t>
      </w:r>
      <w:r w:rsidR="003E759C">
        <w:t>2,0</w:t>
      </w:r>
      <w:r w:rsidRPr="00592AC0">
        <w:t xml:space="preserve"> miljoner kronor (2,</w:t>
      </w:r>
      <w:r w:rsidR="002042BB" w:rsidRPr="00592AC0">
        <w:t>2</w:t>
      </w:r>
      <w:r w:rsidRPr="00592AC0">
        <w:t>) avser kos</w:t>
      </w:r>
      <w:r w:rsidRPr="00592AC0">
        <w:t>t</w:t>
      </w:r>
      <w:r w:rsidRPr="00592AC0">
        <w:t xml:space="preserve">nader för kost, logi och aktiviteter i samband med bland annat interna kurser, konferenser, personalfester samt informationsmöten. </w:t>
      </w:r>
    </w:p>
    <w:p w:rsidR="006247DF" w:rsidRPr="00592AC0" w:rsidRDefault="006247DF" w:rsidP="009F4F54">
      <w:pPr>
        <w:spacing w:after="120"/>
      </w:pPr>
      <w:r w:rsidRPr="00592AC0">
        <w:t>Löner och andra ersättningar till ledamöterna i direktionen uppgick under 201</w:t>
      </w:r>
      <w:r w:rsidR="002042BB" w:rsidRPr="00592AC0">
        <w:t>4</w:t>
      </w:r>
      <w:r w:rsidRPr="00592AC0">
        <w:t xml:space="preserve"> till </w:t>
      </w:r>
      <w:r w:rsidR="00592AC0" w:rsidRPr="00592AC0">
        <w:t>12,9</w:t>
      </w:r>
      <w:r w:rsidRPr="00592AC0">
        <w:t xml:space="preserve"> miljoner kronor, fördelat enligt följande.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592AC0" w:rsidTr="006247DF">
        <w:trPr>
          <w:cantSplit/>
          <w:trHeight w:val="20"/>
        </w:trPr>
        <w:tc>
          <w:tcPr>
            <w:tcW w:w="3260" w:type="dxa"/>
            <w:tcBorders>
              <w:top w:val="single" w:sz="4" w:space="0" w:color="auto"/>
            </w:tcBorders>
          </w:tcPr>
          <w:p w:rsidR="006247DF" w:rsidRPr="00592AC0" w:rsidRDefault="006247DF" w:rsidP="006247DF">
            <w:pPr>
              <w:spacing w:line="200" w:lineRule="exact"/>
              <w:jc w:val="right"/>
            </w:pPr>
          </w:p>
        </w:tc>
        <w:tc>
          <w:tcPr>
            <w:tcW w:w="1361" w:type="dxa"/>
            <w:tcBorders>
              <w:top w:val="single" w:sz="4" w:space="0" w:color="auto"/>
            </w:tcBorders>
            <w:vAlign w:val="center"/>
          </w:tcPr>
          <w:p w:rsidR="006247DF" w:rsidRPr="00592AC0" w:rsidRDefault="006247DF" w:rsidP="002042BB">
            <w:pPr>
              <w:spacing w:line="200" w:lineRule="exact"/>
              <w:jc w:val="right"/>
            </w:pPr>
            <w:r w:rsidRPr="00592AC0">
              <w:t>201</w:t>
            </w:r>
            <w:r w:rsidR="002042BB" w:rsidRPr="00592AC0">
              <w:t>4</w:t>
            </w:r>
          </w:p>
        </w:tc>
        <w:tc>
          <w:tcPr>
            <w:tcW w:w="1361" w:type="dxa"/>
            <w:tcBorders>
              <w:top w:val="single" w:sz="4" w:space="0" w:color="auto"/>
            </w:tcBorders>
            <w:vAlign w:val="center"/>
          </w:tcPr>
          <w:p w:rsidR="006247DF" w:rsidRPr="00592AC0" w:rsidRDefault="006247DF" w:rsidP="002042BB">
            <w:pPr>
              <w:spacing w:line="200" w:lineRule="exact"/>
              <w:jc w:val="right"/>
            </w:pPr>
            <w:r w:rsidRPr="00592AC0">
              <w:t>201</w:t>
            </w:r>
            <w:r w:rsidR="002042BB" w:rsidRPr="00592AC0">
              <w:t>3</w:t>
            </w:r>
          </w:p>
        </w:tc>
      </w:tr>
      <w:tr w:rsidR="002042BB" w:rsidRPr="00592AC0" w:rsidTr="006247DF">
        <w:trPr>
          <w:cantSplit/>
          <w:trHeight w:val="20"/>
        </w:trPr>
        <w:tc>
          <w:tcPr>
            <w:tcW w:w="3260" w:type="dxa"/>
            <w:tcBorders>
              <w:top w:val="single" w:sz="4" w:space="0" w:color="auto"/>
            </w:tcBorders>
          </w:tcPr>
          <w:p w:rsidR="002042BB" w:rsidRPr="00592AC0" w:rsidRDefault="002042BB" w:rsidP="006247DF">
            <w:pPr>
              <w:spacing w:line="200" w:lineRule="exact"/>
            </w:pPr>
            <w:r w:rsidRPr="00592AC0">
              <w:t>Stefan Ingves</w:t>
            </w:r>
          </w:p>
        </w:tc>
        <w:tc>
          <w:tcPr>
            <w:tcW w:w="1361" w:type="dxa"/>
            <w:tcBorders>
              <w:top w:val="single" w:sz="4" w:space="0" w:color="auto"/>
            </w:tcBorders>
          </w:tcPr>
          <w:p w:rsidR="002042BB" w:rsidRPr="00592AC0" w:rsidRDefault="00592AC0" w:rsidP="006247DF">
            <w:pPr>
              <w:spacing w:line="200" w:lineRule="exact"/>
              <w:jc w:val="right"/>
            </w:pPr>
            <w:r w:rsidRPr="00592AC0">
              <w:t>2,0</w:t>
            </w:r>
          </w:p>
        </w:tc>
        <w:tc>
          <w:tcPr>
            <w:tcW w:w="1361" w:type="dxa"/>
            <w:tcBorders>
              <w:top w:val="single" w:sz="4" w:space="0" w:color="auto"/>
            </w:tcBorders>
          </w:tcPr>
          <w:p w:rsidR="002042BB" w:rsidRPr="00592AC0" w:rsidRDefault="002042BB" w:rsidP="006247DF">
            <w:pPr>
              <w:spacing w:line="200" w:lineRule="exact"/>
              <w:jc w:val="right"/>
            </w:pPr>
            <w:r w:rsidRPr="00592AC0">
              <w:t>1,8</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Kerstin af Jochnick</w:t>
            </w:r>
          </w:p>
        </w:tc>
        <w:tc>
          <w:tcPr>
            <w:tcW w:w="1361" w:type="dxa"/>
          </w:tcPr>
          <w:p w:rsidR="002042BB" w:rsidRPr="00592AC0" w:rsidRDefault="00592AC0" w:rsidP="006247DF">
            <w:pPr>
              <w:spacing w:line="200" w:lineRule="exact"/>
              <w:jc w:val="right"/>
            </w:pPr>
            <w:r w:rsidRPr="00592AC0">
              <w:t>2,3</w:t>
            </w:r>
          </w:p>
        </w:tc>
        <w:tc>
          <w:tcPr>
            <w:tcW w:w="1361" w:type="dxa"/>
          </w:tcPr>
          <w:p w:rsidR="002042BB" w:rsidRPr="00592AC0" w:rsidRDefault="002042BB" w:rsidP="006247DF">
            <w:pPr>
              <w:spacing w:line="200" w:lineRule="exact"/>
              <w:jc w:val="right"/>
            </w:pPr>
            <w:r w:rsidRPr="00592AC0">
              <w:t>2,3</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Karolina Ekholm</w:t>
            </w:r>
          </w:p>
        </w:tc>
        <w:tc>
          <w:tcPr>
            <w:tcW w:w="1361" w:type="dxa"/>
          </w:tcPr>
          <w:p w:rsidR="002042BB" w:rsidRPr="00592AC0" w:rsidRDefault="00592AC0" w:rsidP="006247DF">
            <w:pPr>
              <w:spacing w:line="200" w:lineRule="exact"/>
              <w:jc w:val="right"/>
            </w:pPr>
            <w:r w:rsidRPr="00592AC0">
              <w:t>1,7</w:t>
            </w:r>
          </w:p>
        </w:tc>
        <w:tc>
          <w:tcPr>
            <w:tcW w:w="1361" w:type="dxa"/>
          </w:tcPr>
          <w:p w:rsidR="002042BB" w:rsidRPr="00592AC0" w:rsidRDefault="002042BB" w:rsidP="006247DF">
            <w:pPr>
              <w:spacing w:line="200" w:lineRule="exact"/>
              <w:jc w:val="right"/>
            </w:pPr>
            <w:r w:rsidRPr="00592AC0">
              <w:t>2,1</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Martin Flodén</w:t>
            </w:r>
          </w:p>
        </w:tc>
        <w:tc>
          <w:tcPr>
            <w:tcW w:w="1361" w:type="dxa"/>
          </w:tcPr>
          <w:p w:rsidR="002042BB" w:rsidRPr="00592AC0" w:rsidRDefault="00592AC0" w:rsidP="006247DF">
            <w:pPr>
              <w:spacing w:line="200" w:lineRule="exact"/>
              <w:jc w:val="right"/>
            </w:pPr>
            <w:r w:rsidRPr="00592AC0">
              <w:t>2,2</w:t>
            </w:r>
          </w:p>
        </w:tc>
        <w:tc>
          <w:tcPr>
            <w:tcW w:w="1361" w:type="dxa"/>
          </w:tcPr>
          <w:p w:rsidR="002042BB" w:rsidRPr="00592AC0" w:rsidRDefault="002042BB" w:rsidP="006247DF">
            <w:pPr>
              <w:spacing w:line="200" w:lineRule="exact"/>
              <w:jc w:val="right"/>
            </w:pPr>
            <w:r w:rsidRPr="00592AC0">
              <w:t>1,3</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Per Jansson</w:t>
            </w:r>
          </w:p>
        </w:tc>
        <w:tc>
          <w:tcPr>
            <w:tcW w:w="1361" w:type="dxa"/>
          </w:tcPr>
          <w:p w:rsidR="002042BB" w:rsidRPr="00592AC0" w:rsidRDefault="00592AC0" w:rsidP="006247DF">
            <w:pPr>
              <w:spacing w:line="200" w:lineRule="exact"/>
              <w:jc w:val="right"/>
            </w:pPr>
            <w:r w:rsidRPr="00592AC0">
              <w:t>2,2</w:t>
            </w:r>
          </w:p>
        </w:tc>
        <w:tc>
          <w:tcPr>
            <w:tcW w:w="1361" w:type="dxa"/>
          </w:tcPr>
          <w:p w:rsidR="002042BB" w:rsidRPr="00592AC0" w:rsidRDefault="002042BB" w:rsidP="006247DF">
            <w:pPr>
              <w:spacing w:line="200" w:lineRule="exact"/>
              <w:jc w:val="right"/>
            </w:pPr>
            <w:r w:rsidRPr="00592AC0">
              <w:t>2,2</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Cecilia Skingsley</w:t>
            </w:r>
          </w:p>
        </w:tc>
        <w:tc>
          <w:tcPr>
            <w:tcW w:w="1361" w:type="dxa"/>
          </w:tcPr>
          <w:p w:rsidR="002042BB" w:rsidRPr="00592AC0" w:rsidRDefault="00592AC0" w:rsidP="006247DF">
            <w:pPr>
              <w:spacing w:line="200" w:lineRule="exact"/>
              <w:jc w:val="right"/>
            </w:pPr>
            <w:r w:rsidRPr="00592AC0">
              <w:t>2,2</w:t>
            </w:r>
          </w:p>
        </w:tc>
        <w:tc>
          <w:tcPr>
            <w:tcW w:w="1361" w:type="dxa"/>
          </w:tcPr>
          <w:p w:rsidR="002042BB" w:rsidRPr="00592AC0" w:rsidRDefault="002042BB" w:rsidP="006247DF">
            <w:pPr>
              <w:spacing w:line="200" w:lineRule="exact"/>
              <w:jc w:val="right"/>
            </w:pPr>
            <w:r w:rsidRPr="00592AC0">
              <w:t>1,3</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Lars E.O. Svensson</w:t>
            </w:r>
          </w:p>
        </w:tc>
        <w:tc>
          <w:tcPr>
            <w:tcW w:w="1361" w:type="dxa"/>
          </w:tcPr>
          <w:p w:rsidR="002042BB" w:rsidRPr="00592AC0" w:rsidRDefault="00592AC0" w:rsidP="006247DF">
            <w:pPr>
              <w:spacing w:line="200" w:lineRule="exact"/>
              <w:jc w:val="right"/>
            </w:pPr>
            <w:r w:rsidRPr="00592AC0">
              <w:t>–</w:t>
            </w:r>
          </w:p>
        </w:tc>
        <w:tc>
          <w:tcPr>
            <w:tcW w:w="1361" w:type="dxa"/>
          </w:tcPr>
          <w:p w:rsidR="002042BB" w:rsidRPr="00592AC0" w:rsidRDefault="002042BB" w:rsidP="006247DF">
            <w:pPr>
              <w:spacing w:line="200" w:lineRule="exact"/>
              <w:jc w:val="right"/>
            </w:pPr>
            <w:r w:rsidRPr="00592AC0">
              <w:t>1,1</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Barbro Wickman-Parak</w:t>
            </w:r>
          </w:p>
        </w:tc>
        <w:tc>
          <w:tcPr>
            <w:tcW w:w="1361" w:type="dxa"/>
          </w:tcPr>
          <w:p w:rsidR="002042BB" w:rsidRPr="00592AC0" w:rsidRDefault="00592AC0" w:rsidP="006247DF">
            <w:pPr>
              <w:spacing w:line="200" w:lineRule="exact"/>
              <w:jc w:val="right"/>
            </w:pPr>
            <w:r w:rsidRPr="00592AC0">
              <w:t>–</w:t>
            </w:r>
          </w:p>
        </w:tc>
        <w:tc>
          <w:tcPr>
            <w:tcW w:w="1361" w:type="dxa"/>
          </w:tcPr>
          <w:p w:rsidR="002042BB" w:rsidRPr="00592AC0" w:rsidRDefault="002042BB" w:rsidP="006247DF">
            <w:pPr>
              <w:spacing w:line="200" w:lineRule="exact"/>
              <w:jc w:val="right"/>
            </w:pPr>
            <w:r w:rsidRPr="00592AC0">
              <w:t>1,0</w:t>
            </w:r>
          </w:p>
        </w:tc>
      </w:tr>
      <w:tr w:rsidR="002042BB" w:rsidRPr="00592AC0" w:rsidTr="006247DF">
        <w:trPr>
          <w:cantSplit/>
          <w:trHeight w:val="20"/>
        </w:trPr>
        <w:tc>
          <w:tcPr>
            <w:tcW w:w="3260" w:type="dxa"/>
          </w:tcPr>
          <w:p w:rsidR="002042BB" w:rsidRPr="00592AC0" w:rsidRDefault="002042BB" w:rsidP="006247DF">
            <w:pPr>
              <w:spacing w:line="200" w:lineRule="exact"/>
            </w:pPr>
            <w:r w:rsidRPr="00592AC0">
              <w:t>Karensperiodlön</w:t>
            </w:r>
          </w:p>
        </w:tc>
        <w:tc>
          <w:tcPr>
            <w:tcW w:w="1361" w:type="dxa"/>
          </w:tcPr>
          <w:p w:rsidR="002042BB" w:rsidRPr="00592AC0" w:rsidRDefault="00D94FCE" w:rsidP="006247DF">
            <w:pPr>
              <w:spacing w:line="200" w:lineRule="exact"/>
              <w:jc w:val="right"/>
            </w:pPr>
            <w:r>
              <w:t>0,3</w:t>
            </w:r>
          </w:p>
        </w:tc>
        <w:tc>
          <w:tcPr>
            <w:tcW w:w="1361" w:type="dxa"/>
          </w:tcPr>
          <w:p w:rsidR="002042BB" w:rsidRPr="00592AC0" w:rsidRDefault="002042BB" w:rsidP="006247DF">
            <w:pPr>
              <w:spacing w:line="200" w:lineRule="exact"/>
              <w:jc w:val="right"/>
            </w:pPr>
            <w:r w:rsidRPr="00592AC0">
              <w:t>4,2</w:t>
            </w:r>
          </w:p>
        </w:tc>
      </w:tr>
      <w:tr w:rsidR="002042BB" w:rsidRPr="00592AC0" w:rsidTr="006247DF">
        <w:trPr>
          <w:cantSplit/>
          <w:trHeight w:val="20"/>
        </w:trPr>
        <w:tc>
          <w:tcPr>
            <w:tcW w:w="3260" w:type="dxa"/>
            <w:tcBorders>
              <w:top w:val="single" w:sz="4" w:space="0" w:color="auto"/>
              <w:bottom w:val="single" w:sz="4" w:space="0" w:color="auto"/>
            </w:tcBorders>
            <w:vAlign w:val="center"/>
          </w:tcPr>
          <w:p w:rsidR="002042BB" w:rsidRPr="00592AC0" w:rsidRDefault="002042BB" w:rsidP="006247DF">
            <w:pPr>
              <w:spacing w:line="200" w:lineRule="exact"/>
            </w:pPr>
            <w:r w:rsidRPr="00592AC0">
              <w:t>Summa</w:t>
            </w:r>
          </w:p>
        </w:tc>
        <w:tc>
          <w:tcPr>
            <w:tcW w:w="1361" w:type="dxa"/>
            <w:tcBorders>
              <w:top w:val="single" w:sz="4" w:space="0" w:color="auto"/>
              <w:bottom w:val="single" w:sz="4" w:space="0" w:color="auto"/>
            </w:tcBorders>
            <w:vAlign w:val="center"/>
          </w:tcPr>
          <w:p w:rsidR="002042BB" w:rsidRPr="00592AC0" w:rsidRDefault="00592AC0" w:rsidP="006247DF">
            <w:pPr>
              <w:spacing w:line="200" w:lineRule="exact"/>
              <w:jc w:val="right"/>
            </w:pPr>
            <w:r w:rsidRPr="00592AC0">
              <w:t>12,9</w:t>
            </w:r>
          </w:p>
        </w:tc>
        <w:tc>
          <w:tcPr>
            <w:tcW w:w="1361" w:type="dxa"/>
            <w:tcBorders>
              <w:top w:val="single" w:sz="4" w:space="0" w:color="auto"/>
              <w:bottom w:val="single" w:sz="4" w:space="0" w:color="auto"/>
            </w:tcBorders>
            <w:vAlign w:val="center"/>
          </w:tcPr>
          <w:p w:rsidR="002042BB" w:rsidRPr="00592AC0" w:rsidRDefault="002042BB" w:rsidP="006247DF">
            <w:pPr>
              <w:spacing w:line="200" w:lineRule="exact"/>
              <w:jc w:val="right"/>
            </w:pPr>
            <w:r w:rsidRPr="00592AC0">
              <w:t>17,3</w:t>
            </w:r>
          </w:p>
        </w:tc>
      </w:tr>
    </w:tbl>
    <w:p w:rsidR="006247DF" w:rsidRDefault="006247DF" w:rsidP="00B23FA4">
      <w:pPr>
        <w:suppressAutoHyphens/>
        <w:spacing w:before="120"/>
      </w:pPr>
      <w:r w:rsidRPr="00592AC0">
        <w:t>Därutöver fick riksbankschefen under 201</w:t>
      </w:r>
      <w:r w:rsidR="002042BB" w:rsidRPr="00592AC0">
        <w:t>4</w:t>
      </w:r>
      <w:r w:rsidRPr="00592AC0">
        <w:t xml:space="preserve"> styrelsearvode om </w:t>
      </w:r>
      <w:r w:rsidR="00592AC0" w:rsidRPr="00592AC0">
        <w:t>0</w:t>
      </w:r>
      <w:r w:rsidRPr="00592AC0">
        <w:t>,</w:t>
      </w:r>
      <w:r w:rsidR="00592AC0" w:rsidRPr="00592AC0">
        <w:t>7</w:t>
      </w:r>
      <w:r w:rsidRPr="00592AC0">
        <w:t xml:space="preserve"> miljoner kronor (0,</w:t>
      </w:r>
      <w:r w:rsidR="002042BB" w:rsidRPr="00592AC0">
        <w:t>7</w:t>
      </w:r>
      <w:r w:rsidRPr="00592AC0">
        <w:t>) från Bank for International Settlements (BIS). I enlighet med fullmäktiges beslut görs avdrag från riksbankschefens bruttolön med</w:t>
      </w:r>
      <w:r w:rsidR="007409DA">
        <w:t xml:space="preserve"> ett </w:t>
      </w:r>
      <w:r>
        <w:t>belopp motsvarande styrelsearvodet från BIS.</w:t>
      </w:r>
      <w:r w:rsidDel="001F0699">
        <w:t xml:space="preserve"> </w:t>
      </w:r>
    </w:p>
    <w:p w:rsidR="006247DF" w:rsidRDefault="006247DF" w:rsidP="009F4F54">
      <w:pPr>
        <w:pStyle w:val="Normaltindrag"/>
      </w:pPr>
      <w:r>
        <w:t xml:space="preserve">Posten Karensperiodlön avser Lars E.O. Svensson och Barbro Wickman-Parak. </w:t>
      </w:r>
      <w:r w:rsidRPr="00A854E3">
        <w:t>Fullmäktige har beslutat att direktionsledamöterna under den lag</w:t>
      </w:r>
      <w:r w:rsidR="007A632D">
        <w:softHyphen/>
      </w:r>
      <w:r w:rsidRPr="00A854E3">
        <w:t>sti</w:t>
      </w:r>
      <w:r w:rsidRPr="00A854E3">
        <w:t>f</w:t>
      </w:r>
      <w:r w:rsidRPr="00A854E3">
        <w:t xml:space="preserve">tade karensperioden, på högst ett år efter att anställningen upphört, ska </w:t>
      </w:r>
      <w:r>
        <w:t>få</w:t>
      </w:r>
      <w:r w:rsidRPr="00A854E3">
        <w:t xml:space="preserve"> full lön för anställning utan tjänstgöringsskyldighet, dock med avrä</w:t>
      </w:r>
      <w:r w:rsidRPr="00A854E3">
        <w:t>k</w:t>
      </w:r>
      <w:r w:rsidRPr="00A854E3">
        <w:t xml:space="preserve">ning för eventuell inkomst av annan tjänst under tiden. </w:t>
      </w:r>
      <w:r>
        <w:t>Den 28 oktober 2011 beslutade fullmäktige att direktionsledamöter som väljs efter detta datum får ersättning i högst sex månader.</w:t>
      </w:r>
    </w:p>
    <w:p w:rsidR="006247DF" w:rsidRPr="00827CD0" w:rsidRDefault="006247DF" w:rsidP="006247DF">
      <w:pPr>
        <w:pStyle w:val="Normaltindrag"/>
      </w:pPr>
      <w:r w:rsidRPr="00827CD0">
        <w:t>Fullmäktige har beslutat att förordningen (2003:55) om avgångsförmåner för vissa arbetstagare med statlig chefsanställning ska tillämpas på samtliga nuvarande direktionsledamöter.</w:t>
      </w:r>
    </w:p>
    <w:p w:rsidR="006247DF" w:rsidRPr="00827CD0" w:rsidRDefault="006247DF" w:rsidP="006247DF">
      <w:pPr>
        <w:pStyle w:val="Normaltindrag"/>
      </w:pPr>
      <w:r w:rsidRPr="00827CD0">
        <w:t xml:space="preserve">För Stefan Ingves har fullmäktige dock beslutat om ett undantag på så sätt att om han får pension </w:t>
      </w:r>
      <w:r w:rsidR="00057A2D" w:rsidRPr="00827CD0">
        <w:t xml:space="preserve">innan han fyller 65 år </w:t>
      </w:r>
      <w:r w:rsidRPr="00827CD0">
        <w:t>till följd av den anställning som han hade vid Interna</w:t>
      </w:r>
      <w:r>
        <w:t>-</w:t>
      </w:r>
      <w:r w:rsidRPr="00827CD0">
        <w:t>tionella valutafonden (IMF), som han hade innan han utsågs till riksbank</w:t>
      </w:r>
      <w:r w:rsidRPr="00827CD0">
        <w:t>s</w:t>
      </w:r>
      <w:r w:rsidRPr="00827CD0">
        <w:t xml:space="preserve">chef, ska ingen minskning av inkomstgarantin göras. Pensionen från IMF ska inte heller innebära någon minskning av hans lön om pensionen betalas ut under den tid han </w:t>
      </w:r>
      <w:r>
        <w:t>får</w:t>
      </w:r>
      <w:r w:rsidRPr="00827CD0">
        <w:t xml:space="preserve"> lön från Riksbanken.</w:t>
      </w:r>
    </w:p>
    <w:p w:rsidR="006247DF" w:rsidRDefault="006247DF" w:rsidP="006247DF">
      <w:pPr>
        <w:pStyle w:val="Normaltindrag"/>
      </w:pPr>
      <w:r w:rsidRPr="00A854E3">
        <w:t>Stefan Ingves kan vidare enligt rådande ordning komma att få en viss pen</w:t>
      </w:r>
      <w:r>
        <w:softHyphen/>
      </w:r>
      <w:r w:rsidRPr="00A854E3">
        <w:t>sion från BIS. Denna betalas ut till styrelseledamöter som innehaft sitt up</w:t>
      </w:r>
      <w:r w:rsidRPr="00A854E3">
        <w:t>p</w:t>
      </w:r>
      <w:r w:rsidRPr="00A854E3">
        <w:t>drag i BIS i minst fyra år, men först när de uppnått 65 års ålder. Pensionen beräknas på basis av utbetalda styrelsearvoden och uppgår till 1,82 procent av dessa.</w:t>
      </w:r>
      <w:r w:rsidRPr="00456714">
        <w:t xml:space="preserve"> </w:t>
      </w:r>
    </w:p>
    <w:p w:rsidR="006247DF" w:rsidRPr="003E759C" w:rsidRDefault="006247DF" w:rsidP="006247DF">
      <w:pPr>
        <w:pStyle w:val="Normaltindrag"/>
      </w:pPr>
      <w:r w:rsidRPr="003E759C">
        <w:t>Medelantalet årsarbetskrafter uppgick 201</w:t>
      </w:r>
      <w:r w:rsidR="002042BB" w:rsidRPr="003E759C">
        <w:t>4</w:t>
      </w:r>
      <w:r w:rsidRPr="003E759C">
        <w:t xml:space="preserve"> till </w:t>
      </w:r>
      <w:r w:rsidR="003E759C" w:rsidRPr="003E759C">
        <w:t>330</w:t>
      </w:r>
      <w:r w:rsidRPr="003E759C">
        <w:t xml:space="preserve"> (3</w:t>
      </w:r>
      <w:r w:rsidR="002042BB" w:rsidRPr="003E759C">
        <w:t>4</w:t>
      </w:r>
      <w:r w:rsidRPr="003E759C">
        <w:t xml:space="preserve">1), varav </w:t>
      </w:r>
      <w:r w:rsidR="003E759C" w:rsidRPr="003E759C">
        <w:t>150</w:t>
      </w:r>
      <w:r w:rsidR="003E759C" w:rsidRPr="003E759C" w:rsidDel="004953E7">
        <w:t xml:space="preserve"> </w:t>
      </w:r>
      <w:r w:rsidRPr="003E759C">
        <w:t>(1</w:t>
      </w:r>
      <w:r w:rsidR="002042BB" w:rsidRPr="003E759C">
        <w:t>49</w:t>
      </w:r>
      <w:r w:rsidRPr="003E759C">
        <w:t xml:space="preserve">) kvinnor och </w:t>
      </w:r>
      <w:r w:rsidR="003E759C" w:rsidRPr="003E759C">
        <w:t>180</w:t>
      </w:r>
      <w:r w:rsidR="003E759C" w:rsidRPr="003E759C" w:rsidDel="004953E7">
        <w:t xml:space="preserve"> </w:t>
      </w:r>
      <w:r w:rsidRPr="003E759C">
        <w:t>(</w:t>
      </w:r>
      <w:r w:rsidR="002042BB" w:rsidRPr="003E759C">
        <w:t>19</w:t>
      </w:r>
      <w:r w:rsidRPr="003E759C">
        <w:t>2)</w:t>
      </w:r>
      <w:r w:rsidRPr="00A854E3">
        <w:t xml:space="preserve"> män. Antalet årsarbetskrafter vid årets slut uppgick till </w:t>
      </w:r>
      <w:r w:rsidR="003E759C" w:rsidRPr="003E759C">
        <w:t>329</w:t>
      </w:r>
      <w:r w:rsidRPr="003E759C" w:rsidDel="004953E7">
        <w:t xml:space="preserve"> </w:t>
      </w:r>
      <w:r w:rsidRPr="003E759C">
        <w:t>(3</w:t>
      </w:r>
      <w:r w:rsidR="002042BB" w:rsidRPr="003E759C">
        <w:t>36</w:t>
      </w:r>
      <w:r w:rsidRPr="003E759C">
        <w:t>). Den totala sjukfrånvaron uppgick 201</w:t>
      </w:r>
      <w:r w:rsidR="000C5ED4" w:rsidRPr="003E759C">
        <w:t>4</w:t>
      </w:r>
      <w:r w:rsidRPr="003E759C">
        <w:t xml:space="preserve"> till </w:t>
      </w:r>
      <w:r w:rsidR="003E759C" w:rsidRPr="003E759C">
        <w:t>1,7</w:t>
      </w:r>
      <w:r w:rsidRPr="003E759C" w:rsidDel="004953E7">
        <w:t xml:space="preserve"> </w:t>
      </w:r>
      <w:r w:rsidRPr="003E759C">
        <w:t>procent (1,</w:t>
      </w:r>
      <w:r w:rsidR="002042BB" w:rsidRPr="003E759C">
        <w:t>6</w:t>
      </w:r>
      <w:r w:rsidRPr="003E759C">
        <w:t>) av de anställdas sammanlagda arbetstid. Sjukfrånvaron under en sammanhängande tid av 60 dagar eller mer uppgick 201</w:t>
      </w:r>
      <w:r w:rsidR="000C5ED4" w:rsidRPr="003E759C">
        <w:t>4</w:t>
      </w:r>
      <w:r w:rsidRPr="003E759C">
        <w:t xml:space="preserve"> till </w:t>
      </w:r>
      <w:r w:rsidR="003E759C" w:rsidRPr="003E759C">
        <w:t>38,8</w:t>
      </w:r>
      <w:r w:rsidRPr="003E759C">
        <w:t xml:space="preserve"> procent (</w:t>
      </w:r>
      <w:r w:rsidR="002042BB" w:rsidRPr="003E759C">
        <w:t>39</w:t>
      </w:r>
      <w:r w:rsidRPr="003E759C">
        <w:t>,</w:t>
      </w:r>
      <w:r w:rsidR="002042BB" w:rsidRPr="003E759C">
        <w:t>9</w:t>
      </w:r>
      <w:r w:rsidRPr="003E759C">
        <w:t>) av den totala sjukfrånvaron. Kvinnors sjukfrånvaro i relation till den sammanlagda ordin</w:t>
      </w:r>
      <w:r w:rsidRPr="003E759C">
        <w:t>a</w:t>
      </w:r>
      <w:r w:rsidRPr="003E759C">
        <w:t>rie arbetstiden för kvinnor uppgick 201</w:t>
      </w:r>
      <w:r w:rsidR="000C5ED4" w:rsidRPr="003E759C">
        <w:t>4</w:t>
      </w:r>
      <w:r w:rsidRPr="003E759C">
        <w:t xml:space="preserve"> till </w:t>
      </w:r>
      <w:r w:rsidR="003E759C" w:rsidRPr="003E759C">
        <w:t>2,6</w:t>
      </w:r>
      <w:r w:rsidRPr="003E759C" w:rsidDel="004953E7">
        <w:t xml:space="preserve"> </w:t>
      </w:r>
      <w:r w:rsidRPr="003E759C">
        <w:t>procent (2,</w:t>
      </w:r>
      <w:r w:rsidR="002042BB" w:rsidRPr="003E759C">
        <w:t>1</w:t>
      </w:r>
      <w:r w:rsidRPr="003E759C">
        <w:t>), och mäns sju</w:t>
      </w:r>
      <w:r w:rsidRPr="003E759C">
        <w:t>k</w:t>
      </w:r>
      <w:r w:rsidRPr="003E759C">
        <w:t>frånvaro i relation till den sammanlagda ordinarie arbetstiden för män up</w:t>
      </w:r>
      <w:r w:rsidRPr="003E759C">
        <w:t>p</w:t>
      </w:r>
      <w:r w:rsidRPr="003E759C">
        <w:t>gick 201</w:t>
      </w:r>
      <w:r w:rsidR="000C5ED4" w:rsidRPr="003E759C">
        <w:t>4</w:t>
      </w:r>
      <w:r w:rsidRPr="003E759C">
        <w:t xml:space="preserve"> till </w:t>
      </w:r>
      <w:r w:rsidR="003E759C" w:rsidRPr="003E759C">
        <w:t>0,9</w:t>
      </w:r>
      <w:r w:rsidR="00D94FCE">
        <w:t xml:space="preserve"> </w:t>
      </w:r>
      <w:r w:rsidRPr="003E759C">
        <w:t>procent (1,</w:t>
      </w:r>
      <w:r w:rsidR="002042BB" w:rsidRPr="003E759C">
        <w:t>3</w:t>
      </w:r>
      <w:r w:rsidRPr="003E759C">
        <w:t>).</w:t>
      </w:r>
    </w:p>
    <w:p w:rsidR="006247DF" w:rsidRPr="003E759C" w:rsidRDefault="006247DF" w:rsidP="006247DF">
      <w:pPr>
        <w:spacing w:before="120" w:after="120"/>
      </w:pPr>
      <w:r w:rsidRPr="003E759C">
        <w:t>Av tabellen nedan framgår sjukfrånvaron för respektive åldersgrupp i relation till den sammanlagda ordinarie arbetstiden för åldersgruppen.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3E759C" w:rsidTr="006247DF">
        <w:trPr>
          <w:cantSplit/>
          <w:trHeight w:val="20"/>
        </w:trPr>
        <w:tc>
          <w:tcPr>
            <w:tcW w:w="3260" w:type="dxa"/>
            <w:tcBorders>
              <w:top w:val="single" w:sz="4" w:space="0" w:color="auto"/>
            </w:tcBorders>
          </w:tcPr>
          <w:p w:rsidR="006247DF" w:rsidRPr="003E759C" w:rsidRDefault="006247DF" w:rsidP="006247DF">
            <w:pPr>
              <w:spacing w:line="200" w:lineRule="exact"/>
            </w:pPr>
          </w:p>
        </w:tc>
        <w:tc>
          <w:tcPr>
            <w:tcW w:w="1361" w:type="dxa"/>
            <w:tcBorders>
              <w:top w:val="single" w:sz="4" w:space="0" w:color="auto"/>
            </w:tcBorders>
            <w:vAlign w:val="center"/>
          </w:tcPr>
          <w:p w:rsidR="006247DF" w:rsidRPr="003E759C" w:rsidRDefault="006247DF" w:rsidP="000C5ED4">
            <w:pPr>
              <w:spacing w:line="200" w:lineRule="exact"/>
              <w:jc w:val="right"/>
            </w:pPr>
            <w:r w:rsidRPr="003E759C">
              <w:t>201</w:t>
            </w:r>
            <w:r w:rsidR="000C5ED4" w:rsidRPr="003E759C">
              <w:t>4</w:t>
            </w:r>
          </w:p>
        </w:tc>
        <w:tc>
          <w:tcPr>
            <w:tcW w:w="1361" w:type="dxa"/>
            <w:tcBorders>
              <w:top w:val="single" w:sz="4" w:space="0" w:color="auto"/>
            </w:tcBorders>
            <w:vAlign w:val="center"/>
          </w:tcPr>
          <w:p w:rsidR="006247DF" w:rsidRPr="003E759C" w:rsidRDefault="006247DF" w:rsidP="000C5ED4">
            <w:pPr>
              <w:spacing w:line="200" w:lineRule="exact"/>
              <w:jc w:val="right"/>
            </w:pPr>
            <w:r w:rsidRPr="003E759C">
              <w:t>201</w:t>
            </w:r>
            <w:r w:rsidR="000C5ED4" w:rsidRPr="003E759C">
              <w:t>3</w:t>
            </w:r>
          </w:p>
        </w:tc>
      </w:tr>
      <w:tr w:rsidR="000C5ED4" w:rsidRPr="003E759C" w:rsidTr="006247DF">
        <w:trPr>
          <w:cantSplit/>
          <w:trHeight w:val="20"/>
        </w:trPr>
        <w:tc>
          <w:tcPr>
            <w:tcW w:w="3260" w:type="dxa"/>
            <w:tcBorders>
              <w:top w:val="single" w:sz="4" w:space="0" w:color="auto"/>
            </w:tcBorders>
          </w:tcPr>
          <w:p w:rsidR="000C5ED4" w:rsidRPr="003E759C" w:rsidRDefault="000C5ED4" w:rsidP="006247DF">
            <w:pPr>
              <w:spacing w:line="200" w:lineRule="exact"/>
            </w:pPr>
            <w:r w:rsidRPr="003E759C">
              <w:t>29 år eller yngre</w:t>
            </w:r>
          </w:p>
        </w:tc>
        <w:tc>
          <w:tcPr>
            <w:tcW w:w="1361" w:type="dxa"/>
            <w:tcBorders>
              <w:top w:val="single" w:sz="4" w:space="0" w:color="auto"/>
            </w:tcBorders>
          </w:tcPr>
          <w:p w:rsidR="000C5ED4" w:rsidRPr="003E759C" w:rsidRDefault="003E759C" w:rsidP="000C5ED4">
            <w:pPr>
              <w:spacing w:line="200" w:lineRule="exact"/>
              <w:jc w:val="right"/>
            </w:pPr>
            <w:r w:rsidRPr="003E759C">
              <w:t>0,5</w:t>
            </w:r>
            <w:r w:rsidR="00057A2D">
              <w:t xml:space="preserve"> </w:t>
            </w:r>
            <w:r w:rsidR="000C5ED4" w:rsidRPr="003E759C">
              <w:t>%</w:t>
            </w:r>
          </w:p>
        </w:tc>
        <w:tc>
          <w:tcPr>
            <w:tcW w:w="1361" w:type="dxa"/>
            <w:tcBorders>
              <w:top w:val="single" w:sz="4" w:space="0" w:color="auto"/>
            </w:tcBorders>
          </w:tcPr>
          <w:p w:rsidR="000C5ED4" w:rsidRPr="003E759C" w:rsidRDefault="000C5ED4" w:rsidP="006247DF">
            <w:pPr>
              <w:spacing w:line="200" w:lineRule="exact"/>
              <w:jc w:val="right"/>
            </w:pPr>
            <w:r w:rsidRPr="003E759C">
              <w:t>0,9 %</w:t>
            </w:r>
          </w:p>
        </w:tc>
      </w:tr>
      <w:tr w:rsidR="000C5ED4" w:rsidRPr="003E759C" w:rsidTr="006247DF">
        <w:trPr>
          <w:cantSplit/>
          <w:trHeight w:val="20"/>
        </w:trPr>
        <w:tc>
          <w:tcPr>
            <w:tcW w:w="3260" w:type="dxa"/>
          </w:tcPr>
          <w:p w:rsidR="000C5ED4" w:rsidRPr="003E759C" w:rsidRDefault="000C5ED4" w:rsidP="006247DF">
            <w:pPr>
              <w:spacing w:line="200" w:lineRule="exact"/>
            </w:pPr>
            <w:r w:rsidRPr="003E759C">
              <w:t>30–49 år</w:t>
            </w:r>
          </w:p>
        </w:tc>
        <w:tc>
          <w:tcPr>
            <w:tcW w:w="1361" w:type="dxa"/>
          </w:tcPr>
          <w:p w:rsidR="000C5ED4" w:rsidRPr="003E759C" w:rsidRDefault="003E759C" w:rsidP="000C5ED4">
            <w:pPr>
              <w:spacing w:line="200" w:lineRule="exact"/>
              <w:jc w:val="right"/>
            </w:pPr>
            <w:r w:rsidRPr="003E759C">
              <w:t>1,6</w:t>
            </w:r>
            <w:r w:rsidR="000C5ED4" w:rsidRPr="003E759C">
              <w:t xml:space="preserve"> %</w:t>
            </w:r>
          </w:p>
        </w:tc>
        <w:tc>
          <w:tcPr>
            <w:tcW w:w="1361" w:type="dxa"/>
          </w:tcPr>
          <w:p w:rsidR="000C5ED4" w:rsidRPr="003E759C" w:rsidRDefault="000C5ED4" w:rsidP="006247DF">
            <w:pPr>
              <w:spacing w:line="200" w:lineRule="exact"/>
              <w:jc w:val="right"/>
            </w:pPr>
            <w:r w:rsidRPr="003E759C">
              <w:t>1,5 %</w:t>
            </w:r>
          </w:p>
        </w:tc>
      </w:tr>
      <w:tr w:rsidR="000C5ED4" w:rsidRPr="00E7637B" w:rsidTr="006247DF">
        <w:trPr>
          <w:cantSplit/>
          <w:trHeight w:val="20"/>
        </w:trPr>
        <w:tc>
          <w:tcPr>
            <w:tcW w:w="3260" w:type="dxa"/>
            <w:tcBorders>
              <w:bottom w:val="single" w:sz="4" w:space="0" w:color="auto"/>
            </w:tcBorders>
          </w:tcPr>
          <w:p w:rsidR="000C5ED4" w:rsidRPr="003E759C" w:rsidRDefault="000C5ED4" w:rsidP="006247DF">
            <w:pPr>
              <w:spacing w:line="200" w:lineRule="exact"/>
            </w:pPr>
            <w:r w:rsidRPr="003E759C">
              <w:t>50 år eller äldre</w:t>
            </w:r>
          </w:p>
        </w:tc>
        <w:tc>
          <w:tcPr>
            <w:tcW w:w="1361" w:type="dxa"/>
            <w:tcBorders>
              <w:bottom w:val="single" w:sz="4" w:space="0" w:color="auto"/>
            </w:tcBorders>
          </w:tcPr>
          <w:p w:rsidR="000C5ED4" w:rsidRPr="003E759C" w:rsidRDefault="003E759C" w:rsidP="000C5ED4">
            <w:pPr>
              <w:spacing w:line="200" w:lineRule="exact"/>
              <w:jc w:val="right"/>
            </w:pPr>
            <w:r w:rsidRPr="003E759C">
              <w:t>2,2</w:t>
            </w:r>
            <w:r w:rsidR="000C5ED4" w:rsidRPr="003E759C">
              <w:t xml:space="preserve"> %</w:t>
            </w:r>
          </w:p>
        </w:tc>
        <w:tc>
          <w:tcPr>
            <w:tcW w:w="1361" w:type="dxa"/>
            <w:tcBorders>
              <w:bottom w:val="single" w:sz="4" w:space="0" w:color="auto"/>
            </w:tcBorders>
          </w:tcPr>
          <w:p w:rsidR="000C5ED4" w:rsidRPr="00E7637B" w:rsidRDefault="000C5ED4" w:rsidP="006247DF">
            <w:pPr>
              <w:spacing w:line="200" w:lineRule="exact"/>
              <w:jc w:val="right"/>
            </w:pPr>
            <w:r w:rsidRPr="003E759C">
              <w:t>2,0 %</w:t>
            </w:r>
          </w:p>
        </w:tc>
      </w:tr>
    </w:tbl>
    <w:p w:rsidR="006B556D" w:rsidRPr="006B556D" w:rsidRDefault="006B556D" w:rsidP="006B556D">
      <w:pPr>
        <w:pStyle w:val="Normaltindrag"/>
      </w:pPr>
    </w:p>
    <w:p w:rsidR="006247DF" w:rsidRPr="00E7637B" w:rsidRDefault="006247DF" w:rsidP="0044728D">
      <w:pPr>
        <w:pageBreakBefore/>
        <w:spacing w:before="0"/>
        <w:rPr>
          <w:b/>
        </w:rPr>
      </w:pPr>
      <w:r w:rsidRPr="00E7637B">
        <w:rPr>
          <w:b/>
        </w:rPr>
        <w:t>Not 3</w:t>
      </w:r>
      <w:r>
        <w:rPr>
          <w:b/>
        </w:rPr>
        <w:t>6</w:t>
      </w:r>
      <w:r w:rsidRPr="00E7637B">
        <w:rPr>
          <w:b/>
        </w:rPr>
        <w:t xml:space="preserve"> Administrationskostnader</w:t>
      </w:r>
    </w:p>
    <w:tbl>
      <w:tblPr>
        <w:tblpPr w:leftFromText="141" w:rightFromText="141" w:vertAnchor="text" w:tblpY="1"/>
        <w:tblOverlap w:val="never"/>
        <w:tblW w:w="5982"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3E759C" w:rsidRDefault="006247DF" w:rsidP="000C5ED4">
            <w:pPr>
              <w:spacing w:line="200" w:lineRule="exact"/>
              <w:jc w:val="right"/>
            </w:pPr>
            <w:r w:rsidRPr="003E759C">
              <w:t>201</w:t>
            </w:r>
            <w:r w:rsidR="000C5ED4" w:rsidRPr="003E759C">
              <w:t>4</w:t>
            </w:r>
          </w:p>
        </w:tc>
        <w:tc>
          <w:tcPr>
            <w:tcW w:w="1361" w:type="dxa"/>
            <w:tcBorders>
              <w:top w:val="single" w:sz="4" w:space="0" w:color="auto"/>
            </w:tcBorders>
            <w:vAlign w:val="center"/>
          </w:tcPr>
          <w:p w:rsidR="006247DF" w:rsidRPr="0071734A" w:rsidRDefault="006247DF" w:rsidP="000C5ED4">
            <w:pPr>
              <w:spacing w:line="200" w:lineRule="exact"/>
              <w:jc w:val="right"/>
            </w:pPr>
            <w:r w:rsidRPr="0071734A">
              <w:t>201</w:t>
            </w:r>
            <w:r w:rsidR="000C5ED4" w:rsidRPr="0071734A">
              <w:t>3</w:t>
            </w:r>
          </w:p>
        </w:tc>
      </w:tr>
      <w:tr w:rsidR="000C5ED4" w:rsidRPr="0071734A" w:rsidTr="006247DF">
        <w:trPr>
          <w:cantSplit/>
          <w:trHeight w:val="20"/>
        </w:trPr>
        <w:tc>
          <w:tcPr>
            <w:tcW w:w="3260" w:type="dxa"/>
            <w:tcBorders>
              <w:top w:val="single" w:sz="4" w:space="0" w:color="auto"/>
            </w:tcBorders>
          </w:tcPr>
          <w:p w:rsidR="000C5ED4" w:rsidRPr="0071734A" w:rsidRDefault="000C5ED4" w:rsidP="000C5ED4">
            <w:pPr>
              <w:spacing w:line="200" w:lineRule="exact"/>
            </w:pPr>
            <w:r w:rsidRPr="0071734A">
              <w:t>Information, representation</w:t>
            </w:r>
          </w:p>
        </w:tc>
        <w:tc>
          <w:tcPr>
            <w:tcW w:w="1361" w:type="dxa"/>
            <w:tcBorders>
              <w:top w:val="single" w:sz="4" w:space="0" w:color="auto"/>
            </w:tcBorders>
          </w:tcPr>
          <w:p w:rsidR="000C5ED4" w:rsidRPr="0071734A" w:rsidRDefault="000C5ED4" w:rsidP="000C5ED4">
            <w:pPr>
              <w:spacing w:line="200" w:lineRule="exact"/>
              <w:jc w:val="right"/>
            </w:pPr>
            <w:r w:rsidRPr="0071734A">
              <w:t>–</w:t>
            </w:r>
            <w:r w:rsidR="0071734A">
              <w:t>8</w:t>
            </w:r>
          </w:p>
        </w:tc>
        <w:tc>
          <w:tcPr>
            <w:tcW w:w="1361" w:type="dxa"/>
            <w:tcBorders>
              <w:top w:val="single" w:sz="4" w:space="0" w:color="auto"/>
            </w:tcBorders>
          </w:tcPr>
          <w:p w:rsidR="000C5ED4" w:rsidRPr="0071734A" w:rsidRDefault="000C5ED4" w:rsidP="000C5ED4">
            <w:pPr>
              <w:spacing w:line="200" w:lineRule="exact"/>
              <w:jc w:val="right"/>
            </w:pPr>
            <w:r w:rsidRPr="0071734A">
              <w:t>–14</w:t>
            </w:r>
          </w:p>
        </w:tc>
      </w:tr>
      <w:tr w:rsidR="000C5ED4" w:rsidRPr="0071734A" w:rsidTr="006247DF">
        <w:trPr>
          <w:cantSplit/>
          <w:trHeight w:val="20"/>
        </w:trPr>
        <w:tc>
          <w:tcPr>
            <w:tcW w:w="3260" w:type="dxa"/>
          </w:tcPr>
          <w:p w:rsidR="000C5ED4" w:rsidRPr="0071734A" w:rsidRDefault="000C5ED4" w:rsidP="000C5ED4">
            <w:pPr>
              <w:spacing w:line="200" w:lineRule="exact"/>
            </w:pPr>
            <w:r w:rsidRPr="0071734A">
              <w:t>Transport, resor</w:t>
            </w:r>
          </w:p>
        </w:tc>
        <w:tc>
          <w:tcPr>
            <w:tcW w:w="1361" w:type="dxa"/>
          </w:tcPr>
          <w:p w:rsidR="000C5ED4" w:rsidRPr="0071734A" w:rsidRDefault="000C5ED4" w:rsidP="000C5ED4">
            <w:pPr>
              <w:spacing w:line="200" w:lineRule="exact"/>
              <w:jc w:val="right"/>
            </w:pPr>
            <w:r w:rsidRPr="0071734A">
              <w:t>–</w:t>
            </w:r>
            <w:r w:rsidR="0071734A">
              <w:t>15</w:t>
            </w:r>
          </w:p>
        </w:tc>
        <w:tc>
          <w:tcPr>
            <w:tcW w:w="1361" w:type="dxa"/>
          </w:tcPr>
          <w:p w:rsidR="000C5ED4" w:rsidRPr="0071734A" w:rsidRDefault="000C5ED4" w:rsidP="000C5ED4">
            <w:pPr>
              <w:spacing w:line="200" w:lineRule="exact"/>
              <w:jc w:val="right"/>
            </w:pPr>
            <w:r w:rsidRPr="0071734A">
              <w:t>–14</w:t>
            </w:r>
          </w:p>
        </w:tc>
      </w:tr>
      <w:tr w:rsidR="000C5ED4" w:rsidRPr="0071734A" w:rsidTr="006247DF">
        <w:trPr>
          <w:cantSplit/>
          <w:trHeight w:val="20"/>
        </w:trPr>
        <w:tc>
          <w:tcPr>
            <w:tcW w:w="3260" w:type="dxa"/>
          </w:tcPr>
          <w:p w:rsidR="000C5ED4" w:rsidRPr="0071734A" w:rsidRDefault="000C5ED4" w:rsidP="000C5ED4">
            <w:pPr>
              <w:spacing w:line="200" w:lineRule="exact"/>
            </w:pPr>
            <w:r w:rsidRPr="0071734A">
              <w:t>Konsultuppdrag</w:t>
            </w:r>
          </w:p>
        </w:tc>
        <w:tc>
          <w:tcPr>
            <w:tcW w:w="1361" w:type="dxa"/>
          </w:tcPr>
          <w:p w:rsidR="000C5ED4" w:rsidRPr="0071734A" w:rsidRDefault="000C5ED4" w:rsidP="000C5ED4">
            <w:pPr>
              <w:spacing w:line="200" w:lineRule="exact"/>
              <w:jc w:val="right"/>
            </w:pPr>
            <w:r w:rsidRPr="0071734A">
              <w:t>–</w:t>
            </w:r>
            <w:r w:rsidR="0071734A">
              <w:t>38</w:t>
            </w:r>
          </w:p>
        </w:tc>
        <w:tc>
          <w:tcPr>
            <w:tcW w:w="1361" w:type="dxa"/>
          </w:tcPr>
          <w:p w:rsidR="000C5ED4" w:rsidRPr="0071734A" w:rsidRDefault="000C5ED4" w:rsidP="000C5ED4">
            <w:pPr>
              <w:spacing w:line="200" w:lineRule="exact"/>
              <w:jc w:val="right"/>
            </w:pPr>
            <w:r w:rsidRPr="0071734A">
              <w:t>–40</w:t>
            </w:r>
          </w:p>
        </w:tc>
      </w:tr>
      <w:tr w:rsidR="000C5ED4" w:rsidRPr="0071734A" w:rsidTr="006247DF">
        <w:trPr>
          <w:cantSplit/>
          <w:trHeight w:val="20"/>
        </w:trPr>
        <w:tc>
          <w:tcPr>
            <w:tcW w:w="3260" w:type="dxa"/>
          </w:tcPr>
          <w:p w:rsidR="000C5ED4" w:rsidRPr="0071734A" w:rsidRDefault="000C5ED4" w:rsidP="000C5ED4">
            <w:pPr>
              <w:spacing w:line="200" w:lineRule="exact"/>
            </w:pPr>
            <w:r w:rsidRPr="0071734A">
              <w:t>Övriga externa tjänster</w:t>
            </w:r>
          </w:p>
        </w:tc>
        <w:tc>
          <w:tcPr>
            <w:tcW w:w="1361" w:type="dxa"/>
          </w:tcPr>
          <w:p w:rsidR="000C5ED4" w:rsidRPr="0071734A" w:rsidRDefault="000C5ED4" w:rsidP="000C5ED4">
            <w:pPr>
              <w:spacing w:line="200" w:lineRule="exact"/>
              <w:jc w:val="right"/>
            </w:pPr>
            <w:r w:rsidRPr="0071734A">
              <w:t>–</w:t>
            </w:r>
            <w:r w:rsidR="0071734A">
              <w:t>88</w:t>
            </w:r>
          </w:p>
        </w:tc>
        <w:tc>
          <w:tcPr>
            <w:tcW w:w="1361" w:type="dxa"/>
          </w:tcPr>
          <w:p w:rsidR="000C5ED4" w:rsidRPr="0071734A" w:rsidRDefault="000C5ED4" w:rsidP="000C5ED4">
            <w:pPr>
              <w:spacing w:line="200" w:lineRule="exact"/>
              <w:jc w:val="right"/>
            </w:pPr>
            <w:r w:rsidRPr="0071734A">
              <w:t>–92</w:t>
            </w:r>
          </w:p>
        </w:tc>
      </w:tr>
      <w:tr w:rsidR="000C5ED4" w:rsidRPr="0071734A" w:rsidTr="006247DF">
        <w:trPr>
          <w:cantSplit/>
          <w:trHeight w:val="20"/>
        </w:trPr>
        <w:tc>
          <w:tcPr>
            <w:tcW w:w="3260" w:type="dxa"/>
          </w:tcPr>
          <w:p w:rsidR="000C5ED4" w:rsidRPr="0071734A" w:rsidRDefault="00D05557" w:rsidP="000C5ED4">
            <w:pPr>
              <w:spacing w:line="200" w:lineRule="exact"/>
            </w:pPr>
            <w:r>
              <w:t>It</w:t>
            </w:r>
            <w:r w:rsidR="000C5ED4" w:rsidRPr="0071734A">
              <w:t>-drift</w:t>
            </w:r>
          </w:p>
        </w:tc>
        <w:tc>
          <w:tcPr>
            <w:tcW w:w="1361" w:type="dxa"/>
          </w:tcPr>
          <w:p w:rsidR="000C5ED4" w:rsidRPr="0071734A" w:rsidRDefault="000C5ED4" w:rsidP="000C5ED4">
            <w:pPr>
              <w:spacing w:line="200" w:lineRule="exact"/>
              <w:jc w:val="right"/>
            </w:pPr>
            <w:r w:rsidRPr="0071734A">
              <w:t>–</w:t>
            </w:r>
            <w:r w:rsidR="0071734A">
              <w:t>112</w:t>
            </w:r>
          </w:p>
        </w:tc>
        <w:tc>
          <w:tcPr>
            <w:tcW w:w="1361" w:type="dxa"/>
          </w:tcPr>
          <w:p w:rsidR="000C5ED4" w:rsidRPr="0071734A" w:rsidRDefault="000C5ED4" w:rsidP="000C5ED4">
            <w:pPr>
              <w:spacing w:line="200" w:lineRule="exact"/>
              <w:jc w:val="right"/>
            </w:pPr>
            <w:r w:rsidRPr="0071734A">
              <w:t>–94</w:t>
            </w:r>
          </w:p>
        </w:tc>
      </w:tr>
      <w:tr w:rsidR="000C5ED4" w:rsidRPr="0071734A" w:rsidTr="006247DF">
        <w:trPr>
          <w:cantSplit/>
          <w:trHeight w:val="20"/>
        </w:trPr>
        <w:tc>
          <w:tcPr>
            <w:tcW w:w="3260" w:type="dxa"/>
          </w:tcPr>
          <w:p w:rsidR="000C5ED4" w:rsidRPr="0071734A" w:rsidRDefault="000C5ED4" w:rsidP="000C5ED4">
            <w:pPr>
              <w:spacing w:line="200" w:lineRule="exact"/>
            </w:pPr>
            <w:r w:rsidRPr="0071734A">
              <w:t>Ekonomipris</w:t>
            </w:r>
          </w:p>
        </w:tc>
        <w:tc>
          <w:tcPr>
            <w:tcW w:w="1361" w:type="dxa"/>
          </w:tcPr>
          <w:p w:rsidR="000C5ED4" w:rsidRPr="0071734A" w:rsidRDefault="000C5ED4" w:rsidP="000C5ED4">
            <w:pPr>
              <w:spacing w:line="200" w:lineRule="exact"/>
              <w:jc w:val="right"/>
            </w:pPr>
            <w:r w:rsidRPr="0071734A">
              <w:t>–</w:t>
            </w:r>
            <w:r w:rsidR="0071734A">
              <w:t>13</w:t>
            </w:r>
          </w:p>
        </w:tc>
        <w:tc>
          <w:tcPr>
            <w:tcW w:w="1361" w:type="dxa"/>
          </w:tcPr>
          <w:p w:rsidR="000C5ED4" w:rsidRPr="0071734A" w:rsidRDefault="000C5ED4" w:rsidP="000C5ED4">
            <w:pPr>
              <w:spacing w:line="200" w:lineRule="exact"/>
              <w:jc w:val="right"/>
            </w:pPr>
            <w:r w:rsidRPr="0071734A">
              <w:t>–13</w:t>
            </w:r>
          </w:p>
        </w:tc>
      </w:tr>
      <w:tr w:rsidR="000C5ED4" w:rsidRPr="0071734A" w:rsidTr="006247DF">
        <w:trPr>
          <w:cantSplit/>
          <w:trHeight w:val="20"/>
        </w:trPr>
        <w:tc>
          <w:tcPr>
            <w:tcW w:w="3260" w:type="dxa"/>
          </w:tcPr>
          <w:p w:rsidR="000C5ED4" w:rsidRPr="0071734A" w:rsidRDefault="000C5ED4" w:rsidP="000C5ED4">
            <w:pPr>
              <w:spacing w:line="200" w:lineRule="exact"/>
            </w:pPr>
            <w:r w:rsidRPr="0071734A">
              <w:t>Kontors- och fastighetsdrift</w:t>
            </w:r>
          </w:p>
        </w:tc>
        <w:tc>
          <w:tcPr>
            <w:tcW w:w="1361" w:type="dxa"/>
          </w:tcPr>
          <w:p w:rsidR="000C5ED4" w:rsidRPr="0071734A" w:rsidRDefault="000C5ED4" w:rsidP="000C5ED4">
            <w:pPr>
              <w:spacing w:line="200" w:lineRule="exact"/>
              <w:jc w:val="right"/>
            </w:pPr>
            <w:r w:rsidRPr="0071734A">
              <w:t>–</w:t>
            </w:r>
            <w:r w:rsidR="0071734A">
              <w:t>39</w:t>
            </w:r>
          </w:p>
        </w:tc>
        <w:tc>
          <w:tcPr>
            <w:tcW w:w="1361" w:type="dxa"/>
          </w:tcPr>
          <w:p w:rsidR="000C5ED4" w:rsidRPr="0071734A" w:rsidRDefault="000C5ED4" w:rsidP="000C5ED4">
            <w:pPr>
              <w:spacing w:line="200" w:lineRule="exact"/>
              <w:jc w:val="right"/>
            </w:pPr>
            <w:r w:rsidRPr="0071734A">
              <w:t>–41</w:t>
            </w:r>
          </w:p>
        </w:tc>
      </w:tr>
      <w:tr w:rsidR="000C5ED4" w:rsidRPr="0071734A" w:rsidTr="006247DF">
        <w:trPr>
          <w:cantSplit/>
          <w:trHeight w:val="20"/>
        </w:trPr>
        <w:tc>
          <w:tcPr>
            <w:tcW w:w="3260" w:type="dxa"/>
            <w:tcBorders>
              <w:bottom w:val="single" w:sz="4" w:space="0" w:color="auto"/>
            </w:tcBorders>
          </w:tcPr>
          <w:p w:rsidR="000C5ED4" w:rsidRPr="0071734A" w:rsidRDefault="000C5ED4" w:rsidP="000C5ED4">
            <w:pPr>
              <w:spacing w:line="200" w:lineRule="exact"/>
            </w:pPr>
            <w:r w:rsidRPr="0071734A">
              <w:t>Övrigt</w:t>
            </w:r>
          </w:p>
        </w:tc>
        <w:tc>
          <w:tcPr>
            <w:tcW w:w="1361" w:type="dxa"/>
          </w:tcPr>
          <w:p w:rsidR="000C5ED4" w:rsidRPr="0071734A" w:rsidRDefault="000C5ED4" w:rsidP="000C5ED4">
            <w:pPr>
              <w:spacing w:line="200" w:lineRule="exact"/>
              <w:jc w:val="right"/>
            </w:pPr>
            <w:r w:rsidRPr="0071734A">
              <w:t>–</w:t>
            </w:r>
            <w:r w:rsidR="0071734A">
              <w:t>9</w:t>
            </w:r>
          </w:p>
        </w:tc>
        <w:tc>
          <w:tcPr>
            <w:tcW w:w="1361" w:type="dxa"/>
          </w:tcPr>
          <w:p w:rsidR="000C5ED4" w:rsidRPr="0071734A" w:rsidRDefault="000C5ED4" w:rsidP="000C5ED4">
            <w:pPr>
              <w:spacing w:line="200" w:lineRule="exact"/>
              <w:jc w:val="right"/>
            </w:pPr>
            <w:r w:rsidRPr="0071734A">
              <w:t>–8</w:t>
            </w:r>
          </w:p>
        </w:tc>
      </w:tr>
      <w:tr w:rsidR="000C5ED4" w:rsidRPr="0071734A" w:rsidTr="006247DF">
        <w:trPr>
          <w:cantSplit/>
          <w:trHeight w:val="20"/>
        </w:trPr>
        <w:tc>
          <w:tcPr>
            <w:tcW w:w="3260" w:type="dxa"/>
            <w:tcBorders>
              <w:top w:val="single" w:sz="4" w:space="0" w:color="auto"/>
              <w:bottom w:val="single" w:sz="4" w:space="0" w:color="auto"/>
            </w:tcBorders>
            <w:vAlign w:val="center"/>
          </w:tcPr>
          <w:p w:rsidR="000C5ED4" w:rsidRPr="0071734A" w:rsidRDefault="000C5ED4" w:rsidP="000C5ED4">
            <w:pPr>
              <w:spacing w:line="200" w:lineRule="exact"/>
            </w:pPr>
            <w:r w:rsidRPr="0071734A">
              <w:t>Summa</w:t>
            </w:r>
          </w:p>
        </w:tc>
        <w:tc>
          <w:tcPr>
            <w:tcW w:w="1361" w:type="dxa"/>
            <w:tcBorders>
              <w:top w:val="single" w:sz="4" w:space="0" w:color="auto"/>
              <w:bottom w:val="single" w:sz="4" w:space="0" w:color="auto"/>
            </w:tcBorders>
            <w:vAlign w:val="center"/>
          </w:tcPr>
          <w:p w:rsidR="000C5ED4" w:rsidRPr="0071734A" w:rsidRDefault="000C5ED4" w:rsidP="000C5ED4">
            <w:pPr>
              <w:spacing w:line="200" w:lineRule="exact"/>
              <w:jc w:val="right"/>
            </w:pPr>
            <w:r w:rsidRPr="0071734A">
              <w:t>–322</w:t>
            </w:r>
          </w:p>
        </w:tc>
        <w:tc>
          <w:tcPr>
            <w:tcW w:w="1361" w:type="dxa"/>
            <w:tcBorders>
              <w:top w:val="single" w:sz="4" w:space="0" w:color="auto"/>
              <w:bottom w:val="single" w:sz="4" w:space="0" w:color="auto"/>
            </w:tcBorders>
            <w:vAlign w:val="center"/>
          </w:tcPr>
          <w:p w:rsidR="000C5ED4" w:rsidRPr="0071734A" w:rsidRDefault="000C5ED4" w:rsidP="000C5ED4">
            <w:pPr>
              <w:spacing w:line="200" w:lineRule="exact"/>
              <w:jc w:val="right"/>
            </w:pPr>
            <w:r w:rsidRPr="0071734A">
              <w:t>–316</w:t>
            </w:r>
          </w:p>
        </w:tc>
      </w:tr>
    </w:tbl>
    <w:p w:rsidR="006247DF" w:rsidRPr="0071734A" w:rsidRDefault="006247DF" w:rsidP="006247DF">
      <w:pPr>
        <w:spacing w:before="120"/>
      </w:pPr>
      <w:r w:rsidRPr="0071734A">
        <w:t>I informationskostnader ingår kostnader för Riksbankens löpande publika</w:t>
      </w:r>
      <w:r w:rsidRPr="0071734A">
        <w:softHyphen/>
        <w:t>tioner, bland annat de penningpolitiska rapporterna, de finansiella stabilitet</w:t>
      </w:r>
      <w:r w:rsidRPr="0071734A">
        <w:t>s</w:t>
      </w:r>
      <w:r w:rsidRPr="0071734A">
        <w:t xml:space="preserve">rapporterna och årsredovisningen. </w:t>
      </w:r>
    </w:p>
    <w:p w:rsidR="006247DF" w:rsidRPr="003E759C" w:rsidRDefault="006247DF" w:rsidP="006247DF">
      <w:pPr>
        <w:pStyle w:val="Normaltindrag"/>
      </w:pPr>
      <w:r w:rsidRPr="003E759C">
        <w:t xml:space="preserve">Representationskostnaderna uppgick till </w:t>
      </w:r>
      <w:r w:rsidR="003E759C">
        <w:t>3,1</w:t>
      </w:r>
      <w:r w:rsidRPr="003E759C">
        <w:t xml:space="preserve"> miljoner kronor (2,</w:t>
      </w:r>
      <w:r w:rsidR="000C5ED4" w:rsidRPr="0071734A">
        <w:t>8</w:t>
      </w:r>
      <w:r w:rsidRPr="0071734A">
        <w:t xml:space="preserve">). </w:t>
      </w:r>
    </w:p>
    <w:p w:rsidR="006247DF" w:rsidRPr="0071734A" w:rsidRDefault="006247DF" w:rsidP="006247DF">
      <w:pPr>
        <w:pStyle w:val="Normaltindrag"/>
      </w:pPr>
      <w:r w:rsidRPr="0071734A">
        <w:t>I posten Transport, resor ingår förutom resekostnader även kostnader för Riksbankens transporter av sedlar och mynt.</w:t>
      </w:r>
    </w:p>
    <w:p w:rsidR="006247DF" w:rsidRPr="0071734A" w:rsidRDefault="006247DF" w:rsidP="00B23FA4">
      <w:pPr>
        <w:pStyle w:val="Normaltindrag"/>
        <w:suppressAutoHyphens/>
      </w:pPr>
      <w:r w:rsidRPr="0071734A">
        <w:t xml:space="preserve">Konsultkostnaderna uppgår till </w:t>
      </w:r>
      <w:r w:rsidR="0071734A">
        <w:t>38</w:t>
      </w:r>
      <w:r w:rsidRPr="0071734A">
        <w:t xml:space="preserve"> miljoner kronor (4</w:t>
      </w:r>
      <w:r w:rsidR="000C5ED4" w:rsidRPr="0071734A">
        <w:t>0</w:t>
      </w:r>
      <w:r w:rsidRPr="0071734A">
        <w:t xml:space="preserve">). I detta belopp ingår bland annat kostnaderna för </w:t>
      </w:r>
      <w:r w:rsidR="00F25D6F" w:rsidRPr="0071734A">
        <w:t>it</w:t>
      </w:r>
      <w:r w:rsidRPr="0071734A">
        <w:t xml:space="preserve">-konsulter om </w:t>
      </w:r>
      <w:r w:rsidR="0071734A">
        <w:t xml:space="preserve">17 </w:t>
      </w:r>
      <w:r w:rsidRPr="0071734A">
        <w:t>miljoner kronor (</w:t>
      </w:r>
      <w:r w:rsidR="000C5ED4" w:rsidRPr="0071734A">
        <w:t>22</w:t>
      </w:r>
      <w:r w:rsidR="00696E74">
        <w:t>).</w:t>
      </w:r>
      <w:r w:rsidRPr="0071734A">
        <w:t xml:space="preserve"> </w:t>
      </w:r>
    </w:p>
    <w:p w:rsidR="006247DF" w:rsidRPr="00A854E3" w:rsidRDefault="006247DF" w:rsidP="006247DF">
      <w:pPr>
        <w:pStyle w:val="Normaltindrag"/>
      </w:pPr>
      <w:r w:rsidRPr="0071734A">
        <w:t xml:space="preserve">Inom Övriga externa tjänster är kostnaden för statistikleveranser om </w:t>
      </w:r>
      <w:r w:rsidR="0071734A" w:rsidRPr="00216E66">
        <w:t>59</w:t>
      </w:r>
      <w:r w:rsidR="00216E66">
        <w:t> </w:t>
      </w:r>
      <w:r w:rsidRPr="00216E66">
        <w:t>miljoner</w:t>
      </w:r>
      <w:r w:rsidRPr="0071734A">
        <w:t xml:space="preserve"> kronor (5</w:t>
      </w:r>
      <w:r w:rsidR="000C5ED4" w:rsidRPr="006D3F80">
        <w:t>9</w:t>
      </w:r>
      <w:r w:rsidRPr="006D3F80">
        <w:t>) den enskilt största posten. Den avser främst ersättning</w:t>
      </w:r>
      <w:r w:rsidRPr="00A854E3">
        <w:t xml:space="preserve"> till SCB för framtagande av bland annat betalningsbalans- och finansmar</w:t>
      </w:r>
      <w:r w:rsidRPr="00A854E3">
        <w:t>k</w:t>
      </w:r>
      <w:r w:rsidRPr="00A854E3">
        <w:t>nadsstatistik. D</w:t>
      </w:r>
      <w:r w:rsidR="00D05557">
        <w:t>essutom</w:t>
      </w:r>
      <w:r w:rsidRPr="00A854E3">
        <w:t xml:space="preserve"> ingår </w:t>
      </w:r>
      <w:r w:rsidR="00D05557">
        <w:t xml:space="preserve">ett </w:t>
      </w:r>
      <w:r w:rsidRPr="00A854E3">
        <w:t>revisionsarvode till Riksrevisionen o</w:t>
      </w:r>
      <w:r>
        <w:t>ch ful</w:t>
      </w:r>
      <w:r>
        <w:t>l</w:t>
      </w:r>
      <w:r>
        <w:t xml:space="preserve">mäktiges revisorer med </w:t>
      </w:r>
      <w:r w:rsidR="006D3F80" w:rsidRPr="006D3F80">
        <w:t>2</w:t>
      </w:r>
      <w:r>
        <w:t> miljoner</w:t>
      </w:r>
      <w:r w:rsidRPr="00A854E3">
        <w:t xml:space="preserve"> kronor (</w:t>
      </w:r>
      <w:r>
        <w:t>2</w:t>
      </w:r>
      <w:r w:rsidRPr="00A854E3">
        <w:t>).</w:t>
      </w:r>
    </w:p>
    <w:p w:rsidR="006247DF" w:rsidRPr="00A854E3" w:rsidRDefault="006247DF" w:rsidP="006247DF">
      <w:pPr>
        <w:pStyle w:val="Normaltindrag"/>
      </w:pPr>
      <w:r w:rsidRPr="00A854E3">
        <w:t xml:space="preserve">I posten </w:t>
      </w:r>
      <w:r w:rsidR="00F25D6F">
        <w:t>it</w:t>
      </w:r>
      <w:r w:rsidRPr="00A854E3">
        <w:t xml:space="preserve">-drift ingår </w:t>
      </w:r>
      <w:r w:rsidRPr="006D3F80">
        <w:t xml:space="preserve">bland annat licenskostnader om </w:t>
      </w:r>
      <w:r w:rsidR="006D3F80" w:rsidRPr="006D3F80">
        <w:t>43</w:t>
      </w:r>
      <w:r w:rsidRPr="006D3F80">
        <w:t xml:space="preserve"> miljoner kronor (41) och </w:t>
      </w:r>
      <w:r w:rsidR="00F25D6F" w:rsidRPr="006D3F80">
        <w:t>it</w:t>
      </w:r>
      <w:r w:rsidRPr="006D3F80">
        <w:t xml:space="preserve">-tjänster </w:t>
      </w:r>
      <w:r w:rsidR="00D05557">
        <w:t xml:space="preserve">om </w:t>
      </w:r>
      <w:r w:rsidR="006D3F80" w:rsidRPr="006D3F80">
        <w:t>64</w:t>
      </w:r>
      <w:r w:rsidRPr="006D3F80">
        <w:t xml:space="preserve"> miljoner</w:t>
      </w:r>
      <w:r>
        <w:t xml:space="preserve"> kronor (</w:t>
      </w:r>
      <w:r w:rsidR="000C5ED4">
        <w:t>47</w:t>
      </w:r>
      <w:r>
        <w:t xml:space="preserve">). Förändringen av </w:t>
      </w:r>
      <w:r w:rsidR="00F25D6F">
        <w:t>it</w:t>
      </w:r>
      <w:r>
        <w:t>-tjänster</w:t>
      </w:r>
      <w:r w:rsidRPr="00C675C2">
        <w:t xml:space="preserve"> fö</w:t>
      </w:r>
      <w:r w:rsidRPr="00C675C2">
        <w:t>r</w:t>
      </w:r>
      <w:r w:rsidRPr="00C675C2">
        <w:t>klaras</w:t>
      </w:r>
      <w:r w:rsidR="00F25D6F">
        <w:t xml:space="preserve"> till stor del av att tidigare it</w:t>
      </w:r>
      <w:r w:rsidRPr="00C675C2">
        <w:t>-drift i egen regi köp</w:t>
      </w:r>
      <w:r w:rsidR="006D3F80">
        <w:t>t</w:t>
      </w:r>
      <w:r w:rsidRPr="00C675C2">
        <w:t>s som tjänst</w:t>
      </w:r>
      <w:r w:rsidR="006D3F80">
        <w:t xml:space="preserve"> under hela 2014 och delar av 2013</w:t>
      </w:r>
      <w:r w:rsidRPr="00C675C2">
        <w:t>. Kostnader för personal, konsulter, etc</w:t>
      </w:r>
      <w:r>
        <w:t>etera</w:t>
      </w:r>
      <w:r w:rsidRPr="00C675C2">
        <w:t xml:space="preserve"> för dessa tjänster har minskat</w:t>
      </w:r>
      <w:r w:rsidRPr="00A854E3">
        <w:t xml:space="preserve">. </w:t>
      </w:r>
    </w:p>
    <w:p w:rsidR="006247DF" w:rsidRPr="00A854E3" w:rsidRDefault="006247DF" w:rsidP="00B23FA4">
      <w:pPr>
        <w:pStyle w:val="Normaltindrag"/>
        <w:suppressAutoHyphens/>
      </w:pPr>
      <w:r w:rsidRPr="00A854E3">
        <w:t xml:space="preserve">I posten </w:t>
      </w:r>
      <w:r>
        <w:t>E</w:t>
      </w:r>
      <w:r w:rsidRPr="00A854E3">
        <w:t xml:space="preserve">konomipris ingår prissumman om </w:t>
      </w:r>
      <w:r>
        <w:t>8</w:t>
      </w:r>
      <w:r w:rsidRPr="00A854E3">
        <w:t xml:space="preserve"> miljoner kronor (</w:t>
      </w:r>
      <w:r>
        <w:t>8</w:t>
      </w:r>
      <w:r w:rsidRPr="00A854E3">
        <w:t xml:space="preserve">) och administrationskostnader för detta pris om </w:t>
      </w:r>
      <w:r>
        <w:t>5,2</w:t>
      </w:r>
      <w:r w:rsidRPr="00A854E3">
        <w:t xml:space="preserve"> miljoner kronor (</w:t>
      </w:r>
      <w:r>
        <w:t>5</w:t>
      </w:r>
      <w:r w:rsidRPr="00A854E3">
        <w:t>,</w:t>
      </w:r>
      <w:r>
        <w:t>2</w:t>
      </w:r>
      <w:r w:rsidRPr="00A854E3">
        <w:t xml:space="preserve">). </w:t>
      </w:r>
    </w:p>
    <w:p w:rsidR="006247DF" w:rsidRPr="00A854E3" w:rsidRDefault="006247DF" w:rsidP="00B23FA4">
      <w:pPr>
        <w:pStyle w:val="Normaltindrag"/>
        <w:suppressAutoHyphens/>
      </w:pPr>
      <w:r w:rsidRPr="00A854E3">
        <w:t xml:space="preserve">De största posterna inom kostnadsgruppen </w:t>
      </w:r>
      <w:r>
        <w:t>K</w:t>
      </w:r>
      <w:r w:rsidRPr="00A854E3">
        <w:t xml:space="preserve">ontors- och fastighetsdrift består av ombyggnad och underhåll </w:t>
      </w:r>
      <w:r w:rsidRPr="006D3F80">
        <w:t>av Riksbankens lokaler</w:t>
      </w:r>
      <w:r w:rsidR="00D05557">
        <w:t xml:space="preserve"> om</w:t>
      </w:r>
      <w:r w:rsidRPr="006D3F80">
        <w:t xml:space="preserve"> </w:t>
      </w:r>
      <w:r w:rsidR="006D3F80" w:rsidRPr="006D3F80">
        <w:t>8</w:t>
      </w:r>
      <w:r w:rsidRPr="006D3F80">
        <w:t xml:space="preserve"> miljoner kr</w:t>
      </w:r>
      <w:r w:rsidRPr="006D3F80">
        <w:t>o</w:t>
      </w:r>
      <w:r w:rsidRPr="006D3F80">
        <w:t>nor (</w:t>
      </w:r>
      <w:r w:rsidR="000C5ED4" w:rsidRPr="006D3F80">
        <w:t>6</w:t>
      </w:r>
      <w:r w:rsidR="00D05557">
        <w:t>) och lokalhyror om</w:t>
      </w:r>
      <w:r w:rsidRPr="006D3F80">
        <w:t xml:space="preserve"> </w:t>
      </w:r>
      <w:r w:rsidR="006D3F80" w:rsidRPr="006D3F80">
        <w:t>4</w:t>
      </w:r>
      <w:r w:rsidRPr="006D3F80">
        <w:t xml:space="preserve"> miljoner kronor (1</w:t>
      </w:r>
      <w:r w:rsidR="000C5ED4" w:rsidRPr="006D3F80">
        <w:t>3</w:t>
      </w:r>
      <w:r w:rsidRPr="006D3F80">
        <w:t>).</w:t>
      </w:r>
    </w:p>
    <w:p w:rsidR="006247DF" w:rsidRPr="00DD4619" w:rsidRDefault="006247DF" w:rsidP="006247DF">
      <w:pPr>
        <w:spacing w:before="187"/>
        <w:jc w:val="left"/>
        <w:outlineLvl w:val="0"/>
        <w:rPr>
          <w:b/>
        </w:rPr>
      </w:pPr>
      <w:r w:rsidRPr="00B51C85">
        <w:rPr>
          <w:b/>
        </w:rPr>
        <w:t>Not 3</w:t>
      </w:r>
      <w:r>
        <w:rPr>
          <w:b/>
        </w:rPr>
        <w:t>7</w:t>
      </w:r>
      <w:r w:rsidRPr="00B51C85">
        <w:rPr>
          <w:b/>
        </w:rPr>
        <w:t xml:space="preserve"> Avskrivningar av materiella och immateriella </w:t>
      </w:r>
      <w:r>
        <w:rPr>
          <w:b/>
        </w:rPr>
        <w:br/>
      </w:r>
      <w:r w:rsidRPr="00B51C85">
        <w:rPr>
          <w:b/>
        </w:rPr>
        <w:t>anläggningstill</w:t>
      </w:r>
      <w:r w:rsidRPr="00DD4619">
        <w:rPr>
          <w:b/>
        </w:rPr>
        <w:t>gångar</w:t>
      </w:r>
    </w:p>
    <w:p w:rsidR="006247DF" w:rsidRPr="00C15395" w:rsidRDefault="006247DF" w:rsidP="006247DF">
      <w:r w:rsidRPr="0030226B">
        <w:t>Under denna post redovisas planenliga avskrivningar av de materiella och immaterie</w:t>
      </w:r>
      <w:r w:rsidRPr="00C631B0">
        <w:t>l</w:t>
      </w:r>
      <w:r w:rsidRPr="00C15395">
        <w:t>la anläggningstillgångarna.</w:t>
      </w:r>
    </w:p>
    <w:p w:rsidR="006247DF" w:rsidRPr="008B28A9" w:rsidRDefault="006247DF" w:rsidP="006B556D">
      <w:pPr>
        <w:spacing w:before="187"/>
        <w:outlineLvl w:val="0"/>
        <w:rPr>
          <w:b/>
        </w:rPr>
      </w:pPr>
      <w:r w:rsidRPr="000C4345">
        <w:rPr>
          <w:b/>
        </w:rPr>
        <w:t xml:space="preserve">Not </w:t>
      </w:r>
      <w:r>
        <w:rPr>
          <w:b/>
        </w:rPr>
        <w:t>38</w:t>
      </w:r>
      <w:r w:rsidRPr="008B28A9">
        <w:rPr>
          <w:b/>
        </w:rPr>
        <w:t xml:space="preserve"> Sedel- och myntkostnader</w:t>
      </w:r>
    </w:p>
    <w:p w:rsidR="006247DF" w:rsidRPr="00B51C85" w:rsidRDefault="006247DF" w:rsidP="006247DF">
      <w:r w:rsidRPr="00262BC2">
        <w:t xml:space="preserve">Av den totala kostnaden för sedlar och mynt på </w:t>
      </w:r>
      <w:r w:rsidR="00CA78D9">
        <w:t>17</w:t>
      </w:r>
      <w:r w:rsidR="00D94FCE">
        <w:t>2</w:t>
      </w:r>
      <w:r w:rsidRPr="00B51C85">
        <w:t xml:space="preserve"> miljoner kronor (</w:t>
      </w:r>
      <w:r w:rsidR="00CA78D9">
        <w:t>5</w:t>
      </w:r>
      <w:r>
        <w:t>1</w:t>
      </w:r>
      <w:r w:rsidRPr="00B51C85">
        <w:t xml:space="preserve">) avser </w:t>
      </w:r>
      <w:r w:rsidR="00CA78D9">
        <w:t>13</w:t>
      </w:r>
      <w:r w:rsidR="00D94FCE">
        <w:t>8</w:t>
      </w:r>
      <w:r w:rsidRPr="00B51C85">
        <w:t xml:space="preserve"> miljoner kronor (</w:t>
      </w:r>
      <w:r w:rsidR="00CA78D9">
        <w:t>34</w:t>
      </w:r>
      <w:r>
        <w:t xml:space="preserve">) brukssedlar, </w:t>
      </w:r>
      <w:r w:rsidR="00CA78D9">
        <w:t>34</w:t>
      </w:r>
      <w:r w:rsidRPr="00B51C85">
        <w:t xml:space="preserve"> miljon</w:t>
      </w:r>
      <w:r>
        <w:t>er</w:t>
      </w:r>
      <w:r w:rsidRPr="00B51C85">
        <w:t xml:space="preserve"> kronor (</w:t>
      </w:r>
      <w:r>
        <w:t>1</w:t>
      </w:r>
      <w:r w:rsidR="00CA78D9">
        <w:t>7</w:t>
      </w:r>
      <w:r w:rsidRPr="00B51C85">
        <w:t>) bruk</w:t>
      </w:r>
      <w:r w:rsidRPr="00B51C85">
        <w:t>s</w:t>
      </w:r>
      <w:r w:rsidRPr="00B51C85">
        <w:t>mynt</w:t>
      </w:r>
      <w:r>
        <w:t>. Inga minnesmynt har köpts in under 201</w:t>
      </w:r>
      <w:r w:rsidR="00CA78D9">
        <w:t>4</w:t>
      </w:r>
      <w:r>
        <w:t xml:space="preserve"> (</w:t>
      </w:r>
      <w:r w:rsidRPr="00B51C85">
        <w:t>–</w:t>
      </w:r>
      <w:r>
        <w:t>)</w:t>
      </w:r>
      <w:r w:rsidRPr="00B51C85">
        <w:t xml:space="preserve">. </w:t>
      </w:r>
    </w:p>
    <w:p w:rsidR="006247DF" w:rsidRPr="00C15395" w:rsidRDefault="006247DF" w:rsidP="006247DF">
      <w:pPr>
        <w:spacing w:before="187"/>
        <w:outlineLvl w:val="0"/>
      </w:pPr>
      <w:r w:rsidRPr="00DD4619">
        <w:rPr>
          <w:b/>
        </w:rPr>
        <w:t xml:space="preserve">Not </w:t>
      </w:r>
      <w:r>
        <w:rPr>
          <w:b/>
        </w:rPr>
        <w:t>39</w:t>
      </w:r>
      <w:r w:rsidRPr="00C631B0">
        <w:rPr>
          <w:b/>
        </w:rPr>
        <w:t xml:space="preserve"> Inom linjen förda poster</w:t>
      </w:r>
    </w:p>
    <w:p w:rsidR="006247DF" w:rsidRPr="000C4345" w:rsidRDefault="006247DF" w:rsidP="00CA550D">
      <w:pPr>
        <w:pStyle w:val="R4"/>
        <w:rPr>
          <w:i w:val="0"/>
        </w:rPr>
      </w:pPr>
      <w:r w:rsidRPr="000C4345">
        <w:t>Ställda säkerheter</w:t>
      </w:r>
    </w:p>
    <w:p w:rsidR="006247DF" w:rsidRPr="00276C89" w:rsidRDefault="006247DF" w:rsidP="006247DF">
      <w:r w:rsidRPr="00276C89">
        <w:t>Vid utgången av 20</w:t>
      </w:r>
      <w:r w:rsidRPr="00135DE3">
        <w:t>1</w:t>
      </w:r>
      <w:r w:rsidR="00B36CA4">
        <w:t>4</w:t>
      </w:r>
      <w:r w:rsidRPr="008B28A9">
        <w:t xml:space="preserve"> har </w:t>
      </w:r>
      <w:r>
        <w:t>inga värdepapper</w:t>
      </w:r>
      <w:r w:rsidRPr="00B51C85">
        <w:t xml:space="preserve"> ställts som säkerhet i samband med utländska värdepap</w:t>
      </w:r>
      <w:r w:rsidRPr="00DD4619">
        <w:t>pers</w:t>
      </w:r>
      <w:r w:rsidRPr="00DD4619">
        <w:softHyphen/>
        <w:t>repor</w:t>
      </w:r>
      <w:r w:rsidRPr="0030226B">
        <w:t xml:space="preserve"> </w:t>
      </w:r>
      <w:r w:rsidRPr="00C631B0">
        <w:t>(</w:t>
      </w:r>
      <w:r w:rsidRPr="00B51C85">
        <w:t>–</w:t>
      </w:r>
      <w:r w:rsidRPr="000C4345">
        <w:t>)</w:t>
      </w:r>
      <w:r w:rsidRPr="00276C89">
        <w:t>.</w:t>
      </w:r>
    </w:p>
    <w:p w:rsidR="006247DF" w:rsidRPr="00135DE3" w:rsidRDefault="006247DF" w:rsidP="00CA550D">
      <w:pPr>
        <w:pStyle w:val="R4"/>
        <w:rPr>
          <w:i w:val="0"/>
        </w:rPr>
      </w:pPr>
      <w:r w:rsidRPr="00135DE3">
        <w:t>Ansvarsförbindelser</w:t>
      </w:r>
    </w:p>
    <w:p w:rsidR="006247DF" w:rsidRPr="009D1FD6" w:rsidRDefault="006247DF" w:rsidP="006247DF">
      <w:r>
        <w:t>Utestående ersättningskrav</w:t>
      </w:r>
      <w:r w:rsidRPr="00E7637B">
        <w:t xml:space="preserve"> uppgick vid utgången av 201</w:t>
      </w:r>
      <w:r w:rsidR="00B36CA4">
        <w:t>4</w:t>
      </w:r>
      <w:r w:rsidRPr="00E7637B">
        <w:t xml:space="preserve"> till </w:t>
      </w:r>
      <w:r w:rsidR="001D4271">
        <w:t>2</w:t>
      </w:r>
      <w:r w:rsidRPr="00B51C85">
        <w:t xml:space="preserve"> miljoner kronor (</w:t>
      </w:r>
      <w:r w:rsidR="00B36CA4">
        <w:t>6</w:t>
      </w:r>
      <w:r w:rsidRPr="00B51C85">
        <w:t xml:space="preserve">). </w:t>
      </w:r>
    </w:p>
    <w:p w:rsidR="006247DF" w:rsidRPr="00E7637B" w:rsidRDefault="006247DF" w:rsidP="006247DF">
      <w:pPr>
        <w:spacing w:before="120"/>
      </w:pPr>
      <w:r w:rsidRPr="00DD4619">
        <w:t>Åtagande mot Nobelstiftelsen att årligen ställa medel till förfogande för att dela ut ett pris i ekonomisk veten</w:t>
      </w:r>
      <w:r w:rsidRPr="0030226B">
        <w:t>skap till Alfred Nobels minne och admi</w:t>
      </w:r>
      <w:r>
        <w:softHyphen/>
      </w:r>
      <w:r w:rsidRPr="0030226B">
        <w:t>nis</w:t>
      </w:r>
      <w:r w:rsidRPr="00C631B0">
        <w:t>t</w:t>
      </w:r>
      <w:r w:rsidRPr="00C15395">
        <w:t>rationskostnader för detta pris. Å</w:t>
      </w:r>
      <w:r w:rsidRPr="000C4345">
        <w:t>tagandet uppgick för 20</w:t>
      </w:r>
      <w:r w:rsidRPr="00276C89">
        <w:t>1</w:t>
      </w:r>
      <w:r w:rsidR="00B36CA4">
        <w:t>4</w:t>
      </w:r>
      <w:r w:rsidRPr="00135DE3">
        <w:t xml:space="preserve"> till </w:t>
      </w:r>
      <w:r>
        <w:t>13,2</w:t>
      </w:r>
      <w:r w:rsidRPr="00262BC2">
        <w:t xml:space="preserve"> mi</w:t>
      </w:r>
      <w:r w:rsidRPr="00262BC2">
        <w:t>l</w:t>
      </w:r>
      <w:r w:rsidRPr="00262BC2">
        <w:t>joner</w:t>
      </w:r>
      <w:r w:rsidRPr="00E7637B">
        <w:t xml:space="preserve"> kronor (1</w:t>
      </w:r>
      <w:r>
        <w:t>3</w:t>
      </w:r>
      <w:r w:rsidRPr="00E7637B">
        <w:t>,</w:t>
      </w:r>
      <w:r>
        <w:t>2</w:t>
      </w:r>
      <w:r w:rsidRPr="00E7637B">
        <w:t>).</w:t>
      </w:r>
    </w:p>
    <w:p w:rsidR="006247DF" w:rsidRPr="00E7637B" w:rsidRDefault="006247DF" w:rsidP="006247DF">
      <w:pPr>
        <w:spacing w:before="120"/>
      </w:pPr>
      <w:r w:rsidRPr="00E7637B">
        <w:t>Förbindelse att till KPA Pensionsförsäkring AB betala kompletteringsersät</w:t>
      </w:r>
      <w:r w:rsidRPr="00E7637B">
        <w:t>t</w:t>
      </w:r>
      <w:r w:rsidRPr="00E7637B">
        <w:t xml:space="preserve">ning om så </w:t>
      </w:r>
      <w:r>
        <w:t>krävs</w:t>
      </w:r>
      <w:r w:rsidRPr="00E7637B">
        <w:t xml:space="preserve"> på grund av värdesäkringen av de pensionsförmåner som den försäkrade har rätt till. Åtagandet avser personal som 1971 övergick från Riksbanken till AB Tumba Bruk (numera Crane AB).</w:t>
      </w:r>
    </w:p>
    <w:p w:rsidR="006247DF" w:rsidRPr="00E7637B" w:rsidRDefault="006247DF" w:rsidP="00CA550D">
      <w:pPr>
        <w:pStyle w:val="R4"/>
        <w:rPr>
          <w:i w:val="0"/>
        </w:rPr>
      </w:pPr>
      <w:r w:rsidRPr="006B556D">
        <w:t>Eventualtillgångar</w:t>
      </w:r>
    </w:p>
    <w:p w:rsidR="006247DF" w:rsidRDefault="006247DF" w:rsidP="006247DF">
      <w:r w:rsidRPr="00E7637B">
        <w:t>Vid utgången av 201</w:t>
      </w:r>
      <w:r w:rsidR="00B36CA4">
        <w:t>4</w:t>
      </w:r>
      <w:r w:rsidRPr="00E7637B">
        <w:t xml:space="preserve"> </w:t>
      </w:r>
      <w:r>
        <w:t>uppgick</w:t>
      </w:r>
      <w:r w:rsidRPr="00E7637B">
        <w:t xml:space="preserve"> Riksbanken</w:t>
      </w:r>
      <w:r>
        <w:t>s</w:t>
      </w:r>
      <w:r w:rsidRPr="00E7637B">
        <w:t xml:space="preserve"> </w:t>
      </w:r>
      <w:r>
        <w:t xml:space="preserve">utestående ersättningsanspråk till </w:t>
      </w:r>
      <w:r w:rsidR="001D4271">
        <w:t>4</w:t>
      </w:r>
      <w:r>
        <w:t xml:space="preserve"> miljoner kronor </w:t>
      </w:r>
      <w:r w:rsidRPr="00B51C85">
        <w:t>(</w:t>
      </w:r>
      <w:r w:rsidR="00B36CA4">
        <w:t>10</w:t>
      </w:r>
      <w:r w:rsidRPr="00B51C85">
        <w:t>).</w:t>
      </w:r>
    </w:p>
    <w:p w:rsidR="006247DF" w:rsidRPr="00F0620D" w:rsidRDefault="006247DF" w:rsidP="00F0620D">
      <w:pPr>
        <w:pStyle w:val="R4"/>
      </w:pPr>
      <w:r w:rsidRPr="006B556D">
        <w:t>Utlåni</w:t>
      </w:r>
      <w:r w:rsidRPr="00F0620D">
        <w:t xml:space="preserve">ngs- och växlingsåtaganden med IMF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p>
        </w:tc>
        <w:tc>
          <w:tcPr>
            <w:tcW w:w="1361" w:type="dxa"/>
            <w:tcBorders>
              <w:top w:val="single" w:sz="4" w:space="0" w:color="auto"/>
            </w:tcBorders>
            <w:vAlign w:val="center"/>
          </w:tcPr>
          <w:p w:rsidR="006247DF" w:rsidRPr="00E7637B" w:rsidRDefault="006247DF" w:rsidP="006247DF">
            <w:pPr>
              <w:spacing w:line="200" w:lineRule="exact"/>
              <w:jc w:val="right"/>
            </w:pPr>
            <w:r>
              <w:t>201</w:t>
            </w:r>
            <w:r w:rsidR="00B36CA4">
              <w:t>4</w:t>
            </w:r>
            <w:r>
              <w:t>-12-31</w:t>
            </w:r>
          </w:p>
        </w:tc>
        <w:tc>
          <w:tcPr>
            <w:tcW w:w="1361" w:type="dxa"/>
            <w:tcBorders>
              <w:top w:val="single" w:sz="4" w:space="0" w:color="auto"/>
            </w:tcBorders>
            <w:vAlign w:val="center"/>
          </w:tcPr>
          <w:p w:rsidR="006247DF" w:rsidRPr="00E7637B" w:rsidRDefault="006247DF" w:rsidP="006247DF">
            <w:pPr>
              <w:spacing w:line="200" w:lineRule="exact"/>
              <w:jc w:val="right"/>
            </w:pPr>
            <w:r>
              <w:t>201</w:t>
            </w:r>
            <w:r w:rsidR="00B36CA4">
              <w:t>3</w:t>
            </w:r>
            <w:r>
              <w:t>-12-31</w:t>
            </w:r>
          </w:p>
        </w:tc>
      </w:tr>
      <w:tr w:rsidR="006247DF" w:rsidRPr="00E7637B" w:rsidTr="006247DF">
        <w:trPr>
          <w:cantSplit/>
          <w:trHeight w:val="20"/>
        </w:trPr>
        <w:tc>
          <w:tcPr>
            <w:tcW w:w="3260" w:type="dxa"/>
            <w:tcBorders>
              <w:top w:val="single" w:sz="4" w:space="0" w:color="auto"/>
            </w:tcBorders>
          </w:tcPr>
          <w:p w:rsidR="006247DF" w:rsidRPr="00E7637B" w:rsidRDefault="006247DF" w:rsidP="006247DF">
            <w:pPr>
              <w:spacing w:line="200" w:lineRule="exact"/>
            </w:pPr>
            <w:r>
              <w:t>Särskilda dragningsrätter</w:t>
            </w:r>
            <w:r w:rsidRPr="00E7637B">
              <w:t xml:space="preserve"> </w:t>
            </w:r>
          </w:p>
        </w:tc>
        <w:tc>
          <w:tcPr>
            <w:tcW w:w="1361" w:type="dxa"/>
            <w:tcBorders>
              <w:top w:val="single" w:sz="4" w:space="0" w:color="auto"/>
            </w:tcBorders>
          </w:tcPr>
          <w:p w:rsidR="006247DF" w:rsidRPr="00E7637B" w:rsidRDefault="00B36CA4" w:rsidP="006247DF">
            <w:pPr>
              <w:spacing w:line="200" w:lineRule="exact"/>
              <w:jc w:val="right"/>
            </w:pPr>
            <w:r>
              <w:t>52 70</w:t>
            </w:r>
            <w:r w:rsidR="00E14305">
              <w:t>6</w:t>
            </w:r>
          </w:p>
        </w:tc>
        <w:tc>
          <w:tcPr>
            <w:tcW w:w="1361" w:type="dxa"/>
            <w:tcBorders>
              <w:top w:val="single" w:sz="4" w:space="0" w:color="auto"/>
            </w:tcBorders>
          </w:tcPr>
          <w:p w:rsidR="006247DF" w:rsidRPr="00E7637B" w:rsidRDefault="00B36CA4" w:rsidP="006247DF">
            <w:pPr>
              <w:spacing w:line="200" w:lineRule="exact"/>
              <w:jc w:val="right"/>
            </w:pPr>
            <w:r>
              <w:t>45 450</w:t>
            </w:r>
          </w:p>
        </w:tc>
      </w:tr>
      <w:tr w:rsidR="006247DF" w:rsidRPr="00E7637B" w:rsidTr="006247DF">
        <w:trPr>
          <w:cantSplit/>
          <w:trHeight w:val="20"/>
        </w:trPr>
        <w:tc>
          <w:tcPr>
            <w:tcW w:w="3260" w:type="dxa"/>
          </w:tcPr>
          <w:p w:rsidR="006247DF" w:rsidRPr="00E7637B" w:rsidRDefault="006247DF" w:rsidP="006247DF">
            <w:pPr>
              <w:spacing w:line="200" w:lineRule="exact"/>
            </w:pPr>
            <w:r>
              <w:t>Reservposition</w:t>
            </w:r>
          </w:p>
        </w:tc>
        <w:tc>
          <w:tcPr>
            <w:tcW w:w="1361" w:type="dxa"/>
          </w:tcPr>
          <w:p w:rsidR="006247DF" w:rsidRPr="00262BC2" w:rsidRDefault="00B36CA4" w:rsidP="006247DF">
            <w:pPr>
              <w:spacing w:line="200" w:lineRule="exact"/>
              <w:jc w:val="right"/>
            </w:pPr>
            <w:r>
              <w:t>22 52</w:t>
            </w:r>
            <w:r w:rsidR="00E14305">
              <w:t>1</w:t>
            </w:r>
          </w:p>
        </w:tc>
        <w:tc>
          <w:tcPr>
            <w:tcW w:w="1361" w:type="dxa"/>
          </w:tcPr>
          <w:p w:rsidR="006247DF" w:rsidRPr="00262BC2" w:rsidRDefault="00B36CA4" w:rsidP="006247DF">
            <w:pPr>
              <w:spacing w:line="200" w:lineRule="exact"/>
              <w:jc w:val="right"/>
            </w:pPr>
            <w:r>
              <w:t>18 093</w:t>
            </w:r>
          </w:p>
        </w:tc>
      </w:tr>
      <w:tr w:rsidR="006247DF" w:rsidRPr="00E7637B" w:rsidTr="006247DF">
        <w:trPr>
          <w:cantSplit/>
          <w:trHeight w:val="20"/>
        </w:trPr>
        <w:tc>
          <w:tcPr>
            <w:tcW w:w="3260" w:type="dxa"/>
          </w:tcPr>
          <w:p w:rsidR="006247DF" w:rsidRPr="00E7637B" w:rsidRDefault="006247DF" w:rsidP="006247DF">
            <w:pPr>
              <w:spacing w:line="200" w:lineRule="exact"/>
            </w:pPr>
            <w:r>
              <w:t>GAB, NAB, bilateralt lån</w:t>
            </w:r>
          </w:p>
        </w:tc>
        <w:tc>
          <w:tcPr>
            <w:tcW w:w="1361" w:type="dxa"/>
          </w:tcPr>
          <w:p w:rsidR="006247DF" w:rsidRPr="00262BC2" w:rsidRDefault="00B36CA4" w:rsidP="006247DF">
            <w:pPr>
              <w:spacing w:line="200" w:lineRule="exact"/>
              <w:jc w:val="right"/>
            </w:pPr>
            <w:r>
              <w:t>44 32</w:t>
            </w:r>
            <w:r w:rsidR="00E14305">
              <w:t>8</w:t>
            </w:r>
          </w:p>
        </w:tc>
        <w:tc>
          <w:tcPr>
            <w:tcW w:w="1361" w:type="dxa"/>
          </w:tcPr>
          <w:p w:rsidR="006247DF" w:rsidRPr="00262BC2" w:rsidRDefault="00B36CA4" w:rsidP="006247DF">
            <w:pPr>
              <w:spacing w:line="200" w:lineRule="exact"/>
              <w:jc w:val="right"/>
            </w:pPr>
            <w:r>
              <w:t>38 231</w:t>
            </w:r>
          </w:p>
        </w:tc>
      </w:tr>
      <w:tr w:rsidR="006247DF" w:rsidRPr="00E7637B" w:rsidTr="006247DF">
        <w:trPr>
          <w:cantSplit/>
          <w:trHeight w:val="20"/>
        </w:trPr>
        <w:tc>
          <w:tcPr>
            <w:tcW w:w="3260" w:type="dxa"/>
            <w:tcBorders>
              <w:bottom w:val="single" w:sz="4" w:space="0" w:color="auto"/>
            </w:tcBorders>
          </w:tcPr>
          <w:p w:rsidR="006247DF" w:rsidRDefault="006247DF" w:rsidP="006247DF">
            <w:pPr>
              <w:spacing w:line="200" w:lineRule="exact"/>
            </w:pPr>
            <w:r>
              <w:t>Kreditavtal</w:t>
            </w:r>
          </w:p>
        </w:tc>
        <w:tc>
          <w:tcPr>
            <w:tcW w:w="1361" w:type="dxa"/>
            <w:vAlign w:val="center"/>
          </w:tcPr>
          <w:p w:rsidR="006247DF" w:rsidRPr="00262BC2" w:rsidRDefault="00B36CA4" w:rsidP="006247DF">
            <w:pPr>
              <w:spacing w:line="200" w:lineRule="exact"/>
              <w:jc w:val="right"/>
            </w:pPr>
            <w:r>
              <w:t>75 981</w:t>
            </w:r>
          </w:p>
        </w:tc>
        <w:tc>
          <w:tcPr>
            <w:tcW w:w="1361" w:type="dxa"/>
          </w:tcPr>
          <w:p w:rsidR="006247DF" w:rsidRDefault="00B36CA4" w:rsidP="006247DF">
            <w:pPr>
              <w:spacing w:line="200" w:lineRule="exact"/>
              <w:jc w:val="right"/>
            </w:pPr>
            <w:r>
              <w:t>66 330</w:t>
            </w:r>
          </w:p>
        </w:tc>
      </w:tr>
      <w:tr w:rsidR="006247DF" w:rsidRPr="00E7637B" w:rsidTr="006247DF">
        <w:trPr>
          <w:cantSplit/>
          <w:trHeight w:val="20"/>
        </w:trPr>
        <w:tc>
          <w:tcPr>
            <w:tcW w:w="3260" w:type="dxa"/>
            <w:tcBorders>
              <w:top w:val="single" w:sz="4" w:space="0" w:color="auto"/>
              <w:bottom w:val="single" w:sz="4" w:space="0" w:color="auto"/>
            </w:tcBorders>
            <w:vAlign w:val="center"/>
          </w:tcPr>
          <w:p w:rsidR="006247DF" w:rsidRPr="00E7637B" w:rsidRDefault="006247DF" w:rsidP="006247DF">
            <w:pPr>
              <w:spacing w:line="200" w:lineRule="exact"/>
            </w:pPr>
            <w:r w:rsidRPr="00E7637B">
              <w:t>Summa</w:t>
            </w:r>
          </w:p>
        </w:tc>
        <w:tc>
          <w:tcPr>
            <w:tcW w:w="1361" w:type="dxa"/>
            <w:tcBorders>
              <w:top w:val="single" w:sz="4" w:space="0" w:color="auto"/>
              <w:bottom w:val="single" w:sz="4" w:space="0" w:color="auto"/>
            </w:tcBorders>
            <w:vAlign w:val="center"/>
          </w:tcPr>
          <w:p w:rsidR="006247DF" w:rsidRPr="00262BC2" w:rsidRDefault="00B36CA4" w:rsidP="006247DF">
            <w:pPr>
              <w:spacing w:line="200" w:lineRule="exact"/>
              <w:jc w:val="right"/>
            </w:pPr>
            <w:r>
              <w:t>195 53</w:t>
            </w:r>
            <w:r w:rsidR="00E14305">
              <w:t>6</w:t>
            </w:r>
          </w:p>
        </w:tc>
        <w:tc>
          <w:tcPr>
            <w:tcW w:w="1361" w:type="dxa"/>
            <w:tcBorders>
              <w:top w:val="single" w:sz="4" w:space="0" w:color="auto"/>
              <w:bottom w:val="single" w:sz="4" w:space="0" w:color="auto"/>
            </w:tcBorders>
            <w:vAlign w:val="center"/>
          </w:tcPr>
          <w:p w:rsidR="006247DF" w:rsidRPr="00262BC2" w:rsidRDefault="00B36CA4" w:rsidP="006247DF">
            <w:pPr>
              <w:spacing w:line="200" w:lineRule="exact"/>
              <w:jc w:val="right"/>
            </w:pPr>
            <w:r>
              <w:t>168 104</w:t>
            </w:r>
          </w:p>
        </w:tc>
      </w:tr>
    </w:tbl>
    <w:p w:rsidR="006247DF" w:rsidRDefault="006247DF" w:rsidP="006247DF">
      <w:pPr>
        <w:spacing w:before="120"/>
      </w:pPr>
      <w:r>
        <w:t>Av tabellen ovan framgår Riksbankens återstående utlånings- och växlings</w:t>
      </w:r>
      <w:r>
        <w:softHyphen/>
        <w:t xml:space="preserve">åtaganden enligt avtal med IMF utöver det som redovisas i balansräkningen (se not 2). </w:t>
      </w:r>
    </w:p>
    <w:p w:rsidR="006247DF" w:rsidRPr="00E7637B" w:rsidRDefault="006247DF" w:rsidP="006247DF">
      <w:pPr>
        <w:pStyle w:val="R4"/>
      </w:pPr>
      <w:r>
        <w:t>Särskilda dragningsrätter</w:t>
      </w:r>
    </w:p>
    <w:p w:rsidR="006247DF" w:rsidRDefault="006247DF" w:rsidP="00C628C1">
      <w:pPr>
        <w:suppressAutoHyphens/>
      </w:pPr>
      <w:r w:rsidRPr="00B51C85">
        <w:t>Åtagande</w:t>
      </w:r>
      <w:r>
        <w:t>t avseende särskilda dragningsrätter innebär</w:t>
      </w:r>
      <w:r w:rsidRPr="00B51C85">
        <w:t xml:space="preserve"> </w:t>
      </w:r>
      <w:r w:rsidR="00D05557">
        <w:t>att Riksbanken</w:t>
      </w:r>
      <w:r>
        <w:t xml:space="preserve">, enligt IMF-stadgar, </w:t>
      </w:r>
      <w:r w:rsidR="00D05557">
        <w:t xml:space="preserve">kan </w:t>
      </w:r>
      <w:r>
        <w:t xml:space="preserve">bli ålagd att genom så kallad designation </w:t>
      </w:r>
      <w:r w:rsidRPr="00B51C85">
        <w:t>köpa särskilda dra</w:t>
      </w:r>
      <w:r w:rsidRPr="00B51C85">
        <w:t>g</w:t>
      </w:r>
      <w:r w:rsidRPr="00B51C85">
        <w:t xml:space="preserve">ningsrätter (SDR) </w:t>
      </w:r>
      <w:r>
        <w:t>mot utländsk valuta till ett belopp som innebär att Riksba</w:t>
      </w:r>
      <w:r>
        <w:t>n</w:t>
      </w:r>
      <w:r>
        <w:t>kens sammanlagda innehav av SDR uppgår till högst 300 procent av den ordinarie tilldelningen</w:t>
      </w:r>
      <w:r w:rsidR="00BD506A">
        <w:t>,</w:t>
      </w:r>
      <w:r w:rsidR="002846C3">
        <w:t xml:space="preserve"> det vill säga </w:t>
      </w:r>
      <w:r w:rsidR="00BD506A">
        <w:t>3 x</w:t>
      </w:r>
      <w:r w:rsidR="002846C3">
        <w:t xml:space="preserve"> 2 249 miljoner SDR</w:t>
      </w:r>
      <w:r w:rsidR="0022430F">
        <w:t>. D</w:t>
      </w:r>
      <w:r w:rsidR="002846C3">
        <w:t>et mot</w:t>
      </w:r>
      <w:r w:rsidR="00C628C1">
        <w:softHyphen/>
      </w:r>
      <w:r w:rsidR="002846C3">
        <w:t>svarar 76 514 miljoner kronor (66 795)</w:t>
      </w:r>
      <w:r>
        <w:t>.</w:t>
      </w:r>
      <w:r w:rsidRPr="0030226B">
        <w:t xml:space="preserve"> </w:t>
      </w:r>
      <w:r>
        <w:t>Inom detta åtagande ryms även Riksbankens stående arrangemang att på IMF:s anfordran köpa respektive sälja SDR mot betalning i amerikanska dollar eller euro inom ett spann mellan 50 och 150 procent av Riksbankens sammanlagda nettotilldelning av SDR.</w:t>
      </w:r>
      <w:r w:rsidR="002846C3">
        <w:t xml:space="preserve"> E</w:t>
      </w:r>
      <w:r w:rsidR="002846C3">
        <w:t>f</w:t>
      </w:r>
      <w:r w:rsidR="002846C3">
        <w:t>tersom Riksbankens innehav av SDR uppgår till 23 808 miljoner kronor (21 345)</w:t>
      </w:r>
      <w:r w:rsidR="00BD506A">
        <w:t>,</w:t>
      </w:r>
      <w:r w:rsidR="002846C3">
        <w:t xml:space="preserve"> se not 2</w:t>
      </w:r>
      <w:r w:rsidR="00BD506A">
        <w:t xml:space="preserve">, </w:t>
      </w:r>
      <w:r w:rsidR="002846C3">
        <w:t>uppgår det återstående åtagandet till 52 </w:t>
      </w:r>
      <w:r w:rsidR="00E14305">
        <w:t>706</w:t>
      </w:r>
      <w:r w:rsidR="002846C3">
        <w:t xml:space="preserve"> miljoner kr</w:t>
      </w:r>
      <w:r w:rsidR="002846C3">
        <w:t>o</w:t>
      </w:r>
      <w:r w:rsidR="002846C3">
        <w:t>nor (45 450).</w:t>
      </w:r>
    </w:p>
    <w:p w:rsidR="006247DF" w:rsidRPr="00610C83" w:rsidRDefault="006247DF" w:rsidP="006247DF">
      <w:pPr>
        <w:pStyle w:val="R4"/>
      </w:pPr>
      <w:r>
        <w:t>Reservposition</w:t>
      </w:r>
    </w:p>
    <w:p w:rsidR="006247DF" w:rsidRDefault="006247DF" w:rsidP="006247DF">
      <w:r>
        <w:t>Åtagandet avseende reservpositionen (</w:t>
      </w:r>
      <w:r w:rsidR="004B74DC">
        <w:t>insatskapitalet</w:t>
      </w:r>
      <w:r>
        <w:t xml:space="preserve"> minus IMF:s kronkonto) innebär att Riksbanken är skyldig att växla saldot på IMF:s kro</w:t>
      </w:r>
      <w:r>
        <w:t>n</w:t>
      </w:r>
      <w:r>
        <w:t>konto till utländsk valuta om IMF behöver dessa medel för vidareutlåning till andra länder.</w:t>
      </w:r>
    </w:p>
    <w:p w:rsidR="002846C3" w:rsidRPr="002846C3" w:rsidRDefault="002846C3" w:rsidP="00C628C1">
      <w:pPr>
        <w:pStyle w:val="Normaltindrag"/>
        <w:suppressAutoHyphens/>
      </w:pPr>
      <w:r>
        <w:t>Saldot på IMF:s kronkonto uppgick vid årsskiftet till 22 </w:t>
      </w:r>
      <w:r w:rsidR="00E14305">
        <w:t>521</w:t>
      </w:r>
      <w:r>
        <w:t xml:space="preserve"> miljoner kronor (18 093)</w:t>
      </w:r>
      <w:r w:rsidR="00BD506A">
        <w:t>,</w:t>
      </w:r>
      <w:r w:rsidR="00E14305">
        <w:t xml:space="preserve"> se not 2</w:t>
      </w:r>
      <w:r>
        <w:t>.</w:t>
      </w:r>
    </w:p>
    <w:p w:rsidR="006247DF" w:rsidRDefault="006247DF" w:rsidP="006247DF">
      <w:pPr>
        <w:pStyle w:val="Normaltindrag"/>
      </w:pPr>
      <w:r>
        <w:t>Sveriges insatskapita</w:t>
      </w:r>
      <w:r w:rsidR="004B74DC">
        <w:t xml:space="preserve">l </w:t>
      </w:r>
      <w:r>
        <w:t>i IMF är i dag 2 395,5 miljoner SDR. Under hösten 2011 lämnade riksdagen ett bemyndigande att öka Sveriges insatska</w:t>
      </w:r>
      <w:r>
        <w:t>p</w:t>
      </w:r>
      <w:r>
        <w:t>ital (kvot) i IMF med 2 034,5 miljoner SDR så att den uppgår till totalt 4 430 miljoner SDR. Ökningen verkställs först när tillräckligt många medlems</w:t>
      </w:r>
      <w:r w:rsidR="00C628C1">
        <w:softHyphen/>
      </w:r>
      <w:r>
        <w:t>länder (70 procent) ratificerat förslaget om ökningen samt ratificerat ett rel</w:t>
      </w:r>
      <w:r>
        <w:t>a</w:t>
      </w:r>
      <w:r>
        <w:t>terat förslag om styrningen av IMF (85 procent). IMF:s förslag till kvot</w:t>
      </w:r>
      <w:r w:rsidR="00C628C1">
        <w:softHyphen/>
      </w:r>
      <w:r>
        <w:t xml:space="preserve">höjning bygger på att Sveriges åtagande i IMF:s lånearrangemang NAB </w:t>
      </w:r>
      <w:r w:rsidR="004E2F41">
        <w:t xml:space="preserve">(se nedan) </w:t>
      </w:r>
      <w:r>
        <w:t>minskas i ungefär motsvarande omfattning.</w:t>
      </w:r>
    </w:p>
    <w:p w:rsidR="006247DF" w:rsidRPr="00610C83" w:rsidRDefault="006247DF" w:rsidP="006247DF">
      <w:pPr>
        <w:pStyle w:val="R4"/>
      </w:pPr>
      <w:r>
        <w:t>GAB och NAB</w:t>
      </w:r>
    </w:p>
    <w:p w:rsidR="006247DF" w:rsidRDefault="006247DF" w:rsidP="00C628C1">
      <w:pPr>
        <w:suppressAutoHyphens/>
      </w:pPr>
      <w:r>
        <w:t xml:space="preserve">Åtagandet avseende </w:t>
      </w:r>
      <w:r w:rsidRPr="00E7637B">
        <w:t>GAB (General Arrangements to Borrow) och NAB (New Ar</w:t>
      </w:r>
      <w:r w:rsidRPr="00B51C85">
        <w:t>ra</w:t>
      </w:r>
      <w:r w:rsidRPr="00C631B0">
        <w:t>n</w:t>
      </w:r>
      <w:r w:rsidRPr="00B51C85">
        <w:t xml:space="preserve">gements to Borrow) om kreditarrangemang för IMF </w:t>
      </w:r>
      <w:r>
        <w:t xml:space="preserve">innebär att Riksbanken är skyldig att till IMF låna ut ett belopp som </w:t>
      </w:r>
      <w:r w:rsidRPr="00B51C85">
        <w:t xml:space="preserve">uppgår till högst </w:t>
      </w:r>
      <w:r>
        <w:t>4</w:t>
      </w:r>
      <w:r w:rsidR="002846C3">
        <w:t> </w:t>
      </w:r>
      <w:r>
        <w:t>4</w:t>
      </w:r>
      <w:r w:rsidR="002846C3">
        <w:t>39,7</w:t>
      </w:r>
      <w:r w:rsidRPr="00B51C85">
        <w:t xml:space="preserve"> miljoner SDR (</w:t>
      </w:r>
      <w:r>
        <w:t>4</w:t>
      </w:r>
      <w:r w:rsidR="002846C3">
        <w:t> </w:t>
      </w:r>
      <w:r>
        <w:t>4</w:t>
      </w:r>
      <w:r w:rsidR="002846C3">
        <w:t>39,7</w:t>
      </w:r>
      <w:r w:rsidRPr="00B51C85">
        <w:t xml:space="preserve">), vilket motsvarar </w:t>
      </w:r>
      <w:r w:rsidR="002846C3">
        <w:t>50 348</w:t>
      </w:r>
      <w:r w:rsidRPr="00276C89">
        <w:t xml:space="preserve"> miljoner kronor </w:t>
      </w:r>
      <w:r w:rsidRPr="00135DE3">
        <w:t>(</w:t>
      </w:r>
      <w:r w:rsidR="007A632D">
        <w:t>43 </w:t>
      </w:r>
      <w:r w:rsidR="002846C3">
        <w:t>953</w:t>
      </w:r>
      <w:r w:rsidRPr="00C15395">
        <w:t>)</w:t>
      </w:r>
      <w:r w:rsidRPr="00262BC2">
        <w:t>.</w:t>
      </w:r>
    </w:p>
    <w:p w:rsidR="006247DF" w:rsidRDefault="006247DF" w:rsidP="006247DF">
      <w:pPr>
        <w:pStyle w:val="Normaltindrag"/>
      </w:pPr>
      <w:r>
        <w:t>Dessa avtal aktiveras endast under särskilda omständigheter och syftar till att tillfälligt förstärka IMF:s utlåningskapacitet utöver de medel som är til</w:t>
      </w:r>
      <w:r>
        <w:t>l</w:t>
      </w:r>
      <w:r>
        <w:t>gängliga under insatskapitalet.</w:t>
      </w:r>
      <w:r w:rsidR="002846C3">
        <w:t xml:space="preserve"> Eftersom Riksbankens </w:t>
      </w:r>
      <w:r w:rsidR="00E14305">
        <w:t>N</w:t>
      </w:r>
      <w:r w:rsidR="002846C3">
        <w:t xml:space="preserve">AB-utlåning uppgick </w:t>
      </w:r>
      <w:r w:rsidR="00D14BE6">
        <w:t xml:space="preserve">vid årsskiftet </w:t>
      </w:r>
      <w:r w:rsidR="002846C3">
        <w:t>till 6 </w:t>
      </w:r>
      <w:r w:rsidR="00E14305">
        <w:t>020</w:t>
      </w:r>
      <w:r w:rsidR="002846C3">
        <w:t xml:space="preserve"> miljoner kronor (5 722)</w:t>
      </w:r>
      <w:r w:rsidR="007965CA">
        <w:t>,</w:t>
      </w:r>
      <w:r w:rsidR="002846C3">
        <w:t xml:space="preserve"> se not 2</w:t>
      </w:r>
      <w:r w:rsidR="007965CA">
        <w:t>,</w:t>
      </w:r>
      <w:r w:rsidR="002846C3">
        <w:t xml:space="preserve"> så uppgår det åte</w:t>
      </w:r>
      <w:r w:rsidR="002846C3">
        <w:t>r</w:t>
      </w:r>
      <w:r w:rsidR="002846C3">
        <w:t>stående åtagandet till 44 </w:t>
      </w:r>
      <w:r w:rsidR="00E14305">
        <w:t>328</w:t>
      </w:r>
      <w:r w:rsidR="002846C3">
        <w:t xml:space="preserve"> miljoner kronor (38 231).</w:t>
      </w:r>
    </w:p>
    <w:p w:rsidR="006247DF" w:rsidRPr="00610C83" w:rsidRDefault="006247DF" w:rsidP="006247DF">
      <w:pPr>
        <w:pStyle w:val="R4"/>
      </w:pPr>
      <w:r>
        <w:t>Kreditavtal</w:t>
      </w:r>
    </w:p>
    <w:p w:rsidR="006247DF" w:rsidRPr="00435BF1" w:rsidRDefault="006247DF" w:rsidP="006247DF">
      <w:r>
        <w:t xml:space="preserve">I februari 2013 ingick Riksbanken, efter riksdagens medgivande, ett avtal om kredit till IMF med ett belopp om 6 700 miljoner SDR, vilket motsvarar </w:t>
      </w:r>
      <w:r w:rsidR="00D14BE6">
        <w:t>75</w:t>
      </w:r>
      <w:r w:rsidR="00D807C5">
        <w:t> </w:t>
      </w:r>
      <w:r w:rsidR="00D14BE6">
        <w:t>981</w:t>
      </w:r>
      <w:r>
        <w:t xml:space="preserve"> miljoner kronor</w:t>
      </w:r>
      <w:r w:rsidR="00D14BE6">
        <w:t xml:space="preserve"> (66 3</w:t>
      </w:r>
      <w:r w:rsidR="004B74DC">
        <w:t>3</w:t>
      </w:r>
      <w:r w:rsidR="00D14BE6">
        <w:t>0)</w:t>
      </w:r>
      <w:r>
        <w:t>. För att IMF ska kunna utnyttja detta avtal krävs att IMF:s kvarvarande medel för utlåning understiger 100 000 miljoner SDR.</w:t>
      </w:r>
    </w:p>
    <w:p w:rsidR="006247DF" w:rsidRPr="00DE5D34" w:rsidRDefault="006247DF" w:rsidP="006255E4">
      <w:pPr>
        <w:pStyle w:val="R4"/>
        <w:rPr>
          <w:i w:val="0"/>
          <w:szCs w:val="21"/>
        </w:rPr>
      </w:pPr>
      <w:r w:rsidRPr="00DE5D34">
        <w:t>Utbetalningsavtal</w:t>
      </w:r>
    </w:p>
    <w:p w:rsidR="00D14BE6" w:rsidRDefault="006247DF" w:rsidP="00C628C1">
      <w:pPr>
        <w:suppressAutoHyphens/>
      </w:pPr>
      <w:r w:rsidRPr="00DD4619">
        <w:t>Åtagande att</w:t>
      </w:r>
      <w:r w:rsidRPr="0030226B">
        <w:t xml:space="preserve"> tre månader efter eventuell anfordran till BIS betala återstående 75 pr</w:t>
      </w:r>
      <w:r w:rsidRPr="00C631B0">
        <w:t>ocent av det nominella värdet av Riks</w:t>
      </w:r>
      <w:r w:rsidRPr="00C15395">
        <w:t>bankens aktieinnehav i BIS. Åt</w:t>
      </w:r>
      <w:r w:rsidRPr="000C4345">
        <w:t>a</w:t>
      </w:r>
      <w:r w:rsidRPr="00276C89">
        <w:t>gandet uppgick vid utgå</w:t>
      </w:r>
      <w:r w:rsidRPr="00135DE3">
        <w:t>ngen av 20</w:t>
      </w:r>
      <w:r>
        <w:t>1</w:t>
      </w:r>
      <w:r w:rsidR="00D14BE6">
        <w:t>4</w:t>
      </w:r>
      <w:r w:rsidRPr="00262BC2">
        <w:t xml:space="preserve"> till </w:t>
      </w:r>
      <w:r>
        <w:t>65</w:t>
      </w:r>
      <w:r w:rsidRPr="00262BC2">
        <w:t xml:space="preserve"> miljoner SDR (65), vilket mo</w:t>
      </w:r>
      <w:r w:rsidRPr="00E7637B">
        <w:t>t</w:t>
      </w:r>
      <w:r>
        <w:softHyphen/>
      </w:r>
      <w:r w:rsidRPr="00E7637B">
        <w:t>s</w:t>
      </w:r>
      <w:r w:rsidRPr="00C631B0">
        <w:t xml:space="preserve">varar </w:t>
      </w:r>
      <w:r w:rsidR="00D14BE6">
        <w:t>737</w:t>
      </w:r>
      <w:r w:rsidRPr="00276C89">
        <w:t xml:space="preserve"> miljoner kronor (</w:t>
      </w:r>
      <w:r>
        <w:t>650</w:t>
      </w:r>
      <w:r w:rsidRPr="00262BC2">
        <w:t>).</w:t>
      </w:r>
    </w:p>
    <w:p w:rsidR="006247DF" w:rsidRPr="00DE5D34" w:rsidRDefault="006247DF" w:rsidP="006255E4">
      <w:pPr>
        <w:pStyle w:val="R4"/>
        <w:rPr>
          <w:i w:val="0"/>
          <w:szCs w:val="21"/>
        </w:rPr>
      </w:pPr>
      <w:r w:rsidRPr="00DE5D34">
        <w:t>Inlåningsavtal</w:t>
      </w:r>
    </w:p>
    <w:p w:rsidR="00D14BE6" w:rsidRDefault="006247DF" w:rsidP="006247DF">
      <w:pPr>
        <w:pStyle w:val="Normaltindrag"/>
        <w:spacing w:before="62"/>
        <w:ind w:firstLine="0"/>
      </w:pPr>
      <w:r w:rsidRPr="00DD4619">
        <w:t xml:space="preserve">Avtal med BIS som innebär att Riksbanken </w:t>
      </w:r>
      <w:r w:rsidR="00160D17">
        <w:t>efter särskild överensko</w:t>
      </w:r>
      <w:r w:rsidR="00160D17">
        <w:t>m</w:t>
      </w:r>
      <w:r w:rsidR="00160D17">
        <w:t>melse</w:t>
      </w:r>
      <w:r w:rsidRPr="00DD4619">
        <w:t xml:space="preserve"> </w:t>
      </w:r>
      <w:r w:rsidR="001D4271">
        <w:t>kan</w:t>
      </w:r>
      <w:r w:rsidRPr="00DD4619">
        <w:t xml:space="preserve"> låna </w:t>
      </w:r>
      <w:r w:rsidRPr="0030226B">
        <w:t xml:space="preserve">utländsk </w:t>
      </w:r>
      <w:r w:rsidRPr="00C631B0">
        <w:t xml:space="preserve">valuta. </w:t>
      </w:r>
    </w:p>
    <w:p w:rsidR="006247DF" w:rsidRDefault="006247DF" w:rsidP="006255E4">
      <w:pPr>
        <w:spacing w:before="120"/>
      </w:pPr>
      <w:r>
        <w:t>A</w:t>
      </w:r>
      <w:r w:rsidRPr="00C15395">
        <w:t xml:space="preserve">vtal med </w:t>
      </w:r>
      <w:r w:rsidRPr="00276C89">
        <w:t>ECB</w:t>
      </w:r>
      <w:r w:rsidRPr="00135DE3">
        <w:t xml:space="preserve"> som innebär att Riksbanken </w:t>
      </w:r>
      <w:r w:rsidR="00160D17">
        <w:t>efter särskild överensko</w:t>
      </w:r>
      <w:r w:rsidR="00160D17">
        <w:t>m</w:t>
      </w:r>
      <w:r w:rsidR="00160D17">
        <w:t xml:space="preserve">melse </w:t>
      </w:r>
      <w:r w:rsidR="001D4271">
        <w:t>kan</w:t>
      </w:r>
      <w:r w:rsidRPr="00135DE3">
        <w:t xml:space="preserve"> låna euro i utbyte mot svenska kronor. </w:t>
      </w:r>
      <w:r>
        <w:t xml:space="preserve"> </w:t>
      </w:r>
    </w:p>
    <w:p w:rsidR="00D14BE6" w:rsidRDefault="00D14BE6" w:rsidP="006247DF">
      <w:pPr>
        <w:pStyle w:val="Normaltindrag"/>
        <w:spacing w:before="62"/>
        <w:ind w:firstLine="0"/>
      </w:pPr>
    </w:p>
    <w:p w:rsidR="001A14F1" w:rsidRDefault="006247DF" w:rsidP="006247DF">
      <w:pPr>
        <w:pStyle w:val="Rubrik1"/>
        <w:spacing w:after="120"/>
      </w:pPr>
      <w:r>
        <w:br w:type="page"/>
      </w:r>
      <w:bookmarkStart w:id="55" w:name="_Toc378286255"/>
      <w:bookmarkStart w:id="56" w:name="_Toc408946428"/>
      <w:bookmarkStart w:id="57" w:name="_Toc370402767"/>
      <w:bookmarkStart w:id="58" w:name="_Toc372277694"/>
      <w:bookmarkStart w:id="59" w:name="_Toc284574507"/>
      <w:bookmarkStart w:id="60" w:name="_Toc315964147"/>
      <w:bookmarkStart w:id="61" w:name="_Toc346871160"/>
      <w:bookmarkEnd w:id="52"/>
      <w:bookmarkEnd w:id="53"/>
      <w:r w:rsidR="001A14F1" w:rsidRPr="00F41577">
        <w:t>Resultaträkning och balansräkning fördelade på verksamhetsområden</w:t>
      </w:r>
      <w:bookmarkEnd w:id="55"/>
      <w:bookmarkEnd w:id="56"/>
    </w:p>
    <w:p w:rsidR="006247DF" w:rsidRPr="00E7637B" w:rsidRDefault="006247DF" w:rsidP="006247DF">
      <w:pPr>
        <w:spacing w:after="120"/>
      </w:pPr>
      <w:r w:rsidRPr="00E7637B">
        <w:t>Av tabellen nedan framgår Riksbankens nettointäkter och kostnader fördelade på verksamhetsområden.</w:t>
      </w:r>
      <w:r>
        <w:t xml:space="preserve"> Uppgifterna anges i miljoner kronor.</w:t>
      </w:r>
    </w:p>
    <w:tbl>
      <w:tblPr>
        <w:tblW w:w="5985" w:type="dxa"/>
        <w:tblInd w:w="108" w:type="dxa"/>
        <w:tblLayout w:type="fixed"/>
        <w:tblLook w:val="01E0" w:firstRow="1" w:lastRow="1" w:firstColumn="1" w:lastColumn="1" w:noHBand="0" w:noVBand="0"/>
      </w:tblPr>
      <w:tblGrid>
        <w:gridCol w:w="1533"/>
        <w:gridCol w:w="742"/>
        <w:gridCol w:w="742"/>
        <w:gridCol w:w="742"/>
        <w:gridCol w:w="742"/>
        <w:gridCol w:w="742"/>
        <w:gridCol w:w="742"/>
      </w:tblGrid>
      <w:tr w:rsidR="006247DF" w:rsidRPr="00E7637B" w:rsidTr="006247DF">
        <w:tc>
          <w:tcPr>
            <w:tcW w:w="1533" w:type="dxa"/>
            <w:vMerge w:val="restart"/>
            <w:tcBorders>
              <w:top w:val="single" w:sz="4" w:space="0" w:color="auto"/>
            </w:tcBorders>
            <w:shd w:val="clear" w:color="auto" w:fill="auto"/>
          </w:tcPr>
          <w:p w:rsidR="006247DF" w:rsidRPr="00262BC2" w:rsidRDefault="006247DF" w:rsidP="006247DF">
            <w:pPr>
              <w:pStyle w:val="Tabelltext"/>
              <w:rPr>
                <w:b/>
              </w:rPr>
            </w:pPr>
            <w:r w:rsidRPr="00262BC2">
              <w:rPr>
                <w:b/>
              </w:rPr>
              <w:t>Verksamhets-område</w:t>
            </w:r>
          </w:p>
        </w:tc>
        <w:tc>
          <w:tcPr>
            <w:tcW w:w="2226" w:type="dxa"/>
            <w:gridSpan w:val="3"/>
            <w:tcBorders>
              <w:top w:val="single" w:sz="4" w:space="0" w:color="auto"/>
              <w:bottom w:val="single" w:sz="4" w:space="0" w:color="auto"/>
            </w:tcBorders>
            <w:shd w:val="clear" w:color="auto" w:fill="auto"/>
          </w:tcPr>
          <w:p w:rsidR="006247DF" w:rsidRPr="000C4345" w:rsidRDefault="006247DF" w:rsidP="00CA78D9">
            <w:pPr>
              <w:pStyle w:val="Tabelltext"/>
              <w:jc w:val="center"/>
              <w:rPr>
                <w:b/>
              </w:rPr>
            </w:pPr>
            <w:r>
              <w:rPr>
                <w:b/>
              </w:rPr>
              <w:t>201</w:t>
            </w:r>
            <w:r w:rsidR="00CA78D9">
              <w:rPr>
                <w:b/>
              </w:rPr>
              <w:t>4</w:t>
            </w:r>
          </w:p>
        </w:tc>
        <w:tc>
          <w:tcPr>
            <w:tcW w:w="2226" w:type="dxa"/>
            <w:gridSpan w:val="3"/>
            <w:tcBorders>
              <w:top w:val="single" w:sz="4" w:space="0" w:color="auto"/>
              <w:bottom w:val="single" w:sz="4" w:space="0" w:color="auto"/>
            </w:tcBorders>
            <w:shd w:val="clear" w:color="auto" w:fill="auto"/>
          </w:tcPr>
          <w:p w:rsidR="006247DF" w:rsidRPr="00276C89" w:rsidRDefault="006247DF" w:rsidP="00CA78D9">
            <w:pPr>
              <w:pStyle w:val="Tabelltext"/>
              <w:jc w:val="center"/>
              <w:rPr>
                <w:b/>
              </w:rPr>
            </w:pPr>
            <w:r w:rsidRPr="00C631B0">
              <w:rPr>
                <w:b/>
              </w:rPr>
              <w:t>20</w:t>
            </w:r>
            <w:r w:rsidRPr="00C15395">
              <w:rPr>
                <w:b/>
              </w:rPr>
              <w:t>1</w:t>
            </w:r>
            <w:r w:rsidR="00CA78D9">
              <w:rPr>
                <w:b/>
              </w:rPr>
              <w:t>3</w:t>
            </w:r>
          </w:p>
        </w:tc>
      </w:tr>
      <w:tr w:rsidR="006247DF" w:rsidRPr="00E7637B" w:rsidTr="006247DF">
        <w:tc>
          <w:tcPr>
            <w:tcW w:w="1533" w:type="dxa"/>
            <w:vMerge/>
            <w:tcBorders>
              <w:bottom w:val="single" w:sz="4" w:space="0" w:color="auto"/>
            </w:tcBorders>
            <w:shd w:val="clear" w:color="auto" w:fill="auto"/>
          </w:tcPr>
          <w:p w:rsidR="006247DF" w:rsidRPr="00E7637B" w:rsidRDefault="006247DF" w:rsidP="006247DF">
            <w:pPr>
              <w:pStyle w:val="Tabelltext"/>
            </w:pP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r w:rsidRPr="00E7637B">
              <w:rPr>
                <w:b/>
                <w:sz w:val="14"/>
                <w:szCs w:val="14"/>
              </w:rPr>
              <w:t>Netto-</w:t>
            </w:r>
          </w:p>
          <w:p w:rsidR="006247DF" w:rsidRPr="00E7637B" w:rsidRDefault="006247DF" w:rsidP="006247DF">
            <w:pPr>
              <w:pStyle w:val="Tabelltext"/>
              <w:jc w:val="right"/>
              <w:rPr>
                <w:b/>
                <w:sz w:val="14"/>
                <w:szCs w:val="14"/>
              </w:rPr>
            </w:pPr>
            <w:r w:rsidRPr="00E7637B">
              <w:rPr>
                <w:b/>
                <w:sz w:val="14"/>
                <w:szCs w:val="14"/>
              </w:rPr>
              <w:t>intäkter</w:t>
            </w: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r w:rsidRPr="00E7637B">
              <w:rPr>
                <w:b/>
                <w:sz w:val="14"/>
                <w:szCs w:val="14"/>
              </w:rPr>
              <w:t>Kost</w:t>
            </w:r>
            <w:r>
              <w:rPr>
                <w:b/>
                <w:sz w:val="14"/>
                <w:szCs w:val="14"/>
              </w:rPr>
              <w:softHyphen/>
            </w:r>
            <w:r w:rsidRPr="00E7637B">
              <w:rPr>
                <w:b/>
                <w:sz w:val="14"/>
                <w:szCs w:val="14"/>
              </w:rPr>
              <w:t>nader</w:t>
            </w: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p>
          <w:p w:rsidR="006247DF" w:rsidRPr="00E7637B" w:rsidRDefault="006247DF" w:rsidP="006247DF">
            <w:pPr>
              <w:pStyle w:val="Tabelltext"/>
              <w:jc w:val="right"/>
              <w:rPr>
                <w:b/>
                <w:sz w:val="14"/>
                <w:szCs w:val="14"/>
              </w:rPr>
            </w:pPr>
            <w:r w:rsidRPr="00E7637B">
              <w:rPr>
                <w:b/>
                <w:sz w:val="14"/>
                <w:szCs w:val="14"/>
              </w:rPr>
              <w:t>Resultat</w:t>
            </w: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r w:rsidRPr="00E7637B">
              <w:rPr>
                <w:b/>
                <w:sz w:val="14"/>
                <w:szCs w:val="14"/>
              </w:rPr>
              <w:t>Netto-</w:t>
            </w:r>
          </w:p>
          <w:p w:rsidR="006247DF" w:rsidRPr="00E7637B" w:rsidRDefault="006247DF" w:rsidP="006247DF">
            <w:pPr>
              <w:pStyle w:val="Tabelltext"/>
              <w:jc w:val="right"/>
              <w:rPr>
                <w:b/>
                <w:sz w:val="14"/>
                <w:szCs w:val="14"/>
              </w:rPr>
            </w:pPr>
            <w:r w:rsidRPr="00E7637B">
              <w:rPr>
                <w:b/>
                <w:sz w:val="14"/>
                <w:szCs w:val="14"/>
              </w:rPr>
              <w:t>intäkter</w:t>
            </w: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r w:rsidRPr="00E7637B">
              <w:rPr>
                <w:b/>
                <w:sz w:val="14"/>
                <w:szCs w:val="14"/>
              </w:rPr>
              <w:t>Kost</w:t>
            </w:r>
            <w:r>
              <w:rPr>
                <w:b/>
                <w:sz w:val="14"/>
                <w:szCs w:val="14"/>
              </w:rPr>
              <w:softHyphen/>
            </w:r>
            <w:r w:rsidRPr="00E7637B">
              <w:rPr>
                <w:b/>
                <w:sz w:val="14"/>
                <w:szCs w:val="14"/>
              </w:rPr>
              <w:t>nader</w:t>
            </w:r>
          </w:p>
        </w:tc>
        <w:tc>
          <w:tcPr>
            <w:tcW w:w="742" w:type="dxa"/>
            <w:tcBorders>
              <w:top w:val="single" w:sz="4" w:space="0" w:color="auto"/>
              <w:bottom w:val="single" w:sz="4" w:space="0" w:color="auto"/>
            </w:tcBorders>
            <w:shd w:val="clear" w:color="auto" w:fill="auto"/>
          </w:tcPr>
          <w:p w:rsidR="006247DF" w:rsidRPr="00E7637B" w:rsidRDefault="006247DF" w:rsidP="006247DF">
            <w:pPr>
              <w:pStyle w:val="Tabelltext"/>
              <w:jc w:val="right"/>
              <w:rPr>
                <w:b/>
                <w:sz w:val="14"/>
                <w:szCs w:val="14"/>
              </w:rPr>
            </w:pPr>
          </w:p>
          <w:p w:rsidR="006247DF" w:rsidRPr="00E7637B" w:rsidRDefault="006247DF" w:rsidP="006247DF">
            <w:pPr>
              <w:pStyle w:val="Tabelltext"/>
              <w:jc w:val="right"/>
              <w:rPr>
                <w:b/>
                <w:sz w:val="14"/>
                <w:szCs w:val="14"/>
              </w:rPr>
            </w:pPr>
            <w:r w:rsidRPr="00E7637B">
              <w:rPr>
                <w:b/>
                <w:sz w:val="14"/>
                <w:szCs w:val="14"/>
              </w:rPr>
              <w:t>Resultat</w:t>
            </w:r>
          </w:p>
        </w:tc>
      </w:tr>
      <w:tr w:rsidR="00CA78D9" w:rsidRPr="00E7637B" w:rsidTr="006247DF">
        <w:tc>
          <w:tcPr>
            <w:tcW w:w="1533" w:type="dxa"/>
            <w:tcBorders>
              <w:top w:val="single" w:sz="4" w:space="0" w:color="auto"/>
            </w:tcBorders>
            <w:shd w:val="clear" w:color="auto" w:fill="auto"/>
          </w:tcPr>
          <w:p w:rsidR="00CA78D9" w:rsidRPr="00E7637B" w:rsidRDefault="00CA78D9" w:rsidP="006247DF">
            <w:pPr>
              <w:pStyle w:val="Tabelltext"/>
              <w:spacing w:before="60"/>
            </w:pPr>
            <w:r w:rsidRPr="00E7637B">
              <w:t>Penningpolitik</w:t>
            </w:r>
          </w:p>
        </w:tc>
        <w:tc>
          <w:tcPr>
            <w:tcW w:w="742" w:type="dxa"/>
            <w:tcBorders>
              <w:top w:val="single" w:sz="4" w:space="0" w:color="auto"/>
            </w:tcBorders>
            <w:shd w:val="clear" w:color="auto" w:fill="auto"/>
          </w:tcPr>
          <w:p w:rsidR="00CA78D9" w:rsidRPr="006D3F80" w:rsidRDefault="006D3F80" w:rsidP="002327C2">
            <w:pPr>
              <w:pStyle w:val="Tabelltext"/>
              <w:spacing w:before="60"/>
              <w:jc w:val="right"/>
            </w:pPr>
            <w:r>
              <w:t>4</w:t>
            </w:r>
          </w:p>
        </w:tc>
        <w:tc>
          <w:tcPr>
            <w:tcW w:w="742" w:type="dxa"/>
            <w:tcBorders>
              <w:top w:val="single" w:sz="4" w:space="0" w:color="auto"/>
            </w:tcBorders>
            <w:shd w:val="clear" w:color="auto" w:fill="auto"/>
          </w:tcPr>
          <w:p w:rsidR="00CA78D9" w:rsidRPr="006D3F80" w:rsidRDefault="00CA78D9" w:rsidP="006D3F80">
            <w:pPr>
              <w:pStyle w:val="Tabelltext"/>
              <w:spacing w:before="60"/>
              <w:jc w:val="right"/>
            </w:pPr>
            <w:r w:rsidRPr="006D3F80">
              <w:t>–</w:t>
            </w:r>
            <w:r w:rsidR="006D3F80">
              <w:t>184</w:t>
            </w:r>
          </w:p>
        </w:tc>
        <w:tc>
          <w:tcPr>
            <w:tcW w:w="742" w:type="dxa"/>
            <w:tcBorders>
              <w:top w:val="single" w:sz="4" w:space="0" w:color="auto"/>
            </w:tcBorders>
            <w:shd w:val="clear" w:color="auto" w:fill="auto"/>
          </w:tcPr>
          <w:p w:rsidR="00CA78D9" w:rsidRPr="006D3F80" w:rsidRDefault="00CA78D9" w:rsidP="002327C2">
            <w:pPr>
              <w:pStyle w:val="Tabelltext"/>
              <w:spacing w:before="60"/>
              <w:jc w:val="right"/>
            </w:pPr>
            <w:r w:rsidRPr="006D3F80">
              <w:t>–</w:t>
            </w:r>
            <w:r w:rsidR="00B061DC">
              <w:t>180</w:t>
            </w:r>
          </w:p>
        </w:tc>
        <w:tc>
          <w:tcPr>
            <w:tcW w:w="742" w:type="dxa"/>
            <w:tcBorders>
              <w:top w:val="single" w:sz="4" w:space="0" w:color="auto"/>
            </w:tcBorders>
            <w:shd w:val="clear" w:color="auto" w:fill="auto"/>
          </w:tcPr>
          <w:p w:rsidR="00CA78D9" w:rsidRPr="00135DE3" w:rsidRDefault="00CA78D9" w:rsidP="006247DF">
            <w:pPr>
              <w:pStyle w:val="Tabelltext"/>
              <w:spacing w:before="60"/>
              <w:jc w:val="right"/>
            </w:pPr>
            <w:r>
              <w:t>3</w:t>
            </w:r>
          </w:p>
        </w:tc>
        <w:tc>
          <w:tcPr>
            <w:tcW w:w="742" w:type="dxa"/>
            <w:tcBorders>
              <w:top w:val="single" w:sz="4" w:space="0" w:color="auto"/>
            </w:tcBorders>
            <w:shd w:val="clear" w:color="auto" w:fill="auto"/>
          </w:tcPr>
          <w:p w:rsidR="00CA78D9" w:rsidRPr="00262BC2" w:rsidRDefault="00CA78D9" w:rsidP="006247DF">
            <w:pPr>
              <w:pStyle w:val="Tabelltext"/>
              <w:spacing w:before="60"/>
              <w:jc w:val="right"/>
            </w:pPr>
            <w:r>
              <w:t>–187</w:t>
            </w:r>
          </w:p>
        </w:tc>
        <w:tc>
          <w:tcPr>
            <w:tcW w:w="742" w:type="dxa"/>
            <w:tcBorders>
              <w:top w:val="single" w:sz="4" w:space="0" w:color="auto"/>
            </w:tcBorders>
            <w:shd w:val="clear" w:color="auto" w:fill="auto"/>
          </w:tcPr>
          <w:p w:rsidR="00CA78D9" w:rsidRPr="00135DE3" w:rsidRDefault="00CA78D9" w:rsidP="006247DF">
            <w:pPr>
              <w:pStyle w:val="Tabelltext"/>
              <w:spacing w:before="60"/>
              <w:jc w:val="right"/>
            </w:pPr>
            <w:r>
              <w:t>–184</w:t>
            </w:r>
          </w:p>
        </w:tc>
      </w:tr>
      <w:tr w:rsidR="00CA78D9" w:rsidRPr="00E7637B" w:rsidTr="006247DF">
        <w:tc>
          <w:tcPr>
            <w:tcW w:w="1533" w:type="dxa"/>
            <w:shd w:val="clear" w:color="auto" w:fill="auto"/>
          </w:tcPr>
          <w:p w:rsidR="00CA78D9" w:rsidRPr="00262BC2" w:rsidRDefault="00CA78D9" w:rsidP="006247DF">
            <w:pPr>
              <w:pStyle w:val="Tabelltext"/>
              <w:spacing w:before="60"/>
            </w:pPr>
            <w:r w:rsidRPr="00262BC2">
              <w:t>Finansiell stabilitet</w:t>
            </w:r>
          </w:p>
        </w:tc>
        <w:tc>
          <w:tcPr>
            <w:tcW w:w="742" w:type="dxa"/>
            <w:shd w:val="clear" w:color="auto" w:fill="auto"/>
          </w:tcPr>
          <w:p w:rsidR="00CA78D9" w:rsidRPr="006D3F80" w:rsidRDefault="006D3F80" w:rsidP="002327C2">
            <w:pPr>
              <w:pStyle w:val="Tabelltext"/>
              <w:spacing w:before="60"/>
              <w:jc w:val="right"/>
            </w:pPr>
            <w:r>
              <w:t>43</w:t>
            </w:r>
          </w:p>
        </w:tc>
        <w:tc>
          <w:tcPr>
            <w:tcW w:w="742" w:type="dxa"/>
            <w:shd w:val="clear" w:color="auto" w:fill="auto"/>
          </w:tcPr>
          <w:p w:rsidR="00CA78D9" w:rsidRPr="006D3F80" w:rsidRDefault="00CA78D9" w:rsidP="006D3F80">
            <w:pPr>
              <w:pStyle w:val="Tabelltext"/>
              <w:spacing w:before="60"/>
              <w:jc w:val="right"/>
            </w:pPr>
            <w:r w:rsidRPr="006D3F80">
              <w:t>–</w:t>
            </w:r>
            <w:r w:rsidR="006D3F80">
              <w:t>178</w:t>
            </w:r>
          </w:p>
        </w:tc>
        <w:tc>
          <w:tcPr>
            <w:tcW w:w="742" w:type="dxa"/>
            <w:shd w:val="clear" w:color="auto" w:fill="auto"/>
          </w:tcPr>
          <w:p w:rsidR="00CA78D9" w:rsidRPr="006D3F80" w:rsidRDefault="00CA78D9" w:rsidP="006D3F80">
            <w:pPr>
              <w:pStyle w:val="Tabelltext"/>
              <w:spacing w:before="60"/>
              <w:jc w:val="right"/>
            </w:pPr>
            <w:r w:rsidRPr="006D3F80">
              <w:t>–</w:t>
            </w:r>
            <w:r w:rsidR="00B061DC">
              <w:t>135</w:t>
            </w:r>
          </w:p>
        </w:tc>
        <w:tc>
          <w:tcPr>
            <w:tcW w:w="742" w:type="dxa"/>
            <w:shd w:val="clear" w:color="auto" w:fill="auto"/>
          </w:tcPr>
          <w:p w:rsidR="00CA78D9" w:rsidRPr="00135DE3" w:rsidRDefault="00CA78D9" w:rsidP="006247DF">
            <w:pPr>
              <w:pStyle w:val="Tabelltext"/>
              <w:spacing w:before="60"/>
              <w:jc w:val="right"/>
            </w:pPr>
            <w:r>
              <w:t>59</w:t>
            </w:r>
          </w:p>
        </w:tc>
        <w:tc>
          <w:tcPr>
            <w:tcW w:w="742" w:type="dxa"/>
            <w:shd w:val="clear" w:color="auto" w:fill="auto"/>
          </w:tcPr>
          <w:p w:rsidR="00CA78D9" w:rsidRPr="00262BC2" w:rsidRDefault="00CA78D9" w:rsidP="006247DF">
            <w:pPr>
              <w:pStyle w:val="Tabelltext"/>
              <w:spacing w:before="60"/>
              <w:jc w:val="right"/>
            </w:pPr>
            <w:r>
              <w:t>–178</w:t>
            </w:r>
          </w:p>
        </w:tc>
        <w:tc>
          <w:tcPr>
            <w:tcW w:w="742" w:type="dxa"/>
            <w:shd w:val="clear" w:color="auto" w:fill="auto"/>
          </w:tcPr>
          <w:p w:rsidR="00CA78D9" w:rsidRPr="00135DE3" w:rsidRDefault="00CA78D9" w:rsidP="006247DF">
            <w:pPr>
              <w:pStyle w:val="Tabelltext"/>
              <w:spacing w:before="60"/>
              <w:jc w:val="right"/>
            </w:pPr>
            <w:r>
              <w:t>–119</w:t>
            </w:r>
          </w:p>
        </w:tc>
      </w:tr>
      <w:tr w:rsidR="00CA78D9" w:rsidRPr="00E7637B" w:rsidTr="006247DF">
        <w:tc>
          <w:tcPr>
            <w:tcW w:w="1533" w:type="dxa"/>
            <w:shd w:val="clear" w:color="auto" w:fill="auto"/>
          </w:tcPr>
          <w:p w:rsidR="00CA78D9" w:rsidRPr="00262BC2" w:rsidRDefault="00CA78D9" w:rsidP="006247DF">
            <w:pPr>
              <w:pStyle w:val="Tabelltext"/>
              <w:spacing w:before="60"/>
            </w:pPr>
            <w:r w:rsidRPr="00262BC2">
              <w:t>Betalningssystem</w:t>
            </w:r>
          </w:p>
        </w:tc>
        <w:tc>
          <w:tcPr>
            <w:tcW w:w="742" w:type="dxa"/>
            <w:shd w:val="clear" w:color="auto" w:fill="auto"/>
          </w:tcPr>
          <w:p w:rsidR="00CA78D9" w:rsidRPr="006D3F80" w:rsidRDefault="006D3F80" w:rsidP="002327C2">
            <w:pPr>
              <w:pStyle w:val="Tabelltext"/>
              <w:spacing w:before="60"/>
              <w:jc w:val="right"/>
            </w:pPr>
            <w:r>
              <w:t>64</w:t>
            </w:r>
          </w:p>
        </w:tc>
        <w:tc>
          <w:tcPr>
            <w:tcW w:w="742" w:type="dxa"/>
            <w:shd w:val="clear" w:color="auto" w:fill="auto"/>
          </w:tcPr>
          <w:p w:rsidR="00CA78D9" w:rsidRPr="006D3F80" w:rsidRDefault="00CA78D9" w:rsidP="002327C2">
            <w:pPr>
              <w:pStyle w:val="Tabelltext"/>
              <w:spacing w:before="60"/>
              <w:jc w:val="right"/>
            </w:pPr>
            <w:r w:rsidRPr="006D3F80">
              <w:t>–</w:t>
            </w:r>
            <w:r w:rsidR="006D3F80">
              <w:t>57</w:t>
            </w:r>
          </w:p>
        </w:tc>
        <w:tc>
          <w:tcPr>
            <w:tcW w:w="742" w:type="dxa"/>
            <w:shd w:val="clear" w:color="auto" w:fill="auto"/>
          </w:tcPr>
          <w:p w:rsidR="00CA78D9" w:rsidRPr="006D3F80" w:rsidRDefault="00B061DC" w:rsidP="002327C2">
            <w:pPr>
              <w:pStyle w:val="Tabelltext"/>
              <w:spacing w:before="60"/>
              <w:jc w:val="right"/>
            </w:pPr>
            <w:r>
              <w:t>7</w:t>
            </w:r>
          </w:p>
        </w:tc>
        <w:tc>
          <w:tcPr>
            <w:tcW w:w="742" w:type="dxa"/>
            <w:shd w:val="clear" w:color="auto" w:fill="auto"/>
          </w:tcPr>
          <w:p w:rsidR="00CA78D9" w:rsidRPr="00E7637B" w:rsidRDefault="00CA78D9" w:rsidP="006247DF">
            <w:pPr>
              <w:pStyle w:val="Tabelltext"/>
              <w:spacing w:before="60"/>
              <w:jc w:val="right"/>
            </w:pPr>
            <w:r>
              <w:t>65</w:t>
            </w:r>
          </w:p>
        </w:tc>
        <w:tc>
          <w:tcPr>
            <w:tcW w:w="742" w:type="dxa"/>
            <w:shd w:val="clear" w:color="auto" w:fill="auto"/>
          </w:tcPr>
          <w:p w:rsidR="00CA78D9" w:rsidRPr="00262BC2" w:rsidRDefault="00CA78D9" w:rsidP="006247DF">
            <w:pPr>
              <w:pStyle w:val="Tabelltext"/>
              <w:spacing w:before="60"/>
              <w:jc w:val="right"/>
            </w:pPr>
            <w:r>
              <w:t>–57</w:t>
            </w:r>
          </w:p>
        </w:tc>
        <w:tc>
          <w:tcPr>
            <w:tcW w:w="742" w:type="dxa"/>
            <w:shd w:val="clear" w:color="auto" w:fill="auto"/>
          </w:tcPr>
          <w:p w:rsidR="00CA78D9" w:rsidRPr="00262BC2" w:rsidRDefault="00CA78D9" w:rsidP="006247DF">
            <w:pPr>
              <w:pStyle w:val="Tabelltext"/>
              <w:spacing w:before="60"/>
              <w:jc w:val="right"/>
            </w:pPr>
            <w:r>
              <w:t>8</w:t>
            </w:r>
          </w:p>
        </w:tc>
      </w:tr>
      <w:tr w:rsidR="00CA78D9" w:rsidRPr="00E7637B" w:rsidTr="006247DF">
        <w:tc>
          <w:tcPr>
            <w:tcW w:w="1533" w:type="dxa"/>
            <w:shd w:val="clear" w:color="auto" w:fill="auto"/>
          </w:tcPr>
          <w:p w:rsidR="00CA78D9" w:rsidRPr="00262BC2" w:rsidRDefault="00CA78D9" w:rsidP="006247DF">
            <w:pPr>
              <w:pStyle w:val="Tabelltext"/>
              <w:spacing w:before="60"/>
            </w:pPr>
            <w:r w:rsidRPr="00262BC2">
              <w:t>Kontant</w:t>
            </w:r>
            <w:r>
              <w:t>försörjning</w:t>
            </w:r>
          </w:p>
        </w:tc>
        <w:tc>
          <w:tcPr>
            <w:tcW w:w="742" w:type="dxa"/>
            <w:shd w:val="clear" w:color="auto" w:fill="auto"/>
          </w:tcPr>
          <w:p w:rsidR="00CA78D9" w:rsidRPr="006D3F80" w:rsidRDefault="006D3F80" w:rsidP="002327C2">
            <w:pPr>
              <w:pStyle w:val="Tabelltext"/>
              <w:spacing w:before="60"/>
              <w:jc w:val="right"/>
            </w:pPr>
            <w:r>
              <w:t>9</w:t>
            </w:r>
          </w:p>
        </w:tc>
        <w:tc>
          <w:tcPr>
            <w:tcW w:w="742" w:type="dxa"/>
            <w:shd w:val="clear" w:color="auto" w:fill="auto"/>
          </w:tcPr>
          <w:p w:rsidR="00CA78D9" w:rsidRPr="006D3F80" w:rsidRDefault="00CA78D9" w:rsidP="002327C2">
            <w:pPr>
              <w:pStyle w:val="Tabelltext"/>
              <w:spacing w:before="60"/>
              <w:jc w:val="right"/>
            </w:pPr>
            <w:r w:rsidRPr="006D3F80">
              <w:t>–</w:t>
            </w:r>
            <w:r w:rsidR="006D3F80">
              <w:t>282</w:t>
            </w:r>
          </w:p>
        </w:tc>
        <w:tc>
          <w:tcPr>
            <w:tcW w:w="742" w:type="dxa"/>
            <w:shd w:val="clear" w:color="auto" w:fill="auto"/>
          </w:tcPr>
          <w:p w:rsidR="00CA78D9" w:rsidRPr="006D3F80" w:rsidRDefault="00CA78D9" w:rsidP="002327C2">
            <w:pPr>
              <w:pStyle w:val="Tabelltext"/>
              <w:spacing w:before="60"/>
              <w:jc w:val="right"/>
            </w:pPr>
            <w:r w:rsidRPr="006D3F80">
              <w:t>–</w:t>
            </w:r>
            <w:r w:rsidR="00B061DC">
              <w:t>273</w:t>
            </w:r>
          </w:p>
        </w:tc>
        <w:tc>
          <w:tcPr>
            <w:tcW w:w="742" w:type="dxa"/>
            <w:shd w:val="clear" w:color="auto" w:fill="auto"/>
          </w:tcPr>
          <w:p w:rsidR="00CA78D9" w:rsidRPr="00E7637B" w:rsidRDefault="00CA78D9" w:rsidP="006247DF">
            <w:pPr>
              <w:pStyle w:val="Tabelltext"/>
              <w:spacing w:before="60"/>
              <w:jc w:val="right"/>
            </w:pPr>
            <w:r>
              <w:t>–10</w:t>
            </w:r>
          </w:p>
        </w:tc>
        <w:tc>
          <w:tcPr>
            <w:tcW w:w="742" w:type="dxa"/>
            <w:shd w:val="clear" w:color="auto" w:fill="auto"/>
          </w:tcPr>
          <w:p w:rsidR="00CA78D9" w:rsidRPr="00262BC2" w:rsidRDefault="00CA78D9" w:rsidP="006247DF">
            <w:pPr>
              <w:pStyle w:val="Tabelltext"/>
              <w:spacing w:before="60"/>
              <w:jc w:val="right"/>
            </w:pPr>
            <w:r>
              <w:t>–163</w:t>
            </w:r>
          </w:p>
        </w:tc>
        <w:tc>
          <w:tcPr>
            <w:tcW w:w="742" w:type="dxa"/>
            <w:shd w:val="clear" w:color="auto" w:fill="auto"/>
          </w:tcPr>
          <w:p w:rsidR="00CA78D9" w:rsidRPr="00E7637B" w:rsidRDefault="00CA78D9" w:rsidP="006247DF">
            <w:pPr>
              <w:pStyle w:val="Tabelltext"/>
              <w:spacing w:before="60"/>
              <w:jc w:val="right"/>
            </w:pPr>
            <w:r>
              <w:t>–173</w:t>
            </w:r>
          </w:p>
        </w:tc>
      </w:tr>
      <w:tr w:rsidR="00CA78D9" w:rsidRPr="00E7637B" w:rsidTr="006247DF">
        <w:tc>
          <w:tcPr>
            <w:tcW w:w="1533" w:type="dxa"/>
            <w:shd w:val="clear" w:color="auto" w:fill="auto"/>
          </w:tcPr>
          <w:p w:rsidR="00CA78D9" w:rsidRPr="00E7637B" w:rsidRDefault="00CA78D9" w:rsidP="006247DF">
            <w:pPr>
              <w:pStyle w:val="Tabelltext"/>
              <w:spacing w:before="60"/>
            </w:pPr>
            <w:r w:rsidRPr="00E7637B">
              <w:t>Tillgångsförvaltning</w:t>
            </w:r>
          </w:p>
        </w:tc>
        <w:tc>
          <w:tcPr>
            <w:tcW w:w="742" w:type="dxa"/>
            <w:shd w:val="clear" w:color="auto" w:fill="auto"/>
          </w:tcPr>
          <w:p w:rsidR="00CA78D9" w:rsidRPr="006D3F80" w:rsidRDefault="006D3F80" w:rsidP="002327C2">
            <w:pPr>
              <w:pStyle w:val="Tabelltext"/>
              <w:spacing w:before="60"/>
              <w:jc w:val="right"/>
            </w:pPr>
            <w:r>
              <w:t>4 061</w:t>
            </w:r>
          </w:p>
        </w:tc>
        <w:tc>
          <w:tcPr>
            <w:tcW w:w="742" w:type="dxa"/>
            <w:shd w:val="clear" w:color="auto" w:fill="auto"/>
          </w:tcPr>
          <w:p w:rsidR="00CA78D9" w:rsidRPr="006D3F80" w:rsidRDefault="00CA78D9" w:rsidP="002327C2">
            <w:pPr>
              <w:pStyle w:val="Tabelltext"/>
              <w:spacing w:before="60"/>
              <w:jc w:val="right"/>
            </w:pPr>
            <w:r w:rsidRPr="006D3F80">
              <w:t>–</w:t>
            </w:r>
            <w:r w:rsidR="006D3F80">
              <w:t>97</w:t>
            </w:r>
          </w:p>
        </w:tc>
        <w:tc>
          <w:tcPr>
            <w:tcW w:w="742" w:type="dxa"/>
            <w:shd w:val="clear" w:color="auto" w:fill="auto"/>
          </w:tcPr>
          <w:p w:rsidR="00CA78D9" w:rsidRPr="006D3F80" w:rsidRDefault="00B061DC" w:rsidP="002327C2">
            <w:pPr>
              <w:pStyle w:val="Tabelltext"/>
              <w:spacing w:before="60"/>
              <w:jc w:val="right"/>
            </w:pPr>
            <w:r>
              <w:t>3 964</w:t>
            </w:r>
          </w:p>
        </w:tc>
        <w:tc>
          <w:tcPr>
            <w:tcW w:w="742" w:type="dxa"/>
            <w:shd w:val="clear" w:color="auto" w:fill="auto"/>
          </w:tcPr>
          <w:p w:rsidR="00CA78D9" w:rsidRPr="00135DE3" w:rsidRDefault="00CA78D9" w:rsidP="006247DF">
            <w:pPr>
              <w:pStyle w:val="Tabelltext"/>
              <w:spacing w:before="60"/>
              <w:jc w:val="right"/>
            </w:pPr>
            <w:r>
              <w:t>–1 339</w:t>
            </w:r>
          </w:p>
        </w:tc>
        <w:tc>
          <w:tcPr>
            <w:tcW w:w="742" w:type="dxa"/>
            <w:shd w:val="clear" w:color="auto" w:fill="auto"/>
          </w:tcPr>
          <w:p w:rsidR="00CA78D9" w:rsidRPr="00262BC2" w:rsidRDefault="00CA78D9" w:rsidP="006247DF">
            <w:pPr>
              <w:pStyle w:val="Tabelltext"/>
              <w:spacing w:before="60"/>
              <w:jc w:val="right"/>
            </w:pPr>
            <w:r>
              <w:t>–93</w:t>
            </w:r>
          </w:p>
        </w:tc>
        <w:tc>
          <w:tcPr>
            <w:tcW w:w="742" w:type="dxa"/>
            <w:shd w:val="clear" w:color="auto" w:fill="auto"/>
          </w:tcPr>
          <w:p w:rsidR="00CA78D9" w:rsidRPr="008B28A9" w:rsidRDefault="00CA78D9" w:rsidP="006247DF">
            <w:pPr>
              <w:pStyle w:val="Tabelltext"/>
              <w:spacing w:before="60"/>
              <w:jc w:val="right"/>
            </w:pPr>
            <w:r>
              <w:t>–1 432</w:t>
            </w:r>
          </w:p>
        </w:tc>
      </w:tr>
      <w:tr w:rsidR="00CA78D9" w:rsidRPr="00E7637B" w:rsidTr="006247DF">
        <w:tc>
          <w:tcPr>
            <w:tcW w:w="1533" w:type="dxa"/>
            <w:shd w:val="clear" w:color="auto" w:fill="auto"/>
          </w:tcPr>
          <w:p w:rsidR="00CA78D9" w:rsidRPr="00E7637B" w:rsidRDefault="00CA78D9" w:rsidP="006247DF">
            <w:pPr>
              <w:pStyle w:val="Tabelltext"/>
              <w:spacing w:before="60"/>
            </w:pPr>
            <w:r w:rsidRPr="00E7637B">
              <w:t>Statistik</w:t>
            </w:r>
          </w:p>
        </w:tc>
        <w:tc>
          <w:tcPr>
            <w:tcW w:w="742" w:type="dxa"/>
            <w:shd w:val="clear" w:color="auto" w:fill="auto"/>
          </w:tcPr>
          <w:p w:rsidR="00CA78D9" w:rsidRPr="006D3F80" w:rsidRDefault="006D3F80" w:rsidP="002327C2">
            <w:pPr>
              <w:pStyle w:val="Tabelltext"/>
              <w:spacing w:before="60"/>
              <w:jc w:val="right"/>
            </w:pPr>
            <w:r>
              <w:t>0</w:t>
            </w:r>
          </w:p>
        </w:tc>
        <w:tc>
          <w:tcPr>
            <w:tcW w:w="742" w:type="dxa"/>
            <w:shd w:val="clear" w:color="auto" w:fill="auto"/>
          </w:tcPr>
          <w:p w:rsidR="00CA78D9" w:rsidRPr="006D3F80" w:rsidRDefault="00CA78D9" w:rsidP="002327C2">
            <w:pPr>
              <w:pStyle w:val="Tabelltext"/>
              <w:spacing w:before="60"/>
              <w:jc w:val="right"/>
            </w:pPr>
            <w:r w:rsidRPr="006D3F80">
              <w:t>–</w:t>
            </w:r>
            <w:r w:rsidR="00B061DC">
              <w:t>103</w:t>
            </w:r>
          </w:p>
        </w:tc>
        <w:tc>
          <w:tcPr>
            <w:tcW w:w="742" w:type="dxa"/>
            <w:shd w:val="clear" w:color="auto" w:fill="auto"/>
          </w:tcPr>
          <w:p w:rsidR="00CA78D9" w:rsidRPr="006D3F80" w:rsidRDefault="00CA78D9" w:rsidP="002327C2">
            <w:pPr>
              <w:pStyle w:val="Tabelltext"/>
              <w:spacing w:before="60"/>
              <w:jc w:val="right"/>
            </w:pPr>
            <w:r w:rsidRPr="006D3F80">
              <w:t>–</w:t>
            </w:r>
            <w:r w:rsidR="00B061DC">
              <w:t>103</w:t>
            </w:r>
          </w:p>
        </w:tc>
        <w:tc>
          <w:tcPr>
            <w:tcW w:w="742" w:type="dxa"/>
            <w:shd w:val="clear" w:color="auto" w:fill="auto"/>
          </w:tcPr>
          <w:p w:rsidR="00CA78D9" w:rsidRPr="00262BC2" w:rsidRDefault="00CA78D9" w:rsidP="006247DF">
            <w:pPr>
              <w:pStyle w:val="Tabelltext"/>
              <w:spacing w:before="60"/>
              <w:jc w:val="right"/>
            </w:pPr>
            <w:r>
              <w:t>0</w:t>
            </w:r>
          </w:p>
        </w:tc>
        <w:tc>
          <w:tcPr>
            <w:tcW w:w="742" w:type="dxa"/>
            <w:shd w:val="clear" w:color="auto" w:fill="auto"/>
          </w:tcPr>
          <w:p w:rsidR="00CA78D9" w:rsidRPr="00262BC2" w:rsidRDefault="00CA78D9" w:rsidP="006247DF">
            <w:pPr>
              <w:pStyle w:val="Tabelltext"/>
              <w:spacing w:before="60"/>
              <w:jc w:val="right"/>
            </w:pPr>
            <w:r>
              <w:t>–95</w:t>
            </w:r>
          </w:p>
        </w:tc>
        <w:tc>
          <w:tcPr>
            <w:tcW w:w="742" w:type="dxa"/>
            <w:shd w:val="clear" w:color="auto" w:fill="auto"/>
          </w:tcPr>
          <w:p w:rsidR="00CA78D9" w:rsidRPr="00262BC2" w:rsidRDefault="00CA78D9" w:rsidP="006247DF">
            <w:pPr>
              <w:pStyle w:val="Tabelltext"/>
              <w:spacing w:before="60"/>
              <w:jc w:val="right"/>
            </w:pPr>
            <w:r>
              <w:t>–95</w:t>
            </w:r>
          </w:p>
        </w:tc>
      </w:tr>
      <w:tr w:rsidR="00CA78D9" w:rsidRPr="00E7637B" w:rsidTr="00C77015">
        <w:tc>
          <w:tcPr>
            <w:tcW w:w="1533" w:type="dxa"/>
            <w:tcBorders>
              <w:bottom w:val="single" w:sz="4" w:space="0" w:color="auto"/>
            </w:tcBorders>
            <w:shd w:val="clear" w:color="auto" w:fill="auto"/>
          </w:tcPr>
          <w:p w:rsidR="00CA78D9" w:rsidRPr="00E7637B" w:rsidRDefault="00CA78D9" w:rsidP="006247DF">
            <w:pPr>
              <w:pStyle w:val="Tabelltext"/>
              <w:spacing w:before="60"/>
            </w:pPr>
            <w:r>
              <w:t>Ekonomipris och f</w:t>
            </w:r>
            <w:r w:rsidRPr="00E7637B">
              <w:t xml:space="preserve">ullmäktige </w:t>
            </w:r>
            <w:r>
              <w:t>m.m.</w:t>
            </w:r>
          </w:p>
        </w:tc>
        <w:tc>
          <w:tcPr>
            <w:tcW w:w="742" w:type="dxa"/>
            <w:tcBorders>
              <w:bottom w:val="single" w:sz="4" w:space="0" w:color="auto"/>
            </w:tcBorders>
            <w:shd w:val="clear" w:color="auto" w:fill="auto"/>
          </w:tcPr>
          <w:p w:rsidR="00CA78D9" w:rsidRPr="006D3F80" w:rsidRDefault="00CA78D9" w:rsidP="002327C2">
            <w:pPr>
              <w:pStyle w:val="Tabelltext"/>
              <w:spacing w:before="60"/>
              <w:jc w:val="right"/>
            </w:pPr>
            <w:r w:rsidRPr="006D3F80">
              <w:br/>
            </w:r>
            <w:r w:rsidR="00B061DC">
              <w:t>3</w:t>
            </w:r>
          </w:p>
        </w:tc>
        <w:tc>
          <w:tcPr>
            <w:tcW w:w="742" w:type="dxa"/>
            <w:tcBorders>
              <w:bottom w:val="single" w:sz="4" w:space="0" w:color="auto"/>
            </w:tcBorders>
            <w:shd w:val="clear" w:color="auto" w:fill="auto"/>
          </w:tcPr>
          <w:p w:rsidR="00CA78D9" w:rsidRPr="006D3F80" w:rsidRDefault="00CA78D9" w:rsidP="002327C2">
            <w:pPr>
              <w:pStyle w:val="Tabelltext"/>
              <w:spacing w:before="60"/>
              <w:jc w:val="right"/>
            </w:pPr>
            <w:r w:rsidRPr="006D3F80">
              <w:br/>
              <w:t>–</w:t>
            </w:r>
            <w:r w:rsidR="00B061DC">
              <w:t>16</w:t>
            </w:r>
          </w:p>
        </w:tc>
        <w:tc>
          <w:tcPr>
            <w:tcW w:w="742" w:type="dxa"/>
            <w:tcBorders>
              <w:bottom w:val="single" w:sz="4" w:space="0" w:color="auto"/>
            </w:tcBorders>
            <w:shd w:val="clear" w:color="auto" w:fill="auto"/>
          </w:tcPr>
          <w:p w:rsidR="00CA78D9" w:rsidRPr="006D3F80" w:rsidRDefault="00CA78D9" w:rsidP="002327C2">
            <w:pPr>
              <w:pStyle w:val="Tabelltext"/>
              <w:spacing w:before="60"/>
              <w:jc w:val="right"/>
            </w:pPr>
            <w:r w:rsidRPr="006D3F80">
              <w:softHyphen/>
            </w:r>
            <w:r w:rsidRPr="006D3F80">
              <w:br/>
              <w:t>–</w:t>
            </w:r>
            <w:r w:rsidR="00B061DC">
              <w:t>13</w:t>
            </w:r>
          </w:p>
        </w:tc>
        <w:tc>
          <w:tcPr>
            <w:tcW w:w="742" w:type="dxa"/>
            <w:tcBorders>
              <w:bottom w:val="single" w:sz="4" w:space="0" w:color="auto"/>
            </w:tcBorders>
            <w:shd w:val="clear" w:color="auto" w:fill="auto"/>
          </w:tcPr>
          <w:p w:rsidR="00CA78D9" w:rsidRPr="000C4345" w:rsidRDefault="00CA78D9" w:rsidP="006247DF">
            <w:pPr>
              <w:pStyle w:val="Tabelltext"/>
              <w:spacing w:before="60"/>
              <w:jc w:val="right"/>
            </w:pPr>
            <w:r>
              <w:br/>
              <w:t>1</w:t>
            </w:r>
          </w:p>
        </w:tc>
        <w:tc>
          <w:tcPr>
            <w:tcW w:w="742" w:type="dxa"/>
            <w:tcBorders>
              <w:bottom w:val="single" w:sz="4" w:space="0" w:color="auto"/>
            </w:tcBorders>
            <w:shd w:val="clear" w:color="auto" w:fill="auto"/>
          </w:tcPr>
          <w:p w:rsidR="00CA78D9" w:rsidRPr="00C15395" w:rsidRDefault="00CA78D9" w:rsidP="006247DF">
            <w:pPr>
              <w:pStyle w:val="Tabelltext"/>
              <w:spacing w:before="60"/>
              <w:jc w:val="right"/>
            </w:pPr>
            <w:r>
              <w:br/>
              <w:t>–17</w:t>
            </w:r>
          </w:p>
        </w:tc>
        <w:tc>
          <w:tcPr>
            <w:tcW w:w="742" w:type="dxa"/>
            <w:tcBorders>
              <w:bottom w:val="single" w:sz="4" w:space="0" w:color="auto"/>
            </w:tcBorders>
            <w:shd w:val="clear" w:color="auto" w:fill="auto"/>
          </w:tcPr>
          <w:p w:rsidR="00CA78D9" w:rsidRPr="00C15395" w:rsidRDefault="00CA78D9" w:rsidP="006247DF">
            <w:pPr>
              <w:pStyle w:val="Tabelltext"/>
              <w:spacing w:before="60"/>
              <w:jc w:val="right"/>
            </w:pPr>
            <w:r>
              <w:softHyphen/>
            </w:r>
            <w:r>
              <w:br/>
              <w:t>–16</w:t>
            </w:r>
          </w:p>
        </w:tc>
      </w:tr>
      <w:tr w:rsidR="00CA78D9" w:rsidRPr="00E7637B" w:rsidTr="00C77015">
        <w:tc>
          <w:tcPr>
            <w:tcW w:w="1533" w:type="dxa"/>
            <w:tcBorders>
              <w:top w:val="single" w:sz="4" w:space="0" w:color="auto"/>
              <w:bottom w:val="single" w:sz="4" w:space="0" w:color="auto"/>
            </w:tcBorders>
            <w:shd w:val="clear" w:color="auto" w:fill="auto"/>
          </w:tcPr>
          <w:p w:rsidR="00CA78D9" w:rsidRPr="00262BC2" w:rsidRDefault="00CA78D9" w:rsidP="006247DF">
            <w:pPr>
              <w:pStyle w:val="Tabelltext"/>
              <w:spacing w:before="60"/>
              <w:rPr>
                <w:b/>
              </w:rPr>
            </w:pPr>
            <w:r w:rsidRPr="00262BC2">
              <w:rPr>
                <w:b/>
              </w:rPr>
              <w:t xml:space="preserve">Summa </w:t>
            </w:r>
          </w:p>
        </w:tc>
        <w:tc>
          <w:tcPr>
            <w:tcW w:w="742" w:type="dxa"/>
            <w:tcBorders>
              <w:top w:val="single" w:sz="4" w:space="0" w:color="auto"/>
              <w:bottom w:val="single" w:sz="4" w:space="0" w:color="auto"/>
            </w:tcBorders>
            <w:shd w:val="clear" w:color="auto" w:fill="auto"/>
          </w:tcPr>
          <w:p w:rsidR="00CA78D9" w:rsidRPr="006D3F80" w:rsidRDefault="006D3F80" w:rsidP="002327C2">
            <w:pPr>
              <w:pStyle w:val="Tabelltextsiffror"/>
              <w:spacing w:before="60"/>
              <w:rPr>
                <w:b/>
              </w:rPr>
            </w:pPr>
            <w:r w:rsidRPr="005B5BDB">
              <w:rPr>
                <w:b/>
              </w:rPr>
              <w:t>4 184</w:t>
            </w:r>
          </w:p>
        </w:tc>
        <w:tc>
          <w:tcPr>
            <w:tcW w:w="742" w:type="dxa"/>
            <w:tcBorders>
              <w:top w:val="single" w:sz="4" w:space="0" w:color="auto"/>
              <w:bottom w:val="single" w:sz="4" w:space="0" w:color="auto"/>
            </w:tcBorders>
            <w:shd w:val="clear" w:color="auto" w:fill="auto"/>
          </w:tcPr>
          <w:p w:rsidR="00CA78D9" w:rsidRPr="006D3F80" w:rsidRDefault="00CA78D9" w:rsidP="002327C2">
            <w:pPr>
              <w:pStyle w:val="Tabelltextsiffror"/>
              <w:spacing w:before="60"/>
              <w:rPr>
                <w:b/>
              </w:rPr>
            </w:pPr>
            <w:r w:rsidRPr="005B5BDB">
              <w:rPr>
                <w:b/>
              </w:rPr>
              <w:t>–</w:t>
            </w:r>
            <w:r w:rsidR="00B061DC" w:rsidRPr="005B5BDB">
              <w:rPr>
                <w:b/>
              </w:rPr>
              <w:t>917</w:t>
            </w:r>
          </w:p>
        </w:tc>
        <w:tc>
          <w:tcPr>
            <w:tcW w:w="742" w:type="dxa"/>
            <w:tcBorders>
              <w:top w:val="single" w:sz="4" w:space="0" w:color="auto"/>
              <w:bottom w:val="single" w:sz="4" w:space="0" w:color="auto"/>
            </w:tcBorders>
            <w:shd w:val="clear" w:color="auto" w:fill="auto"/>
          </w:tcPr>
          <w:p w:rsidR="00CA78D9" w:rsidRPr="006D3F80" w:rsidRDefault="00B061DC" w:rsidP="002327C2">
            <w:pPr>
              <w:pStyle w:val="Tabelltextsiffror"/>
              <w:spacing w:before="60"/>
              <w:rPr>
                <w:b/>
              </w:rPr>
            </w:pPr>
            <w:r w:rsidRPr="005B5BDB">
              <w:rPr>
                <w:b/>
              </w:rPr>
              <w:t>3 267</w:t>
            </w:r>
          </w:p>
        </w:tc>
        <w:tc>
          <w:tcPr>
            <w:tcW w:w="742" w:type="dxa"/>
            <w:tcBorders>
              <w:top w:val="single" w:sz="4" w:space="0" w:color="auto"/>
              <w:bottom w:val="single" w:sz="4" w:space="0" w:color="auto"/>
            </w:tcBorders>
            <w:shd w:val="clear" w:color="auto" w:fill="auto"/>
          </w:tcPr>
          <w:p w:rsidR="00CA78D9" w:rsidRPr="00E7637B" w:rsidRDefault="00CA78D9" w:rsidP="006247DF">
            <w:pPr>
              <w:pStyle w:val="Tabelltextsiffror"/>
              <w:spacing w:before="60"/>
              <w:rPr>
                <w:b/>
              </w:rPr>
            </w:pPr>
            <w:r>
              <w:t>–</w:t>
            </w:r>
            <w:r>
              <w:rPr>
                <w:b/>
              </w:rPr>
              <w:t>1 221</w:t>
            </w:r>
          </w:p>
        </w:tc>
        <w:tc>
          <w:tcPr>
            <w:tcW w:w="742" w:type="dxa"/>
            <w:tcBorders>
              <w:top w:val="single" w:sz="4" w:space="0" w:color="auto"/>
              <w:bottom w:val="single" w:sz="4" w:space="0" w:color="auto"/>
            </w:tcBorders>
            <w:shd w:val="clear" w:color="auto" w:fill="auto"/>
          </w:tcPr>
          <w:p w:rsidR="00CA78D9" w:rsidRPr="00262BC2" w:rsidRDefault="00CA78D9" w:rsidP="006247DF">
            <w:pPr>
              <w:pStyle w:val="Tabelltextsiffror"/>
              <w:spacing w:before="60"/>
              <w:rPr>
                <w:b/>
              </w:rPr>
            </w:pPr>
            <w:r>
              <w:t>–</w:t>
            </w:r>
            <w:r>
              <w:rPr>
                <w:b/>
              </w:rPr>
              <w:t>790</w:t>
            </w:r>
          </w:p>
        </w:tc>
        <w:tc>
          <w:tcPr>
            <w:tcW w:w="742" w:type="dxa"/>
            <w:tcBorders>
              <w:top w:val="single" w:sz="4" w:space="0" w:color="auto"/>
              <w:bottom w:val="single" w:sz="4" w:space="0" w:color="auto"/>
            </w:tcBorders>
            <w:shd w:val="clear" w:color="auto" w:fill="auto"/>
          </w:tcPr>
          <w:p w:rsidR="00CA78D9" w:rsidRPr="00E7637B" w:rsidRDefault="00CA78D9" w:rsidP="006247DF">
            <w:pPr>
              <w:pStyle w:val="Tabelltextsiffror"/>
              <w:spacing w:before="60"/>
              <w:rPr>
                <w:b/>
              </w:rPr>
            </w:pPr>
            <w:r>
              <w:t>–</w:t>
            </w:r>
            <w:r>
              <w:rPr>
                <w:b/>
              </w:rPr>
              <w:t>2 011</w:t>
            </w:r>
          </w:p>
        </w:tc>
      </w:tr>
    </w:tbl>
    <w:p w:rsidR="006247DF" w:rsidRDefault="006247DF" w:rsidP="006247DF">
      <w:pPr>
        <w:spacing w:before="120"/>
      </w:pPr>
      <w:r w:rsidRPr="00A854E3">
        <w:t>De fördelade andelarna ska så nära som möjligt spegla den verkliga förbru</w:t>
      </w:r>
      <w:r w:rsidRPr="00A854E3">
        <w:t>k</w:t>
      </w:r>
      <w:r w:rsidRPr="00A854E3">
        <w:t>ningen av de resurser som tas i anspråk inom varje verksamhetsområde. Pri</w:t>
      </w:r>
      <w:r w:rsidRPr="00A854E3">
        <w:t>n</w:t>
      </w:r>
      <w:r w:rsidRPr="00A854E3">
        <w:t>cipen är att kostnaderna och intäkterna i så hög grad som möjligt direkt ska föras till respektive verksamhetsområde utan inblandning av någon förde</w:t>
      </w:r>
      <w:r w:rsidRPr="00A854E3">
        <w:t>l</w:t>
      </w:r>
      <w:r w:rsidRPr="00A854E3">
        <w:t xml:space="preserve">ningsnyckel. </w:t>
      </w:r>
    </w:p>
    <w:p w:rsidR="006247DF" w:rsidRPr="00BE09D4" w:rsidRDefault="006247DF" w:rsidP="006247DF">
      <w:pPr>
        <w:pStyle w:val="Normaltindrag"/>
      </w:pPr>
      <w:r>
        <w:t xml:space="preserve">Betalningssystemets kostnader ska finansieras av avgifter från deltagarna. Tillgångsförvaltningen ska ge så hög långsiktig avkastning som möjligt i förhållande till uppdrag och den risk som tas. För övriga verksamhetsområden finns inget krav på kostnadstäckning. </w:t>
      </w:r>
    </w:p>
    <w:p w:rsidR="006247DF" w:rsidRPr="00A854E3" w:rsidRDefault="006247DF" w:rsidP="007A632D">
      <w:pPr>
        <w:pStyle w:val="Normaltindrag"/>
        <w:suppressAutoHyphens/>
      </w:pPr>
      <w:r w:rsidRPr="00A854E3">
        <w:t xml:space="preserve">Fördelningsmodellen utgår från uppställningen i resultat- och balansräkningen, där Riksbankens </w:t>
      </w:r>
      <w:r>
        <w:t xml:space="preserve">resultat </w:t>
      </w:r>
      <w:r w:rsidRPr="00A854E3">
        <w:t>för 201</w:t>
      </w:r>
      <w:r w:rsidR="00CA78D9">
        <w:t>4</w:t>
      </w:r>
      <w:r w:rsidRPr="00A854E3">
        <w:t xml:space="preserve"> uppgår till </w:t>
      </w:r>
      <w:r w:rsidR="00CA78D9">
        <w:t>3 267</w:t>
      </w:r>
      <w:r w:rsidRPr="00A854E3">
        <w:t xml:space="preserve"> miljoner kronor (</w:t>
      </w:r>
      <w:r w:rsidR="00CA78D9">
        <w:t>–2 011</w:t>
      </w:r>
      <w:r w:rsidRPr="00A854E3">
        <w:t xml:space="preserve">) och tillgångar och skulder till </w:t>
      </w:r>
      <w:r w:rsidR="00CA78D9">
        <w:t>502</w:t>
      </w:r>
      <w:r>
        <w:t xml:space="preserve"> </w:t>
      </w:r>
      <w:r w:rsidR="00CA78D9">
        <w:t>401</w:t>
      </w:r>
      <w:r w:rsidRPr="00A854E3">
        <w:t xml:space="preserve"> miljoner kronor (</w:t>
      </w:r>
      <w:r w:rsidR="007A632D">
        <w:t>431 </w:t>
      </w:r>
      <w:r w:rsidR="00CA78D9">
        <w:t>627</w:t>
      </w:r>
      <w:r w:rsidRPr="00A854E3">
        <w:t xml:space="preserve">). </w:t>
      </w:r>
    </w:p>
    <w:p w:rsidR="006247DF" w:rsidRPr="00E7637B" w:rsidRDefault="006247DF" w:rsidP="006247DF">
      <w:pPr>
        <w:pStyle w:val="R3"/>
      </w:pPr>
      <w:r w:rsidRPr="00E7637B">
        <w:t xml:space="preserve">Fördelning av kostnader </w:t>
      </w:r>
    </w:p>
    <w:p w:rsidR="006247DF" w:rsidRPr="00C631B0" w:rsidRDefault="006247DF" w:rsidP="006247DF">
      <w:pPr>
        <w:pStyle w:val="R4"/>
        <w:spacing w:before="120"/>
      </w:pPr>
      <w:r w:rsidRPr="0030226B">
        <w:t>Personalkostnader</w:t>
      </w:r>
      <w:r>
        <w:t>,</w:t>
      </w:r>
      <w:r w:rsidRPr="0030226B">
        <w:t xml:space="preserve"> exklusiv</w:t>
      </w:r>
      <w:r w:rsidRPr="00C631B0">
        <w:t xml:space="preserve">e </w:t>
      </w:r>
      <w:r w:rsidR="00F25D6F">
        <w:t>it</w:t>
      </w:r>
      <w:r w:rsidRPr="00C631B0">
        <w:t>-personal</w:t>
      </w:r>
      <w:r>
        <w:t xml:space="preserve"> </w:t>
      </w:r>
    </w:p>
    <w:p w:rsidR="006247DF" w:rsidRPr="008B28A9" w:rsidRDefault="006247DF" w:rsidP="00216E66">
      <w:pPr>
        <w:suppressAutoHyphens/>
      </w:pPr>
      <w:r w:rsidRPr="00C15395">
        <w:t>Personalkostnaderna för de medarbetare som är direkt involverade i ett ver</w:t>
      </w:r>
      <w:r w:rsidRPr="000C4345">
        <w:t>k</w:t>
      </w:r>
      <w:r w:rsidRPr="00276C89">
        <w:t xml:space="preserve">samhetsområde har fördelats </w:t>
      </w:r>
      <w:r>
        <w:t>utifrån</w:t>
      </w:r>
      <w:r w:rsidRPr="00276C89">
        <w:t xml:space="preserve"> </w:t>
      </w:r>
      <w:r w:rsidR="00BD506A">
        <w:t xml:space="preserve">den </w:t>
      </w:r>
      <w:r w:rsidRPr="00276C89">
        <w:t>faktisk</w:t>
      </w:r>
      <w:r w:rsidR="00BD506A">
        <w:t>a</w:t>
      </w:r>
      <w:r w:rsidRPr="00276C89">
        <w:t xml:space="preserve"> lönekostnad</w:t>
      </w:r>
      <w:r w:rsidR="00BD506A">
        <w:t>en</w:t>
      </w:r>
      <w:r w:rsidRPr="00276C89">
        <w:t>. Lönekostnaderna för de medarbetare som ingår i stödfunktionerna har fördelats med hjälp av en fördelningsnyckel. Den oftast förekommande nyckeln utgörs av antal</w:t>
      </w:r>
      <w:r w:rsidRPr="00135DE3">
        <w:t>et</w:t>
      </w:r>
      <w:r w:rsidRPr="008B28A9">
        <w:t xml:space="preserve"> direkt involverade medarbetare i förhållande till </w:t>
      </w:r>
      <w:r w:rsidRPr="00262BC2">
        <w:t>det total</w:t>
      </w:r>
      <w:r w:rsidRPr="00E7637B">
        <w:t>a antalet direkt i</w:t>
      </w:r>
      <w:r w:rsidRPr="00E7637B">
        <w:t>n</w:t>
      </w:r>
      <w:r w:rsidRPr="00E7637B">
        <w:t xml:space="preserve">volverade medarbetare inom alla verksamhetsområden. Totalt är cirka </w:t>
      </w:r>
      <w:r w:rsidR="0005601B">
        <w:t>215</w:t>
      </w:r>
      <w:r w:rsidR="007A632D">
        <w:t> </w:t>
      </w:r>
      <w:r w:rsidRPr="00E7637B">
        <w:t>medarbe</w:t>
      </w:r>
      <w:r w:rsidRPr="00B51C85">
        <w:t>t</w:t>
      </w:r>
      <w:r w:rsidRPr="00E7637B">
        <w:t>a</w:t>
      </w:r>
      <w:r w:rsidRPr="00B51C85">
        <w:t>re</w:t>
      </w:r>
      <w:r>
        <w:t>,</w:t>
      </w:r>
      <w:r w:rsidRPr="00B51C85">
        <w:t xml:space="preserve"> eller </w:t>
      </w:r>
      <w:r>
        <w:t>65</w:t>
      </w:r>
      <w:r w:rsidRPr="00DD4619">
        <w:t xml:space="preserve"> </w:t>
      </w:r>
      <w:r w:rsidRPr="00C631B0">
        <w:t xml:space="preserve">procent </w:t>
      </w:r>
      <w:r w:rsidRPr="00C15395">
        <w:t>av totalt</w:t>
      </w:r>
      <w:r w:rsidRPr="000C4345">
        <w:t xml:space="preserve"> </w:t>
      </w:r>
      <w:r>
        <w:t>3</w:t>
      </w:r>
      <w:r w:rsidR="0005601B">
        <w:t>29</w:t>
      </w:r>
      <w:r w:rsidRPr="008B28A9">
        <w:t>, direkt involverade i något verksamhet</w:t>
      </w:r>
      <w:r w:rsidRPr="00262BC2">
        <w:t>s</w:t>
      </w:r>
      <w:r w:rsidRPr="00E7637B">
        <w:t xml:space="preserve">område. De resterande </w:t>
      </w:r>
      <w:r>
        <w:t>11</w:t>
      </w:r>
      <w:r w:rsidR="0005601B">
        <w:t>4</w:t>
      </w:r>
      <w:r w:rsidRPr="00E7637B">
        <w:t xml:space="preserve"> medarbetarna finns inom stöd</w:t>
      </w:r>
      <w:r w:rsidR="00EA59BC">
        <w:softHyphen/>
      </w:r>
      <w:r w:rsidRPr="00E7637B">
        <w:t>funktione</w:t>
      </w:r>
      <w:r w:rsidRPr="00E7637B">
        <w:t>r</w:t>
      </w:r>
      <w:r w:rsidRPr="00E7637B">
        <w:t>na,</w:t>
      </w:r>
      <w:r>
        <w:t xml:space="preserve"> främst</w:t>
      </w:r>
      <w:r w:rsidRPr="00276C89">
        <w:t xml:space="preserve"> </w:t>
      </w:r>
      <w:r w:rsidR="00F25D6F">
        <w:t>it</w:t>
      </w:r>
      <w:r w:rsidRPr="00276C89">
        <w:t xml:space="preserve">, </w:t>
      </w:r>
      <w:r>
        <w:t xml:space="preserve">kommunikation </w:t>
      </w:r>
      <w:r w:rsidRPr="00276C89">
        <w:t>och internse</w:t>
      </w:r>
      <w:r w:rsidRPr="00135DE3">
        <w:t>r</w:t>
      </w:r>
      <w:r w:rsidRPr="008B28A9">
        <w:t xml:space="preserve">vice. </w:t>
      </w:r>
    </w:p>
    <w:p w:rsidR="006247DF" w:rsidRPr="00262BC2" w:rsidRDefault="006247DF" w:rsidP="006247DF">
      <w:pPr>
        <w:pStyle w:val="R4"/>
      </w:pPr>
      <w:r w:rsidRPr="00262BC2">
        <w:t xml:space="preserve">Administrationskostnader, exklusive </w:t>
      </w:r>
      <w:r w:rsidR="00F25D6F">
        <w:t>it</w:t>
      </w:r>
      <w:r w:rsidRPr="00262BC2">
        <w:t>-kostnader</w:t>
      </w:r>
    </w:p>
    <w:p w:rsidR="006247DF" w:rsidRPr="00E7637B" w:rsidRDefault="006247DF" w:rsidP="006247DF">
      <w:r w:rsidRPr="00E7637B">
        <w:t>Riksbankens processredovisning innebär att administrationskostnaderna fö</w:t>
      </w:r>
      <w:r w:rsidRPr="00E7637B">
        <w:t>r</w:t>
      </w:r>
      <w:r w:rsidRPr="00E7637B">
        <w:t xml:space="preserve">delas direkt per verksamhetsområde vid fakturaregistreringen. </w:t>
      </w:r>
    </w:p>
    <w:p w:rsidR="006247DF" w:rsidRPr="00A854E3" w:rsidRDefault="006247DF" w:rsidP="006247DF">
      <w:pPr>
        <w:pStyle w:val="Normaltindrag"/>
      </w:pPr>
      <w:r w:rsidRPr="00A854E3">
        <w:t xml:space="preserve">En stor del av Riksbankens kostnader är dock gemensamma kostnader, till exempel kostnader för lokaler, fastighetsskötsel, säkerhet och bevakning. Dessa kan inte direktfördelas utan har fördelats med hjälp av fördefinierade nycklar, </w:t>
      </w:r>
      <w:r w:rsidR="00BD506A">
        <w:t xml:space="preserve">som </w:t>
      </w:r>
      <w:r w:rsidRPr="00A854E3">
        <w:t>oftast best</w:t>
      </w:r>
      <w:r w:rsidR="00BD506A">
        <w:t xml:space="preserve">år </w:t>
      </w:r>
      <w:r w:rsidRPr="00A854E3">
        <w:t>av antalet direkt involverade medarbetare per ver</w:t>
      </w:r>
      <w:r w:rsidRPr="00A854E3">
        <w:t>k</w:t>
      </w:r>
      <w:r w:rsidRPr="00A854E3">
        <w:t>samhetsområde i förhållande till det totala antalet direkt involverade med</w:t>
      </w:r>
      <w:r w:rsidR="007A632D">
        <w:softHyphen/>
      </w:r>
      <w:r w:rsidRPr="00A854E3">
        <w:t>a</w:t>
      </w:r>
      <w:r w:rsidRPr="00A854E3">
        <w:t>r</w:t>
      </w:r>
      <w:r w:rsidRPr="00A854E3">
        <w:t xml:space="preserve">betare inom alla verksamhetsområden. </w:t>
      </w:r>
    </w:p>
    <w:p w:rsidR="006247DF" w:rsidRPr="002A53A9" w:rsidRDefault="006247DF" w:rsidP="002A53A9">
      <w:pPr>
        <w:pStyle w:val="Diagramrubrik"/>
      </w:pPr>
      <w:r w:rsidRPr="002A53A9">
        <w:t xml:space="preserve">Diagram </w:t>
      </w:r>
      <w:r w:rsidR="0046170A">
        <w:t>27</w:t>
      </w:r>
      <w:r w:rsidRPr="002A53A9">
        <w:t>. Fördelning av kostnadsslag per verksamhetsområde 201</w:t>
      </w:r>
      <w:r w:rsidR="00802EB4" w:rsidRPr="002A53A9">
        <w:t>4</w:t>
      </w:r>
      <w:r w:rsidRPr="002A53A9">
        <w:t>, mi</w:t>
      </w:r>
      <w:r w:rsidRPr="002A53A9">
        <w:rPr>
          <w:b w:val="0"/>
        </w:rPr>
        <w:t>l</w:t>
      </w:r>
      <w:r w:rsidRPr="002A53A9">
        <w:t>joner kronor</w:t>
      </w:r>
    </w:p>
    <w:p w:rsidR="006247DF" w:rsidRPr="00DD4619" w:rsidRDefault="00A12E15" w:rsidP="009850AA">
      <w:r w:rsidRPr="009850AA">
        <w:rPr>
          <w:noProof/>
        </w:rPr>
        <w:drawing>
          <wp:inline distT="0" distB="0" distL="0" distR="0">
            <wp:extent cx="3771900" cy="2295525"/>
            <wp:effectExtent l="0" t="0" r="0" b="9525"/>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71900" cy="2295525"/>
                    </a:xfrm>
                    <a:prstGeom prst="rect">
                      <a:avLst/>
                    </a:prstGeom>
                    <a:noFill/>
                    <a:ln>
                      <a:noFill/>
                    </a:ln>
                  </pic:spPr>
                </pic:pic>
              </a:graphicData>
            </a:graphic>
          </wp:inline>
        </w:drawing>
      </w:r>
      <w:r w:rsidR="006247DF" w:rsidRPr="002D4CDE">
        <w:rPr>
          <w:sz w:val="17"/>
          <w:szCs w:val="17"/>
        </w:rPr>
        <w:t>Källa: Riksbanken.</w:t>
      </w:r>
    </w:p>
    <w:p w:rsidR="006247DF" w:rsidRPr="00E7637B" w:rsidRDefault="00F25D6F" w:rsidP="006247DF">
      <w:pPr>
        <w:pStyle w:val="R4"/>
      </w:pPr>
      <w:r>
        <w:t>Avskrivningar, exklusive it</w:t>
      </w:r>
      <w:r w:rsidR="006247DF" w:rsidRPr="00E7637B">
        <w:t>-relaterade investeringar</w:t>
      </w:r>
    </w:p>
    <w:p w:rsidR="006247DF" w:rsidRPr="00276C89" w:rsidRDefault="006247DF" w:rsidP="006247DF">
      <w:r w:rsidRPr="00E7637B">
        <w:t>Avskrivningarna är direkt fördelade till det verksamhetsområde som respe</w:t>
      </w:r>
      <w:r w:rsidR="007A632D">
        <w:t>k</w:t>
      </w:r>
      <w:r w:rsidR="007A632D">
        <w:softHyphen/>
      </w:r>
      <w:r w:rsidRPr="00B51C85">
        <w:t>t</w:t>
      </w:r>
      <w:r w:rsidRPr="00E7637B">
        <w:t>i</w:t>
      </w:r>
      <w:r w:rsidRPr="00B51C85">
        <w:t>ve anläggning stöder eller fördelade utifrån antalet direkt involverade me</w:t>
      </w:r>
      <w:r w:rsidRPr="00E7637B">
        <w:t>d</w:t>
      </w:r>
      <w:r w:rsidRPr="00B51C85">
        <w:t>a</w:t>
      </w:r>
      <w:r w:rsidRPr="00E7637B">
        <w:t>r</w:t>
      </w:r>
      <w:r w:rsidRPr="00B51C85">
        <w:t>b</w:t>
      </w:r>
      <w:r w:rsidRPr="00B51C85">
        <w:t>e</w:t>
      </w:r>
      <w:r w:rsidRPr="00B51C85">
        <w:t xml:space="preserve">tare per verksamhetsområde i förhållande till det </w:t>
      </w:r>
      <w:r w:rsidRPr="00DD4619">
        <w:t>total</w:t>
      </w:r>
      <w:r w:rsidRPr="0030226B">
        <w:t>a</w:t>
      </w:r>
      <w:r w:rsidRPr="00C631B0">
        <w:t xml:space="preserve"> antal</w:t>
      </w:r>
      <w:r w:rsidRPr="00C15395">
        <w:t>et</w:t>
      </w:r>
      <w:r w:rsidRPr="000C4345">
        <w:t xml:space="preserve"> direkt invo</w:t>
      </w:r>
      <w:r w:rsidRPr="00276C89">
        <w:t>lv</w:t>
      </w:r>
      <w:r w:rsidRPr="00276C89">
        <w:t>e</w:t>
      </w:r>
      <w:r w:rsidRPr="00276C89">
        <w:t xml:space="preserve">rade medarbetare.  </w:t>
      </w:r>
    </w:p>
    <w:p w:rsidR="006247DF" w:rsidRPr="00135DE3" w:rsidRDefault="006247DF" w:rsidP="006247DF">
      <w:pPr>
        <w:pStyle w:val="R4"/>
      </w:pPr>
      <w:r w:rsidRPr="00135DE3">
        <w:t>Sedel- och myntkostnader</w:t>
      </w:r>
    </w:p>
    <w:p w:rsidR="006247DF" w:rsidRPr="00B51C85" w:rsidRDefault="006247DF" w:rsidP="006247DF">
      <w:r w:rsidRPr="008B28A9">
        <w:t>Kostnaderna för inköp av sedlar och mynt uppgick 20</w:t>
      </w:r>
      <w:r w:rsidRPr="00262BC2">
        <w:t>1</w:t>
      </w:r>
      <w:r w:rsidR="00CA78D9">
        <w:t>4</w:t>
      </w:r>
      <w:r w:rsidRPr="00262BC2">
        <w:t xml:space="preserve"> till </w:t>
      </w:r>
      <w:r w:rsidR="00B061DC" w:rsidRPr="00B061DC">
        <w:t>17</w:t>
      </w:r>
      <w:r w:rsidR="00D94FCE">
        <w:t>2</w:t>
      </w:r>
      <w:r w:rsidR="00CA78D9" w:rsidRPr="00B061DC">
        <w:t xml:space="preserve"> </w:t>
      </w:r>
      <w:r w:rsidRPr="00B061DC">
        <w:t>(</w:t>
      </w:r>
      <w:r w:rsidR="00CA78D9">
        <w:t>5</w:t>
      </w:r>
      <w:r>
        <w:t>1</w:t>
      </w:r>
      <w:r w:rsidRPr="00E7637B">
        <w:t xml:space="preserve">) miljoner kronor. Kostnaderna belastar i sin helhet verksamhetsområdet </w:t>
      </w:r>
      <w:r>
        <w:t>K</w:t>
      </w:r>
      <w:r w:rsidRPr="00E7637B">
        <w:t>ontant</w:t>
      </w:r>
      <w:r w:rsidR="007A632D">
        <w:softHyphen/>
      </w:r>
      <w:r>
        <w:t>fö</w:t>
      </w:r>
      <w:r>
        <w:t>r</w:t>
      </w:r>
      <w:r>
        <w:t>sörjning</w:t>
      </w:r>
      <w:r w:rsidRPr="00B51C85">
        <w:t>.</w:t>
      </w:r>
    </w:p>
    <w:p w:rsidR="006247DF" w:rsidRPr="0030226B" w:rsidRDefault="006247DF" w:rsidP="006247DF">
      <w:pPr>
        <w:pStyle w:val="R4"/>
      </w:pPr>
      <w:r w:rsidRPr="00DD4619">
        <w:t>I</w:t>
      </w:r>
      <w:r w:rsidR="00F25D6F">
        <w:t>t</w:t>
      </w:r>
      <w:r w:rsidRPr="00DD4619">
        <w:t>-kostnader</w:t>
      </w:r>
    </w:p>
    <w:p w:rsidR="006247DF" w:rsidRPr="00E7637B" w:rsidRDefault="006247DF" w:rsidP="007A632D">
      <w:pPr>
        <w:suppressAutoHyphens/>
      </w:pPr>
      <w:r>
        <w:t xml:space="preserve">Med </w:t>
      </w:r>
      <w:r w:rsidR="00F25D6F">
        <w:t>it</w:t>
      </w:r>
      <w:r>
        <w:t xml:space="preserve">-kostnader avses </w:t>
      </w:r>
      <w:r w:rsidR="00F25D6F">
        <w:t>it</w:t>
      </w:r>
      <w:r>
        <w:t>-</w:t>
      </w:r>
      <w:r w:rsidR="00731691">
        <w:t xml:space="preserve">verksamhetens </w:t>
      </w:r>
      <w:r>
        <w:t>kostnader</w:t>
      </w:r>
      <w:r w:rsidR="001A4050">
        <w:t>. Denna verksamhet är förlagd till</w:t>
      </w:r>
      <w:r w:rsidR="00731691">
        <w:t xml:space="preserve"> avdelningen för verksamhetssupport</w:t>
      </w:r>
      <w:r>
        <w:t xml:space="preserve">. </w:t>
      </w:r>
      <w:r w:rsidRPr="00C631B0">
        <w:t xml:space="preserve">Modellen för fördelning av </w:t>
      </w:r>
      <w:r w:rsidR="00F25D6F">
        <w:t>it</w:t>
      </w:r>
      <w:r w:rsidRPr="00C631B0">
        <w:t xml:space="preserve">-kostnader bygger </w:t>
      </w:r>
      <w:r w:rsidRPr="00C15395">
        <w:t xml:space="preserve">på </w:t>
      </w:r>
      <w:r>
        <w:t>tre</w:t>
      </w:r>
      <w:r w:rsidRPr="00C15395">
        <w:t xml:space="preserve"> </w:t>
      </w:r>
      <w:r w:rsidR="00F25D6F">
        <w:t>it</w:t>
      </w:r>
      <w:r w:rsidRPr="00C15395">
        <w:t xml:space="preserve">-tjänster: </w:t>
      </w:r>
      <w:r>
        <w:t>p</w:t>
      </w:r>
      <w:r w:rsidRPr="000C4345">
        <w:t>c</w:t>
      </w:r>
      <w:r w:rsidRPr="00276C89">
        <w:t>-tjänster,</w:t>
      </w:r>
      <w:r w:rsidRPr="00907FD1">
        <w:t xml:space="preserve"> telefoni</w:t>
      </w:r>
      <w:r w:rsidRPr="00276C89">
        <w:t xml:space="preserve"> och </w:t>
      </w:r>
      <w:r w:rsidR="00F25D6F">
        <w:t>it</w:t>
      </w:r>
      <w:r w:rsidRPr="00276C89">
        <w:t xml:space="preserve">-system. </w:t>
      </w:r>
      <w:r>
        <w:t>P</w:t>
      </w:r>
      <w:r w:rsidRPr="00262BC2">
        <w:t>c</w:t>
      </w:r>
      <w:r w:rsidR="006F5859">
        <w:noBreakHyphen/>
      </w:r>
      <w:r w:rsidRPr="00262BC2">
        <w:t>tjänster fördelas på a</w:t>
      </w:r>
      <w:r w:rsidRPr="00E7637B">
        <w:t>nvändare</w:t>
      </w:r>
      <w:r w:rsidR="00D94FCE">
        <w:t xml:space="preserve"> baserat på kostnad för arbetsplats.</w:t>
      </w:r>
      <w:r w:rsidRPr="00E7637B">
        <w:t xml:space="preserve"> </w:t>
      </w:r>
      <w:r>
        <w:t>Telefoni</w:t>
      </w:r>
      <w:r w:rsidR="007A632D">
        <w:softHyphen/>
      </w:r>
      <w:r>
        <w:t>kostnader (ej mobiltelefoni) fördelas utifrån antalet direkt involverade med</w:t>
      </w:r>
      <w:r w:rsidR="00EB56CC">
        <w:t>-</w:t>
      </w:r>
      <w:r>
        <w:t>arbetare per verksamhetsområde i förhållande till det totala antalet direkt involverade medarbetare inom alla verksamhetsområden.</w:t>
      </w:r>
      <w:r w:rsidRPr="00E7637B">
        <w:t xml:space="preserve"> Kostnaderna för </w:t>
      </w:r>
      <w:r w:rsidR="00F25D6F">
        <w:t>it</w:t>
      </w:r>
      <w:r w:rsidRPr="00E7637B">
        <w:t>-system</w:t>
      </w:r>
      <w:r>
        <w:t xml:space="preserve"> (inklusive licenser)</w:t>
      </w:r>
      <w:r w:rsidRPr="00E7637B">
        <w:t xml:space="preserve"> fördelas utifrån antalet logiska servrar per system.</w:t>
      </w:r>
    </w:p>
    <w:p w:rsidR="006247DF" w:rsidRPr="00E7637B" w:rsidRDefault="006247DF" w:rsidP="006247DF">
      <w:pPr>
        <w:pStyle w:val="R3"/>
      </w:pPr>
      <w:r w:rsidRPr="00E7637B">
        <w:t xml:space="preserve">Fördelning av nettointäkter </w:t>
      </w:r>
    </w:p>
    <w:p w:rsidR="006247DF" w:rsidRDefault="006247DF" w:rsidP="006247DF">
      <w:r w:rsidRPr="00E7637B">
        <w:t>Fördelningen av nettointäkter på verksamhetsområden har gjorts utifrån ett operationellt perspektiv. Intäkterna har förts till det verksamhetsområde som har störst möjlighet att påverka och hantera dessa. Hänsyn har därför till exempel inte tagits till att seignoraget har sitt ursprung i kontant</w:t>
      </w:r>
      <w:r>
        <w:t>försörjningen</w:t>
      </w:r>
      <w:r w:rsidRPr="00E7637B">
        <w:t>, utan seignorageintäkterna har fördelats till tillgångsförvaltningen. Seignoraget för 201</w:t>
      </w:r>
      <w:r w:rsidR="00CA78D9">
        <w:t>4</w:t>
      </w:r>
      <w:r w:rsidRPr="00E7637B">
        <w:t xml:space="preserve"> </w:t>
      </w:r>
      <w:r w:rsidRPr="00AC4C05">
        <w:t>uppgick</w:t>
      </w:r>
      <w:r w:rsidRPr="00E7637B">
        <w:t xml:space="preserve"> till </w:t>
      </w:r>
      <w:r w:rsidR="00B061DC" w:rsidRPr="00B061DC">
        <w:t>776</w:t>
      </w:r>
      <w:r>
        <w:t xml:space="preserve"> </w:t>
      </w:r>
      <w:r w:rsidRPr="00262BC2">
        <w:t xml:space="preserve">miljoner </w:t>
      </w:r>
      <w:r w:rsidRPr="00E7637B">
        <w:t>kronor</w:t>
      </w:r>
      <w:r>
        <w:t xml:space="preserve"> (</w:t>
      </w:r>
      <w:r w:rsidR="00CA78D9">
        <w:t>774</w:t>
      </w:r>
      <w:r>
        <w:t>)</w:t>
      </w:r>
      <w:r w:rsidRPr="00262BC2">
        <w:t>.</w:t>
      </w:r>
      <w:r w:rsidRPr="000C00A5">
        <w:t xml:space="preserve"> </w:t>
      </w:r>
    </w:p>
    <w:p w:rsidR="006247DF" w:rsidRPr="00A854E3" w:rsidRDefault="006247DF" w:rsidP="006247DF">
      <w:pPr>
        <w:pStyle w:val="Normaltindrag"/>
      </w:pPr>
      <w:r w:rsidRPr="00A854E3">
        <w:t>Nettointäkterna inom verksamhetsområdet Finansiell stabilitet utgörs främst av utdelning från Riksbankens innehav av BIS</w:t>
      </w:r>
      <w:r>
        <w:t>-</w:t>
      </w:r>
      <w:r w:rsidRPr="00A854E3">
        <w:t>aktier</w:t>
      </w:r>
      <w:r>
        <w:t>.</w:t>
      </w:r>
    </w:p>
    <w:p w:rsidR="006247DF" w:rsidRDefault="006247DF" w:rsidP="006247DF">
      <w:pPr>
        <w:pStyle w:val="Normaltindrag"/>
        <w:spacing w:after="120"/>
      </w:pPr>
      <w:r w:rsidRPr="002C39B3">
        <w:t xml:space="preserve">De </w:t>
      </w:r>
      <w:r w:rsidR="00BF0BBB">
        <w:t>nettointäkter för T</w:t>
      </w:r>
      <w:r w:rsidR="00BF0BBB" w:rsidRPr="002C39B3">
        <w:t xml:space="preserve">illgångsförvaltning </w:t>
      </w:r>
      <w:r w:rsidR="00BF0BBB">
        <w:t xml:space="preserve">som redovisas </w:t>
      </w:r>
      <w:r w:rsidRPr="002C39B3">
        <w:t xml:space="preserve">i resultaträkningen uppgick till </w:t>
      </w:r>
      <w:r w:rsidR="00D94FCE">
        <w:t>4 061</w:t>
      </w:r>
      <w:r w:rsidRPr="002C39B3">
        <w:t xml:space="preserve"> miljoner kronor (</w:t>
      </w:r>
      <w:r w:rsidR="0023346E">
        <w:t>–</w:t>
      </w:r>
      <w:r w:rsidR="00D94FCE">
        <w:t>1 339</w:t>
      </w:r>
      <w:r w:rsidRPr="002C39B3">
        <w:t xml:space="preserve">). </w:t>
      </w:r>
      <w:r>
        <w:t>D</w:t>
      </w:r>
      <w:r w:rsidRPr="00AC4C05">
        <w:t>en totala avkas</w:t>
      </w:r>
      <w:r w:rsidRPr="00AC4C05">
        <w:t>t</w:t>
      </w:r>
      <w:r w:rsidRPr="00AC4C05">
        <w:t xml:space="preserve">ningen från Riksbankens tillgångsförvaltning </w:t>
      </w:r>
      <w:r>
        <w:t xml:space="preserve">för </w:t>
      </w:r>
      <w:r w:rsidRPr="00AC4C05">
        <w:t>201</w:t>
      </w:r>
      <w:r w:rsidR="003F736D">
        <w:t>4</w:t>
      </w:r>
      <w:r>
        <w:t xml:space="preserve"> uppgick till</w:t>
      </w:r>
      <w:r w:rsidRPr="00435BF1">
        <w:t xml:space="preserve"> </w:t>
      </w:r>
      <w:r w:rsidR="001B1CC6">
        <w:t>31 495</w:t>
      </w:r>
      <w:r w:rsidRPr="00435BF1">
        <w:t xml:space="preserve"> </w:t>
      </w:r>
      <w:r w:rsidRPr="00AC4C05">
        <w:t>miljoner kronor (</w:t>
      </w:r>
      <w:r>
        <w:t>–</w:t>
      </w:r>
      <w:r w:rsidR="00D94FCE">
        <w:t>19 025</w:t>
      </w:r>
      <w:r w:rsidRPr="00AC4C05">
        <w:t>)</w:t>
      </w:r>
      <w:r>
        <w:t>.</w:t>
      </w:r>
      <w:r w:rsidRPr="00AC4C05">
        <w:t xml:space="preserve"> Se även </w:t>
      </w:r>
      <w:r>
        <w:t>tabell 5</w:t>
      </w:r>
      <w:r w:rsidRPr="00A854E3">
        <w:t xml:space="preserve"> i förvaltningsberättelsens avsnitt Till</w:t>
      </w:r>
      <w:r>
        <w:t>gångsförval</w:t>
      </w:r>
      <w:r>
        <w:t>t</w:t>
      </w:r>
      <w:r>
        <w:t>ning</w:t>
      </w:r>
      <w:r w:rsidRPr="00A854E3">
        <w:t>.</w:t>
      </w:r>
      <w:r>
        <w:t xml:space="preserve"> Skillnaden förklaras av förändringen på posten Värdereglering</w:t>
      </w:r>
      <w:r>
        <w:t>s</w:t>
      </w:r>
      <w:r>
        <w:t>kontot i balansräkningen (se tabell nedan).</w:t>
      </w:r>
    </w:p>
    <w:tbl>
      <w:tblPr>
        <w:tblpPr w:leftFromText="141" w:rightFromText="141" w:vertAnchor="text" w:tblpY="1"/>
        <w:tblOverlap w:val="never"/>
        <w:tblW w:w="6086" w:type="dxa"/>
        <w:tblLayout w:type="fixed"/>
        <w:tblCellMar>
          <w:left w:w="71" w:type="dxa"/>
          <w:right w:w="71" w:type="dxa"/>
        </w:tblCellMar>
        <w:tblLook w:val="0000" w:firstRow="0" w:lastRow="0" w:firstColumn="0" w:lastColumn="0" w:noHBand="0" w:noVBand="0"/>
      </w:tblPr>
      <w:tblGrid>
        <w:gridCol w:w="3592"/>
        <w:gridCol w:w="1247"/>
        <w:gridCol w:w="1247"/>
      </w:tblGrid>
      <w:tr w:rsidR="006247DF" w:rsidRPr="00E7637B" w:rsidTr="006247DF">
        <w:trPr>
          <w:cantSplit/>
          <w:trHeight w:val="20"/>
        </w:trPr>
        <w:tc>
          <w:tcPr>
            <w:tcW w:w="3592" w:type="dxa"/>
            <w:tcBorders>
              <w:top w:val="single" w:sz="4" w:space="0" w:color="auto"/>
            </w:tcBorders>
          </w:tcPr>
          <w:p w:rsidR="006247DF" w:rsidRPr="00FA34D0" w:rsidRDefault="006247DF" w:rsidP="006247DF">
            <w:pPr>
              <w:pStyle w:val="Tabelltext"/>
              <w:spacing w:before="60" w:after="60"/>
              <w:rPr>
                <w:b/>
              </w:rPr>
            </w:pPr>
          </w:p>
        </w:tc>
        <w:tc>
          <w:tcPr>
            <w:tcW w:w="1247" w:type="dxa"/>
            <w:tcBorders>
              <w:top w:val="single" w:sz="4" w:space="0" w:color="auto"/>
            </w:tcBorders>
            <w:vAlign w:val="center"/>
          </w:tcPr>
          <w:p w:rsidR="006247DF" w:rsidRPr="00FA34D0" w:rsidRDefault="006247DF" w:rsidP="00CA78D9">
            <w:pPr>
              <w:spacing w:before="60" w:after="60" w:line="200" w:lineRule="exact"/>
              <w:jc w:val="right"/>
              <w:rPr>
                <w:b/>
                <w:sz w:val="16"/>
              </w:rPr>
            </w:pPr>
            <w:r w:rsidRPr="00FA34D0">
              <w:rPr>
                <w:b/>
                <w:sz w:val="16"/>
              </w:rPr>
              <w:t>201</w:t>
            </w:r>
            <w:r w:rsidR="00CA78D9">
              <w:rPr>
                <w:b/>
                <w:sz w:val="16"/>
              </w:rPr>
              <w:t>4</w:t>
            </w:r>
          </w:p>
        </w:tc>
        <w:tc>
          <w:tcPr>
            <w:tcW w:w="1247" w:type="dxa"/>
            <w:tcBorders>
              <w:top w:val="single" w:sz="4" w:space="0" w:color="auto"/>
            </w:tcBorders>
            <w:vAlign w:val="center"/>
          </w:tcPr>
          <w:p w:rsidR="006247DF" w:rsidRPr="00FA34D0" w:rsidRDefault="006247DF" w:rsidP="00CA78D9">
            <w:pPr>
              <w:spacing w:before="60" w:after="60" w:line="200" w:lineRule="exact"/>
              <w:jc w:val="right"/>
              <w:rPr>
                <w:b/>
                <w:sz w:val="16"/>
              </w:rPr>
            </w:pPr>
            <w:r w:rsidRPr="00FA34D0">
              <w:rPr>
                <w:b/>
                <w:sz w:val="16"/>
              </w:rPr>
              <w:t>201</w:t>
            </w:r>
            <w:r w:rsidR="00CA78D9">
              <w:rPr>
                <w:b/>
                <w:sz w:val="16"/>
              </w:rPr>
              <w:t>3</w:t>
            </w:r>
          </w:p>
        </w:tc>
      </w:tr>
      <w:tr w:rsidR="00CA78D9" w:rsidRPr="00E7637B" w:rsidTr="006247DF">
        <w:trPr>
          <w:cantSplit/>
          <w:trHeight w:val="20"/>
        </w:trPr>
        <w:tc>
          <w:tcPr>
            <w:tcW w:w="3592" w:type="dxa"/>
            <w:tcBorders>
              <w:top w:val="single" w:sz="4" w:space="0" w:color="auto"/>
            </w:tcBorders>
          </w:tcPr>
          <w:p w:rsidR="00CA78D9" w:rsidRPr="00E40713" w:rsidRDefault="00CA78D9" w:rsidP="00CA78D9">
            <w:pPr>
              <w:pStyle w:val="Tabelltext"/>
              <w:spacing w:before="60"/>
            </w:pPr>
            <w:r w:rsidRPr="00E40713">
              <w:t xml:space="preserve">Ränteintäkter </w:t>
            </w:r>
          </w:p>
        </w:tc>
        <w:tc>
          <w:tcPr>
            <w:tcW w:w="1247" w:type="dxa"/>
            <w:tcBorders>
              <w:top w:val="single" w:sz="4" w:space="0" w:color="auto"/>
            </w:tcBorders>
          </w:tcPr>
          <w:p w:rsidR="00CA78D9" w:rsidRPr="00E7637B" w:rsidRDefault="00CA78D9" w:rsidP="00CA78D9">
            <w:pPr>
              <w:pStyle w:val="Tabelltext"/>
              <w:spacing w:before="60"/>
              <w:jc w:val="right"/>
            </w:pPr>
            <w:r>
              <w:t>4 188</w:t>
            </w:r>
          </w:p>
        </w:tc>
        <w:tc>
          <w:tcPr>
            <w:tcW w:w="1247" w:type="dxa"/>
            <w:tcBorders>
              <w:top w:val="single" w:sz="4" w:space="0" w:color="auto"/>
            </w:tcBorders>
          </w:tcPr>
          <w:p w:rsidR="00CA78D9" w:rsidRPr="00E7637B" w:rsidRDefault="00CA78D9" w:rsidP="00CA78D9">
            <w:pPr>
              <w:pStyle w:val="Tabelltext"/>
              <w:spacing w:before="60"/>
              <w:jc w:val="right"/>
            </w:pPr>
            <w:r>
              <w:t>4 109</w:t>
            </w:r>
          </w:p>
        </w:tc>
      </w:tr>
      <w:tr w:rsidR="00CA78D9" w:rsidRPr="00E7637B" w:rsidTr="006247DF">
        <w:trPr>
          <w:cantSplit/>
          <w:trHeight w:val="20"/>
        </w:trPr>
        <w:tc>
          <w:tcPr>
            <w:tcW w:w="3592" w:type="dxa"/>
          </w:tcPr>
          <w:p w:rsidR="00CA78D9" w:rsidRPr="00E40713" w:rsidRDefault="00CA78D9" w:rsidP="00CA78D9">
            <w:pPr>
              <w:pStyle w:val="Tabelltext"/>
              <w:spacing w:before="60"/>
            </w:pPr>
            <w:r w:rsidRPr="00E40713">
              <w:t>Räntekostnader</w:t>
            </w:r>
          </w:p>
        </w:tc>
        <w:tc>
          <w:tcPr>
            <w:tcW w:w="1247" w:type="dxa"/>
          </w:tcPr>
          <w:p w:rsidR="00CA78D9" w:rsidRPr="00E7637B" w:rsidRDefault="00CA78D9" w:rsidP="00CA78D9">
            <w:pPr>
              <w:pStyle w:val="Tabelltext"/>
              <w:spacing w:before="60"/>
              <w:jc w:val="right"/>
            </w:pPr>
            <w:r>
              <w:rPr>
                <w:szCs w:val="19"/>
              </w:rPr>
              <w:t>–1 743</w:t>
            </w:r>
          </w:p>
        </w:tc>
        <w:tc>
          <w:tcPr>
            <w:tcW w:w="1247" w:type="dxa"/>
          </w:tcPr>
          <w:p w:rsidR="00CA78D9" w:rsidRPr="00E7637B" w:rsidRDefault="00CA78D9" w:rsidP="00CA78D9">
            <w:pPr>
              <w:pStyle w:val="Tabelltext"/>
              <w:spacing w:before="60"/>
              <w:jc w:val="right"/>
            </w:pPr>
            <w:r>
              <w:rPr>
                <w:szCs w:val="19"/>
              </w:rPr>
              <w:t>–1 652</w:t>
            </w:r>
          </w:p>
        </w:tc>
      </w:tr>
      <w:tr w:rsidR="00CA78D9" w:rsidRPr="00E7637B" w:rsidTr="006247DF">
        <w:trPr>
          <w:cantSplit/>
          <w:trHeight w:val="20"/>
        </w:trPr>
        <w:tc>
          <w:tcPr>
            <w:tcW w:w="3592" w:type="dxa"/>
          </w:tcPr>
          <w:p w:rsidR="00CA78D9" w:rsidRPr="00E40713" w:rsidRDefault="00CA78D9" w:rsidP="00CA78D9">
            <w:pPr>
              <w:pStyle w:val="Tabelltext"/>
              <w:spacing w:before="60"/>
            </w:pPr>
            <w:r w:rsidRPr="00E40713">
              <w:t>Nettoresultat av finansiella transaktioner</w:t>
            </w:r>
            <w:r>
              <w:t xml:space="preserve"> och ne</w:t>
            </w:r>
            <w:r>
              <w:t>d</w:t>
            </w:r>
            <w:r>
              <w:t>skrivningar</w:t>
            </w:r>
            <w:r w:rsidRPr="00E40713">
              <w:t xml:space="preserve"> redovisa</w:t>
            </w:r>
            <w:r>
              <w:t>t</w:t>
            </w:r>
            <w:r w:rsidRPr="00E40713">
              <w:t xml:space="preserve"> i resultaträkningen</w:t>
            </w:r>
            <w:r>
              <w:t xml:space="preserve">                                                          </w:t>
            </w:r>
          </w:p>
        </w:tc>
        <w:tc>
          <w:tcPr>
            <w:tcW w:w="1247" w:type="dxa"/>
          </w:tcPr>
          <w:p w:rsidR="00CA78D9" w:rsidRPr="00E7637B" w:rsidRDefault="00CA78D9" w:rsidP="00CA78D9">
            <w:pPr>
              <w:pStyle w:val="Tabelltext"/>
              <w:spacing w:before="60"/>
              <w:jc w:val="right"/>
            </w:pPr>
            <w:r>
              <w:rPr>
                <w:szCs w:val="19"/>
              </w:rPr>
              <w:br/>
              <w:t>1 631</w:t>
            </w:r>
          </w:p>
        </w:tc>
        <w:tc>
          <w:tcPr>
            <w:tcW w:w="1247" w:type="dxa"/>
          </w:tcPr>
          <w:p w:rsidR="00CA78D9" w:rsidRPr="00E7637B" w:rsidRDefault="00CA78D9" w:rsidP="00CA78D9">
            <w:pPr>
              <w:pStyle w:val="Tabelltext"/>
              <w:spacing w:before="60"/>
              <w:jc w:val="right"/>
            </w:pPr>
            <w:r>
              <w:rPr>
                <w:szCs w:val="19"/>
              </w:rPr>
              <w:br/>
              <w:t>–3 784</w:t>
            </w:r>
          </w:p>
        </w:tc>
      </w:tr>
      <w:tr w:rsidR="00CA78D9" w:rsidRPr="00E7637B" w:rsidTr="006247DF">
        <w:trPr>
          <w:cantSplit/>
          <w:trHeight w:val="20"/>
        </w:trPr>
        <w:tc>
          <w:tcPr>
            <w:tcW w:w="3592" w:type="dxa"/>
          </w:tcPr>
          <w:p w:rsidR="00CA78D9" w:rsidRDefault="00CA78D9" w:rsidP="00CA78D9">
            <w:pPr>
              <w:pStyle w:val="Tabelltext"/>
              <w:spacing w:before="60"/>
            </w:pPr>
            <w:r>
              <w:t>Avgifts- och provisionskostnader</w:t>
            </w:r>
          </w:p>
        </w:tc>
        <w:tc>
          <w:tcPr>
            <w:tcW w:w="1247" w:type="dxa"/>
            <w:tcBorders>
              <w:bottom w:val="single" w:sz="4" w:space="0" w:color="auto"/>
            </w:tcBorders>
          </w:tcPr>
          <w:p w:rsidR="00CA78D9" w:rsidRDefault="00CA78D9" w:rsidP="00CA78D9">
            <w:pPr>
              <w:pStyle w:val="Tabelltext"/>
              <w:spacing w:before="60"/>
              <w:jc w:val="right"/>
              <w:rPr>
                <w:szCs w:val="19"/>
              </w:rPr>
            </w:pPr>
            <w:r>
              <w:rPr>
                <w:szCs w:val="19"/>
              </w:rPr>
              <w:t>–15</w:t>
            </w:r>
          </w:p>
        </w:tc>
        <w:tc>
          <w:tcPr>
            <w:tcW w:w="1247" w:type="dxa"/>
            <w:tcBorders>
              <w:bottom w:val="single" w:sz="4" w:space="0" w:color="auto"/>
            </w:tcBorders>
          </w:tcPr>
          <w:p w:rsidR="00CA78D9" w:rsidRDefault="00CA78D9" w:rsidP="00CA78D9">
            <w:pPr>
              <w:pStyle w:val="Tabelltext"/>
              <w:spacing w:before="60"/>
              <w:jc w:val="right"/>
              <w:rPr>
                <w:szCs w:val="19"/>
              </w:rPr>
            </w:pPr>
            <w:r>
              <w:rPr>
                <w:szCs w:val="19"/>
              </w:rPr>
              <w:t>–12</w:t>
            </w:r>
          </w:p>
        </w:tc>
      </w:tr>
      <w:tr w:rsidR="00CA78D9" w:rsidRPr="00E7637B" w:rsidTr="006247DF">
        <w:trPr>
          <w:cantSplit/>
          <w:trHeight w:val="20"/>
        </w:trPr>
        <w:tc>
          <w:tcPr>
            <w:tcW w:w="3592" w:type="dxa"/>
          </w:tcPr>
          <w:p w:rsidR="00CA78D9" w:rsidRPr="00EF01E3" w:rsidRDefault="00CA78D9" w:rsidP="00CA78D9">
            <w:pPr>
              <w:pStyle w:val="Tabelltext"/>
              <w:spacing w:before="60"/>
              <w:rPr>
                <w:b/>
              </w:rPr>
            </w:pPr>
            <w:r w:rsidRPr="00EF01E3">
              <w:rPr>
                <w:b/>
              </w:rPr>
              <w:t xml:space="preserve">Nettointäkter </w:t>
            </w:r>
            <w:r>
              <w:rPr>
                <w:b/>
              </w:rPr>
              <w:t xml:space="preserve">tillgångsförvaltningen                 </w:t>
            </w:r>
          </w:p>
          <w:p w:rsidR="00CA78D9" w:rsidRPr="00E40713" w:rsidRDefault="00CA78D9" w:rsidP="00CA78D9">
            <w:pPr>
              <w:pStyle w:val="Tabelltext"/>
              <w:spacing w:before="60"/>
            </w:pPr>
            <w:r w:rsidRPr="00E40713">
              <w:t>Nettoresultat av finansiella transaktioner redovisa</w:t>
            </w:r>
            <w:r>
              <w:t xml:space="preserve">t </w:t>
            </w:r>
            <w:r>
              <w:br/>
              <w:t>på värderegleringskonton</w:t>
            </w:r>
            <w:r w:rsidRPr="00E40713">
              <w:t xml:space="preserve"> i balansräkningen</w:t>
            </w:r>
          </w:p>
        </w:tc>
        <w:tc>
          <w:tcPr>
            <w:tcW w:w="1247" w:type="dxa"/>
            <w:tcBorders>
              <w:bottom w:val="single" w:sz="4" w:space="0" w:color="auto"/>
            </w:tcBorders>
          </w:tcPr>
          <w:p w:rsidR="00CA78D9" w:rsidRPr="007135A2" w:rsidRDefault="00CA78D9" w:rsidP="00CA78D9">
            <w:pPr>
              <w:pStyle w:val="Tabelltext"/>
              <w:spacing w:before="60"/>
              <w:jc w:val="right"/>
              <w:rPr>
                <w:b/>
              </w:rPr>
            </w:pPr>
            <w:r>
              <w:rPr>
                <w:szCs w:val="19"/>
              </w:rPr>
              <w:t>4 061</w:t>
            </w:r>
          </w:p>
          <w:p w:rsidR="00CA78D9" w:rsidRDefault="00CA78D9" w:rsidP="00CA78D9">
            <w:pPr>
              <w:pStyle w:val="Tabelltext"/>
              <w:spacing w:before="60"/>
              <w:jc w:val="right"/>
              <w:rPr>
                <w:szCs w:val="19"/>
              </w:rPr>
            </w:pPr>
          </w:p>
          <w:p w:rsidR="00CA78D9" w:rsidRPr="00E7637B" w:rsidRDefault="00CA78D9" w:rsidP="00CA78D9">
            <w:pPr>
              <w:pStyle w:val="Tabelltext"/>
              <w:spacing w:before="60"/>
              <w:jc w:val="right"/>
            </w:pPr>
            <w:r>
              <w:rPr>
                <w:szCs w:val="19"/>
              </w:rPr>
              <w:t>27</w:t>
            </w:r>
            <w:r w:rsidR="00752924">
              <w:rPr>
                <w:szCs w:val="19"/>
              </w:rPr>
              <w:t xml:space="preserve"> </w:t>
            </w:r>
            <w:r>
              <w:rPr>
                <w:szCs w:val="19"/>
              </w:rPr>
              <w:t>434</w:t>
            </w:r>
          </w:p>
        </w:tc>
        <w:tc>
          <w:tcPr>
            <w:tcW w:w="1247" w:type="dxa"/>
            <w:tcBorders>
              <w:bottom w:val="single" w:sz="4" w:space="0" w:color="auto"/>
            </w:tcBorders>
          </w:tcPr>
          <w:p w:rsidR="00CA78D9" w:rsidRPr="007135A2" w:rsidRDefault="00CA78D9" w:rsidP="00CA78D9">
            <w:pPr>
              <w:pStyle w:val="Tabelltext"/>
              <w:spacing w:before="60"/>
              <w:jc w:val="right"/>
              <w:rPr>
                <w:b/>
              </w:rPr>
            </w:pPr>
            <w:r>
              <w:rPr>
                <w:szCs w:val="19"/>
              </w:rPr>
              <w:t>–</w:t>
            </w:r>
            <w:r>
              <w:rPr>
                <w:b/>
              </w:rPr>
              <w:t>1 339</w:t>
            </w:r>
          </w:p>
          <w:p w:rsidR="00CA78D9" w:rsidRDefault="00CA78D9" w:rsidP="00CA78D9">
            <w:pPr>
              <w:pStyle w:val="Tabelltext"/>
              <w:spacing w:before="60"/>
              <w:jc w:val="right"/>
              <w:rPr>
                <w:szCs w:val="19"/>
              </w:rPr>
            </w:pPr>
          </w:p>
          <w:p w:rsidR="00CA78D9" w:rsidRPr="00E7637B" w:rsidRDefault="00CA78D9" w:rsidP="00CA78D9">
            <w:pPr>
              <w:pStyle w:val="Tabelltext"/>
              <w:spacing w:before="60"/>
              <w:jc w:val="right"/>
            </w:pPr>
            <w:r>
              <w:rPr>
                <w:szCs w:val="19"/>
              </w:rPr>
              <w:t>–17 686</w:t>
            </w:r>
          </w:p>
        </w:tc>
      </w:tr>
      <w:tr w:rsidR="00CA78D9" w:rsidRPr="00E7637B" w:rsidTr="006247DF">
        <w:trPr>
          <w:cantSplit/>
          <w:trHeight w:val="20"/>
        </w:trPr>
        <w:tc>
          <w:tcPr>
            <w:tcW w:w="3592" w:type="dxa"/>
          </w:tcPr>
          <w:p w:rsidR="00CA78D9" w:rsidRPr="00FA34D0" w:rsidRDefault="004B74DC" w:rsidP="00CA78D9">
            <w:pPr>
              <w:pStyle w:val="Tabelltext"/>
              <w:spacing w:before="60"/>
              <w:rPr>
                <w:b/>
              </w:rPr>
            </w:pPr>
            <w:r>
              <w:rPr>
                <w:b/>
              </w:rPr>
              <w:t>Totalavkastning</w:t>
            </w:r>
            <w:r w:rsidR="00CA78D9" w:rsidRPr="00FA34D0">
              <w:rPr>
                <w:b/>
              </w:rPr>
              <w:t xml:space="preserve"> tillgångsförvaltningen</w:t>
            </w:r>
          </w:p>
        </w:tc>
        <w:tc>
          <w:tcPr>
            <w:tcW w:w="1247" w:type="dxa"/>
            <w:tcBorders>
              <w:top w:val="single" w:sz="4" w:space="0" w:color="auto"/>
            </w:tcBorders>
          </w:tcPr>
          <w:p w:rsidR="00CA78D9" w:rsidRPr="00160C8E" w:rsidRDefault="00CA78D9" w:rsidP="00CA78D9">
            <w:pPr>
              <w:pStyle w:val="Tabelltext"/>
              <w:spacing w:before="60"/>
              <w:jc w:val="right"/>
              <w:rPr>
                <w:b/>
              </w:rPr>
            </w:pPr>
            <w:r>
              <w:rPr>
                <w:b/>
                <w:szCs w:val="19"/>
              </w:rPr>
              <w:t>31 495</w:t>
            </w:r>
          </w:p>
        </w:tc>
        <w:tc>
          <w:tcPr>
            <w:tcW w:w="1247" w:type="dxa"/>
            <w:tcBorders>
              <w:top w:val="single" w:sz="4" w:space="0" w:color="auto"/>
            </w:tcBorders>
          </w:tcPr>
          <w:p w:rsidR="00CA78D9" w:rsidRPr="008F52D0" w:rsidRDefault="00CA78D9" w:rsidP="00CA78D9">
            <w:pPr>
              <w:pStyle w:val="Tabelltext"/>
              <w:spacing w:before="60"/>
              <w:jc w:val="right"/>
              <w:rPr>
                <w:b/>
              </w:rPr>
            </w:pPr>
            <w:r w:rsidRPr="00160C8E">
              <w:rPr>
                <w:b/>
                <w:szCs w:val="19"/>
              </w:rPr>
              <w:t>–19 025</w:t>
            </w:r>
          </w:p>
        </w:tc>
      </w:tr>
      <w:tr w:rsidR="00CA78D9" w:rsidRPr="00E7637B" w:rsidTr="006247DF">
        <w:trPr>
          <w:cantSplit/>
          <w:trHeight w:val="20"/>
        </w:trPr>
        <w:tc>
          <w:tcPr>
            <w:tcW w:w="3592" w:type="dxa"/>
          </w:tcPr>
          <w:p w:rsidR="00CA78D9" w:rsidRPr="00E40713" w:rsidRDefault="00CA78D9" w:rsidP="00CA78D9">
            <w:pPr>
              <w:pStyle w:val="Tabelltext"/>
              <w:spacing w:before="60"/>
            </w:pPr>
            <w:r w:rsidRPr="00E40713">
              <w:t>Förvaltningsräntenetto</w:t>
            </w:r>
          </w:p>
        </w:tc>
        <w:tc>
          <w:tcPr>
            <w:tcW w:w="1247" w:type="dxa"/>
          </w:tcPr>
          <w:p w:rsidR="00CA78D9" w:rsidRPr="00E7637B" w:rsidRDefault="00CA78D9" w:rsidP="00CA78D9">
            <w:pPr>
              <w:pStyle w:val="Tabelltext"/>
              <w:spacing w:before="60"/>
              <w:jc w:val="right"/>
            </w:pPr>
            <w:r>
              <w:rPr>
                <w:szCs w:val="19"/>
              </w:rPr>
              <w:t>–13</w:t>
            </w:r>
          </w:p>
        </w:tc>
        <w:tc>
          <w:tcPr>
            <w:tcW w:w="1247" w:type="dxa"/>
          </w:tcPr>
          <w:p w:rsidR="00CA78D9" w:rsidRPr="00E7637B" w:rsidRDefault="00CA78D9" w:rsidP="00CA78D9">
            <w:pPr>
              <w:pStyle w:val="Tabelltext"/>
              <w:spacing w:before="60"/>
              <w:jc w:val="right"/>
            </w:pPr>
            <w:r>
              <w:rPr>
                <w:szCs w:val="19"/>
              </w:rPr>
              <w:t>–28</w:t>
            </w:r>
          </w:p>
        </w:tc>
      </w:tr>
      <w:tr w:rsidR="00CA78D9" w:rsidRPr="00E7637B" w:rsidTr="006247DF">
        <w:trPr>
          <w:cantSplit/>
          <w:trHeight w:val="20"/>
        </w:trPr>
        <w:tc>
          <w:tcPr>
            <w:tcW w:w="3592" w:type="dxa"/>
          </w:tcPr>
          <w:p w:rsidR="00CA78D9" w:rsidRPr="00E40713" w:rsidRDefault="00CA78D9" w:rsidP="00CA78D9">
            <w:pPr>
              <w:pStyle w:val="Tabelltext"/>
              <w:spacing w:before="60"/>
            </w:pPr>
            <w:r w:rsidRPr="00E40713">
              <w:t>Förvaltningsintäkter</w:t>
            </w:r>
          </w:p>
        </w:tc>
        <w:tc>
          <w:tcPr>
            <w:tcW w:w="1247" w:type="dxa"/>
          </w:tcPr>
          <w:p w:rsidR="00CA78D9" w:rsidRPr="00E7637B" w:rsidRDefault="00CA78D9" w:rsidP="00CA78D9">
            <w:pPr>
              <w:pStyle w:val="Tabelltext"/>
              <w:spacing w:before="60"/>
              <w:jc w:val="right"/>
            </w:pPr>
            <w:r>
              <w:t>136</w:t>
            </w:r>
          </w:p>
        </w:tc>
        <w:tc>
          <w:tcPr>
            <w:tcW w:w="1247" w:type="dxa"/>
          </w:tcPr>
          <w:p w:rsidR="00CA78D9" w:rsidRPr="00E7637B" w:rsidRDefault="00CA78D9" w:rsidP="00CA78D9">
            <w:pPr>
              <w:pStyle w:val="Tabelltext"/>
              <w:spacing w:before="60"/>
              <w:jc w:val="right"/>
            </w:pPr>
            <w:r>
              <w:t>146</w:t>
            </w:r>
          </w:p>
        </w:tc>
      </w:tr>
      <w:tr w:rsidR="00CA78D9" w:rsidRPr="00E7637B" w:rsidTr="006247DF">
        <w:trPr>
          <w:cantSplit/>
          <w:trHeight w:val="20"/>
        </w:trPr>
        <w:tc>
          <w:tcPr>
            <w:tcW w:w="3592" w:type="dxa"/>
          </w:tcPr>
          <w:p w:rsidR="00CA78D9" w:rsidRPr="00E40713" w:rsidRDefault="00CA78D9" w:rsidP="00CA78D9">
            <w:pPr>
              <w:pStyle w:val="Tabelltext"/>
              <w:spacing w:before="60"/>
            </w:pPr>
            <w:r w:rsidRPr="00E40713">
              <w:t>Förvaltningskostnader</w:t>
            </w:r>
          </w:p>
        </w:tc>
        <w:tc>
          <w:tcPr>
            <w:tcW w:w="1247" w:type="dxa"/>
            <w:tcBorders>
              <w:bottom w:val="single" w:sz="4" w:space="0" w:color="auto"/>
            </w:tcBorders>
          </w:tcPr>
          <w:p w:rsidR="00CA78D9" w:rsidRPr="00E7637B" w:rsidRDefault="00CA78D9" w:rsidP="00CA78D9">
            <w:pPr>
              <w:pStyle w:val="Tabelltext"/>
              <w:spacing w:before="60"/>
              <w:jc w:val="right"/>
            </w:pPr>
            <w:r>
              <w:rPr>
                <w:szCs w:val="19"/>
              </w:rPr>
              <w:t>–917</w:t>
            </w:r>
          </w:p>
        </w:tc>
        <w:tc>
          <w:tcPr>
            <w:tcW w:w="1247" w:type="dxa"/>
            <w:tcBorders>
              <w:bottom w:val="single" w:sz="4" w:space="0" w:color="auto"/>
            </w:tcBorders>
          </w:tcPr>
          <w:p w:rsidR="00CA78D9" w:rsidRPr="00E7637B" w:rsidRDefault="00CA78D9" w:rsidP="00CA78D9">
            <w:pPr>
              <w:pStyle w:val="Tabelltext"/>
              <w:spacing w:before="60"/>
              <w:jc w:val="right"/>
            </w:pPr>
            <w:r>
              <w:rPr>
                <w:szCs w:val="19"/>
              </w:rPr>
              <w:t>–790</w:t>
            </w:r>
          </w:p>
        </w:tc>
      </w:tr>
      <w:tr w:rsidR="00CA78D9" w:rsidRPr="00E7637B" w:rsidTr="006247DF">
        <w:trPr>
          <w:cantSplit/>
          <w:trHeight w:val="20"/>
        </w:trPr>
        <w:tc>
          <w:tcPr>
            <w:tcW w:w="3592" w:type="dxa"/>
          </w:tcPr>
          <w:p w:rsidR="00CA78D9" w:rsidRPr="00FA34D0" w:rsidRDefault="00CA78D9" w:rsidP="00CA78D9">
            <w:pPr>
              <w:pStyle w:val="Tabelltext"/>
              <w:spacing w:before="60"/>
              <w:rPr>
                <w:b/>
              </w:rPr>
            </w:pPr>
            <w:r>
              <w:rPr>
                <w:b/>
              </w:rPr>
              <w:t xml:space="preserve">Resultat inkl. resultat redovisat i balansräkningen </w:t>
            </w:r>
          </w:p>
        </w:tc>
        <w:tc>
          <w:tcPr>
            <w:tcW w:w="1247" w:type="dxa"/>
          </w:tcPr>
          <w:p w:rsidR="00CA78D9" w:rsidRPr="00160C8E" w:rsidRDefault="00752924" w:rsidP="00752924">
            <w:pPr>
              <w:pStyle w:val="Tabelltext"/>
              <w:spacing w:before="60"/>
              <w:jc w:val="right"/>
              <w:rPr>
                <w:b/>
              </w:rPr>
            </w:pPr>
            <w:r>
              <w:rPr>
                <w:b/>
                <w:szCs w:val="19"/>
              </w:rPr>
              <w:t>30 701</w:t>
            </w:r>
          </w:p>
        </w:tc>
        <w:tc>
          <w:tcPr>
            <w:tcW w:w="1247" w:type="dxa"/>
          </w:tcPr>
          <w:p w:rsidR="00CA78D9" w:rsidRPr="008F52D0" w:rsidRDefault="00CA78D9" w:rsidP="00CA78D9">
            <w:pPr>
              <w:pStyle w:val="Tabelltext"/>
              <w:spacing w:before="60"/>
              <w:jc w:val="right"/>
              <w:rPr>
                <w:b/>
              </w:rPr>
            </w:pPr>
            <w:r w:rsidRPr="00160C8E">
              <w:rPr>
                <w:b/>
                <w:szCs w:val="19"/>
              </w:rPr>
              <w:t>–19 697</w:t>
            </w:r>
          </w:p>
        </w:tc>
      </w:tr>
      <w:tr w:rsidR="00CA78D9" w:rsidRPr="00E7637B" w:rsidTr="006247DF">
        <w:trPr>
          <w:cantSplit/>
          <w:trHeight w:val="20"/>
        </w:trPr>
        <w:tc>
          <w:tcPr>
            <w:tcW w:w="3592" w:type="dxa"/>
            <w:tcBorders>
              <w:bottom w:val="single" w:sz="4" w:space="0" w:color="auto"/>
            </w:tcBorders>
          </w:tcPr>
          <w:p w:rsidR="00CA78D9" w:rsidRPr="00E40713" w:rsidRDefault="00CA78D9" w:rsidP="00CA78D9">
            <w:pPr>
              <w:pStyle w:val="Tabelltext"/>
              <w:spacing w:before="60"/>
            </w:pPr>
            <w:r>
              <w:t>Återläggning av</w:t>
            </w:r>
            <w:r w:rsidRPr="00E40713" w:rsidDel="00570A09">
              <w:t xml:space="preserve"> </w:t>
            </w:r>
            <w:r>
              <w:t>resultat redovisat i balansräkningen</w:t>
            </w:r>
          </w:p>
        </w:tc>
        <w:tc>
          <w:tcPr>
            <w:tcW w:w="1247" w:type="dxa"/>
          </w:tcPr>
          <w:p w:rsidR="00CA78D9" w:rsidRPr="00E7637B" w:rsidRDefault="00752924" w:rsidP="00752924">
            <w:pPr>
              <w:pStyle w:val="Tabelltext"/>
              <w:spacing w:before="60"/>
              <w:jc w:val="right"/>
            </w:pPr>
            <w:r>
              <w:t>27</w:t>
            </w:r>
            <w:r w:rsidR="00CA78D9">
              <w:t xml:space="preserve"> </w:t>
            </w:r>
            <w:r>
              <w:t>434</w:t>
            </w:r>
          </w:p>
        </w:tc>
        <w:tc>
          <w:tcPr>
            <w:tcW w:w="1247" w:type="dxa"/>
          </w:tcPr>
          <w:p w:rsidR="00CA78D9" w:rsidRPr="00E7637B" w:rsidRDefault="00CA78D9" w:rsidP="00CA78D9">
            <w:pPr>
              <w:pStyle w:val="Tabelltext"/>
              <w:spacing w:before="60"/>
              <w:jc w:val="right"/>
            </w:pPr>
            <w:r>
              <w:t>17 686</w:t>
            </w:r>
          </w:p>
        </w:tc>
      </w:tr>
      <w:tr w:rsidR="00CA78D9" w:rsidRPr="00E7637B" w:rsidTr="006247DF">
        <w:trPr>
          <w:cantSplit/>
          <w:trHeight w:val="20"/>
        </w:trPr>
        <w:tc>
          <w:tcPr>
            <w:tcW w:w="3592" w:type="dxa"/>
            <w:tcBorders>
              <w:top w:val="single" w:sz="4" w:space="0" w:color="auto"/>
              <w:bottom w:val="single" w:sz="4" w:space="0" w:color="auto"/>
            </w:tcBorders>
            <w:vAlign w:val="center"/>
          </w:tcPr>
          <w:p w:rsidR="00CA78D9" w:rsidRPr="00FA34D0" w:rsidRDefault="00CA78D9" w:rsidP="00CA78D9">
            <w:pPr>
              <w:pStyle w:val="Tabelltext"/>
              <w:spacing w:before="60"/>
              <w:rPr>
                <w:b/>
              </w:rPr>
            </w:pPr>
            <w:r w:rsidRPr="00FA34D0">
              <w:rPr>
                <w:b/>
              </w:rPr>
              <w:t>Redovisat resultat</w:t>
            </w:r>
          </w:p>
        </w:tc>
        <w:tc>
          <w:tcPr>
            <w:tcW w:w="1247" w:type="dxa"/>
            <w:tcBorders>
              <w:top w:val="single" w:sz="4" w:space="0" w:color="auto"/>
              <w:bottom w:val="single" w:sz="4" w:space="0" w:color="auto"/>
            </w:tcBorders>
            <w:vAlign w:val="center"/>
          </w:tcPr>
          <w:p w:rsidR="00CA78D9" w:rsidRPr="00160C8E" w:rsidRDefault="00752924" w:rsidP="00752924">
            <w:pPr>
              <w:pStyle w:val="Tabelltext"/>
              <w:spacing w:before="60"/>
              <w:jc w:val="right"/>
              <w:rPr>
                <w:b/>
              </w:rPr>
            </w:pPr>
            <w:r>
              <w:rPr>
                <w:b/>
                <w:szCs w:val="19"/>
              </w:rPr>
              <w:t>3 267</w:t>
            </w:r>
          </w:p>
        </w:tc>
        <w:tc>
          <w:tcPr>
            <w:tcW w:w="1247" w:type="dxa"/>
            <w:tcBorders>
              <w:top w:val="single" w:sz="4" w:space="0" w:color="auto"/>
              <w:bottom w:val="single" w:sz="4" w:space="0" w:color="auto"/>
            </w:tcBorders>
            <w:vAlign w:val="center"/>
          </w:tcPr>
          <w:p w:rsidR="00CA78D9" w:rsidRPr="00160C8E" w:rsidRDefault="00CA78D9" w:rsidP="00CA78D9">
            <w:pPr>
              <w:pStyle w:val="Tabelltext"/>
              <w:spacing w:before="60"/>
              <w:jc w:val="right"/>
              <w:rPr>
                <w:b/>
              </w:rPr>
            </w:pPr>
            <w:r w:rsidRPr="00160C8E">
              <w:rPr>
                <w:b/>
                <w:szCs w:val="19"/>
              </w:rPr>
              <w:t>–2 011</w:t>
            </w:r>
          </w:p>
        </w:tc>
      </w:tr>
    </w:tbl>
    <w:p w:rsidR="006247DF" w:rsidRPr="00E90630" w:rsidRDefault="006247DF" w:rsidP="006247DF">
      <w:pPr>
        <w:spacing w:before="120"/>
      </w:pPr>
      <w:r w:rsidRPr="00E90630">
        <w:t xml:space="preserve">Förvaltningsräntenettot i tabellen ovan består av ränteintäkter </w:t>
      </w:r>
      <w:r>
        <w:t>från</w:t>
      </w:r>
      <w:r w:rsidRPr="00E90630">
        <w:t xml:space="preserve"> Riks</w:t>
      </w:r>
      <w:r w:rsidR="00CE10F2">
        <w:softHyphen/>
      </w:r>
      <w:r w:rsidRPr="00E90630">
        <w:t>bankens per</w:t>
      </w:r>
      <w:r>
        <w:t xml:space="preserve">sonallån om </w:t>
      </w:r>
      <w:r w:rsidR="00752924">
        <w:t>5</w:t>
      </w:r>
      <w:r>
        <w:t xml:space="preserve"> miljoner kronor (</w:t>
      </w:r>
      <w:r w:rsidR="00752924">
        <w:t>4</w:t>
      </w:r>
      <w:r w:rsidRPr="00E90630">
        <w:t xml:space="preserve">) </w:t>
      </w:r>
      <w:r>
        <w:t>och</w:t>
      </w:r>
      <w:r w:rsidRPr="00E90630">
        <w:t xml:space="preserve"> räntekostnader </w:t>
      </w:r>
      <w:r>
        <w:t>för</w:t>
      </w:r>
      <w:r w:rsidRPr="00E90630">
        <w:t xml:space="preserve"> ränt</w:t>
      </w:r>
      <w:r w:rsidRPr="00E90630">
        <w:t>e</w:t>
      </w:r>
      <w:r w:rsidRPr="00E90630">
        <w:t xml:space="preserve">kompensation till kontantdepåerna om </w:t>
      </w:r>
      <w:r w:rsidR="00752924">
        <w:t>18</w:t>
      </w:r>
      <w:r w:rsidRPr="00E90630">
        <w:t xml:space="preserve"> miljoner kronor (</w:t>
      </w:r>
      <w:r>
        <w:t>3</w:t>
      </w:r>
      <w:r w:rsidR="00752924">
        <w:t>2</w:t>
      </w:r>
      <w:r w:rsidRPr="00E90630">
        <w:t>).</w:t>
      </w:r>
    </w:p>
    <w:p w:rsidR="006247DF" w:rsidRPr="00E90630" w:rsidRDefault="006247DF" w:rsidP="006247DF">
      <w:pPr>
        <w:pStyle w:val="Normaltindrag"/>
      </w:pPr>
      <w:r w:rsidRPr="00E90630">
        <w:t>Nettoresultat av finansiella transaktioner redovisa</w:t>
      </w:r>
      <w:r>
        <w:t>t</w:t>
      </w:r>
      <w:r w:rsidRPr="00E90630">
        <w:t xml:space="preserve"> </w:t>
      </w:r>
      <w:r>
        <w:t>på värdereglerings</w:t>
      </w:r>
      <w:r w:rsidR="007A632D">
        <w:softHyphen/>
      </w:r>
      <w:r>
        <w:t>ko</w:t>
      </w:r>
      <w:r>
        <w:t>n</w:t>
      </w:r>
      <w:r>
        <w:t xml:space="preserve">ton </w:t>
      </w:r>
      <w:r w:rsidRPr="00E90630">
        <w:t xml:space="preserve">i balansräkningen motsvarar förändringen under året avseende posten </w:t>
      </w:r>
      <w:r>
        <w:t>V</w:t>
      </w:r>
      <w:r w:rsidRPr="00E90630">
        <w:t>ärderegleringskonton.</w:t>
      </w:r>
    </w:p>
    <w:p w:rsidR="006247DF" w:rsidRPr="00262BC2" w:rsidRDefault="006247DF" w:rsidP="006247DF">
      <w:pPr>
        <w:pStyle w:val="R3"/>
      </w:pPr>
      <w:r w:rsidRPr="00262BC2">
        <w:t>Fördelning av tillgångar och skulder</w:t>
      </w:r>
    </w:p>
    <w:p w:rsidR="006247DF" w:rsidRPr="00224C1A" w:rsidRDefault="006247DF" w:rsidP="006247DF">
      <w:pPr>
        <w:spacing w:after="120"/>
      </w:pPr>
      <w:r w:rsidRPr="00E7637B">
        <w:t xml:space="preserve">Av tabellen nedan framgår Riksbankens tillgångar och skulder fördelade på verksamhetsområden i miljoner kronor. </w:t>
      </w:r>
    </w:p>
    <w:tbl>
      <w:tblPr>
        <w:tblW w:w="5985" w:type="dxa"/>
        <w:tblInd w:w="108" w:type="dxa"/>
        <w:tblLook w:val="01E0" w:firstRow="1" w:lastRow="1" w:firstColumn="1" w:lastColumn="1" w:noHBand="0" w:noVBand="0"/>
      </w:tblPr>
      <w:tblGrid>
        <w:gridCol w:w="2047"/>
        <w:gridCol w:w="1021"/>
        <w:gridCol w:w="947"/>
        <w:gridCol w:w="1023"/>
        <w:gridCol w:w="947"/>
      </w:tblGrid>
      <w:tr w:rsidR="006247DF" w:rsidRPr="00E7637B" w:rsidTr="006247DF">
        <w:tc>
          <w:tcPr>
            <w:tcW w:w="2047" w:type="dxa"/>
            <w:vMerge w:val="restart"/>
            <w:tcBorders>
              <w:top w:val="single" w:sz="4" w:space="0" w:color="auto"/>
            </w:tcBorders>
            <w:shd w:val="clear" w:color="auto" w:fill="auto"/>
          </w:tcPr>
          <w:p w:rsidR="006247DF" w:rsidRPr="00E7637B" w:rsidRDefault="006247DF" w:rsidP="006247DF">
            <w:pPr>
              <w:pStyle w:val="Tabelltext"/>
              <w:rPr>
                <w:b/>
              </w:rPr>
            </w:pPr>
          </w:p>
          <w:p w:rsidR="006247DF" w:rsidRPr="00E7637B" w:rsidRDefault="006247DF" w:rsidP="00A12444">
            <w:pPr>
              <w:pStyle w:val="Tabelltext"/>
              <w:rPr>
                <w:b/>
              </w:rPr>
            </w:pPr>
            <w:r w:rsidRPr="00E7637B">
              <w:rPr>
                <w:b/>
              </w:rPr>
              <w:t>Verksamhetsområde</w:t>
            </w:r>
          </w:p>
        </w:tc>
        <w:tc>
          <w:tcPr>
            <w:tcW w:w="1968" w:type="dxa"/>
            <w:gridSpan w:val="2"/>
            <w:tcBorders>
              <w:top w:val="single" w:sz="4" w:space="0" w:color="auto"/>
            </w:tcBorders>
            <w:shd w:val="clear" w:color="auto" w:fill="auto"/>
          </w:tcPr>
          <w:p w:rsidR="006247DF" w:rsidRPr="00E7637B" w:rsidRDefault="006247DF" w:rsidP="00420734">
            <w:pPr>
              <w:pStyle w:val="Tabelltext"/>
              <w:jc w:val="center"/>
              <w:rPr>
                <w:b/>
              </w:rPr>
            </w:pPr>
            <w:r>
              <w:rPr>
                <w:b/>
              </w:rPr>
              <w:t>201</w:t>
            </w:r>
            <w:r w:rsidR="00420734">
              <w:rPr>
                <w:b/>
              </w:rPr>
              <w:t>4</w:t>
            </w:r>
            <w:r>
              <w:rPr>
                <w:b/>
              </w:rPr>
              <w:t>-12-31</w:t>
            </w:r>
          </w:p>
        </w:tc>
        <w:tc>
          <w:tcPr>
            <w:tcW w:w="1970" w:type="dxa"/>
            <w:gridSpan w:val="2"/>
            <w:tcBorders>
              <w:top w:val="single" w:sz="4" w:space="0" w:color="auto"/>
            </w:tcBorders>
            <w:shd w:val="clear" w:color="auto" w:fill="auto"/>
          </w:tcPr>
          <w:p w:rsidR="006247DF" w:rsidRPr="00E7637B" w:rsidRDefault="006247DF" w:rsidP="00420734">
            <w:pPr>
              <w:pStyle w:val="Tabelltext"/>
              <w:jc w:val="center"/>
              <w:rPr>
                <w:b/>
              </w:rPr>
            </w:pPr>
            <w:r w:rsidRPr="00E7637B">
              <w:rPr>
                <w:b/>
              </w:rPr>
              <w:t>201</w:t>
            </w:r>
            <w:r w:rsidR="00420734">
              <w:rPr>
                <w:b/>
              </w:rPr>
              <w:t>3</w:t>
            </w:r>
            <w:r w:rsidRPr="00E7637B">
              <w:rPr>
                <w:b/>
              </w:rPr>
              <w:t>-12-31</w:t>
            </w:r>
          </w:p>
        </w:tc>
      </w:tr>
      <w:tr w:rsidR="006247DF" w:rsidRPr="00E7637B" w:rsidTr="006247DF">
        <w:tc>
          <w:tcPr>
            <w:tcW w:w="2047" w:type="dxa"/>
            <w:vMerge/>
            <w:tcBorders>
              <w:bottom w:val="single" w:sz="4" w:space="0" w:color="auto"/>
            </w:tcBorders>
            <w:shd w:val="clear" w:color="auto" w:fill="auto"/>
          </w:tcPr>
          <w:p w:rsidR="006247DF" w:rsidRPr="00E7637B" w:rsidRDefault="006247DF" w:rsidP="006247DF">
            <w:pPr>
              <w:pStyle w:val="Tabelltext"/>
            </w:pPr>
          </w:p>
        </w:tc>
        <w:tc>
          <w:tcPr>
            <w:tcW w:w="1021" w:type="dxa"/>
            <w:tcBorders>
              <w:bottom w:val="single" w:sz="4" w:space="0" w:color="auto"/>
            </w:tcBorders>
            <w:shd w:val="clear" w:color="auto" w:fill="auto"/>
          </w:tcPr>
          <w:p w:rsidR="006247DF" w:rsidRPr="00E7637B" w:rsidRDefault="006247DF" w:rsidP="006247DF">
            <w:pPr>
              <w:pStyle w:val="Tabelltext"/>
              <w:jc w:val="right"/>
              <w:rPr>
                <w:b/>
              </w:rPr>
            </w:pPr>
            <w:r w:rsidRPr="00E7637B">
              <w:rPr>
                <w:b/>
              </w:rPr>
              <w:t>Tillgångar</w:t>
            </w:r>
          </w:p>
        </w:tc>
        <w:tc>
          <w:tcPr>
            <w:tcW w:w="947" w:type="dxa"/>
            <w:tcBorders>
              <w:bottom w:val="single" w:sz="4" w:space="0" w:color="auto"/>
            </w:tcBorders>
            <w:shd w:val="clear" w:color="auto" w:fill="auto"/>
          </w:tcPr>
          <w:p w:rsidR="006247DF" w:rsidRPr="00E7637B" w:rsidRDefault="006247DF" w:rsidP="006247DF">
            <w:pPr>
              <w:pStyle w:val="Tabelltext"/>
              <w:jc w:val="right"/>
              <w:rPr>
                <w:b/>
              </w:rPr>
            </w:pPr>
            <w:r w:rsidRPr="00E7637B">
              <w:rPr>
                <w:b/>
              </w:rPr>
              <w:t>Skulder</w:t>
            </w:r>
          </w:p>
        </w:tc>
        <w:tc>
          <w:tcPr>
            <w:tcW w:w="1023" w:type="dxa"/>
            <w:tcBorders>
              <w:bottom w:val="single" w:sz="4" w:space="0" w:color="auto"/>
            </w:tcBorders>
            <w:shd w:val="clear" w:color="auto" w:fill="auto"/>
          </w:tcPr>
          <w:p w:rsidR="006247DF" w:rsidRPr="00E7637B" w:rsidRDefault="006247DF" w:rsidP="006247DF">
            <w:pPr>
              <w:pStyle w:val="Tabelltext"/>
              <w:jc w:val="right"/>
              <w:rPr>
                <w:b/>
              </w:rPr>
            </w:pPr>
            <w:r w:rsidRPr="00E7637B">
              <w:rPr>
                <w:b/>
              </w:rPr>
              <w:t>Tillgångar</w:t>
            </w:r>
          </w:p>
        </w:tc>
        <w:tc>
          <w:tcPr>
            <w:tcW w:w="947" w:type="dxa"/>
            <w:tcBorders>
              <w:bottom w:val="single" w:sz="4" w:space="0" w:color="auto"/>
            </w:tcBorders>
            <w:shd w:val="clear" w:color="auto" w:fill="auto"/>
          </w:tcPr>
          <w:p w:rsidR="006247DF" w:rsidRPr="00E7637B" w:rsidRDefault="006247DF" w:rsidP="006247DF">
            <w:pPr>
              <w:pStyle w:val="Tabelltext"/>
              <w:jc w:val="right"/>
              <w:rPr>
                <w:b/>
              </w:rPr>
            </w:pPr>
            <w:r w:rsidRPr="00E7637B">
              <w:rPr>
                <w:b/>
              </w:rPr>
              <w:t>Skulder</w:t>
            </w:r>
          </w:p>
        </w:tc>
      </w:tr>
      <w:tr w:rsidR="006247DF" w:rsidRPr="00E7637B" w:rsidTr="006247DF">
        <w:tc>
          <w:tcPr>
            <w:tcW w:w="2047" w:type="dxa"/>
            <w:tcBorders>
              <w:top w:val="single" w:sz="4" w:space="0" w:color="auto"/>
            </w:tcBorders>
            <w:shd w:val="clear" w:color="auto" w:fill="auto"/>
          </w:tcPr>
          <w:p w:rsidR="006247DF" w:rsidRPr="00135DE3" w:rsidRDefault="006247DF" w:rsidP="006247DF">
            <w:pPr>
              <w:pStyle w:val="Tabelltext"/>
              <w:spacing w:before="60"/>
            </w:pPr>
            <w:r>
              <w:t>Finansiell stabilitet</w:t>
            </w:r>
          </w:p>
        </w:tc>
        <w:tc>
          <w:tcPr>
            <w:tcW w:w="1021" w:type="dxa"/>
            <w:tcBorders>
              <w:top w:val="single" w:sz="4" w:space="0" w:color="auto"/>
            </w:tcBorders>
            <w:shd w:val="clear" w:color="auto" w:fill="auto"/>
          </w:tcPr>
          <w:p w:rsidR="006247DF" w:rsidRPr="00B061DC" w:rsidRDefault="006247DF" w:rsidP="006247DF">
            <w:pPr>
              <w:pStyle w:val="Tabelltextsiffror"/>
              <w:spacing w:before="60"/>
            </w:pPr>
            <w:r w:rsidRPr="00B061DC">
              <w:t>441</w:t>
            </w:r>
          </w:p>
        </w:tc>
        <w:tc>
          <w:tcPr>
            <w:tcW w:w="947" w:type="dxa"/>
            <w:tcBorders>
              <w:top w:val="single" w:sz="4" w:space="0" w:color="auto"/>
            </w:tcBorders>
            <w:shd w:val="clear" w:color="auto" w:fill="auto"/>
          </w:tcPr>
          <w:p w:rsidR="006247DF" w:rsidRPr="00B061DC" w:rsidRDefault="006247DF" w:rsidP="006247DF">
            <w:pPr>
              <w:pStyle w:val="Tabelltextsiffror"/>
              <w:spacing w:before="60"/>
            </w:pPr>
            <w:r w:rsidRPr="00B061DC">
              <w:t>–</w:t>
            </w:r>
          </w:p>
        </w:tc>
        <w:tc>
          <w:tcPr>
            <w:tcW w:w="1023" w:type="dxa"/>
            <w:tcBorders>
              <w:top w:val="single" w:sz="4" w:space="0" w:color="auto"/>
            </w:tcBorders>
            <w:shd w:val="clear" w:color="auto" w:fill="auto"/>
          </w:tcPr>
          <w:p w:rsidR="006247DF" w:rsidRPr="00B061DC" w:rsidRDefault="006247DF" w:rsidP="006247DF">
            <w:pPr>
              <w:pStyle w:val="Tabelltextsiffror"/>
              <w:spacing w:before="60"/>
            </w:pPr>
            <w:r w:rsidRPr="00B061DC">
              <w:t>441</w:t>
            </w:r>
          </w:p>
        </w:tc>
        <w:tc>
          <w:tcPr>
            <w:tcW w:w="947" w:type="dxa"/>
            <w:tcBorders>
              <w:top w:val="single" w:sz="4" w:space="0" w:color="auto"/>
            </w:tcBorders>
            <w:shd w:val="clear" w:color="auto" w:fill="auto"/>
          </w:tcPr>
          <w:p w:rsidR="006247DF" w:rsidRPr="00135DE3" w:rsidRDefault="006247DF" w:rsidP="006247DF">
            <w:pPr>
              <w:pStyle w:val="Tabelltextsiffror"/>
              <w:spacing w:before="60"/>
            </w:pPr>
            <w:r w:rsidRPr="0062371C">
              <w:t>–</w:t>
            </w:r>
          </w:p>
        </w:tc>
      </w:tr>
      <w:tr w:rsidR="00420734" w:rsidRPr="00E7637B" w:rsidTr="006247DF">
        <w:tc>
          <w:tcPr>
            <w:tcW w:w="2047" w:type="dxa"/>
            <w:shd w:val="clear" w:color="auto" w:fill="auto"/>
          </w:tcPr>
          <w:p w:rsidR="00420734" w:rsidRPr="00E7637B" w:rsidRDefault="00420734" w:rsidP="006247DF">
            <w:pPr>
              <w:pStyle w:val="Tabelltext"/>
              <w:spacing w:before="60"/>
            </w:pPr>
            <w:r w:rsidRPr="00135DE3">
              <w:t>Kontant</w:t>
            </w:r>
            <w:r>
              <w:t>försörjning</w:t>
            </w:r>
          </w:p>
        </w:tc>
        <w:tc>
          <w:tcPr>
            <w:tcW w:w="1021" w:type="dxa"/>
            <w:shd w:val="clear" w:color="auto" w:fill="auto"/>
          </w:tcPr>
          <w:p w:rsidR="00420734" w:rsidRPr="00B061DC" w:rsidRDefault="00420734" w:rsidP="006247DF">
            <w:pPr>
              <w:pStyle w:val="Tabelltextsiffror"/>
              <w:spacing w:before="60"/>
            </w:pPr>
            <w:r w:rsidRPr="00B061DC">
              <w:t>–</w:t>
            </w:r>
          </w:p>
        </w:tc>
        <w:tc>
          <w:tcPr>
            <w:tcW w:w="947" w:type="dxa"/>
            <w:shd w:val="clear" w:color="auto" w:fill="auto"/>
          </w:tcPr>
          <w:p w:rsidR="00420734" w:rsidRPr="00B061DC" w:rsidRDefault="00B061DC" w:rsidP="006247DF">
            <w:pPr>
              <w:pStyle w:val="Tabelltextsiffror"/>
              <w:spacing w:before="60"/>
            </w:pPr>
            <w:r w:rsidRPr="00B061DC">
              <w:t>83 224</w:t>
            </w:r>
          </w:p>
        </w:tc>
        <w:tc>
          <w:tcPr>
            <w:tcW w:w="1023" w:type="dxa"/>
            <w:shd w:val="clear" w:color="auto" w:fill="auto"/>
          </w:tcPr>
          <w:p w:rsidR="00420734" w:rsidRPr="00B061DC" w:rsidRDefault="00420734" w:rsidP="006247DF">
            <w:pPr>
              <w:pStyle w:val="Tabelltextsiffror"/>
              <w:spacing w:before="60"/>
            </w:pPr>
            <w:r w:rsidRPr="00B061DC">
              <w:t>–</w:t>
            </w:r>
          </w:p>
        </w:tc>
        <w:tc>
          <w:tcPr>
            <w:tcW w:w="947" w:type="dxa"/>
            <w:shd w:val="clear" w:color="auto" w:fill="auto"/>
          </w:tcPr>
          <w:p w:rsidR="00420734" w:rsidRPr="00B51C85" w:rsidRDefault="00420734" w:rsidP="006247DF">
            <w:pPr>
              <w:pStyle w:val="Tabelltextsiffror"/>
              <w:spacing w:before="60"/>
            </w:pPr>
            <w:r>
              <w:t>85 700</w:t>
            </w:r>
          </w:p>
        </w:tc>
      </w:tr>
      <w:tr w:rsidR="00420734" w:rsidRPr="00E7637B" w:rsidTr="006247DF">
        <w:tc>
          <w:tcPr>
            <w:tcW w:w="2047" w:type="dxa"/>
            <w:shd w:val="clear" w:color="auto" w:fill="auto"/>
          </w:tcPr>
          <w:p w:rsidR="00420734" w:rsidRPr="00E7637B" w:rsidRDefault="00420734" w:rsidP="006247DF">
            <w:pPr>
              <w:pStyle w:val="Tabelltext"/>
              <w:spacing w:before="60"/>
            </w:pPr>
            <w:r w:rsidRPr="00E7637B">
              <w:t>Tillgångsförvaltning</w:t>
            </w:r>
          </w:p>
        </w:tc>
        <w:tc>
          <w:tcPr>
            <w:tcW w:w="1021" w:type="dxa"/>
            <w:shd w:val="clear" w:color="auto" w:fill="auto"/>
          </w:tcPr>
          <w:p w:rsidR="00420734" w:rsidRPr="00B061DC" w:rsidRDefault="00B061DC" w:rsidP="006247DF">
            <w:pPr>
              <w:pStyle w:val="Tabelltextsiffror"/>
              <w:spacing w:before="60"/>
            </w:pPr>
            <w:r w:rsidRPr="00B061DC">
              <w:t xml:space="preserve">500 </w:t>
            </w:r>
            <w:r w:rsidR="0005601B">
              <w:t>82</w:t>
            </w:r>
            <w:r w:rsidR="00802EB4">
              <w:t>4</w:t>
            </w:r>
          </w:p>
        </w:tc>
        <w:tc>
          <w:tcPr>
            <w:tcW w:w="947" w:type="dxa"/>
            <w:shd w:val="clear" w:color="auto" w:fill="auto"/>
          </w:tcPr>
          <w:p w:rsidR="00420734" w:rsidRPr="00B061DC" w:rsidRDefault="00B061DC" w:rsidP="006247DF">
            <w:pPr>
              <w:pStyle w:val="Tabelltextsiffror"/>
              <w:spacing w:before="60"/>
            </w:pPr>
            <w:r w:rsidRPr="00B061DC">
              <w:t xml:space="preserve">307 </w:t>
            </w:r>
            <w:r w:rsidR="0005601B">
              <w:t>52</w:t>
            </w:r>
            <w:r w:rsidR="00802EB4">
              <w:t>9</w:t>
            </w:r>
          </w:p>
        </w:tc>
        <w:tc>
          <w:tcPr>
            <w:tcW w:w="1023" w:type="dxa"/>
            <w:shd w:val="clear" w:color="auto" w:fill="auto"/>
          </w:tcPr>
          <w:p w:rsidR="00420734" w:rsidRPr="00B061DC" w:rsidRDefault="00420734" w:rsidP="006247DF">
            <w:pPr>
              <w:pStyle w:val="Tabelltextsiffror"/>
              <w:spacing w:before="60"/>
            </w:pPr>
            <w:r w:rsidRPr="00B061DC">
              <w:t>430 046</w:t>
            </w:r>
          </w:p>
        </w:tc>
        <w:tc>
          <w:tcPr>
            <w:tcW w:w="947" w:type="dxa"/>
            <w:shd w:val="clear" w:color="auto" w:fill="auto"/>
          </w:tcPr>
          <w:p w:rsidR="00420734" w:rsidRPr="00B51C85" w:rsidRDefault="00420734" w:rsidP="006247DF">
            <w:pPr>
              <w:pStyle w:val="Tabelltextsiffror"/>
              <w:spacing w:before="60"/>
            </w:pPr>
            <w:r>
              <w:t>262 339</w:t>
            </w:r>
          </w:p>
        </w:tc>
      </w:tr>
      <w:tr w:rsidR="00420734" w:rsidRPr="00E7637B" w:rsidTr="006247DF">
        <w:tc>
          <w:tcPr>
            <w:tcW w:w="2047" w:type="dxa"/>
            <w:tcBorders>
              <w:bottom w:val="single" w:sz="4" w:space="0" w:color="auto"/>
            </w:tcBorders>
            <w:shd w:val="clear" w:color="auto" w:fill="auto"/>
          </w:tcPr>
          <w:p w:rsidR="00420734" w:rsidRPr="00E7637B" w:rsidRDefault="00420734" w:rsidP="006247DF">
            <w:pPr>
              <w:pStyle w:val="Tabelltext"/>
              <w:spacing w:before="60"/>
            </w:pPr>
            <w:r w:rsidRPr="00E7637B">
              <w:t xml:space="preserve">Ofördelat </w:t>
            </w:r>
          </w:p>
        </w:tc>
        <w:tc>
          <w:tcPr>
            <w:tcW w:w="1021" w:type="dxa"/>
            <w:tcBorders>
              <w:bottom w:val="single" w:sz="4" w:space="0" w:color="auto"/>
            </w:tcBorders>
            <w:shd w:val="clear" w:color="auto" w:fill="auto"/>
          </w:tcPr>
          <w:p w:rsidR="00420734" w:rsidRPr="00B061DC" w:rsidRDefault="00420734" w:rsidP="006247DF">
            <w:pPr>
              <w:pStyle w:val="Tabelltextsiffror"/>
              <w:spacing w:before="60"/>
            </w:pPr>
            <w:r w:rsidRPr="00B061DC">
              <w:t>1 1</w:t>
            </w:r>
            <w:r w:rsidR="0005601B">
              <w:t>3</w:t>
            </w:r>
            <w:r w:rsidR="00802EB4">
              <w:t>6</w:t>
            </w:r>
          </w:p>
        </w:tc>
        <w:tc>
          <w:tcPr>
            <w:tcW w:w="947" w:type="dxa"/>
            <w:tcBorders>
              <w:bottom w:val="single" w:sz="4" w:space="0" w:color="auto"/>
            </w:tcBorders>
            <w:shd w:val="clear" w:color="auto" w:fill="auto"/>
          </w:tcPr>
          <w:p w:rsidR="00420734" w:rsidRPr="00B061DC" w:rsidRDefault="00B061DC" w:rsidP="006247DF">
            <w:pPr>
              <w:pStyle w:val="Tabelltextsiffror"/>
              <w:spacing w:before="60"/>
            </w:pPr>
            <w:r w:rsidRPr="00B061DC">
              <w:t xml:space="preserve">111 </w:t>
            </w:r>
            <w:r w:rsidR="0005601B">
              <w:t>64</w:t>
            </w:r>
            <w:r w:rsidR="00802EB4">
              <w:t>8</w:t>
            </w:r>
          </w:p>
        </w:tc>
        <w:tc>
          <w:tcPr>
            <w:tcW w:w="1023" w:type="dxa"/>
            <w:tcBorders>
              <w:bottom w:val="single" w:sz="4" w:space="0" w:color="auto"/>
            </w:tcBorders>
            <w:shd w:val="clear" w:color="auto" w:fill="auto"/>
          </w:tcPr>
          <w:p w:rsidR="00420734" w:rsidRPr="00B061DC" w:rsidRDefault="00420734" w:rsidP="006247DF">
            <w:pPr>
              <w:pStyle w:val="Tabelltextsiffror"/>
              <w:spacing w:before="60"/>
            </w:pPr>
            <w:r w:rsidRPr="00B061DC">
              <w:t>1 140</w:t>
            </w:r>
          </w:p>
        </w:tc>
        <w:tc>
          <w:tcPr>
            <w:tcW w:w="947" w:type="dxa"/>
            <w:tcBorders>
              <w:bottom w:val="single" w:sz="4" w:space="0" w:color="auto"/>
            </w:tcBorders>
            <w:shd w:val="clear" w:color="auto" w:fill="auto"/>
          </w:tcPr>
          <w:p w:rsidR="00420734" w:rsidRPr="00B51C85" w:rsidRDefault="00420734" w:rsidP="006247DF">
            <w:pPr>
              <w:pStyle w:val="Tabelltextsiffror"/>
              <w:spacing w:before="60"/>
            </w:pPr>
            <w:r>
              <w:t>83 588</w:t>
            </w:r>
          </w:p>
        </w:tc>
      </w:tr>
      <w:tr w:rsidR="00420734" w:rsidRPr="00E7637B" w:rsidTr="006247DF">
        <w:tc>
          <w:tcPr>
            <w:tcW w:w="2047" w:type="dxa"/>
            <w:tcBorders>
              <w:top w:val="single" w:sz="4" w:space="0" w:color="auto"/>
              <w:bottom w:val="single" w:sz="4" w:space="0" w:color="auto"/>
            </w:tcBorders>
            <w:shd w:val="clear" w:color="auto" w:fill="auto"/>
          </w:tcPr>
          <w:p w:rsidR="00420734" w:rsidRPr="00E7637B" w:rsidRDefault="00420734" w:rsidP="006247DF">
            <w:pPr>
              <w:pStyle w:val="Tabelltext"/>
              <w:spacing w:before="60"/>
              <w:rPr>
                <w:b/>
              </w:rPr>
            </w:pPr>
            <w:r w:rsidRPr="00E7637B">
              <w:rPr>
                <w:b/>
              </w:rPr>
              <w:t xml:space="preserve">Summa </w:t>
            </w:r>
          </w:p>
        </w:tc>
        <w:tc>
          <w:tcPr>
            <w:tcW w:w="1021" w:type="dxa"/>
            <w:tcBorders>
              <w:top w:val="single" w:sz="4" w:space="0" w:color="auto"/>
              <w:bottom w:val="single" w:sz="4" w:space="0" w:color="auto"/>
            </w:tcBorders>
            <w:shd w:val="clear" w:color="auto" w:fill="auto"/>
          </w:tcPr>
          <w:p w:rsidR="00420734" w:rsidRPr="00E7637B" w:rsidRDefault="00420734" w:rsidP="00420734">
            <w:pPr>
              <w:pStyle w:val="Tabelltextsiffror"/>
              <w:spacing w:before="60"/>
              <w:rPr>
                <w:b/>
              </w:rPr>
            </w:pPr>
            <w:r>
              <w:rPr>
                <w:b/>
              </w:rPr>
              <w:t>502 401</w:t>
            </w:r>
          </w:p>
        </w:tc>
        <w:tc>
          <w:tcPr>
            <w:tcW w:w="947" w:type="dxa"/>
            <w:tcBorders>
              <w:top w:val="single" w:sz="4" w:space="0" w:color="auto"/>
              <w:bottom w:val="single" w:sz="4" w:space="0" w:color="auto"/>
            </w:tcBorders>
            <w:shd w:val="clear" w:color="auto" w:fill="auto"/>
          </w:tcPr>
          <w:p w:rsidR="00420734" w:rsidRPr="00E7637B" w:rsidRDefault="00420734" w:rsidP="00420734">
            <w:pPr>
              <w:pStyle w:val="Tabelltextsiffror"/>
              <w:spacing w:before="60"/>
              <w:rPr>
                <w:b/>
              </w:rPr>
            </w:pPr>
            <w:r>
              <w:rPr>
                <w:b/>
              </w:rPr>
              <w:t>502 401</w:t>
            </w:r>
          </w:p>
        </w:tc>
        <w:tc>
          <w:tcPr>
            <w:tcW w:w="1023" w:type="dxa"/>
            <w:tcBorders>
              <w:top w:val="single" w:sz="4" w:space="0" w:color="auto"/>
              <w:bottom w:val="single" w:sz="4" w:space="0" w:color="auto"/>
            </w:tcBorders>
            <w:shd w:val="clear" w:color="auto" w:fill="auto"/>
          </w:tcPr>
          <w:p w:rsidR="00420734" w:rsidRPr="00E7637B" w:rsidRDefault="00420734" w:rsidP="006247DF">
            <w:pPr>
              <w:pStyle w:val="Tabelltextsiffror"/>
              <w:spacing w:before="60"/>
              <w:rPr>
                <w:b/>
              </w:rPr>
            </w:pPr>
            <w:r>
              <w:rPr>
                <w:b/>
              </w:rPr>
              <w:t>431 627</w:t>
            </w:r>
          </w:p>
        </w:tc>
        <w:tc>
          <w:tcPr>
            <w:tcW w:w="947" w:type="dxa"/>
            <w:tcBorders>
              <w:top w:val="single" w:sz="4" w:space="0" w:color="auto"/>
              <w:bottom w:val="single" w:sz="4" w:space="0" w:color="auto"/>
            </w:tcBorders>
            <w:shd w:val="clear" w:color="auto" w:fill="auto"/>
          </w:tcPr>
          <w:p w:rsidR="00420734" w:rsidRPr="00E7637B" w:rsidRDefault="00420734" w:rsidP="006247DF">
            <w:pPr>
              <w:pStyle w:val="Tabelltextsiffror"/>
              <w:spacing w:before="60"/>
              <w:rPr>
                <w:b/>
              </w:rPr>
            </w:pPr>
            <w:r>
              <w:rPr>
                <w:b/>
              </w:rPr>
              <w:t>431 627</w:t>
            </w:r>
          </w:p>
        </w:tc>
      </w:tr>
    </w:tbl>
    <w:p w:rsidR="006247DF" w:rsidRPr="00AC4C05" w:rsidRDefault="006247DF" w:rsidP="006247DF">
      <w:pPr>
        <w:spacing w:before="120"/>
      </w:pPr>
      <w:r>
        <w:t>Tillgångarna inom verksamhetsområdet Finansiell stabilitet består av aktie-innehavet i BIS. Posten</w:t>
      </w:r>
      <w:r w:rsidRPr="00135DE3">
        <w:t xml:space="preserve"> </w:t>
      </w:r>
      <w:r>
        <w:t>O</w:t>
      </w:r>
      <w:r w:rsidRPr="00135DE3">
        <w:t>fördelad</w:t>
      </w:r>
      <w:r w:rsidRPr="008B28A9">
        <w:t xml:space="preserve">e tillgångar innehåller </w:t>
      </w:r>
      <w:r>
        <w:t>främst posterna M</w:t>
      </w:r>
      <w:r w:rsidRPr="00262BC2">
        <w:t>ateri</w:t>
      </w:r>
      <w:r w:rsidRPr="00E7637B">
        <w:t>ella och immateriella anläggningstillgångar</w:t>
      </w:r>
      <w:r>
        <w:t xml:space="preserve"> och Övriga tillgångar</w:t>
      </w:r>
      <w:r w:rsidRPr="00E7637B">
        <w:t xml:space="preserve">. Posten </w:t>
      </w:r>
      <w:r>
        <w:t>O</w:t>
      </w:r>
      <w:r w:rsidRPr="00E7637B">
        <w:t>fördelade skulder innehåller främst eget kapital, värdereglerings</w:t>
      </w:r>
      <w:r w:rsidR="0027372F">
        <w:softHyphen/>
      </w:r>
      <w:r w:rsidRPr="00E7637B">
        <w:t>ko</w:t>
      </w:r>
      <w:r w:rsidRPr="00E7637B">
        <w:t>n</w:t>
      </w:r>
      <w:r w:rsidRPr="00E7637B">
        <w:t>to och årets resultat.</w:t>
      </w:r>
    </w:p>
    <w:p w:rsidR="001A14F1" w:rsidRPr="00E7637B" w:rsidRDefault="006247DF" w:rsidP="006247DF">
      <w:pPr>
        <w:pStyle w:val="Rubrik1"/>
        <w:spacing w:after="120"/>
      </w:pPr>
      <w:r>
        <w:br w:type="page"/>
      </w:r>
      <w:bookmarkStart w:id="62" w:name="_Toc346871161"/>
      <w:bookmarkStart w:id="63" w:name="_Toc378286256"/>
      <w:bookmarkStart w:id="64" w:name="_Toc408946429"/>
      <w:r w:rsidR="001A14F1" w:rsidRPr="00420734">
        <w:t>Femårsöversikt</w:t>
      </w:r>
      <w:bookmarkEnd w:id="62"/>
      <w:bookmarkEnd w:id="63"/>
      <w:bookmarkEnd w:id="64"/>
    </w:p>
    <w:bookmarkEnd w:id="57"/>
    <w:bookmarkEnd w:id="58"/>
    <w:bookmarkEnd w:id="59"/>
    <w:bookmarkEnd w:id="60"/>
    <w:bookmarkEnd w:id="61"/>
    <w:p w:rsidR="006247DF" w:rsidRPr="00E7637B" w:rsidRDefault="006247DF" w:rsidP="006247DF">
      <w:pPr>
        <w:rPr>
          <w:spacing w:val="-2"/>
          <w:sz w:val="16"/>
          <w:szCs w:val="16"/>
        </w:rPr>
      </w:pPr>
      <w:r w:rsidRPr="00E7637B">
        <w:t xml:space="preserve">I femårsöversikten presenteras balans- och resultaträkningarna omräknade </w:t>
      </w:r>
      <w:r w:rsidR="00BF0BBB">
        <w:t>enligt</w:t>
      </w:r>
      <w:r w:rsidRPr="00A854E3">
        <w:t xml:space="preserve"> </w:t>
      </w:r>
      <w:r>
        <w:t xml:space="preserve">de </w:t>
      </w:r>
      <w:r w:rsidRPr="00A854E3">
        <w:t>nu gällande redovisningsprinciper</w:t>
      </w:r>
      <w:r>
        <w:t>na</w:t>
      </w:r>
      <w:r w:rsidRPr="00FA34D0">
        <w:t>. Ingen omräkning har behövt göras för de senaste fyra åren.</w:t>
      </w:r>
      <w:r w:rsidRPr="00E7637B">
        <w:rPr>
          <w:spacing w:val="-2"/>
          <w:sz w:val="16"/>
          <w:szCs w:val="16"/>
        </w:rPr>
        <w:tab/>
        <w:t xml:space="preserve">                </w:t>
      </w:r>
    </w:p>
    <w:tbl>
      <w:tblPr>
        <w:tblW w:w="6270" w:type="dxa"/>
        <w:tblLayout w:type="fixed"/>
        <w:tblCellMar>
          <w:left w:w="30" w:type="dxa"/>
          <w:right w:w="30" w:type="dxa"/>
        </w:tblCellMar>
        <w:tblLook w:val="0000" w:firstRow="0" w:lastRow="0" w:firstColumn="0" w:lastColumn="0" w:noHBand="0" w:noVBand="0"/>
      </w:tblPr>
      <w:tblGrid>
        <w:gridCol w:w="253"/>
        <w:gridCol w:w="631"/>
        <w:gridCol w:w="790"/>
        <w:gridCol w:w="418"/>
        <w:gridCol w:w="125"/>
        <w:gridCol w:w="812"/>
        <w:gridCol w:w="810"/>
        <w:gridCol w:w="810"/>
        <w:gridCol w:w="810"/>
        <w:gridCol w:w="811"/>
      </w:tblGrid>
      <w:tr w:rsidR="006247DF" w:rsidRPr="00E7637B" w:rsidTr="006247DF">
        <w:trPr>
          <w:trHeight w:val="308"/>
        </w:trPr>
        <w:tc>
          <w:tcPr>
            <w:tcW w:w="3839" w:type="dxa"/>
            <w:gridSpan w:val="7"/>
          </w:tcPr>
          <w:p w:rsidR="006247DF" w:rsidRDefault="006247DF" w:rsidP="006247DF">
            <w:pPr>
              <w:rPr>
                <w:b/>
                <w:bCs/>
                <w:szCs w:val="19"/>
              </w:rPr>
            </w:pPr>
          </w:p>
          <w:p w:rsidR="006247DF" w:rsidRPr="00E7637B" w:rsidRDefault="006247DF" w:rsidP="006247DF">
            <w:pPr>
              <w:rPr>
                <w:sz w:val="16"/>
                <w:szCs w:val="16"/>
              </w:rPr>
            </w:pPr>
            <w:r w:rsidRPr="00E7637B">
              <w:rPr>
                <w:b/>
                <w:bCs/>
                <w:szCs w:val="19"/>
              </w:rPr>
              <w:t>Balansräkning</w:t>
            </w:r>
            <w:r w:rsidRPr="00E7637B">
              <w:rPr>
                <w:b/>
                <w:bCs/>
                <w:sz w:val="24"/>
                <w:szCs w:val="24"/>
              </w:rPr>
              <w:t xml:space="preserve"> </w:t>
            </w:r>
          </w:p>
        </w:tc>
        <w:tc>
          <w:tcPr>
            <w:tcW w:w="810" w:type="dxa"/>
          </w:tcPr>
          <w:p w:rsidR="006247DF" w:rsidRPr="00E7637B" w:rsidRDefault="006247DF" w:rsidP="006247DF">
            <w:pPr>
              <w:rPr>
                <w:sz w:val="16"/>
                <w:szCs w:val="16"/>
              </w:rPr>
            </w:pPr>
          </w:p>
        </w:tc>
        <w:tc>
          <w:tcPr>
            <w:tcW w:w="810" w:type="dxa"/>
          </w:tcPr>
          <w:p w:rsidR="006247DF" w:rsidRPr="00E7637B" w:rsidRDefault="006247DF" w:rsidP="006247DF">
            <w:pPr>
              <w:rPr>
                <w:sz w:val="16"/>
                <w:szCs w:val="16"/>
              </w:rPr>
            </w:pPr>
          </w:p>
        </w:tc>
        <w:tc>
          <w:tcPr>
            <w:tcW w:w="811" w:type="dxa"/>
          </w:tcPr>
          <w:p w:rsidR="006247DF" w:rsidRPr="00E7637B" w:rsidRDefault="006247DF" w:rsidP="006247DF">
            <w:pPr>
              <w:rPr>
                <w:sz w:val="16"/>
                <w:szCs w:val="16"/>
              </w:rPr>
            </w:pPr>
          </w:p>
        </w:tc>
      </w:tr>
      <w:tr w:rsidR="006247DF" w:rsidRPr="00E7637B" w:rsidTr="006247DF">
        <w:trPr>
          <w:trHeight w:val="216"/>
        </w:trPr>
        <w:tc>
          <w:tcPr>
            <w:tcW w:w="2092" w:type="dxa"/>
            <w:gridSpan w:val="4"/>
            <w:tcBorders>
              <w:bottom w:val="single" w:sz="4" w:space="0" w:color="auto"/>
            </w:tcBorders>
          </w:tcPr>
          <w:p w:rsidR="006247DF" w:rsidRPr="00E7637B" w:rsidRDefault="006247DF" w:rsidP="006247DF">
            <w:pPr>
              <w:spacing w:line="200" w:lineRule="exact"/>
              <w:rPr>
                <w:sz w:val="16"/>
                <w:szCs w:val="16"/>
              </w:rPr>
            </w:pPr>
            <w:r w:rsidRPr="00E7637B">
              <w:rPr>
                <w:i/>
              </w:rPr>
              <w:t>Miljoner kronor</w:t>
            </w:r>
            <w:r w:rsidRPr="00E7637B">
              <w:rPr>
                <w:i/>
              </w:rPr>
              <w:tab/>
            </w:r>
          </w:p>
        </w:tc>
        <w:tc>
          <w:tcPr>
            <w:tcW w:w="125" w:type="dxa"/>
            <w:tcBorders>
              <w:bottom w:val="single" w:sz="4" w:space="0" w:color="auto"/>
            </w:tcBorders>
          </w:tcPr>
          <w:p w:rsidR="006247DF" w:rsidRPr="00E7637B" w:rsidRDefault="006247DF" w:rsidP="006247DF">
            <w:pPr>
              <w:spacing w:line="200" w:lineRule="exact"/>
              <w:rPr>
                <w:sz w:val="16"/>
                <w:szCs w:val="16"/>
              </w:rPr>
            </w:pPr>
          </w:p>
        </w:tc>
        <w:tc>
          <w:tcPr>
            <w:tcW w:w="812" w:type="dxa"/>
            <w:tcBorders>
              <w:bottom w:val="single" w:sz="4" w:space="0" w:color="auto"/>
            </w:tcBorders>
          </w:tcPr>
          <w:p w:rsidR="006247DF" w:rsidRPr="00E7637B" w:rsidRDefault="006247DF" w:rsidP="0058561E">
            <w:pPr>
              <w:spacing w:line="200" w:lineRule="exact"/>
              <w:rPr>
                <w:b/>
                <w:sz w:val="16"/>
                <w:szCs w:val="16"/>
              </w:rPr>
            </w:pPr>
            <w:r>
              <w:rPr>
                <w:b/>
                <w:sz w:val="16"/>
                <w:szCs w:val="16"/>
              </w:rPr>
              <w:t>201</w:t>
            </w:r>
            <w:r w:rsidR="0058561E">
              <w:rPr>
                <w:b/>
                <w:sz w:val="16"/>
                <w:szCs w:val="16"/>
              </w:rPr>
              <w:t>4</w:t>
            </w:r>
            <w:r>
              <w:rPr>
                <w:b/>
                <w:sz w:val="16"/>
                <w:szCs w:val="16"/>
              </w:rPr>
              <w:t>-12-31</w:t>
            </w:r>
          </w:p>
        </w:tc>
        <w:tc>
          <w:tcPr>
            <w:tcW w:w="810" w:type="dxa"/>
            <w:tcBorders>
              <w:bottom w:val="single" w:sz="4" w:space="0" w:color="auto"/>
            </w:tcBorders>
          </w:tcPr>
          <w:p w:rsidR="006247DF" w:rsidRPr="00E7637B" w:rsidRDefault="006247DF" w:rsidP="0058561E">
            <w:pPr>
              <w:spacing w:line="200" w:lineRule="exact"/>
              <w:rPr>
                <w:b/>
                <w:sz w:val="16"/>
                <w:szCs w:val="16"/>
              </w:rPr>
            </w:pPr>
            <w:r w:rsidRPr="00E7637B">
              <w:rPr>
                <w:b/>
                <w:sz w:val="16"/>
                <w:szCs w:val="16"/>
              </w:rPr>
              <w:t>201</w:t>
            </w:r>
            <w:r w:rsidR="0058561E">
              <w:rPr>
                <w:b/>
                <w:sz w:val="16"/>
                <w:szCs w:val="16"/>
              </w:rPr>
              <w:t>3</w:t>
            </w:r>
            <w:r w:rsidRPr="00E7637B">
              <w:rPr>
                <w:b/>
                <w:sz w:val="16"/>
                <w:szCs w:val="16"/>
              </w:rPr>
              <w:t>-12-31</w:t>
            </w:r>
          </w:p>
        </w:tc>
        <w:tc>
          <w:tcPr>
            <w:tcW w:w="810" w:type="dxa"/>
            <w:tcBorders>
              <w:bottom w:val="single" w:sz="4" w:space="0" w:color="auto"/>
            </w:tcBorders>
          </w:tcPr>
          <w:p w:rsidR="006247DF" w:rsidRPr="00E7637B" w:rsidRDefault="006247DF" w:rsidP="0058561E">
            <w:pPr>
              <w:spacing w:line="200" w:lineRule="exact"/>
              <w:rPr>
                <w:b/>
                <w:sz w:val="16"/>
                <w:szCs w:val="16"/>
              </w:rPr>
            </w:pPr>
            <w:r w:rsidRPr="00E7637B">
              <w:rPr>
                <w:b/>
                <w:sz w:val="16"/>
                <w:szCs w:val="16"/>
              </w:rPr>
              <w:t>20</w:t>
            </w:r>
            <w:r>
              <w:rPr>
                <w:b/>
                <w:sz w:val="16"/>
                <w:szCs w:val="16"/>
              </w:rPr>
              <w:t>1</w:t>
            </w:r>
            <w:r w:rsidR="0058561E">
              <w:rPr>
                <w:b/>
                <w:sz w:val="16"/>
                <w:szCs w:val="16"/>
              </w:rPr>
              <w:t>2</w:t>
            </w:r>
            <w:r w:rsidRPr="00E7637B">
              <w:rPr>
                <w:b/>
                <w:sz w:val="16"/>
                <w:szCs w:val="16"/>
              </w:rPr>
              <w:t>-12-31</w:t>
            </w:r>
          </w:p>
        </w:tc>
        <w:tc>
          <w:tcPr>
            <w:tcW w:w="810" w:type="dxa"/>
            <w:tcBorders>
              <w:bottom w:val="single" w:sz="4" w:space="0" w:color="auto"/>
            </w:tcBorders>
          </w:tcPr>
          <w:p w:rsidR="006247DF" w:rsidRPr="00E7637B" w:rsidRDefault="006247DF" w:rsidP="00420734">
            <w:pPr>
              <w:spacing w:line="200" w:lineRule="exact"/>
              <w:rPr>
                <w:b/>
                <w:sz w:val="16"/>
                <w:szCs w:val="16"/>
              </w:rPr>
            </w:pPr>
            <w:r w:rsidRPr="00E7637B">
              <w:rPr>
                <w:b/>
                <w:sz w:val="16"/>
                <w:szCs w:val="16"/>
              </w:rPr>
              <w:t>20</w:t>
            </w:r>
            <w:r>
              <w:rPr>
                <w:b/>
                <w:sz w:val="16"/>
                <w:szCs w:val="16"/>
              </w:rPr>
              <w:t>1</w:t>
            </w:r>
            <w:r w:rsidR="00420734">
              <w:rPr>
                <w:b/>
                <w:sz w:val="16"/>
                <w:szCs w:val="16"/>
              </w:rPr>
              <w:t>1</w:t>
            </w:r>
            <w:r w:rsidRPr="00E7637B">
              <w:rPr>
                <w:b/>
                <w:sz w:val="16"/>
                <w:szCs w:val="16"/>
              </w:rPr>
              <w:t>-12-31</w:t>
            </w:r>
          </w:p>
        </w:tc>
        <w:tc>
          <w:tcPr>
            <w:tcW w:w="811" w:type="dxa"/>
            <w:tcBorders>
              <w:bottom w:val="single" w:sz="4" w:space="0" w:color="auto"/>
            </w:tcBorders>
          </w:tcPr>
          <w:p w:rsidR="006247DF" w:rsidRPr="00E7637B" w:rsidRDefault="006247DF" w:rsidP="00420734">
            <w:pPr>
              <w:spacing w:line="200" w:lineRule="exact"/>
              <w:rPr>
                <w:b/>
                <w:sz w:val="16"/>
                <w:szCs w:val="16"/>
              </w:rPr>
            </w:pPr>
            <w:r w:rsidRPr="00E7637B">
              <w:rPr>
                <w:b/>
                <w:sz w:val="16"/>
                <w:szCs w:val="16"/>
              </w:rPr>
              <w:t>20</w:t>
            </w:r>
            <w:r w:rsidR="00420734">
              <w:rPr>
                <w:b/>
                <w:sz w:val="16"/>
                <w:szCs w:val="16"/>
              </w:rPr>
              <w:t>1</w:t>
            </w:r>
            <w:r w:rsidRPr="00E7637B">
              <w:rPr>
                <w:b/>
                <w:sz w:val="16"/>
                <w:szCs w:val="16"/>
              </w:rPr>
              <w:t>0-12-31</w:t>
            </w:r>
          </w:p>
        </w:tc>
      </w:tr>
      <w:tr w:rsidR="006247DF" w:rsidRPr="00E7637B" w:rsidTr="006247DF">
        <w:trPr>
          <w:trHeight w:val="216"/>
        </w:trPr>
        <w:tc>
          <w:tcPr>
            <w:tcW w:w="1674" w:type="dxa"/>
            <w:gridSpan w:val="3"/>
            <w:tcBorders>
              <w:top w:val="single" w:sz="4" w:space="0" w:color="auto"/>
            </w:tcBorders>
          </w:tcPr>
          <w:p w:rsidR="006247DF" w:rsidRPr="00E7637B" w:rsidRDefault="006247DF" w:rsidP="006247DF">
            <w:pPr>
              <w:spacing w:line="200" w:lineRule="exact"/>
              <w:rPr>
                <w:b/>
                <w:sz w:val="16"/>
                <w:szCs w:val="16"/>
              </w:rPr>
            </w:pPr>
            <w:r w:rsidRPr="00E7637B">
              <w:rPr>
                <w:b/>
                <w:sz w:val="16"/>
                <w:szCs w:val="16"/>
              </w:rPr>
              <w:t>TILLGÅNGAR</w:t>
            </w:r>
          </w:p>
        </w:tc>
        <w:tc>
          <w:tcPr>
            <w:tcW w:w="418" w:type="dxa"/>
            <w:tcBorders>
              <w:top w:val="single" w:sz="4" w:space="0" w:color="auto"/>
            </w:tcBorders>
          </w:tcPr>
          <w:p w:rsidR="006247DF" w:rsidRPr="00E7637B" w:rsidRDefault="006247DF" w:rsidP="006247DF">
            <w:pPr>
              <w:spacing w:line="200" w:lineRule="exact"/>
              <w:rPr>
                <w:sz w:val="16"/>
                <w:szCs w:val="16"/>
              </w:rPr>
            </w:pPr>
          </w:p>
        </w:tc>
        <w:tc>
          <w:tcPr>
            <w:tcW w:w="125" w:type="dxa"/>
            <w:tcBorders>
              <w:top w:val="single" w:sz="4" w:space="0" w:color="auto"/>
            </w:tcBorders>
          </w:tcPr>
          <w:p w:rsidR="006247DF" w:rsidRPr="00E7637B" w:rsidRDefault="006247DF" w:rsidP="006247DF">
            <w:pPr>
              <w:spacing w:line="200" w:lineRule="exact"/>
              <w:rPr>
                <w:sz w:val="16"/>
                <w:szCs w:val="16"/>
              </w:rPr>
            </w:pPr>
          </w:p>
        </w:tc>
        <w:tc>
          <w:tcPr>
            <w:tcW w:w="812" w:type="dxa"/>
            <w:tcBorders>
              <w:top w:val="single" w:sz="4" w:space="0" w:color="auto"/>
            </w:tcBorders>
          </w:tcPr>
          <w:p w:rsidR="006247DF" w:rsidRPr="00E7637B" w:rsidRDefault="006247DF" w:rsidP="006247DF">
            <w:pPr>
              <w:spacing w:line="200" w:lineRule="exact"/>
              <w:rPr>
                <w:sz w:val="16"/>
                <w:szCs w:val="16"/>
              </w:rPr>
            </w:pPr>
          </w:p>
        </w:tc>
        <w:tc>
          <w:tcPr>
            <w:tcW w:w="810" w:type="dxa"/>
            <w:tcBorders>
              <w:top w:val="single" w:sz="4" w:space="0" w:color="auto"/>
            </w:tcBorders>
          </w:tcPr>
          <w:p w:rsidR="006247DF" w:rsidRPr="00E7637B" w:rsidRDefault="006247DF" w:rsidP="006247DF">
            <w:pPr>
              <w:spacing w:line="200" w:lineRule="exact"/>
              <w:rPr>
                <w:sz w:val="16"/>
                <w:szCs w:val="16"/>
              </w:rPr>
            </w:pPr>
          </w:p>
        </w:tc>
        <w:tc>
          <w:tcPr>
            <w:tcW w:w="810" w:type="dxa"/>
            <w:tcBorders>
              <w:top w:val="single" w:sz="4" w:space="0" w:color="auto"/>
            </w:tcBorders>
          </w:tcPr>
          <w:p w:rsidR="006247DF" w:rsidRPr="00E7637B" w:rsidRDefault="006247DF" w:rsidP="006247DF">
            <w:pPr>
              <w:spacing w:line="200" w:lineRule="exact"/>
              <w:rPr>
                <w:sz w:val="16"/>
                <w:szCs w:val="16"/>
              </w:rPr>
            </w:pPr>
          </w:p>
        </w:tc>
        <w:tc>
          <w:tcPr>
            <w:tcW w:w="810" w:type="dxa"/>
            <w:tcBorders>
              <w:top w:val="single" w:sz="4" w:space="0" w:color="auto"/>
            </w:tcBorders>
          </w:tcPr>
          <w:p w:rsidR="006247DF" w:rsidRPr="00E7637B" w:rsidRDefault="006247DF" w:rsidP="006247DF">
            <w:pPr>
              <w:spacing w:line="200" w:lineRule="exact"/>
              <w:rPr>
                <w:sz w:val="16"/>
                <w:szCs w:val="16"/>
              </w:rPr>
            </w:pPr>
          </w:p>
        </w:tc>
        <w:tc>
          <w:tcPr>
            <w:tcW w:w="811" w:type="dxa"/>
            <w:tcBorders>
              <w:top w:val="single" w:sz="4" w:space="0" w:color="auto"/>
            </w:tcBorders>
          </w:tcPr>
          <w:p w:rsidR="006247DF" w:rsidRPr="00E7637B" w:rsidRDefault="006247DF" w:rsidP="006247DF">
            <w:pPr>
              <w:spacing w:line="200" w:lineRule="exact"/>
              <w:rPr>
                <w:sz w:val="16"/>
                <w:szCs w:val="16"/>
              </w:rPr>
            </w:pPr>
          </w:p>
        </w:tc>
      </w:tr>
      <w:tr w:rsidR="006247DF" w:rsidRPr="00E7637B" w:rsidTr="006247DF">
        <w:tc>
          <w:tcPr>
            <w:tcW w:w="253" w:type="dxa"/>
          </w:tcPr>
          <w:p w:rsidR="006247DF" w:rsidRPr="00E7637B" w:rsidRDefault="006247DF" w:rsidP="006247DF">
            <w:pPr>
              <w:spacing w:before="0" w:line="160" w:lineRule="exact"/>
              <w:jc w:val="right"/>
              <w:rPr>
                <w:sz w:val="16"/>
                <w:szCs w:val="16"/>
              </w:rPr>
            </w:pPr>
          </w:p>
        </w:tc>
        <w:tc>
          <w:tcPr>
            <w:tcW w:w="631" w:type="dxa"/>
          </w:tcPr>
          <w:p w:rsidR="006247DF" w:rsidRPr="00E7637B" w:rsidRDefault="006247DF" w:rsidP="006247DF">
            <w:pPr>
              <w:spacing w:before="0" w:line="160" w:lineRule="exact"/>
              <w:jc w:val="right"/>
              <w:rPr>
                <w:sz w:val="16"/>
                <w:szCs w:val="16"/>
              </w:rPr>
            </w:pPr>
          </w:p>
        </w:tc>
        <w:tc>
          <w:tcPr>
            <w:tcW w:w="790" w:type="dxa"/>
          </w:tcPr>
          <w:p w:rsidR="006247DF" w:rsidRPr="00E7637B" w:rsidRDefault="006247DF" w:rsidP="006247DF">
            <w:pPr>
              <w:spacing w:before="0" w:line="160" w:lineRule="exact"/>
              <w:jc w:val="right"/>
              <w:rPr>
                <w:sz w:val="16"/>
                <w:szCs w:val="16"/>
              </w:rPr>
            </w:pPr>
          </w:p>
        </w:tc>
        <w:tc>
          <w:tcPr>
            <w:tcW w:w="418" w:type="dxa"/>
          </w:tcPr>
          <w:p w:rsidR="006247DF" w:rsidRPr="00E7637B" w:rsidRDefault="006247DF" w:rsidP="006247DF">
            <w:pPr>
              <w:spacing w:before="0" w:line="160" w:lineRule="exact"/>
              <w:jc w:val="right"/>
              <w:rPr>
                <w:sz w:val="16"/>
                <w:szCs w:val="16"/>
              </w:rPr>
            </w:pPr>
          </w:p>
        </w:tc>
        <w:tc>
          <w:tcPr>
            <w:tcW w:w="125" w:type="dxa"/>
          </w:tcPr>
          <w:p w:rsidR="006247DF" w:rsidRPr="00E7637B" w:rsidRDefault="006247DF" w:rsidP="006247DF">
            <w:pPr>
              <w:spacing w:before="0" w:line="160" w:lineRule="exact"/>
              <w:jc w:val="right"/>
              <w:rPr>
                <w:sz w:val="16"/>
                <w:szCs w:val="16"/>
              </w:rPr>
            </w:pPr>
          </w:p>
        </w:tc>
        <w:tc>
          <w:tcPr>
            <w:tcW w:w="812"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1" w:type="dxa"/>
          </w:tcPr>
          <w:p w:rsidR="006247DF" w:rsidRPr="00E7637B" w:rsidRDefault="006247DF" w:rsidP="006247DF">
            <w:pPr>
              <w:spacing w:before="0" w:line="160" w:lineRule="exact"/>
              <w:jc w:val="right"/>
              <w:rPr>
                <w:sz w:val="16"/>
                <w:szCs w:val="16"/>
              </w:rPr>
            </w:pPr>
          </w:p>
        </w:tc>
      </w:tr>
      <w:tr w:rsidR="006247DF" w:rsidRPr="00E7637B" w:rsidTr="006247DF">
        <w:trPr>
          <w:trHeight w:val="216"/>
        </w:trPr>
        <w:tc>
          <w:tcPr>
            <w:tcW w:w="884" w:type="dxa"/>
            <w:gridSpan w:val="2"/>
          </w:tcPr>
          <w:p w:rsidR="006247DF" w:rsidRPr="00E7637B" w:rsidRDefault="006247DF" w:rsidP="006247DF">
            <w:pPr>
              <w:spacing w:line="200" w:lineRule="exact"/>
              <w:rPr>
                <w:b/>
                <w:sz w:val="16"/>
                <w:szCs w:val="16"/>
              </w:rPr>
            </w:pPr>
            <w:r w:rsidRPr="00E7637B">
              <w:rPr>
                <w:b/>
                <w:sz w:val="16"/>
                <w:szCs w:val="16"/>
              </w:rPr>
              <w:t>Guld</w:t>
            </w:r>
          </w:p>
        </w:tc>
        <w:tc>
          <w:tcPr>
            <w:tcW w:w="790" w:type="dxa"/>
          </w:tcPr>
          <w:p w:rsidR="006247DF" w:rsidRPr="00E7637B" w:rsidRDefault="006247DF" w:rsidP="006247DF">
            <w:pPr>
              <w:spacing w:line="200" w:lineRule="exact"/>
              <w:rPr>
                <w:sz w:val="16"/>
                <w:szCs w:val="16"/>
              </w:rPr>
            </w:pPr>
          </w:p>
        </w:tc>
        <w:tc>
          <w:tcPr>
            <w:tcW w:w="418" w:type="dxa"/>
          </w:tcPr>
          <w:p w:rsidR="006247DF" w:rsidRPr="00E7637B" w:rsidRDefault="006247DF" w:rsidP="006247DF">
            <w:pPr>
              <w:spacing w:line="200" w:lineRule="exact"/>
              <w:jc w:val="righ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58561E">
            <w:pPr>
              <w:spacing w:line="200" w:lineRule="exact"/>
              <w:jc w:val="right"/>
              <w:rPr>
                <w:sz w:val="16"/>
                <w:szCs w:val="16"/>
              </w:rPr>
            </w:pPr>
            <w:r>
              <w:rPr>
                <w:sz w:val="16"/>
                <w:szCs w:val="16"/>
              </w:rPr>
              <w:t>3</w:t>
            </w:r>
            <w:r w:rsidR="0058561E">
              <w:rPr>
                <w:sz w:val="16"/>
                <w:szCs w:val="16"/>
              </w:rPr>
              <w:t>7</w:t>
            </w:r>
            <w:r>
              <w:rPr>
                <w:sz w:val="16"/>
                <w:szCs w:val="16"/>
              </w:rPr>
              <w:t xml:space="preserve"> </w:t>
            </w:r>
            <w:r w:rsidR="0058561E">
              <w:rPr>
                <w:sz w:val="16"/>
                <w:szCs w:val="16"/>
              </w:rPr>
              <w:t>529</w:t>
            </w:r>
          </w:p>
        </w:tc>
        <w:tc>
          <w:tcPr>
            <w:tcW w:w="810" w:type="dxa"/>
          </w:tcPr>
          <w:p w:rsidR="006247DF" w:rsidRPr="00E7637B" w:rsidRDefault="0058561E" w:rsidP="0058561E">
            <w:pPr>
              <w:spacing w:line="200" w:lineRule="exact"/>
              <w:jc w:val="right"/>
              <w:rPr>
                <w:sz w:val="16"/>
                <w:szCs w:val="16"/>
              </w:rPr>
            </w:pPr>
            <w:r>
              <w:rPr>
                <w:sz w:val="16"/>
                <w:szCs w:val="16"/>
              </w:rPr>
              <w:t>31</w:t>
            </w:r>
            <w:r w:rsidR="006247DF">
              <w:rPr>
                <w:sz w:val="16"/>
                <w:szCs w:val="16"/>
              </w:rPr>
              <w:t xml:space="preserve"> </w:t>
            </w:r>
            <w:r>
              <w:rPr>
                <w:sz w:val="16"/>
                <w:szCs w:val="16"/>
              </w:rPr>
              <w:t>425</w:t>
            </w:r>
          </w:p>
        </w:tc>
        <w:tc>
          <w:tcPr>
            <w:tcW w:w="810" w:type="dxa"/>
          </w:tcPr>
          <w:p w:rsidR="006247DF" w:rsidRPr="00E7637B" w:rsidRDefault="0058561E" w:rsidP="0058561E">
            <w:pPr>
              <w:spacing w:line="200" w:lineRule="exact"/>
              <w:jc w:val="right"/>
              <w:rPr>
                <w:sz w:val="16"/>
                <w:szCs w:val="16"/>
              </w:rPr>
            </w:pPr>
            <w:r>
              <w:rPr>
                <w:sz w:val="16"/>
                <w:szCs w:val="16"/>
              </w:rPr>
              <w:t>43 720</w:t>
            </w:r>
          </w:p>
        </w:tc>
        <w:tc>
          <w:tcPr>
            <w:tcW w:w="810" w:type="dxa"/>
          </w:tcPr>
          <w:p w:rsidR="006247DF" w:rsidRPr="00E7637B" w:rsidRDefault="00420734" w:rsidP="00420734">
            <w:pPr>
              <w:spacing w:line="200" w:lineRule="exact"/>
              <w:jc w:val="right"/>
              <w:rPr>
                <w:sz w:val="16"/>
                <w:szCs w:val="16"/>
              </w:rPr>
            </w:pPr>
            <w:r>
              <w:rPr>
                <w:sz w:val="16"/>
                <w:szCs w:val="16"/>
              </w:rPr>
              <w:t>43</w:t>
            </w:r>
            <w:r w:rsidR="006247DF">
              <w:rPr>
                <w:sz w:val="16"/>
                <w:szCs w:val="16"/>
              </w:rPr>
              <w:t> </w:t>
            </w:r>
            <w:r>
              <w:rPr>
                <w:sz w:val="16"/>
                <w:szCs w:val="16"/>
              </w:rPr>
              <w:t>508</w:t>
            </w:r>
          </w:p>
        </w:tc>
        <w:tc>
          <w:tcPr>
            <w:tcW w:w="811" w:type="dxa"/>
          </w:tcPr>
          <w:p w:rsidR="006247DF" w:rsidRPr="00E7637B" w:rsidRDefault="006247DF" w:rsidP="00420734">
            <w:pPr>
              <w:spacing w:line="200" w:lineRule="exact"/>
              <w:jc w:val="right"/>
              <w:rPr>
                <w:sz w:val="16"/>
                <w:szCs w:val="16"/>
              </w:rPr>
            </w:pPr>
            <w:r>
              <w:rPr>
                <w:sz w:val="16"/>
                <w:szCs w:val="16"/>
              </w:rPr>
              <w:t>3</w:t>
            </w:r>
            <w:r w:rsidR="00420734">
              <w:rPr>
                <w:sz w:val="16"/>
                <w:szCs w:val="16"/>
              </w:rPr>
              <w:t>8</w:t>
            </w:r>
            <w:r>
              <w:rPr>
                <w:sz w:val="16"/>
                <w:szCs w:val="16"/>
              </w:rPr>
              <w:t xml:space="preserve"> </w:t>
            </w:r>
            <w:r w:rsidR="00420734">
              <w:rPr>
                <w:sz w:val="16"/>
                <w:szCs w:val="16"/>
              </w:rPr>
              <w:t>537</w:t>
            </w:r>
          </w:p>
        </w:tc>
      </w:tr>
      <w:tr w:rsidR="006247DF" w:rsidRPr="00E7637B" w:rsidTr="006247DF">
        <w:trPr>
          <w:trHeight w:val="216"/>
        </w:trPr>
        <w:tc>
          <w:tcPr>
            <w:tcW w:w="2217" w:type="dxa"/>
            <w:gridSpan w:val="5"/>
          </w:tcPr>
          <w:p w:rsidR="006247DF" w:rsidRPr="00E7637B" w:rsidRDefault="006247DF" w:rsidP="006247DF">
            <w:pPr>
              <w:spacing w:before="0" w:line="200" w:lineRule="exact"/>
              <w:rPr>
                <w:b/>
                <w:sz w:val="16"/>
                <w:szCs w:val="16"/>
              </w:rPr>
            </w:pPr>
          </w:p>
        </w:tc>
        <w:tc>
          <w:tcPr>
            <w:tcW w:w="812" w:type="dxa"/>
          </w:tcPr>
          <w:p w:rsidR="006247DF" w:rsidRPr="00E7637B" w:rsidRDefault="006247DF" w:rsidP="006247DF">
            <w:pPr>
              <w:spacing w:before="0" w:line="200" w:lineRule="exact"/>
              <w:jc w:val="right"/>
              <w:rPr>
                <w:sz w:val="16"/>
                <w:szCs w:val="16"/>
              </w:rPr>
            </w:pPr>
          </w:p>
        </w:tc>
        <w:tc>
          <w:tcPr>
            <w:tcW w:w="810" w:type="dxa"/>
          </w:tcPr>
          <w:p w:rsidR="006247DF" w:rsidRPr="00E7637B" w:rsidRDefault="006247DF" w:rsidP="006247DF">
            <w:pPr>
              <w:spacing w:before="0" w:line="200" w:lineRule="exact"/>
              <w:jc w:val="right"/>
              <w:rPr>
                <w:sz w:val="16"/>
                <w:szCs w:val="16"/>
              </w:rPr>
            </w:pPr>
          </w:p>
        </w:tc>
        <w:tc>
          <w:tcPr>
            <w:tcW w:w="810" w:type="dxa"/>
          </w:tcPr>
          <w:p w:rsidR="006247DF" w:rsidRPr="00E7637B" w:rsidRDefault="006247DF" w:rsidP="006247DF">
            <w:pPr>
              <w:spacing w:before="0" w:line="200" w:lineRule="exact"/>
              <w:jc w:val="right"/>
              <w:rPr>
                <w:sz w:val="16"/>
                <w:szCs w:val="16"/>
              </w:rPr>
            </w:pPr>
          </w:p>
        </w:tc>
        <w:tc>
          <w:tcPr>
            <w:tcW w:w="810" w:type="dxa"/>
          </w:tcPr>
          <w:p w:rsidR="006247DF" w:rsidRPr="00E7637B" w:rsidRDefault="006247DF" w:rsidP="006247DF">
            <w:pPr>
              <w:spacing w:before="0" w:line="200" w:lineRule="exact"/>
              <w:jc w:val="right"/>
              <w:rPr>
                <w:sz w:val="16"/>
                <w:szCs w:val="16"/>
              </w:rPr>
            </w:pPr>
          </w:p>
        </w:tc>
        <w:tc>
          <w:tcPr>
            <w:tcW w:w="811" w:type="dxa"/>
          </w:tcPr>
          <w:p w:rsidR="006247DF" w:rsidRPr="00E7637B" w:rsidRDefault="006247DF" w:rsidP="006247DF">
            <w:pPr>
              <w:spacing w:before="0" w:line="200" w:lineRule="exact"/>
              <w:jc w:val="right"/>
              <w:rPr>
                <w:sz w:val="16"/>
                <w:szCs w:val="16"/>
              </w:rPr>
            </w:pPr>
          </w:p>
        </w:tc>
      </w:tr>
      <w:tr w:rsidR="006247DF" w:rsidRPr="00E7637B" w:rsidTr="006247DF">
        <w:trPr>
          <w:trHeight w:val="216"/>
        </w:trPr>
        <w:tc>
          <w:tcPr>
            <w:tcW w:w="2217" w:type="dxa"/>
            <w:gridSpan w:val="5"/>
          </w:tcPr>
          <w:p w:rsidR="006247DF" w:rsidRPr="00E7637B" w:rsidRDefault="006247DF" w:rsidP="006247DF">
            <w:pPr>
              <w:spacing w:before="0" w:line="200" w:lineRule="exact"/>
              <w:jc w:val="left"/>
              <w:rPr>
                <w:b/>
                <w:sz w:val="16"/>
                <w:szCs w:val="16"/>
              </w:rPr>
            </w:pPr>
            <w:r w:rsidRPr="00E7637B">
              <w:rPr>
                <w:b/>
                <w:sz w:val="16"/>
                <w:szCs w:val="16"/>
              </w:rPr>
              <w:t xml:space="preserve">Fordringar i </w:t>
            </w:r>
            <w:r w:rsidRPr="00E7637B">
              <w:rPr>
                <w:b/>
                <w:spacing w:val="-2"/>
                <w:sz w:val="16"/>
                <w:szCs w:val="16"/>
              </w:rPr>
              <w:t>utländsk</w:t>
            </w:r>
            <w:r w:rsidRPr="00E7637B">
              <w:rPr>
                <w:b/>
                <w:sz w:val="16"/>
                <w:szCs w:val="16"/>
              </w:rPr>
              <w:t xml:space="preserve"> valuta på </w:t>
            </w:r>
            <w:r w:rsidRPr="00E7637B">
              <w:rPr>
                <w:b/>
                <w:spacing w:val="-2"/>
                <w:sz w:val="16"/>
                <w:szCs w:val="16"/>
              </w:rPr>
              <w:t>hemmahörande utanför Sverige</w:t>
            </w:r>
            <w:r w:rsidRPr="00E7637B">
              <w:rPr>
                <w:b/>
                <w:sz w:val="16"/>
                <w:szCs w:val="16"/>
              </w:rPr>
              <w:t xml:space="preserve"> </w:t>
            </w:r>
          </w:p>
        </w:tc>
        <w:tc>
          <w:tcPr>
            <w:tcW w:w="812"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1" w:type="dxa"/>
          </w:tcPr>
          <w:p w:rsidR="006247DF" w:rsidRPr="00E7637B" w:rsidRDefault="006247DF" w:rsidP="006247DF">
            <w:pPr>
              <w:spacing w:line="200" w:lineRule="exact"/>
              <w:jc w:val="right"/>
              <w:rPr>
                <w:sz w:val="16"/>
                <w:szCs w:val="16"/>
              </w:rPr>
            </w:pPr>
          </w:p>
        </w:tc>
      </w:tr>
      <w:tr w:rsidR="006247DF" w:rsidRPr="00E7637B" w:rsidTr="006247DF">
        <w:trPr>
          <w:trHeight w:val="216"/>
        </w:trPr>
        <w:tc>
          <w:tcPr>
            <w:tcW w:w="1674" w:type="dxa"/>
            <w:gridSpan w:val="3"/>
          </w:tcPr>
          <w:p w:rsidR="006247DF" w:rsidRPr="00E7637B" w:rsidRDefault="006247DF" w:rsidP="006247DF">
            <w:pPr>
              <w:spacing w:line="200" w:lineRule="exact"/>
              <w:jc w:val="left"/>
              <w:rPr>
                <w:sz w:val="16"/>
                <w:szCs w:val="16"/>
              </w:rPr>
            </w:pPr>
            <w:r w:rsidRPr="00E7637B">
              <w:rPr>
                <w:sz w:val="16"/>
                <w:szCs w:val="16"/>
              </w:rPr>
              <w:t>Fordringar på IMF</w:t>
            </w:r>
          </w:p>
        </w:tc>
        <w:tc>
          <w:tcPr>
            <w:tcW w:w="418" w:type="dxa"/>
          </w:tcPr>
          <w:p w:rsidR="006247DF" w:rsidRPr="00E7637B" w:rsidRDefault="006247DF" w:rsidP="006247DF">
            <w:pPr>
              <w:spacing w:line="200" w:lineRule="exac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58561E">
            <w:pPr>
              <w:spacing w:line="200" w:lineRule="exact"/>
              <w:jc w:val="right"/>
              <w:rPr>
                <w:sz w:val="16"/>
                <w:szCs w:val="16"/>
              </w:rPr>
            </w:pPr>
            <w:r>
              <w:rPr>
                <w:sz w:val="16"/>
                <w:szCs w:val="16"/>
              </w:rPr>
              <w:t>3</w:t>
            </w:r>
            <w:r w:rsidR="0058561E">
              <w:rPr>
                <w:sz w:val="16"/>
                <w:szCs w:val="16"/>
              </w:rPr>
              <w:t>4</w:t>
            </w:r>
            <w:r>
              <w:rPr>
                <w:sz w:val="16"/>
                <w:szCs w:val="16"/>
              </w:rPr>
              <w:t xml:space="preserve"> </w:t>
            </w:r>
            <w:r w:rsidR="0058561E">
              <w:rPr>
                <w:sz w:val="16"/>
                <w:szCs w:val="16"/>
              </w:rPr>
              <w:t>684</w:t>
            </w:r>
          </w:p>
        </w:tc>
        <w:tc>
          <w:tcPr>
            <w:tcW w:w="810" w:type="dxa"/>
          </w:tcPr>
          <w:p w:rsidR="006247DF" w:rsidRPr="00E7637B" w:rsidRDefault="006247DF" w:rsidP="0058561E">
            <w:pPr>
              <w:spacing w:line="200" w:lineRule="exact"/>
              <w:jc w:val="right"/>
              <w:rPr>
                <w:sz w:val="16"/>
                <w:szCs w:val="16"/>
              </w:rPr>
            </w:pPr>
            <w:r>
              <w:rPr>
                <w:sz w:val="16"/>
                <w:szCs w:val="16"/>
              </w:rPr>
              <w:t>3</w:t>
            </w:r>
            <w:r w:rsidR="0058561E">
              <w:rPr>
                <w:sz w:val="16"/>
                <w:szCs w:val="16"/>
              </w:rPr>
              <w:t>2</w:t>
            </w:r>
            <w:r>
              <w:rPr>
                <w:sz w:val="16"/>
                <w:szCs w:val="16"/>
              </w:rPr>
              <w:t xml:space="preserve"> </w:t>
            </w:r>
            <w:r w:rsidR="0058561E">
              <w:rPr>
                <w:sz w:val="16"/>
                <w:szCs w:val="16"/>
              </w:rPr>
              <w:t>873</w:t>
            </w:r>
          </w:p>
        </w:tc>
        <w:tc>
          <w:tcPr>
            <w:tcW w:w="810" w:type="dxa"/>
          </w:tcPr>
          <w:p w:rsidR="006247DF" w:rsidRPr="00E7637B" w:rsidRDefault="006247DF" w:rsidP="0058561E">
            <w:pPr>
              <w:spacing w:line="200" w:lineRule="exact"/>
              <w:jc w:val="right"/>
              <w:rPr>
                <w:sz w:val="16"/>
                <w:szCs w:val="16"/>
              </w:rPr>
            </w:pPr>
            <w:r>
              <w:rPr>
                <w:sz w:val="16"/>
                <w:szCs w:val="16"/>
              </w:rPr>
              <w:t>3</w:t>
            </w:r>
            <w:r w:rsidR="0058561E">
              <w:rPr>
                <w:sz w:val="16"/>
                <w:szCs w:val="16"/>
              </w:rPr>
              <w:t>4</w:t>
            </w:r>
            <w:r>
              <w:rPr>
                <w:sz w:val="16"/>
                <w:szCs w:val="16"/>
              </w:rPr>
              <w:t xml:space="preserve"> </w:t>
            </w:r>
            <w:r w:rsidR="0058561E">
              <w:rPr>
                <w:sz w:val="16"/>
                <w:szCs w:val="16"/>
              </w:rPr>
              <w:t>196</w:t>
            </w:r>
          </w:p>
        </w:tc>
        <w:tc>
          <w:tcPr>
            <w:tcW w:w="810" w:type="dxa"/>
          </w:tcPr>
          <w:p w:rsidR="006247DF" w:rsidRPr="00E7637B" w:rsidRDefault="006247DF" w:rsidP="00420734">
            <w:pPr>
              <w:spacing w:line="200" w:lineRule="exact"/>
              <w:jc w:val="right"/>
              <w:rPr>
                <w:sz w:val="16"/>
                <w:szCs w:val="16"/>
              </w:rPr>
            </w:pPr>
            <w:r w:rsidRPr="00E7637B">
              <w:rPr>
                <w:sz w:val="16"/>
                <w:szCs w:val="16"/>
              </w:rPr>
              <w:t>3</w:t>
            </w:r>
            <w:r w:rsidR="00420734">
              <w:rPr>
                <w:sz w:val="16"/>
                <w:szCs w:val="16"/>
              </w:rPr>
              <w:t>5</w:t>
            </w:r>
            <w:r w:rsidRPr="00E7637B">
              <w:rPr>
                <w:sz w:val="16"/>
                <w:szCs w:val="16"/>
              </w:rPr>
              <w:t xml:space="preserve"> </w:t>
            </w:r>
            <w:r w:rsidR="00420734">
              <w:rPr>
                <w:sz w:val="16"/>
                <w:szCs w:val="16"/>
              </w:rPr>
              <w:t>294</w:t>
            </w:r>
          </w:p>
        </w:tc>
        <w:tc>
          <w:tcPr>
            <w:tcW w:w="811" w:type="dxa"/>
          </w:tcPr>
          <w:p w:rsidR="006247DF" w:rsidRPr="00E7637B" w:rsidRDefault="006247DF" w:rsidP="00420734">
            <w:pPr>
              <w:spacing w:line="200" w:lineRule="exact"/>
              <w:jc w:val="right"/>
              <w:rPr>
                <w:sz w:val="16"/>
                <w:szCs w:val="16"/>
              </w:rPr>
            </w:pPr>
            <w:r>
              <w:rPr>
                <w:sz w:val="16"/>
                <w:szCs w:val="16"/>
              </w:rPr>
              <w:t>3</w:t>
            </w:r>
            <w:r w:rsidR="00420734">
              <w:rPr>
                <w:sz w:val="16"/>
                <w:szCs w:val="16"/>
              </w:rPr>
              <w:t>1</w:t>
            </w:r>
            <w:r w:rsidRPr="00E7637B">
              <w:rPr>
                <w:sz w:val="16"/>
                <w:szCs w:val="16"/>
              </w:rPr>
              <w:t xml:space="preserve"> </w:t>
            </w:r>
            <w:r w:rsidR="00420734">
              <w:rPr>
                <w:sz w:val="16"/>
                <w:szCs w:val="16"/>
              </w:rPr>
              <w:t>175</w:t>
            </w:r>
          </w:p>
        </w:tc>
      </w:tr>
      <w:tr w:rsidR="006247DF" w:rsidRPr="00E7637B" w:rsidTr="006247DF">
        <w:tc>
          <w:tcPr>
            <w:tcW w:w="2092" w:type="dxa"/>
            <w:gridSpan w:val="4"/>
            <w:vAlign w:val="bottom"/>
          </w:tcPr>
          <w:p w:rsidR="006247DF" w:rsidRPr="00E7637B" w:rsidRDefault="006247DF" w:rsidP="006247DF">
            <w:pPr>
              <w:spacing w:line="200" w:lineRule="exact"/>
              <w:jc w:val="left"/>
              <w:rPr>
                <w:sz w:val="16"/>
                <w:szCs w:val="16"/>
              </w:rPr>
            </w:pPr>
            <w:r w:rsidRPr="00E7637B">
              <w:rPr>
                <w:sz w:val="16"/>
                <w:szCs w:val="16"/>
              </w:rPr>
              <w:t>Banktillgodohavanden</w:t>
            </w:r>
            <w:r>
              <w:rPr>
                <w:sz w:val="16"/>
                <w:szCs w:val="16"/>
              </w:rPr>
              <w:t>, lån</w:t>
            </w:r>
            <w:r w:rsidRPr="00E7637B">
              <w:rPr>
                <w:sz w:val="16"/>
                <w:szCs w:val="16"/>
              </w:rPr>
              <w:t xml:space="preserve"> och värdepapper</w:t>
            </w:r>
          </w:p>
        </w:tc>
        <w:tc>
          <w:tcPr>
            <w:tcW w:w="125" w:type="dxa"/>
            <w:vAlign w:val="bottom"/>
          </w:tcPr>
          <w:p w:rsidR="006247DF" w:rsidRPr="00E7637B" w:rsidRDefault="006247DF" w:rsidP="006247DF">
            <w:pPr>
              <w:spacing w:line="200" w:lineRule="exact"/>
              <w:jc w:val="right"/>
              <w:rPr>
                <w:sz w:val="16"/>
                <w:szCs w:val="16"/>
              </w:rPr>
            </w:pPr>
          </w:p>
        </w:tc>
        <w:tc>
          <w:tcPr>
            <w:tcW w:w="812" w:type="dxa"/>
            <w:tcBorders>
              <w:bottom w:val="single" w:sz="6" w:space="0" w:color="auto"/>
            </w:tcBorders>
            <w:vAlign w:val="bottom"/>
          </w:tcPr>
          <w:p w:rsidR="006247DF" w:rsidRPr="00E7637B" w:rsidRDefault="0058561E" w:rsidP="0058561E">
            <w:pPr>
              <w:spacing w:line="200" w:lineRule="exact"/>
              <w:jc w:val="right"/>
              <w:rPr>
                <w:sz w:val="16"/>
                <w:szCs w:val="16"/>
              </w:rPr>
            </w:pPr>
            <w:r>
              <w:rPr>
                <w:sz w:val="16"/>
                <w:szCs w:val="16"/>
              </w:rPr>
              <w:t>414</w:t>
            </w:r>
            <w:r w:rsidR="006247DF">
              <w:rPr>
                <w:sz w:val="16"/>
                <w:szCs w:val="16"/>
              </w:rPr>
              <w:t xml:space="preserve"> </w:t>
            </w:r>
            <w:r>
              <w:rPr>
                <w:sz w:val="16"/>
                <w:szCs w:val="16"/>
              </w:rPr>
              <w:t>156</w:t>
            </w:r>
          </w:p>
        </w:tc>
        <w:tc>
          <w:tcPr>
            <w:tcW w:w="810" w:type="dxa"/>
            <w:tcBorders>
              <w:bottom w:val="single" w:sz="6" w:space="0" w:color="auto"/>
            </w:tcBorders>
            <w:vAlign w:val="bottom"/>
          </w:tcPr>
          <w:p w:rsidR="006247DF" w:rsidRPr="00E7637B" w:rsidRDefault="0058561E" w:rsidP="0058561E">
            <w:pPr>
              <w:spacing w:line="200" w:lineRule="exact"/>
              <w:jc w:val="right"/>
              <w:rPr>
                <w:sz w:val="16"/>
                <w:szCs w:val="16"/>
              </w:rPr>
            </w:pPr>
            <w:r>
              <w:rPr>
                <w:sz w:val="16"/>
                <w:szCs w:val="16"/>
              </w:rPr>
              <w:t>352</w:t>
            </w:r>
            <w:r w:rsidR="006247DF">
              <w:rPr>
                <w:sz w:val="16"/>
                <w:szCs w:val="16"/>
              </w:rPr>
              <w:t xml:space="preserve"> </w:t>
            </w:r>
            <w:r>
              <w:rPr>
                <w:sz w:val="16"/>
                <w:szCs w:val="16"/>
              </w:rPr>
              <w:t>911</w:t>
            </w:r>
          </w:p>
        </w:tc>
        <w:tc>
          <w:tcPr>
            <w:tcW w:w="810" w:type="dxa"/>
            <w:tcBorders>
              <w:bottom w:val="single" w:sz="6" w:space="0" w:color="auto"/>
            </w:tcBorders>
            <w:vAlign w:val="bottom"/>
          </w:tcPr>
          <w:p w:rsidR="006247DF" w:rsidRPr="00E7637B" w:rsidRDefault="006247DF" w:rsidP="0058561E">
            <w:pPr>
              <w:spacing w:line="200" w:lineRule="exact"/>
              <w:jc w:val="right"/>
              <w:rPr>
                <w:sz w:val="16"/>
                <w:szCs w:val="16"/>
              </w:rPr>
            </w:pPr>
            <w:r>
              <w:rPr>
                <w:sz w:val="16"/>
                <w:szCs w:val="16"/>
              </w:rPr>
              <w:t>2</w:t>
            </w:r>
            <w:r w:rsidR="0058561E">
              <w:rPr>
                <w:sz w:val="16"/>
                <w:szCs w:val="16"/>
              </w:rPr>
              <w:t>59</w:t>
            </w:r>
            <w:r>
              <w:rPr>
                <w:sz w:val="16"/>
                <w:szCs w:val="16"/>
              </w:rPr>
              <w:t xml:space="preserve"> </w:t>
            </w:r>
            <w:r w:rsidR="0058561E">
              <w:rPr>
                <w:sz w:val="16"/>
                <w:szCs w:val="16"/>
              </w:rPr>
              <w:t>883</w:t>
            </w:r>
          </w:p>
        </w:tc>
        <w:tc>
          <w:tcPr>
            <w:tcW w:w="810" w:type="dxa"/>
            <w:tcBorders>
              <w:bottom w:val="single" w:sz="6" w:space="0" w:color="auto"/>
            </w:tcBorders>
            <w:vAlign w:val="bottom"/>
          </w:tcPr>
          <w:p w:rsidR="006247DF" w:rsidRPr="00E7637B" w:rsidRDefault="006247DF" w:rsidP="00420734">
            <w:pPr>
              <w:spacing w:line="200" w:lineRule="exact"/>
              <w:jc w:val="right"/>
              <w:rPr>
                <w:sz w:val="16"/>
                <w:szCs w:val="16"/>
              </w:rPr>
            </w:pPr>
            <w:r w:rsidRPr="00E7637B">
              <w:rPr>
                <w:sz w:val="16"/>
                <w:szCs w:val="16"/>
              </w:rPr>
              <w:t>2</w:t>
            </w:r>
            <w:r w:rsidR="00420734">
              <w:rPr>
                <w:sz w:val="16"/>
                <w:szCs w:val="16"/>
              </w:rPr>
              <w:t>64</w:t>
            </w:r>
            <w:r w:rsidRPr="00E7637B">
              <w:rPr>
                <w:sz w:val="16"/>
                <w:szCs w:val="16"/>
              </w:rPr>
              <w:t xml:space="preserve"> </w:t>
            </w:r>
            <w:r w:rsidR="00420734">
              <w:rPr>
                <w:sz w:val="16"/>
                <w:szCs w:val="16"/>
              </w:rPr>
              <w:t>892</w:t>
            </w:r>
          </w:p>
        </w:tc>
        <w:tc>
          <w:tcPr>
            <w:tcW w:w="811" w:type="dxa"/>
            <w:tcBorders>
              <w:bottom w:val="single" w:sz="6" w:space="0" w:color="auto"/>
            </w:tcBorders>
            <w:vAlign w:val="bottom"/>
          </w:tcPr>
          <w:p w:rsidR="006247DF" w:rsidRPr="00E7637B" w:rsidRDefault="006247DF" w:rsidP="00420734">
            <w:pPr>
              <w:spacing w:line="200" w:lineRule="exact"/>
              <w:jc w:val="right"/>
              <w:rPr>
                <w:sz w:val="16"/>
                <w:szCs w:val="16"/>
              </w:rPr>
            </w:pPr>
            <w:r>
              <w:rPr>
                <w:sz w:val="16"/>
                <w:szCs w:val="16"/>
              </w:rPr>
              <w:t>2</w:t>
            </w:r>
            <w:r w:rsidR="00420734">
              <w:rPr>
                <w:sz w:val="16"/>
                <w:szCs w:val="16"/>
              </w:rPr>
              <w:t>5</w:t>
            </w:r>
            <w:r w:rsidRPr="00E7637B">
              <w:rPr>
                <w:sz w:val="16"/>
                <w:szCs w:val="16"/>
              </w:rPr>
              <w:t xml:space="preserve">1 </w:t>
            </w:r>
            <w:r w:rsidR="00420734">
              <w:rPr>
                <w:sz w:val="16"/>
                <w:szCs w:val="16"/>
              </w:rPr>
              <w:t>380</w:t>
            </w:r>
          </w:p>
        </w:tc>
      </w:tr>
      <w:tr w:rsidR="006247DF" w:rsidRPr="00E7637B" w:rsidTr="006247DF">
        <w:trPr>
          <w:trHeight w:val="216"/>
        </w:trPr>
        <w:tc>
          <w:tcPr>
            <w:tcW w:w="253" w:type="dxa"/>
          </w:tcPr>
          <w:p w:rsidR="006247DF" w:rsidRPr="00E7637B" w:rsidRDefault="006247DF" w:rsidP="006247DF">
            <w:pPr>
              <w:spacing w:line="200" w:lineRule="exact"/>
              <w:jc w:val="right"/>
              <w:rPr>
                <w:sz w:val="16"/>
                <w:szCs w:val="16"/>
              </w:rPr>
            </w:pPr>
          </w:p>
        </w:tc>
        <w:tc>
          <w:tcPr>
            <w:tcW w:w="631" w:type="dxa"/>
          </w:tcPr>
          <w:p w:rsidR="006247DF" w:rsidRPr="00E7637B" w:rsidRDefault="006247DF" w:rsidP="006247DF">
            <w:pPr>
              <w:spacing w:line="200" w:lineRule="exact"/>
              <w:jc w:val="right"/>
              <w:rPr>
                <w:sz w:val="16"/>
                <w:szCs w:val="16"/>
              </w:rPr>
            </w:pPr>
          </w:p>
        </w:tc>
        <w:tc>
          <w:tcPr>
            <w:tcW w:w="790" w:type="dxa"/>
          </w:tcPr>
          <w:p w:rsidR="006247DF" w:rsidRPr="00E7637B" w:rsidRDefault="006247DF" w:rsidP="006247DF">
            <w:pPr>
              <w:spacing w:line="200" w:lineRule="exact"/>
              <w:jc w:val="right"/>
              <w:rPr>
                <w:sz w:val="16"/>
                <w:szCs w:val="16"/>
              </w:rPr>
            </w:pPr>
          </w:p>
        </w:tc>
        <w:tc>
          <w:tcPr>
            <w:tcW w:w="418" w:type="dxa"/>
          </w:tcPr>
          <w:p w:rsidR="006247DF" w:rsidRPr="00E7637B" w:rsidRDefault="006247DF" w:rsidP="006247DF">
            <w:pPr>
              <w:spacing w:line="200" w:lineRule="exact"/>
              <w:jc w:val="righ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58561E" w:rsidP="0058561E">
            <w:pPr>
              <w:spacing w:line="200" w:lineRule="exact"/>
              <w:jc w:val="right"/>
              <w:rPr>
                <w:sz w:val="16"/>
                <w:szCs w:val="16"/>
              </w:rPr>
            </w:pPr>
            <w:r>
              <w:rPr>
                <w:sz w:val="16"/>
                <w:szCs w:val="16"/>
              </w:rPr>
              <w:t>448</w:t>
            </w:r>
            <w:r w:rsidR="006247DF">
              <w:rPr>
                <w:sz w:val="16"/>
                <w:szCs w:val="16"/>
              </w:rPr>
              <w:t xml:space="preserve"> </w:t>
            </w:r>
            <w:r>
              <w:rPr>
                <w:sz w:val="16"/>
                <w:szCs w:val="16"/>
              </w:rPr>
              <w:t>840</w:t>
            </w:r>
          </w:p>
        </w:tc>
        <w:tc>
          <w:tcPr>
            <w:tcW w:w="810" w:type="dxa"/>
          </w:tcPr>
          <w:p w:rsidR="006247DF" w:rsidRPr="00E7637B" w:rsidRDefault="0058561E" w:rsidP="0058561E">
            <w:pPr>
              <w:spacing w:line="200" w:lineRule="exact"/>
              <w:jc w:val="right"/>
              <w:rPr>
                <w:sz w:val="16"/>
                <w:szCs w:val="16"/>
              </w:rPr>
            </w:pPr>
            <w:r>
              <w:rPr>
                <w:sz w:val="16"/>
                <w:szCs w:val="16"/>
              </w:rPr>
              <w:t>385</w:t>
            </w:r>
            <w:r w:rsidR="006247DF">
              <w:rPr>
                <w:sz w:val="16"/>
                <w:szCs w:val="16"/>
              </w:rPr>
              <w:t xml:space="preserve"> </w:t>
            </w:r>
            <w:r>
              <w:rPr>
                <w:sz w:val="16"/>
                <w:szCs w:val="16"/>
              </w:rPr>
              <w:t>784</w:t>
            </w:r>
          </w:p>
        </w:tc>
        <w:tc>
          <w:tcPr>
            <w:tcW w:w="810" w:type="dxa"/>
          </w:tcPr>
          <w:p w:rsidR="006247DF" w:rsidRPr="00E7637B" w:rsidRDefault="0058561E" w:rsidP="0058561E">
            <w:pPr>
              <w:spacing w:line="200" w:lineRule="exact"/>
              <w:jc w:val="right"/>
              <w:rPr>
                <w:sz w:val="16"/>
                <w:szCs w:val="16"/>
              </w:rPr>
            </w:pPr>
            <w:r>
              <w:rPr>
                <w:sz w:val="16"/>
                <w:szCs w:val="16"/>
              </w:rPr>
              <w:t>294</w:t>
            </w:r>
            <w:r w:rsidR="006247DF">
              <w:rPr>
                <w:sz w:val="16"/>
                <w:szCs w:val="16"/>
              </w:rPr>
              <w:t xml:space="preserve"> </w:t>
            </w:r>
            <w:r>
              <w:rPr>
                <w:sz w:val="16"/>
                <w:szCs w:val="16"/>
              </w:rPr>
              <w:t>079</w:t>
            </w:r>
          </w:p>
        </w:tc>
        <w:tc>
          <w:tcPr>
            <w:tcW w:w="810" w:type="dxa"/>
          </w:tcPr>
          <w:p w:rsidR="006247DF" w:rsidRPr="00E7637B" w:rsidRDefault="00420734" w:rsidP="00420734">
            <w:pPr>
              <w:spacing w:line="200" w:lineRule="exact"/>
              <w:jc w:val="right"/>
              <w:rPr>
                <w:sz w:val="16"/>
                <w:szCs w:val="16"/>
              </w:rPr>
            </w:pPr>
            <w:r>
              <w:rPr>
                <w:sz w:val="16"/>
                <w:szCs w:val="16"/>
              </w:rPr>
              <w:t>300</w:t>
            </w:r>
            <w:r w:rsidR="006247DF" w:rsidRPr="00E7637B">
              <w:rPr>
                <w:sz w:val="16"/>
                <w:szCs w:val="16"/>
              </w:rPr>
              <w:t xml:space="preserve"> </w:t>
            </w:r>
            <w:r>
              <w:rPr>
                <w:sz w:val="16"/>
                <w:szCs w:val="16"/>
              </w:rPr>
              <w:t>186</w:t>
            </w:r>
          </w:p>
        </w:tc>
        <w:tc>
          <w:tcPr>
            <w:tcW w:w="811" w:type="dxa"/>
          </w:tcPr>
          <w:p w:rsidR="006247DF" w:rsidRPr="00E7637B" w:rsidRDefault="00420734" w:rsidP="00420734">
            <w:pPr>
              <w:spacing w:line="200" w:lineRule="exact"/>
              <w:jc w:val="right"/>
              <w:rPr>
                <w:sz w:val="16"/>
                <w:szCs w:val="16"/>
              </w:rPr>
            </w:pPr>
            <w:r>
              <w:rPr>
                <w:sz w:val="16"/>
                <w:szCs w:val="16"/>
              </w:rPr>
              <w:t>282</w:t>
            </w:r>
            <w:r w:rsidR="006247DF" w:rsidRPr="00E7637B">
              <w:rPr>
                <w:sz w:val="16"/>
                <w:szCs w:val="16"/>
              </w:rPr>
              <w:t xml:space="preserve"> </w:t>
            </w:r>
            <w:r>
              <w:rPr>
                <w:sz w:val="16"/>
                <w:szCs w:val="16"/>
              </w:rPr>
              <w:t>555</w:t>
            </w:r>
          </w:p>
        </w:tc>
      </w:tr>
      <w:tr w:rsidR="006247DF" w:rsidRPr="00E7637B" w:rsidTr="006247DF">
        <w:tc>
          <w:tcPr>
            <w:tcW w:w="253" w:type="dxa"/>
          </w:tcPr>
          <w:p w:rsidR="006247DF" w:rsidRPr="00E7637B" w:rsidRDefault="006247DF" w:rsidP="006247DF">
            <w:pPr>
              <w:spacing w:before="0" w:line="160" w:lineRule="exact"/>
              <w:jc w:val="right"/>
              <w:rPr>
                <w:sz w:val="16"/>
                <w:szCs w:val="16"/>
              </w:rPr>
            </w:pPr>
          </w:p>
        </w:tc>
        <w:tc>
          <w:tcPr>
            <w:tcW w:w="631" w:type="dxa"/>
          </w:tcPr>
          <w:p w:rsidR="006247DF" w:rsidRPr="00E7637B" w:rsidRDefault="006247DF" w:rsidP="006247DF">
            <w:pPr>
              <w:spacing w:before="0" w:line="160" w:lineRule="exact"/>
              <w:jc w:val="right"/>
              <w:rPr>
                <w:sz w:val="16"/>
                <w:szCs w:val="16"/>
              </w:rPr>
            </w:pPr>
          </w:p>
        </w:tc>
        <w:tc>
          <w:tcPr>
            <w:tcW w:w="790" w:type="dxa"/>
          </w:tcPr>
          <w:p w:rsidR="006247DF" w:rsidRPr="00E7637B" w:rsidRDefault="006247DF" w:rsidP="006247DF">
            <w:pPr>
              <w:spacing w:before="0" w:line="160" w:lineRule="exact"/>
              <w:jc w:val="right"/>
              <w:rPr>
                <w:sz w:val="16"/>
                <w:szCs w:val="16"/>
              </w:rPr>
            </w:pPr>
          </w:p>
        </w:tc>
        <w:tc>
          <w:tcPr>
            <w:tcW w:w="418" w:type="dxa"/>
          </w:tcPr>
          <w:p w:rsidR="006247DF" w:rsidRPr="00E7637B" w:rsidRDefault="006247DF" w:rsidP="006247DF">
            <w:pPr>
              <w:spacing w:before="0" w:line="160" w:lineRule="exact"/>
              <w:jc w:val="right"/>
              <w:rPr>
                <w:sz w:val="16"/>
                <w:szCs w:val="16"/>
              </w:rPr>
            </w:pPr>
          </w:p>
        </w:tc>
        <w:tc>
          <w:tcPr>
            <w:tcW w:w="125" w:type="dxa"/>
          </w:tcPr>
          <w:p w:rsidR="006247DF" w:rsidRPr="00E7637B" w:rsidRDefault="006247DF" w:rsidP="006247DF">
            <w:pPr>
              <w:spacing w:before="0" w:line="160" w:lineRule="exact"/>
              <w:jc w:val="right"/>
              <w:rPr>
                <w:sz w:val="16"/>
                <w:szCs w:val="16"/>
              </w:rPr>
            </w:pPr>
          </w:p>
        </w:tc>
        <w:tc>
          <w:tcPr>
            <w:tcW w:w="812"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1" w:type="dxa"/>
          </w:tcPr>
          <w:p w:rsidR="006247DF" w:rsidRPr="00E7637B" w:rsidRDefault="006247DF" w:rsidP="006247DF">
            <w:pPr>
              <w:spacing w:before="0" w:line="160" w:lineRule="exact"/>
              <w:jc w:val="right"/>
              <w:rPr>
                <w:sz w:val="16"/>
                <w:szCs w:val="16"/>
              </w:rPr>
            </w:pPr>
          </w:p>
        </w:tc>
      </w:tr>
      <w:tr w:rsidR="006247DF" w:rsidRPr="00E7637B" w:rsidTr="006247DF">
        <w:trPr>
          <w:trHeight w:val="216"/>
        </w:trPr>
        <w:tc>
          <w:tcPr>
            <w:tcW w:w="2092" w:type="dxa"/>
            <w:gridSpan w:val="4"/>
          </w:tcPr>
          <w:p w:rsidR="006247DF" w:rsidRPr="00E7637B" w:rsidRDefault="006247DF" w:rsidP="006247DF">
            <w:pPr>
              <w:spacing w:before="0" w:line="200" w:lineRule="exact"/>
              <w:jc w:val="left"/>
              <w:rPr>
                <w:b/>
                <w:sz w:val="16"/>
                <w:szCs w:val="16"/>
              </w:rPr>
            </w:pPr>
            <w:r w:rsidRPr="00E7637B">
              <w:rPr>
                <w:b/>
                <w:sz w:val="16"/>
                <w:szCs w:val="16"/>
              </w:rPr>
              <w:t xml:space="preserve">Utlåning i svenska </w:t>
            </w:r>
            <w:r w:rsidRPr="00E7637B">
              <w:rPr>
                <w:b/>
                <w:spacing w:val="-2"/>
                <w:sz w:val="16"/>
                <w:szCs w:val="16"/>
              </w:rPr>
              <w:t>kronor</w:t>
            </w:r>
            <w:r w:rsidRPr="00E7637B">
              <w:rPr>
                <w:b/>
                <w:sz w:val="16"/>
                <w:szCs w:val="16"/>
              </w:rPr>
              <w:t xml:space="preserve"> till kreditinstitut</w:t>
            </w:r>
            <w:r>
              <w:rPr>
                <w:b/>
                <w:sz w:val="16"/>
                <w:szCs w:val="16"/>
              </w:rPr>
              <w:t xml:space="preserve"> i </w:t>
            </w:r>
            <w:r w:rsidRPr="00E7637B">
              <w:rPr>
                <w:b/>
                <w:sz w:val="16"/>
                <w:szCs w:val="16"/>
              </w:rPr>
              <w:t>Sverige rela</w:t>
            </w:r>
            <w:r>
              <w:rPr>
                <w:b/>
                <w:sz w:val="16"/>
                <w:szCs w:val="16"/>
              </w:rPr>
              <w:softHyphen/>
            </w:r>
            <w:r w:rsidRPr="00E7637B">
              <w:rPr>
                <w:b/>
                <w:sz w:val="16"/>
                <w:szCs w:val="16"/>
              </w:rPr>
              <w:t>terad till penningpolitiska transaktioner</w:t>
            </w:r>
          </w:p>
        </w:tc>
        <w:tc>
          <w:tcPr>
            <w:tcW w:w="125" w:type="dxa"/>
          </w:tcPr>
          <w:p w:rsidR="006247DF" w:rsidRPr="00E7637B" w:rsidRDefault="006247DF" w:rsidP="006247DF">
            <w:pPr>
              <w:spacing w:line="200" w:lineRule="exact"/>
              <w:rPr>
                <w:sz w:val="16"/>
                <w:szCs w:val="16"/>
              </w:rPr>
            </w:pPr>
          </w:p>
        </w:tc>
        <w:tc>
          <w:tcPr>
            <w:tcW w:w="812"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0" w:type="dxa"/>
          </w:tcPr>
          <w:p w:rsidR="006247DF" w:rsidRPr="00E7637B" w:rsidRDefault="006247DF" w:rsidP="006247DF">
            <w:pPr>
              <w:spacing w:line="200" w:lineRule="exact"/>
              <w:jc w:val="right"/>
              <w:rPr>
                <w:sz w:val="16"/>
                <w:szCs w:val="16"/>
              </w:rPr>
            </w:pPr>
          </w:p>
        </w:tc>
        <w:tc>
          <w:tcPr>
            <w:tcW w:w="811" w:type="dxa"/>
          </w:tcPr>
          <w:p w:rsidR="006247DF" w:rsidRPr="00E7637B" w:rsidRDefault="006247DF" w:rsidP="006247DF">
            <w:pPr>
              <w:spacing w:line="200" w:lineRule="exact"/>
              <w:jc w:val="right"/>
              <w:rPr>
                <w:sz w:val="16"/>
                <w:szCs w:val="16"/>
              </w:rPr>
            </w:pPr>
          </w:p>
        </w:tc>
      </w:tr>
      <w:tr w:rsidR="006247DF" w:rsidRPr="00E7637B" w:rsidTr="006247DF">
        <w:trPr>
          <w:trHeight w:val="216"/>
        </w:trPr>
        <w:tc>
          <w:tcPr>
            <w:tcW w:w="2092" w:type="dxa"/>
            <w:gridSpan w:val="4"/>
          </w:tcPr>
          <w:p w:rsidR="006247DF" w:rsidRPr="00E7637B" w:rsidRDefault="006247DF" w:rsidP="006247DF">
            <w:pPr>
              <w:spacing w:line="200" w:lineRule="exact"/>
              <w:rPr>
                <w:sz w:val="16"/>
                <w:szCs w:val="16"/>
              </w:rPr>
            </w:pPr>
            <w:r w:rsidRPr="00E7637B">
              <w:rPr>
                <w:sz w:val="16"/>
                <w:szCs w:val="16"/>
              </w:rPr>
              <w:t>Strukturella transaktioner</w:t>
            </w: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6247DF">
            <w:pPr>
              <w:spacing w:line="200" w:lineRule="exact"/>
              <w:jc w:val="right"/>
              <w:rPr>
                <w:sz w:val="16"/>
                <w:szCs w:val="16"/>
              </w:rPr>
            </w:pPr>
            <w:r w:rsidRPr="00E7637B">
              <w:rPr>
                <w:sz w:val="16"/>
                <w:szCs w:val="16"/>
              </w:rPr>
              <w:t>–</w:t>
            </w:r>
          </w:p>
        </w:tc>
        <w:tc>
          <w:tcPr>
            <w:tcW w:w="810" w:type="dxa"/>
          </w:tcPr>
          <w:p w:rsidR="006247DF" w:rsidRPr="00E7637B" w:rsidRDefault="006247DF" w:rsidP="006247DF">
            <w:pPr>
              <w:spacing w:line="200" w:lineRule="exact"/>
              <w:jc w:val="right"/>
              <w:rPr>
                <w:sz w:val="16"/>
                <w:szCs w:val="16"/>
              </w:rPr>
            </w:pPr>
            <w:r w:rsidRPr="00E7637B">
              <w:rPr>
                <w:sz w:val="16"/>
                <w:szCs w:val="16"/>
              </w:rPr>
              <w:t>–</w:t>
            </w:r>
          </w:p>
        </w:tc>
        <w:tc>
          <w:tcPr>
            <w:tcW w:w="810" w:type="dxa"/>
          </w:tcPr>
          <w:p w:rsidR="006247DF" w:rsidRPr="00E7637B" w:rsidRDefault="006247DF" w:rsidP="006247DF">
            <w:pPr>
              <w:spacing w:line="200" w:lineRule="exact"/>
              <w:jc w:val="right"/>
              <w:rPr>
                <w:sz w:val="16"/>
                <w:szCs w:val="16"/>
              </w:rPr>
            </w:pPr>
            <w:r w:rsidRPr="00E7637B">
              <w:rPr>
                <w:sz w:val="16"/>
                <w:szCs w:val="16"/>
              </w:rPr>
              <w:t>–</w:t>
            </w:r>
          </w:p>
        </w:tc>
        <w:tc>
          <w:tcPr>
            <w:tcW w:w="810" w:type="dxa"/>
          </w:tcPr>
          <w:p w:rsidR="006247DF" w:rsidRPr="00E7637B" w:rsidRDefault="00420734" w:rsidP="00420734">
            <w:pPr>
              <w:spacing w:line="200" w:lineRule="exact"/>
              <w:jc w:val="right"/>
              <w:rPr>
                <w:sz w:val="16"/>
                <w:szCs w:val="16"/>
              </w:rPr>
            </w:pPr>
            <w:r w:rsidRPr="00E7637B">
              <w:rPr>
                <w:sz w:val="16"/>
                <w:szCs w:val="16"/>
              </w:rPr>
              <w:t>–</w:t>
            </w:r>
          </w:p>
        </w:tc>
        <w:tc>
          <w:tcPr>
            <w:tcW w:w="811" w:type="dxa"/>
          </w:tcPr>
          <w:p w:rsidR="006247DF" w:rsidRPr="00E7637B" w:rsidRDefault="00420734" w:rsidP="00420734">
            <w:pPr>
              <w:spacing w:line="200" w:lineRule="exact"/>
              <w:jc w:val="right"/>
              <w:rPr>
                <w:sz w:val="16"/>
                <w:szCs w:val="16"/>
              </w:rPr>
            </w:pPr>
            <w:r>
              <w:rPr>
                <w:sz w:val="16"/>
                <w:szCs w:val="16"/>
              </w:rPr>
              <w:t>500</w:t>
            </w:r>
          </w:p>
        </w:tc>
      </w:tr>
      <w:tr w:rsidR="006247DF" w:rsidRPr="00E7637B" w:rsidTr="006247DF">
        <w:trPr>
          <w:trHeight w:val="216"/>
        </w:trPr>
        <w:tc>
          <w:tcPr>
            <w:tcW w:w="1674" w:type="dxa"/>
            <w:gridSpan w:val="3"/>
          </w:tcPr>
          <w:p w:rsidR="006247DF" w:rsidRPr="00E7637B" w:rsidRDefault="006247DF" w:rsidP="006247DF">
            <w:pPr>
              <w:spacing w:line="200" w:lineRule="exact"/>
              <w:rPr>
                <w:sz w:val="16"/>
                <w:szCs w:val="16"/>
              </w:rPr>
            </w:pPr>
            <w:r w:rsidRPr="00E7637B">
              <w:rPr>
                <w:sz w:val="16"/>
                <w:szCs w:val="16"/>
              </w:rPr>
              <w:t>Utlåningsfacilitet</w:t>
            </w:r>
          </w:p>
        </w:tc>
        <w:tc>
          <w:tcPr>
            <w:tcW w:w="418" w:type="dxa"/>
          </w:tcPr>
          <w:p w:rsidR="006247DF" w:rsidRPr="00E7637B" w:rsidRDefault="006247DF" w:rsidP="006247DF">
            <w:pPr>
              <w:spacing w:line="200" w:lineRule="exact"/>
              <w:rPr>
                <w:sz w:val="16"/>
                <w:szCs w:val="16"/>
              </w:rPr>
            </w:pPr>
          </w:p>
        </w:tc>
        <w:tc>
          <w:tcPr>
            <w:tcW w:w="125" w:type="dxa"/>
            <w:tcBorders>
              <w:bottom w:val="single" w:sz="4" w:space="0" w:color="auto"/>
            </w:tcBorders>
          </w:tcPr>
          <w:p w:rsidR="006247DF" w:rsidRPr="00E7637B" w:rsidRDefault="006247DF" w:rsidP="006247DF">
            <w:pPr>
              <w:spacing w:line="200" w:lineRule="exact"/>
              <w:jc w:val="right"/>
              <w:rPr>
                <w:sz w:val="16"/>
                <w:szCs w:val="16"/>
              </w:rPr>
            </w:pPr>
          </w:p>
        </w:tc>
        <w:tc>
          <w:tcPr>
            <w:tcW w:w="812" w:type="dxa"/>
            <w:tcBorders>
              <w:bottom w:val="single" w:sz="4" w:space="0" w:color="auto"/>
            </w:tcBorders>
          </w:tcPr>
          <w:p w:rsidR="006247DF" w:rsidRPr="00E7637B" w:rsidRDefault="0058561E" w:rsidP="0058561E">
            <w:pPr>
              <w:spacing w:line="200" w:lineRule="exact"/>
              <w:jc w:val="right"/>
              <w:rPr>
                <w:sz w:val="16"/>
                <w:szCs w:val="16"/>
              </w:rPr>
            </w:pPr>
            <w:r>
              <w:rPr>
                <w:sz w:val="16"/>
                <w:szCs w:val="16"/>
              </w:rPr>
              <w:t>33</w:t>
            </w:r>
          </w:p>
        </w:tc>
        <w:tc>
          <w:tcPr>
            <w:tcW w:w="810" w:type="dxa"/>
            <w:tcBorders>
              <w:bottom w:val="single" w:sz="4" w:space="0" w:color="auto"/>
            </w:tcBorders>
          </w:tcPr>
          <w:p w:rsidR="006247DF" w:rsidRPr="00E7637B" w:rsidRDefault="0058561E" w:rsidP="0058561E">
            <w:pPr>
              <w:spacing w:line="200" w:lineRule="exact"/>
              <w:jc w:val="right"/>
              <w:rPr>
                <w:sz w:val="16"/>
                <w:szCs w:val="16"/>
              </w:rPr>
            </w:pPr>
            <w:r w:rsidRPr="00E7637B">
              <w:rPr>
                <w:sz w:val="16"/>
                <w:szCs w:val="16"/>
              </w:rPr>
              <w:t>–</w:t>
            </w:r>
          </w:p>
        </w:tc>
        <w:tc>
          <w:tcPr>
            <w:tcW w:w="810" w:type="dxa"/>
            <w:tcBorders>
              <w:bottom w:val="single" w:sz="4" w:space="0" w:color="auto"/>
            </w:tcBorders>
          </w:tcPr>
          <w:p w:rsidR="006247DF" w:rsidRPr="00E7637B" w:rsidRDefault="006247DF" w:rsidP="006247DF">
            <w:pPr>
              <w:spacing w:line="200" w:lineRule="exact"/>
              <w:jc w:val="right"/>
              <w:rPr>
                <w:sz w:val="16"/>
                <w:szCs w:val="16"/>
              </w:rPr>
            </w:pPr>
            <w:r w:rsidRPr="00E7637B">
              <w:rPr>
                <w:sz w:val="16"/>
                <w:szCs w:val="16"/>
              </w:rPr>
              <w:t>0</w:t>
            </w:r>
          </w:p>
        </w:tc>
        <w:tc>
          <w:tcPr>
            <w:tcW w:w="810" w:type="dxa"/>
            <w:tcBorders>
              <w:bottom w:val="single" w:sz="4" w:space="0" w:color="auto"/>
            </w:tcBorders>
          </w:tcPr>
          <w:p w:rsidR="006247DF" w:rsidRPr="00E7637B" w:rsidRDefault="006247DF" w:rsidP="006247DF">
            <w:pPr>
              <w:spacing w:line="200" w:lineRule="exact"/>
              <w:jc w:val="right"/>
              <w:rPr>
                <w:sz w:val="16"/>
                <w:szCs w:val="16"/>
              </w:rPr>
            </w:pPr>
            <w:r>
              <w:rPr>
                <w:sz w:val="16"/>
                <w:szCs w:val="16"/>
              </w:rPr>
              <w:t>0</w:t>
            </w:r>
          </w:p>
        </w:tc>
        <w:tc>
          <w:tcPr>
            <w:tcW w:w="811" w:type="dxa"/>
            <w:tcBorders>
              <w:bottom w:val="single" w:sz="4" w:space="0" w:color="auto"/>
            </w:tcBorders>
          </w:tcPr>
          <w:p w:rsidR="006247DF" w:rsidRPr="00E7637B" w:rsidRDefault="00420734" w:rsidP="00420734">
            <w:pPr>
              <w:spacing w:line="200" w:lineRule="exact"/>
              <w:jc w:val="right"/>
              <w:rPr>
                <w:sz w:val="16"/>
                <w:szCs w:val="16"/>
              </w:rPr>
            </w:pPr>
            <w:r>
              <w:rPr>
                <w:sz w:val="16"/>
                <w:szCs w:val="16"/>
              </w:rPr>
              <w:t>0</w:t>
            </w:r>
          </w:p>
        </w:tc>
      </w:tr>
      <w:tr w:rsidR="006247DF" w:rsidRPr="00E7637B" w:rsidTr="006247DF">
        <w:trPr>
          <w:trHeight w:val="216"/>
        </w:trPr>
        <w:tc>
          <w:tcPr>
            <w:tcW w:w="253" w:type="dxa"/>
          </w:tcPr>
          <w:p w:rsidR="006247DF" w:rsidRPr="00E7637B" w:rsidRDefault="006247DF" w:rsidP="006247DF">
            <w:pPr>
              <w:spacing w:line="200" w:lineRule="exact"/>
              <w:jc w:val="right"/>
              <w:rPr>
                <w:sz w:val="16"/>
                <w:szCs w:val="16"/>
              </w:rPr>
            </w:pPr>
          </w:p>
        </w:tc>
        <w:tc>
          <w:tcPr>
            <w:tcW w:w="631" w:type="dxa"/>
          </w:tcPr>
          <w:p w:rsidR="006247DF" w:rsidRPr="00E7637B" w:rsidRDefault="006247DF" w:rsidP="006247DF">
            <w:pPr>
              <w:spacing w:line="200" w:lineRule="exact"/>
              <w:jc w:val="right"/>
              <w:rPr>
                <w:sz w:val="16"/>
                <w:szCs w:val="16"/>
              </w:rPr>
            </w:pPr>
          </w:p>
        </w:tc>
        <w:tc>
          <w:tcPr>
            <w:tcW w:w="790" w:type="dxa"/>
          </w:tcPr>
          <w:p w:rsidR="006247DF" w:rsidRPr="00E7637B" w:rsidRDefault="006247DF" w:rsidP="006247DF">
            <w:pPr>
              <w:spacing w:line="200" w:lineRule="exact"/>
              <w:jc w:val="right"/>
              <w:rPr>
                <w:sz w:val="16"/>
                <w:szCs w:val="16"/>
              </w:rPr>
            </w:pPr>
          </w:p>
        </w:tc>
        <w:tc>
          <w:tcPr>
            <w:tcW w:w="418" w:type="dxa"/>
          </w:tcPr>
          <w:p w:rsidR="006247DF" w:rsidRPr="00E7637B" w:rsidRDefault="006247DF" w:rsidP="006247DF">
            <w:pPr>
              <w:spacing w:line="200" w:lineRule="exact"/>
              <w:jc w:val="righ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58561E" w:rsidP="0058561E">
            <w:pPr>
              <w:spacing w:line="200" w:lineRule="exact"/>
              <w:jc w:val="right"/>
              <w:rPr>
                <w:sz w:val="16"/>
                <w:szCs w:val="16"/>
              </w:rPr>
            </w:pPr>
            <w:r>
              <w:rPr>
                <w:sz w:val="16"/>
                <w:szCs w:val="16"/>
              </w:rPr>
              <w:t>33</w:t>
            </w:r>
          </w:p>
        </w:tc>
        <w:tc>
          <w:tcPr>
            <w:tcW w:w="810" w:type="dxa"/>
          </w:tcPr>
          <w:p w:rsidR="006247DF" w:rsidRPr="00E7637B" w:rsidRDefault="0058561E" w:rsidP="0058561E">
            <w:pPr>
              <w:spacing w:line="200" w:lineRule="exact"/>
              <w:jc w:val="right"/>
              <w:rPr>
                <w:sz w:val="16"/>
                <w:szCs w:val="16"/>
              </w:rPr>
            </w:pPr>
            <w:r w:rsidRPr="00E7637B">
              <w:rPr>
                <w:sz w:val="16"/>
                <w:szCs w:val="16"/>
              </w:rPr>
              <w:t>–</w:t>
            </w:r>
          </w:p>
        </w:tc>
        <w:tc>
          <w:tcPr>
            <w:tcW w:w="810" w:type="dxa"/>
          </w:tcPr>
          <w:p w:rsidR="006247DF" w:rsidRPr="00E7637B" w:rsidRDefault="006247DF" w:rsidP="006247DF">
            <w:pPr>
              <w:spacing w:line="200" w:lineRule="exact"/>
              <w:jc w:val="right"/>
              <w:rPr>
                <w:sz w:val="16"/>
                <w:szCs w:val="16"/>
              </w:rPr>
            </w:pPr>
            <w:r w:rsidRPr="00E7637B">
              <w:rPr>
                <w:sz w:val="16"/>
                <w:szCs w:val="16"/>
              </w:rPr>
              <w:t>0</w:t>
            </w:r>
          </w:p>
        </w:tc>
        <w:tc>
          <w:tcPr>
            <w:tcW w:w="810" w:type="dxa"/>
          </w:tcPr>
          <w:p w:rsidR="006247DF" w:rsidRPr="00E7637B" w:rsidRDefault="0058561E" w:rsidP="0058561E">
            <w:pPr>
              <w:spacing w:line="200" w:lineRule="exact"/>
              <w:jc w:val="right"/>
              <w:rPr>
                <w:sz w:val="16"/>
                <w:szCs w:val="16"/>
              </w:rPr>
            </w:pPr>
            <w:r>
              <w:rPr>
                <w:sz w:val="16"/>
                <w:szCs w:val="16"/>
              </w:rPr>
              <w:t>0</w:t>
            </w:r>
          </w:p>
        </w:tc>
        <w:tc>
          <w:tcPr>
            <w:tcW w:w="811" w:type="dxa"/>
          </w:tcPr>
          <w:p w:rsidR="006247DF" w:rsidRPr="00E7637B" w:rsidRDefault="00420734" w:rsidP="00420734">
            <w:pPr>
              <w:spacing w:line="200" w:lineRule="exact"/>
              <w:jc w:val="right"/>
              <w:rPr>
                <w:sz w:val="16"/>
                <w:szCs w:val="16"/>
              </w:rPr>
            </w:pPr>
            <w:r>
              <w:rPr>
                <w:sz w:val="16"/>
                <w:szCs w:val="16"/>
              </w:rPr>
              <w:t>500</w:t>
            </w:r>
          </w:p>
        </w:tc>
      </w:tr>
      <w:tr w:rsidR="006247DF" w:rsidRPr="00E7637B" w:rsidTr="006247DF">
        <w:tc>
          <w:tcPr>
            <w:tcW w:w="253" w:type="dxa"/>
          </w:tcPr>
          <w:p w:rsidR="006247DF" w:rsidRPr="00E7637B" w:rsidRDefault="006247DF" w:rsidP="006247DF">
            <w:pPr>
              <w:spacing w:before="0" w:line="160" w:lineRule="exact"/>
              <w:jc w:val="right"/>
              <w:rPr>
                <w:sz w:val="16"/>
                <w:szCs w:val="16"/>
              </w:rPr>
            </w:pPr>
          </w:p>
        </w:tc>
        <w:tc>
          <w:tcPr>
            <w:tcW w:w="631" w:type="dxa"/>
          </w:tcPr>
          <w:p w:rsidR="006247DF" w:rsidRPr="00E7637B" w:rsidRDefault="006247DF" w:rsidP="006247DF">
            <w:pPr>
              <w:spacing w:before="0" w:line="160" w:lineRule="exact"/>
              <w:jc w:val="right"/>
              <w:rPr>
                <w:sz w:val="16"/>
                <w:szCs w:val="16"/>
              </w:rPr>
            </w:pPr>
          </w:p>
        </w:tc>
        <w:tc>
          <w:tcPr>
            <w:tcW w:w="790" w:type="dxa"/>
          </w:tcPr>
          <w:p w:rsidR="006247DF" w:rsidRPr="00E7637B" w:rsidRDefault="006247DF" w:rsidP="006247DF">
            <w:pPr>
              <w:spacing w:before="0" w:line="160" w:lineRule="exact"/>
              <w:jc w:val="right"/>
              <w:rPr>
                <w:sz w:val="16"/>
                <w:szCs w:val="16"/>
              </w:rPr>
            </w:pPr>
          </w:p>
        </w:tc>
        <w:tc>
          <w:tcPr>
            <w:tcW w:w="418" w:type="dxa"/>
          </w:tcPr>
          <w:p w:rsidR="006247DF" w:rsidRPr="00E7637B" w:rsidRDefault="006247DF" w:rsidP="006247DF">
            <w:pPr>
              <w:spacing w:before="0" w:line="160" w:lineRule="exact"/>
              <w:jc w:val="right"/>
              <w:rPr>
                <w:sz w:val="16"/>
                <w:szCs w:val="16"/>
              </w:rPr>
            </w:pPr>
          </w:p>
        </w:tc>
        <w:tc>
          <w:tcPr>
            <w:tcW w:w="125" w:type="dxa"/>
          </w:tcPr>
          <w:p w:rsidR="006247DF" w:rsidRPr="00E7637B" w:rsidRDefault="006247DF" w:rsidP="006247DF">
            <w:pPr>
              <w:spacing w:before="0" w:line="160" w:lineRule="exact"/>
              <w:jc w:val="right"/>
              <w:rPr>
                <w:sz w:val="16"/>
                <w:szCs w:val="16"/>
              </w:rPr>
            </w:pPr>
          </w:p>
        </w:tc>
        <w:tc>
          <w:tcPr>
            <w:tcW w:w="812"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0" w:type="dxa"/>
          </w:tcPr>
          <w:p w:rsidR="006247DF" w:rsidRPr="00E7637B" w:rsidRDefault="006247DF" w:rsidP="006247DF">
            <w:pPr>
              <w:spacing w:before="0" w:line="160" w:lineRule="exact"/>
              <w:jc w:val="right"/>
              <w:rPr>
                <w:sz w:val="16"/>
                <w:szCs w:val="16"/>
              </w:rPr>
            </w:pPr>
          </w:p>
        </w:tc>
        <w:tc>
          <w:tcPr>
            <w:tcW w:w="811" w:type="dxa"/>
          </w:tcPr>
          <w:p w:rsidR="006247DF" w:rsidRPr="00E7637B" w:rsidRDefault="006247DF" w:rsidP="006247DF">
            <w:pPr>
              <w:spacing w:before="0" w:line="160" w:lineRule="exact"/>
              <w:jc w:val="right"/>
              <w:rPr>
                <w:sz w:val="16"/>
                <w:szCs w:val="16"/>
              </w:rPr>
            </w:pPr>
          </w:p>
        </w:tc>
      </w:tr>
      <w:tr w:rsidR="006247DF" w:rsidRPr="00E7637B" w:rsidTr="006247DF">
        <w:tc>
          <w:tcPr>
            <w:tcW w:w="2217" w:type="dxa"/>
            <w:gridSpan w:val="5"/>
          </w:tcPr>
          <w:p w:rsidR="006247DF" w:rsidRPr="00E7637B" w:rsidRDefault="006247DF" w:rsidP="006247DF">
            <w:pPr>
              <w:spacing w:before="40" w:line="160" w:lineRule="exact"/>
              <w:jc w:val="left"/>
              <w:rPr>
                <w:sz w:val="16"/>
                <w:szCs w:val="16"/>
              </w:rPr>
            </w:pPr>
            <w:r>
              <w:rPr>
                <w:b/>
                <w:sz w:val="16"/>
                <w:szCs w:val="16"/>
              </w:rPr>
              <w:t xml:space="preserve">Värdepapper i svenska kronor </w:t>
            </w:r>
          </w:p>
        </w:tc>
        <w:tc>
          <w:tcPr>
            <w:tcW w:w="812"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1" w:type="dxa"/>
          </w:tcPr>
          <w:p w:rsidR="006247DF" w:rsidRPr="00E7637B" w:rsidRDefault="006247DF" w:rsidP="006247DF">
            <w:pPr>
              <w:spacing w:before="40" w:line="160" w:lineRule="exact"/>
              <w:jc w:val="right"/>
              <w:rPr>
                <w:sz w:val="16"/>
                <w:szCs w:val="16"/>
              </w:rPr>
            </w:pPr>
          </w:p>
        </w:tc>
      </w:tr>
      <w:tr w:rsidR="006247DF" w:rsidRPr="00E7637B" w:rsidTr="006247DF">
        <w:tc>
          <w:tcPr>
            <w:tcW w:w="2217" w:type="dxa"/>
            <w:gridSpan w:val="5"/>
          </w:tcPr>
          <w:p w:rsidR="006247DF" w:rsidRDefault="006247DF" w:rsidP="006247DF">
            <w:pPr>
              <w:spacing w:before="40" w:line="160" w:lineRule="exact"/>
              <w:jc w:val="left"/>
              <w:rPr>
                <w:b/>
                <w:sz w:val="16"/>
                <w:szCs w:val="16"/>
              </w:rPr>
            </w:pPr>
            <w:r>
              <w:rPr>
                <w:b/>
                <w:sz w:val="16"/>
                <w:szCs w:val="16"/>
              </w:rPr>
              <w:t>utgivna av hemmahörande</w:t>
            </w:r>
          </w:p>
        </w:tc>
        <w:tc>
          <w:tcPr>
            <w:tcW w:w="812"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0" w:type="dxa"/>
          </w:tcPr>
          <w:p w:rsidR="006247DF" w:rsidRPr="00E7637B" w:rsidRDefault="006247DF" w:rsidP="006247DF">
            <w:pPr>
              <w:spacing w:before="40" w:line="160" w:lineRule="exact"/>
              <w:jc w:val="right"/>
              <w:rPr>
                <w:sz w:val="16"/>
                <w:szCs w:val="16"/>
              </w:rPr>
            </w:pPr>
          </w:p>
        </w:tc>
        <w:tc>
          <w:tcPr>
            <w:tcW w:w="811" w:type="dxa"/>
          </w:tcPr>
          <w:p w:rsidR="006247DF" w:rsidRPr="00E7637B" w:rsidRDefault="006247DF" w:rsidP="006247DF">
            <w:pPr>
              <w:spacing w:before="40" w:line="160" w:lineRule="exact"/>
              <w:jc w:val="right"/>
              <w:rPr>
                <w:sz w:val="16"/>
                <w:szCs w:val="16"/>
              </w:rPr>
            </w:pPr>
          </w:p>
        </w:tc>
      </w:tr>
      <w:tr w:rsidR="006247DF" w:rsidRPr="00E7637B" w:rsidTr="006247DF">
        <w:trPr>
          <w:trHeight w:val="216"/>
        </w:trPr>
        <w:tc>
          <w:tcPr>
            <w:tcW w:w="1674" w:type="dxa"/>
            <w:gridSpan w:val="3"/>
            <w:vAlign w:val="bottom"/>
          </w:tcPr>
          <w:p w:rsidR="006247DF" w:rsidRPr="00E7637B" w:rsidRDefault="006247DF" w:rsidP="006247DF">
            <w:pPr>
              <w:spacing w:before="0" w:line="240" w:lineRule="auto"/>
              <w:jc w:val="left"/>
              <w:rPr>
                <w:b/>
                <w:sz w:val="16"/>
                <w:szCs w:val="16"/>
              </w:rPr>
            </w:pPr>
            <w:r>
              <w:rPr>
                <w:b/>
                <w:sz w:val="16"/>
                <w:szCs w:val="16"/>
              </w:rPr>
              <w:t>i Sverige</w:t>
            </w:r>
          </w:p>
        </w:tc>
        <w:tc>
          <w:tcPr>
            <w:tcW w:w="418" w:type="dxa"/>
            <w:vAlign w:val="bottom"/>
          </w:tcPr>
          <w:p w:rsidR="006247DF" w:rsidRPr="00E7637B" w:rsidRDefault="006247DF" w:rsidP="006247DF">
            <w:pPr>
              <w:spacing w:before="0" w:line="240" w:lineRule="auto"/>
              <w:jc w:val="right"/>
              <w:rPr>
                <w:sz w:val="16"/>
                <w:szCs w:val="16"/>
              </w:rPr>
            </w:pPr>
          </w:p>
        </w:tc>
        <w:tc>
          <w:tcPr>
            <w:tcW w:w="125" w:type="dxa"/>
            <w:vAlign w:val="bottom"/>
          </w:tcPr>
          <w:p w:rsidR="006247DF" w:rsidRPr="00E7637B" w:rsidRDefault="006247DF" w:rsidP="006247DF">
            <w:pPr>
              <w:spacing w:before="0" w:line="240" w:lineRule="auto"/>
              <w:jc w:val="right"/>
              <w:rPr>
                <w:sz w:val="16"/>
                <w:szCs w:val="16"/>
              </w:rPr>
            </w:pPr>
          </w:p>
        </w:tc>
        <w:tc>
          <w:tcPr>
            <w:tcW w:w="812" w:type="dxa"/>
            <w:vAlign w:val="bottom"/>
          </w:tcPr>
          <w:p w:rsidR="006247DF" w:rsidRPr="00E7637B" w:rsidRDefault="0058561E" w:rsidP="0058561E">
            <w:pPr>
              <w:spacing w:before="0" w:line="240" w:lineRule="auto"/>
              <w:jc w:val="right"/>
              <w:rPr>
                <w:sz w:val="16"/>
                <w:szCs w:val="16"/>
              </w:rPr>
            </w:pPr>
            <w:r>
              <w:rPr>
                <w:sz w:val="16"/>
                <w:szCs w:val="16"/>
              </w:rPr>
              <w:t>11</w:t>
            </w:r>
            <w:r w:rsidR="006247DF">
              <w:rPr>
                <w:sz w:val="16"/>
                <w:szCs w:val="16"/>
              </w:rPr>
              <w:t xml:space="preserve"> </w:t>
            </w:r>
            <w:r>
              <w:rPr>
                <w:sz w:val="16"/>
                <w:szCs w:val="16"/>
              </w:rPr>
              <w:t>126</w:t>
            </w:r>
          </w:p>
        </w:tc>
        <w:tc>
          <w:tcPr>
            <w:tcW w:w="810" w:type="dxa"/>
            <w:vAlign w:val="bottom"/>
          </w:tcPr>
          <w:p w:rsidR="006247DF" w:rsidRPr="00E7637B" w:rsidRDefault="0058561E" w:rsidP="0058561E">
            <w:pPr>
              <w:spacing w:before="0" w:line="240" w:lineRule="auto"/>
              <w:jc w:val="right"/>
              <w:rPr>
                <w:sz w:val="16"/>
                <w:szCs w:val="16"/>
              </w:rPr>
            </w:pPr>
            <w:r>
              <w:rPr>
                <w:sz w:val="16"/>
                <w:szCs w:val="16"/>
              </w:rPr>
              <w:t>9</w:t>
            </w:r>
            <w:r w:rsidR="006247DF">
              <w:rPr>
                <w:sz w:val="16"/>
                <w:szCs w:val="16"/>
              </w:rPr>
              <w:t xml:space="preserve"> </w:t>
            </w:r>
            <w:r>
              <w:rPr>
                <w:sz w:val="16"/>
                <w:szCs w:val="16"/>
              </w:rPr>
              <w:t>534</w:t>
            </w:r>
          </w:p>
        </w:tc>
        <w:tc>
          <w:tcPr>
            <w:tcW w:w="810" w:type="dxa"/>
            <w:vAlign w:val="bottom"/>
          </w:tcPr>
          <w:p w:rsidR="006247DF" w:rsidRPr="00E7637B" w:rsidRDefault="0058561E" w:rsidP="0058561E">
            <w:pPr>
              <w:spacing w:before="0" w:line="240" w:lineRule="auto"/>
              <w:jc w:val="right"/>
              <w:rPr>
                <w:sz w:val="16"/>
                <w:szCs w:val="16"/>
              </w:rPr>
            </w:pPr>
            <w:r>
              <w:rPr>
                <w:sz w:val="16"/>
                <w:szCs w:val="16"/>
              </w:rPr>
              <w:t>3 152</w:t>
            </w:r>
          </w:p>
        </w:tc>
        <w:tc>
          <w:tcPr>
            <w:tcW w:w="810" w:type="dxa"/>
            <w:vAlign w:val="bottom"/>
          </w:tcPr>
          <w:p w:rsidR="006247DF" w:rsidRPr="00E7637B" w:rsidRDefault="006247DF" w:rsidP="006247DF">
            <w:pPr>
              <w:spacing w:before="0" w:line="240" w:lineRule="auto"/>
              <w:jc w:val="right"/>
              <w:rPr>
                <w:sz w:val="16"/>
                <w:szCs w:val="16"/>
              </w:rPr>
            </w:pPr>
            <w:r w:rsidRPr="00E7637B">
              <w:rPr>
                <w:sz w:val="16"/>
                <w:szCs w:val="16"/>
              </w:rPr>
              <w:t>–</w:t>
            </w:r>
          </w:p>
        </w:tc>
        <w:tc>
          <w:tcPr>
            <w:tcW w:w="811" w:type="dxa"/>
            <w:vAlign w:val="bottom"/>
          </w:tcPr>
          <w:p w:rsidR="006247DF" w:rsidRPr="00E7637B" w:rsidRDefault="006247DF" w:rsidP="006247DF">
            <w:pPr>
              <w:spacing w:before="0" w:line="240" w:lineRule="auto"/>
              <w:jc w:val="right"/>
              <w:rPr>
                <w:sz w:val="16"/>
                <w:szCs w:val="16"/>
              </w:rPr>
            </w:pPr>
            <w:r w:rsidRPr="00E7637B">
              <w:rPr>
                <w:sz w:val="16"/>
                <w:szCs w:val="16"/>
              </w:rPr>
              <w:t>–</w:t>
            </w:r>
          </w:p>
        </w:tc>
      </w:tr>
      <w:tr w:rsidR="006247DF" w:rsidRPr="00E7637B" w:rsidTr="006247DF">
        <w:trPr>
          <w:trHeight w:val="216"/>
        </w:trPr>
        <w:tc>
          <w:tcPr>
            <w:tcW w:w="1674" w:type="dxa"/>
            <w:gridSpan w:val="3"/>
            <w:vAlign w:val="bottom"/>
          </w:tcPr>
          <w:p w:rsidR="006247DF" w:rsidRPr="00E7637B" w:rsidRDefault="006247DF" w:rsidP="006247DF">
            <w:pPr>
              <w:spacing w:before="100" w:beforeAutospacing="1" w:line="200" w:lineRule="exact"/>
              <w:jc w:val="left"/>
              <w:rPr>
                <w:b/>
                <w:sz w:val="16"/>
                <w:szCs w:val="16"/>
              </w:rPr>
            </w:pPr>
          </w:p>
        </w:tc>
        <w:tc>
          <w:tcPr>
            <w:tcW w:w="418" w:type="dxa"/>
            <w:vAlign w:val="bottom"/>
          </w:tcPr>
          <w:p w:rsidR="006247DF" w:rsidRPr="00E7637B" w:rsidRDefault="006247DF" w:rsidP="006247DF">
            <w:pPr>
              <w:spacing w:before="100" w:beforeAutospacing="1" w:line="200" w:lineRule="exact"/>
              <w:jc w:val="right"/>
              <w:rPr>
                <w:sz w:val="16"/>
                <w:szCs w:val="16"/>
              </w:rPr>
            </w:pPr>
          </w:p>
        </w:tc>
        <w:tc>
          <w:tcPr>
            <w:tcW w:w="125" w:type="dxa"/>
            <w:vAlign w:val="bottom"/>
          </w:tcPr>
          <w:p w:rsidR="006247DF" w:rsidRPr="00E7637B" w:rsidRDefault="006247DF" w:rsidP="006247DF">
            <w:pPr>
              <w:spacing w:before="100" w:beforeAutospacing="1" w:line="200" w:lineRule="exact"/>
              <w:jc w:val="right"/>
              <w:rPr>
                <w:sz w:val="16"/>
                <w:szCs w:val="16"/>
              </w:rPr>
            </w:pPr>
          </w:p>
        </w:tc>
        <w:tc>
          <w:tcPr>
            <w:tcW w:w="812"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1" w:type="dxa"/>
            <w:vAlign w:val="bottom"/>
          </w:tcPr>
          <w:p w:rsidR="006247DF" w:rsidRPr="00E7637B" w:rsidRDefault="006247DF" w:rsidP="006247DF">
            <w:pPr>
              <w:spacing w:before="100" w:beforeAutospacing="1" w:line="200" w:lineRule="exact"/>
              <w:jc w:val="right"/>
              <w:rPr>
                <w:sz w:val="16"/>
                <w:szCs w:val="16"/>
              </w:rPr>
            </w:pPr>
          </w:p>
        </w:tc>
      </w:tr>
      <w:tr w:rsidR="006247DF" w:rsidRPr="00E7637B" w:rsidTr="006247DF">
        <w:trPr>
          <w:trHeight w:val="216"/>
        </w:trPr>
        <w:tc>
          <w:tcPr>
            <w:tcW w:w="1674" w:type="dxa"/>
            <w:gridSpan w:val="3"/>
            <w:vAlign w:val="bottom"/>
          </w:tcPr>
          <w:p w:rsidR="006247DF" w:rsidRPr="00E7637B" w:rsidRDefault="006247DF" w:rsidP="006247DF">
            <w:pPr>
              <w:spacing w:before="100" w:beforeAutospacing="1" w:line="200" w:lineRule="exact"/>
              <w:jc w:val="left"/>
              <w:rPr>
                <w:b/>
                <w:sz w:val="16"/>
                <w:szCs w:val="16"/>
              </w:rPr>
            </w:pPr>
            <w:r w:rsidRPr="00E7637B">
              <w:rPr>
                <w:b/>
                <w:sz w:val="16"/>
                <w:szCs w:val="16"/>
              </w:rPr>
              <w:t>Övriga tillgångar</w:t>
            </w:r>
          </w:p>
        </w:tc>
        <w:tc>
          <w:tcPr>
            <w:tcW w:w="418" w:type="dxa"/>
            <w:vAlign w:val="bottom"/>
          </w:tcPr>
          <w:p w:rsidR="006247DF" w:rsidRPr="00E7637B" w:rsidRDefault="006247DF" w:rsidP="006247DF">
            <w:pPr>
              <w:spacing w:before="100" w:beforeAutospacing="1" w:line="200" w:lineRule="exact"/>
              <w:jc w:val="right"/>
              <w:rPr>
                <w:sz w:val="16"/>
                <w:szCs w:val="16"/>
              </w:rPr>
            </w:pPr>
          </w:p>
        </w:tc>
        <w:tc>
          <w:tcPr>
            <w:tcW w:w="125" w:type="dxa"/>
            <w:vAlign w:val="bottom"/>
          </w:tcPr>
          <w:p w:rsidR="006247DF" w:rsidRPr="00E7637B" w:rsidRDefault="006247DF" w:rsidP="006247DF">
            <w:pPr>
              <w:spacing w:before="100" w:beforeAutospacing="1" w:line="200" w:lineRule="exact"/>
              <w:jc w:val="right"/>
              <w:rPr>
                <w:sz w:val="16"/>
                <w:szCs w:val="16"/>
              </w:rPr>
            </w:pPr>
          </w:p>
        </w:tc>
        <w:tc>
          <w:tcPr>
            <w:tcW w:w="812"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0" w:type="dxa"/>
            <w:vAlign w:val="bottom"/>
          </w:tcPr>
          <w:p w:rsidR="006247DF" w:rsidRPr="00E7637B" w:rsidRDefault="006247DF" w:rsidP="006247DF">
            <w:pPr>
              <w:spacing w:before="100" w:beforeAutospacing="1" w:line="200" w:lineRule="exact"/>
              <w:jc w:val="right"/>
              <w:rPr>
                <w:sz w:val="16"/>
                <w:szCs w:val="16"/>
              </w:rPr>
            </w:pPr>
          </w:p>
        </w:tc>
        <w:tc>
          <w:tcPr>
            <w:tcW w:w="811" w:type="dxa"/>
            <w:vAlign w:val="bottom"/>
          </w:tcPr>
          <w:p w:rsidR="006247DF" w:rsidRPr="00E7637B" w:rsidRDefault="006247DF" w:rsidP="006247DF">
            <w:pPr>
              <w:spacing w:before="100" w:beforeAutospacing="1" w:line="200" w:lineRule="exact"/>
              <w:jc w:val="right"/>
              <w:rPr>
                <w:sz w:val="16"/>
                <w:szCs w:val="16"/>
              </w:rPr>
            </w:pPr>
          </w:p>
        </w:tc>
      </w:tr>
      <w:tr w:rsidR="006247DF" w:rsidRPr="00E7637B" w:rsidTr="006247DF">
        <w:trPr>
          <w:trHeight w:val="216"/>
        </w:trPr>
        <w:tc>
          <w:tcPr>
            <w:tcW w:w="2092" w:type="dxa"/>
            <w:gridSpan w:val="4"/>
            <w:vAlign w:val="bottom"/>
          </w:tcPr>
          <w:p w:rsidR="006247DF" w:rsidRPr="00E7637B" w:rsidRDefault="006247DF" w:rsidP="006247DF">
            <w:pPr>
              <w:spacing w:line="200" w:lineRule="exact"/>
              <w:jc w:val="left"/>
              <w:rPr>
                <w:sz w:val="16"/>
                <w:szCs w:val="16"/>
              </w:rPr>
            </w:pPr>
            <w:r w:rsidRPr="00E7637B">
              <w:rPr>
                <w:sz w:val="16"/>
                <w:szCs w:val="16"/>
              </w:rPr>
              <w:t>Materiella och immateriella anläggningstillgångar</w:t>
            </w:r>
          </w:p>
        </w:tc>
        <w:tc>
          <w:tcPr>
            <w:tcW w:w="125" w:type="dxa"/>
            <w:vAlign w:val="bottom"/>
          </w:tcPr>
          <w:p w:rsidR="006247DF" w:rsidRPr="00E7637B" w:rsidRDefault="006247DF" w:rsidP="006247DF">
            <w:pPr>
              <w:spacing w:line="200" w:lineRule="exact"/>
              <w:jc w:val="right"/>
              <w:rPr>
                <w:sz w:val="16"/>
                <w:szCs w:val="16"/>
              </w:rPr>
            </w:pPr>
          </w:p>
        </w:tc>
        <w:tc>
          <w:tcPr>
            <w:tcW w:w="812" w:type="dxa"/>
            <w:vAlign w:val="bottom"/>
          </w:tcPr>
          <w:p w:rsidR="006247DF" w:rsidRPr="00E7637B" w:rsidRDefault="006247DF" w:rsidP="0058561E">
            <w:pPr>
              <w:spacing w:line="200" w:lineRule="exact"/>
              <w:jc w:val="right"/>
              <w:rPr>
                <w:sz w:val="16"/>
                <w:szCs w:val="16"/>
              </w:rPr>
            </w:pPr>
            <w:r>
              <w:rPr>
                <w:sz w:val="16"/>
                <w:szCs w:val="16"/>
              </w:rPr>
              <w:t>6</w:t>
            </w:r>
            <w:r w:rsidR="0058561E">
              <w:rPr>
                <w:sz w:val="16"/>
                <w:szCs w:val="16"/>
              </w:rPr>
              <w:t>71</w:t>
            </w:r>
          </w:p>
        </w:tc>
        <w:tc>
          <w:tcPr>
            <w:tcW w:w="810" w:type="dxa"/>
            <w:vAlign w:val="bottom"/>
          </w:tcPr>
          <w:p w:rsidR="006247DF" w:rsidRPr="00E7637B" w:rsidRDefault="006247DF" w:rsidP="0058561E">
            <w:pPr>
              <w:spacing w:line="200" w:lineRule="exact"/>
              <w:jc w:val="right"/>
              <w:rPr>
                <w:sz w:val="16"/>
                <w:szCs w:val="16"/>
              </w:rPr>
            </w:pPr>
            <w:r>
              <w:rPr>
                <w:sz w:val="16"/>
                <w:szCs w:val="16"/>
              </w:rPr>
              <w:t>6</w:t>
            </w:r>
            <w:r w:rsidR="0058561E">
              <w:rPr>
                <w:sz w:val="16"/>
                <w:szCs w:val="16"/>
              </w:rPr>
              <w:t>90</w:t>
            </w:r>
          </w:p>
        </w:tc>
        <w:tc>
          <w:tcPr>
            <w:tcW w:w="810" w:type="dxa"/>
            <w:vAlign w:val="bottom"/>
          </w:tcPr>
          <w:p w:rsidR="006247DF" w:rsidRPr="00E7637B" w:rsidRDefault="0058561E" w:rsidP="0058561E">
            <w:pPr>
              <w:spacing w:line="200" w:lineRule="exact"/>
              <w:jc w:val="right"/>
              <w:rPr>
                <w:sz w:val="16"/>
                <w:szCs w:val="16"/>
              </w:rPr>
            </w:pPr>
            <w:r>
              <w:rPr>
                <w:sz w:val="16"/>
                <w:szCs w:val="16"/>
              </w:rPr>
              <w:t>655</w:t>
            </w:r>
          </w:p>
        </w:tc>
        <w:tc>
          <w:tcPr>
            <w:tcW w:w="810" w:type="dxa"/>
            <w:vAlign w:val="bottom"/>
          </w:tcPr>
          <w:p w:rsidR="006247DF" w:rsidRPr="00E7637B" w:rsidRDefault="0058561E" w:rsidP="0058561E">
            <w:pPr>
              <w:spacing w:line="200" w:lineRule="exact"/>
              <w:jc w:val="right"/>
              <w:rPr>
                <w:sz w:val="16"/>
                <w:szCs w:val="16"/>
              </w:rPr>
            </w:pPr>
            <w:r>
              <w:rPr>
                <w:sz w:val="16"/>
                <w:szCs w:val="16"/>
              </w:rPr>
              <w:t>502</w:t>
            </w:r>
          </w:p>
        </w:tc>
        <w:tc>
          <w:tcPr>
            <w:tcW w:w="811" w:type="dxa"/>
            <w:vAlign w:val="bottom"/>
          </w:tcPr>
          <w:p w:rsidR="006247DF" w:rsidRPr="00E7637B" w:rsidRDefault="00420734" w:rsidP="00420734">
            <w:pPr>
              <w:spacing w:line="200" w:lineRule="exact"/>
              <w:jc w:val="right"/>
              <w:rPr>
                <w:sz w:val="16"/>
                <w:szCs w:val="16"/>
              </w:rPr>
            </w:pPr>
            <w:r>
              <w:rPr>
                <w:sz w:val="16"/>
                <w:szCs w:val="16"/>
              </w:rPr>
              <w:t>389</w:t>
            </w:r>
          </w:p>
        </w:tc>
      </w:tr>
      <w:tr w:rsidR="006247DF" w:rsidRPr="00E7637B" w:rsidTr="006247DF">
        <w:trPr>
          <w:trHeight w:val="216"/>
        </w:trPr>
        <w:tc>
          <w:tcPr>
            <w:tcW w:w="1674" w:type="dxa"/>
            <w:gridSpan w:val="3"/>
          </w:tcPr>
          <w:p w:rsidR="006247DF" w:rsidRPr="00E7637B" w:rsidRDefault="006247DF" w:rsidP="006247DF">
            <w:pPr>
              <w:spacing w:line="200" w:lineRule="exact"/>
              <w:rPr>
                <w:sz w:val="16"/>
                <w:szCs w:val="16"/>
              </w:rPr>
            </w:pPr>
            <w:r w:rsidRPr="00E7637B">
              <w:rPr>
                <w:sz w:val="16"/>
                <w:szCs w:val="16"/>
              </w:rPr>
              <w:t>Finansiella tillgångar</w:t>
            </w:r>
          </w:p>
        </w:tc>
        <w:tc>
          <w:tcPr>
            <w:tcW w:w="418" w:type="dxa"/>
          </w:tcPr>
          <w:p w:rsidR="006247DF" w:rsidRPr="00E7637B" w:rsidRDefault="006247DF" w:rsidP="006247DF">
            <w:pPr>
              <w:spacing w:line="200" w:lineRule="exac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6247DF">
            <w:pPr>
              <w:spacing w:line="200" w:lineRule="exact"/>
              <w:jc w:val="right"/>
              <w:rPr>
                <w:sz w:val="16"/>
                <w:szCs w:val="16"/>
              </w:rPr>
            </w:pPr>
            <w:r>
              <w:rPr>
                <w:sz w:val="16"/>
                <w:szCs w:val="16"/>
              </w:rPr>
              <w:t>522</w:t>
            </w:r>
          </w:p>
        </w:tc>
        <w:tc>
          <w:tcPr>
            <w:tcW w:w="810" w:type="dxa"/>
          </w:tcPr>
          <w:p w:rsidR="006247DF" w:rsidRPr="00E7637B" w:rsidRDefault="006247DF" w:rsidP="0058561E">
            <w:pPr>
              <w:spacing w:line="200" w:lineRule="exact"/>
              <w:jc w:val="right"/>
              <w:rPr>
                <w:sz w:val="16"/>
                <w:szCs w:val="16"/>
              </w:rPr>
            </w:pPr>
            <w:r>
              <w:rPr>
                <w:sz w:val="16"/>
                <w:szCs w:val="16"/>
              </w:rPr>
              <w:t>52</w:t>
            </w:r>
            <w:r w:rsidR="0058561E">
              <w:rPr>
                <w:sz w:val="16"/>
                <w:szCs w:val="16"/>
              </w:rPr>
              <w:t>2</w:t>
            </w:r>
          </w:p>
        </w:tc>
        <w:tc>
          <w:tcPr>
            <w:tcW w:w="810" w:type="dxa"/>
          </w:tcPr>
          <w:p w:rsidR="006247DF" w:rsidRPr="00E7637B" w:rsidRDefault="006247DF" w:rsidP="006247DF">
            <w:pPr>
              <w:spacing w:line="200" w:lineRule="exact"/>
              <w:jc w:val="right"/>
              <w:rPr>
                <w:sz w:val="16"/>
                <w:szCs w:val="16"/>
              </w:rPr>
            </w:pPr>
            <w:r w:rsidRPr="00E7637B">
              <w:rPr>
                <w:sz w:val="16"/>
                <w:szCs w:val="16"/>
              </w:rPr>
              <w:t>521</w:t>
            </w:r>
          </w:p>
        </w:tc>
        <w:tc>
          <w:tcPr>
            <w:tcW w:w="810" w:type="dxa"/>
          </w:tcPr>
          <w:p w:rsidR="006247DF" w:rsidRPr="00E7637B" w:rsidRDefault="006247DF" w:rsidP="006247DF">
            <w:pPr>
              <w:spacing w:line="200" w:lineRule="exact"/>
              <w:jc w:val="right"/>
              <w:rPr>
                <w:sz w:val="16"/>
                <w:szCs w:val="16"/>
              </w:rPr>
            </w:pPr>
            <w:r w:rsidRPr="00E7637B">
              <w:rPr>
                <w:sz w:val="16"/>
                <w:szCs w:val="16"/>
              </w:rPr>
              <w:t>521</w:t>
            </w:r>
          </w:p>
        </w:tc>
        <w:tc>
          <w:tcPr>
            <w:tcW w:w="811" w:type="dxa"/>
          </w:tcPr>
          <w:p w:rsidR="006247DF" w:rsidRPr="00E7637B" w:rsidRDefault="006247DF" w:rsidP="006247DF">
            <w:pPr>
              <w:spacing w:line="200" w:lineRule="exact"/>
              <w:jc w:val="right"/>
              <w:rPr>
                <w:sz w:val="16"/>
                <w:szCs w:val="16"/>
              </w:rPr>
            </w:pPr>
            <w:r w:rsidRPr="00E7637B">
              <w:rPr>
                <w:sz w:val="16"/>
                <w:szCs w:val="16"/>
              </w:rPr>
              <w:t>52</w:t>
            </w:r>
            <w:r>
              <w:rPr>
                <w:sz w:val="16"/>
                <w:szCs w:val="16"/>
              </w:rPr>
              <w:t>1</w:t>
            </w:r>
          </w:p>
        </w:tc>
      </w:tr>
      <w:tr w:rsidR="006247DF" w:rsidRPr="00E7637B" w:rsidTr="006247DF">
        <w:trPr>
          <w:trHeight w:val="216"/>
        </w:trPr>
        <w:tc>
          <w:tcPr>
            <w:tcW w:w="1674" w:type="dxa"/>
            <w:gridSpan w:val="3"/>
          </w:tcPr>
          <w:p w:rsidR="006247DF" w:rsidRPr="00E7637B" w:rsidRDefault="006247DF" w:rsidP="006247DF">
            <w:pPr>
              <w:spacing w:line="200" w:lineRule="exact"/>
              <w:rPr>
                <w:sz w:val="16"/>
                <w:szCs w:val="16"/>
              </w:rPr>
            </w:pPr>
            <w:r w:rsidRPr="00E7637B">
              <w:rPr>
                <w:sz w:val="16"/>
                <w:szCs w:val="16"/>
              </w:rPr>
              <w:t>Derivatinstrument</w:t>
            </w:r>
          </w:p>
        </w:tc>
        <w:tc>
          <w:tcPr>
            <w:tcW w:w="418" w:type="dxa"/>
          </w:tcPr>
          <w:p w:rsidR="006247DF" w:rsidRPr="00E7637B" w:rsidRDefault="006247DF" w:rsidP="006247DF">
            <w:pPr>
              <w:spacing w:line="200" w:lineRule="exac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6247DF">
            <w:pPr>
              <w:spacing w:line="200" w:lineRule="exact"/>
              <w:jc w:val="right"/>
              <w:rPr>
                <w:sz w:val="16"/>
                <w:szCs w:val="16"/>
              </w:rPr>
            </w:pPr>
            <w:r w:rsidRPr="00E7637B">
              <w:rPr>
                <w:sz w:val="16"/>
                <w:szCs w:val="16"/>
              </w:rPr>
              <w:t>–</w:t>
            </w:r>
          </w:p>
        </w:tc>
        <w:tc>
          <w:tcPr>
            <w:tcW w:w="810" w:type="dxa"/>
          </w:tcPr>
          <w:p w:rsidR="006247DF" w:rsidRPr="00E7637B" w:rsidRDefault="0058561E" w:rsidP="0058561E">
            <w:pPr>
              <w:spacing w:line="200" w:lineRule="exact"/>
              <w:jc w:val="right"/>
              <w:rPr>
                <w:sz w:val="16"/>
                <w:szCs w:val="16"/>
              </w:rPr>
            </w:pPr>
            <w:r w:rsidRPr="00E7637B">
              <w:rPr>
                <w:sz w:val="16"/>
                <w:szCs w:val="16"/>
              </w:rPr>
              <w:t>–</w:t>
            </w:r>
          </w:p>
        </w:tc>
        <w:tc>
          <w:tcPr>
            <w:tcW w:w="810" w:type="dxa"/>
          </w:tcPr>
          <w:p w:rsidR="006247DF" w:rsidRPr="00E7637B" w:rsidRDefault="0058561E" w:rsidP="0058561E">
            <w:pPr>
              <w:spacing w:line="200" w:lineRule="exact"/>
              <w:jc w:val="right"/>
              <w:rPr>
                <w:sz w:val="16"/>
                <w:szCs w:val="16"/>
              </w:rPr>
            </w:pPr>
            <w:r>
              <w:rPr>
                <w:sz w:val="16"/>
                <w:szCs w:val="16"/>
              </w:rPr>
              <w:t>662</w:t>
            </w:r>
          </w:p>
        </w:tc>
        <w:tc>
          <w:tcPr>
            <w:tcW w:w="810" w:type="dxa"/>
          </w:tcPr>
          <w:p w:rsidR="006247DF" w:rsidRPr="00E7637B" w:rsidRDefault="0058561E" w:rsidP="0058561E">
            <w:pPr>
              <w:spacing w:line="200" w:lineRule="exact"/>
              <w:jc w:val="right"/>
              <w:rPr>
                <w:sz w:val="16"/>
                <w:szCs w:val="16"/>
              </w:rPr>
            </w:pPr>
            <w:r w:rsidRPr="00E7637B">
              <w:rPr>
                <w:sz w:val="16"/>
                <w:szCs w:val="16"/>
              </w:rPr>
              <w:t>–</w:t>
            </w:r>
          </w:p>
        </w:tc>
        <w:tc>
          <w:tcPr>
            <w:tcW w:w="811" w:type="dxa"/>
          </w:tcPr>
          <w:p w:rsidR="006247DF" w:rsidRPr="00E7637B" w:rsidRDefault="00420734" w:rsidP="00420734">
            <w:pPr>
              <w:spacing w:line="200" w:lineRule="exact"/>
              <w:jc w:val="right"/>
              <w:rPr>
                <w:sz w:val="16"/>
                <w:szCs w:val="16"/>
              </w:rPr>
            </w:pPr>
            <w:r>
              <w:rPr>
                <w:sz w:val="16"/>
                <w:szCs w:val="16"/>
              </w:rPr>
              <w:t>584</w:t>
            </w:r>
          </w:p>
        </w:tc>
      </w:tr>
      <w:tr w:rsidR="006247DF" w:rsidRPr="00E7637B" w:rsidTr="006247DF">
        <w:trPr>
          <w:trHeight w:val="216"/>
        </w:trPr>
        <w:tc>
          <w:tcPr>
            <w:tcW w:w="2092" w:type="dxa"/>
            <w:gridSpan w:val="4"/>
            <w:vAlign w:val="bottom"/>
          </w:tcPr>
          <w:p w:rsidR="006247DF" w:rsidRPr="00E7637B" w:rsidRDefault="006247DF" w:rsidP="006247DF">
            <w:pPr>
              <w:spacing w:line="200" w:lineRule="exact"/>
              <w:jc w:val="left"/>
              <w:rPr>
                <w:sz w:val="16"/>
                <w:szCs w:val="16"/>
              </w:rPr>
            </w:pPr>
            <w:r w:rsidRPr="00E7637B">
              <w:rPr>
                <w:sz w:val="16"/>
                <w:szCs w:val="16"/>
              </w:rPr>
              <w:t xml:space="preserve">Förutbetalda kostnader och </w:t>
            </w:r>
            <w:r w:rsidRPr="00E7637B">
              <w:rPr>
                <w:sz w:val="16"/>
                <w:szCs w:val="16"/>
              </w:rPr>
              <w:br/>
              <w:t>upplupna intäkter</w:t>
            </w:r>
          </w:p>
        </w:tc>
        <w:tc>
          <w:tcPr>
            <w:tcW w:w="125" w:type="dxa"/>
            <w:vAlign w:val="bottom"/>
          </w:tcPr>
          <w:p w:rsidR="006247DF" w:rsidRPr="00E7637B" w:rsidRDefault="006247DF" w:rsidP="006247DF">
            <w:pPr>
              <w:spacing w:line="200" w:lineRule="exact"/>
              <w:jc w:val="right"/>
              <w:rPr>
                <w:sz w:val="16"/>
                <w:szCs w:val="16"/>
              </w:rPr>
            </w:pPr>
          </w:p>
        </w:tc>
        <w:tc>
          <w:tcPr>
            <w:tcW w:w="812" w:type="dxa"/>
            <w:vAlign w:val="bottom"/>
          </w:tcPr>
          <w:p w:rsidR="006247DF" w:rsidRPr="00E7637B" w:rsidRDefault="006247DF" w:rsidP="0058561E">
            <w:pPr>
              <w:spacing w:line="200" w:lineRule="exact"/>
              <w:jc w:val="right"/>
              <w:rPr>
                <w:sz w:val="16"/>
                <w:szCs w:val="16"/>
              </w:rPr>
            </w:pPr>
            <w:r>
              <w:rPr>
                <w:sz w:val="16"/>
                <w:szCs w:val="16"/>
              </w:rPr>
              <w:t>3 3</w:t>
            </w:r>
            <w:r w:rsidR="0058561E">
              <w:rPr>
                <w:sz w:val="16"/>
                <w:szCs w:val="16"/>
              </w:rPr>
              <w:t>23</w:t>
            </w:r>
          </w:p>
        </w:tc>
        <w:tc>
          <w:tcPr>
            <w:tcW w:w="810" w:type="dxa"/>
            <w:vAlign w:val="bottom"/>
          </w:tcPr>
          <w:p w:rsidR="006247DF" w:rsidRPr="00E7637B" w:rsidRDefault="0058561E" w:rsidP="0058561E">
            <w:pPr>
              <w:spacing w:line="200" w:lineRule="exact"/>
              <w:jc w:val="right"/>
              <w:rPr>
                <w:sz w:val="16"/>
                <w:szCs w:val="16"/>
              </w:rPr>
            </w:pPr>
            <w:r>
              <w:rPr>
                <w:sz w:val="16"/>
                <w:szCs w:val="16"/>
              </w:rPr>
              <w:t>3</w:t>
            </w:r>
            <w:r w:rsidR="006247DF">
              <w:rPr>
                <w:sz w:val="16"/>
                <w:szCs w:val="16"/>
              </w:rPr>
              <w:t xml:space="preserve"> </w:t>
            </w:r>
            <w:r>
              <w:rPr>
                <w:sz w:val="16"/>
                <w:szCs w:val="16"/>
              </w:rPr>
              <w:t>314</w:t>
            </w:r>
          </w:p>
        </w:tc>
        <w:tc>
          <w:tcPr>
            <w:tcW w:w="810" w:type="dxa"/>
            <w:vAlign w:val="bottom"/>
          </w:tcPr>
          <w:p w:rsidR="006247DF" w:rsidRPr="00E7637B" w:rsidRDefault="006247DF" w:rsidP="0058561E">
            <w:pPr>
              <w:spacing w:line="200" w:lineRule="exact"/>
              <w:jc w:val="right"/>
              <w:rPr>
                <w:sz w:val="16"/>
                <w:szCs w:val="16"/>
              </w:rPr>
            </w:pPr>
            <w:r>
              <w:rPr>
                <w:sz w:val="16"/>
                <w:szCs w:val="16"/>
              </w:rPr>
              <w:t xml:space="preserve">2 </w:t>
            </w:r>
            <w:r w:rsidR="0058561E">
              <w:rPr>
                <w:sz w:val="16"/>
                <w:szCs w:val="16"/>
              </w:rPr>
              <w:t>609</w:t>
            </w:r>
          </w:p>
        </w:tc>
        <w:tc>
          <w:tcPr>
            <w:tcW w:w="810" w:type="dxa"/>
            <w:vAlign w:val="bottom"/>
          </w:tcPr>
          <w:p w:rsidR="006247DF" w:rsidRPr="00E7637B" w:rsidRDefault="0058561E" w:rsidP="0058561E">
            <w:pPr>
              <w:spacing w:line="200" w:lineRule="exact"/>
              <w:jc w:val="right"/>
              <w:rPr>
                <w:sz w:val="16"/>
                <w:szCs w:val="16"/>
              </w:rPr>
            </w:pPr>
            <w:r>
              <w:rPr>
                <w:sz w:val="16"/>
                <w:szCs w:val="16"/>
              </w:rPr>
              <w:t>2</w:t>
            </w:r>
            <w:r w:rsidR="006247DF">
              <w:rPr>
                <w:sz w:val="16"/>
                <w:szCs w:val="16"/>
              </w:rPr>
              <w:t xml:space="preserve"> </w:t>
            </w:r>
            <w:r>
              <w:rPr>
                <w:sz w:val="16"/>
                <w:szCs w:val="16"/>
              </w:rPr>
              <w:t>873</w:t>
            </w:r>
          </w:p>
        </w:tc>
        <w:tc>
          <w:tcPr>
            <w:tcW w:w="811" w:type="dxa"/>
            <w:vAlign w:val="bottom"/>
          </w:tcPr>
          <w:p w:rsidR="006247DF" w:rsidRPr="00E7637B" w:rsidRDefault="00420734" w:rsidP="00420734">
            <w:pPr>
              <w:spacing w:line="200" w:lineRule="exact"/>
              <w:jc w:val="right"/>
              <w:rPr>
                <w:sz w:val="16"/>
                <w:szCs w:val="16"/>
              </w:rPr>
            </w:pPr>
            <w:r>
              <w:rPr>
                <w:sz w:val="16"/>
                <w:szCs w:val="16"/>
              </w:rPr>
              <w:t>3</w:t>
            </w:r>
            <w:r w:rsidR="006247DF" w:rsidRPr="00E7637B">
              <w:rPr>
                <w:sz w:val="16"/>
                <w:szCs w:val="16"/>
              </w:rPr>
              <w:t xml:space="preserve"> </w:t>
            </w:r>
            <w:r>
              <w:rPr>
                <w:sz w:val="16"/>
                <w:szCs w:val="16"/>
              </w:rPr>
              <w:t>522</w:t>
            </w:r>
          </w:p>
        </w:tc>
      </w:tr>
      <w:tr w:rsidR="006247DF" w:rsidRPr="00E7637B" w:rsidTr="006247DF">
        <w:trPr>
          <w:trHeight w:val="216"/>
        </w:trPr>
        <w:tc>
          <w:tcPr>
            <w:tcW w:w="1674" w:type="dxa"/>
            <w:gridSpan w:val="3"/>
          </w:tcPr>
          <w:p w:rsidR="006247DF" w:rsidRPr="00E7637B" w:rsidRDefault="006247DF" w:rsidP="006247DF">
            <w:pPr>
              <w:spacing w:line="200" w:lineRule="exact"/>
              <w:rPr>
                <w:sz w:val="16"/>
                <w:szCs w:val="16"/>
              </w:rPr>
            </w:pPr>
            <w:r w:rsidRPr="00E7637B">
              <w:rPr>
                <w:sz w:val="16"/>
                <w:szCs w:val="16"/>
              </w:rPr>
              <w:t>Övriga tillgångar</w:t>
            </w:r>
          </w:p>
        </w:tc>
        <w:tc>
          <w:tcPr>
            <w:tcW w:w="418" w:type="dxa"/>
          </w:tcPr>
          <w:p w:rsidR="006247DF" w:rsidRPr="00E7637B" w:rsidRDefault="006247DF" w:rsidP="006247DF">
            <w:pPr>
              <w:spacing w:line="200" w:lineRule="exact"/>
              <w:jc w:val="righ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Borders>
              <w:bottom w:val="single" w:sz="6" w:space="0" w:color="auto"/>
            </w:tcBorders>
          </w:tcPr>
          <w:p w:rsidR="006247DF" w:rsidRPr="00E7637B" w:rsidRDefault="006247DF" w:rsidP="0058561E">
            <w:pPr>
              <w:spacing w:line="200" w:lineRule="exact"/>
              <w:jc w:val="right"/>
              <w:rPr>
                <w:sz w:val="16"/>
                <w:szCs w:val="16"/>
              </w:rPr>
            </w:pPr>
            <w:r>
              <w:rPr>
                <w:sz w:val="16"/>
                <w:szCs w:val="16"/>
              </w:rPr>
              <w:t>35</w:t>
            </w:r>
            <w:r w:rsidR="0058561E">
              <w:rPr>
                <w:sz w:val="16"/>
                <w:szCs w:val="16"/>
              </w:rPr>
              <w:t>7</w:t>
            </w:r>
          </w:p>
        </w:tc>
        <w:tc>
          <w:tcPr>
            <w:tcW w:w="810" w:type="dxa"/>
            <w:tcBorders>
              <w:bottom w:val="single" w:sz="6" w:space="0" w:color="auto"/>
            </w:tcBorders>
          </w:tcPr>
          <w:p w:rsidR="006247DF" w:rsidRPr="00E7637B" w:rsidRDefault="006247DF" w:rsidP="0058561E">
            <w:pPr>
              <w:spacing w:line="200" w:lineRule="exact"/>
              <w:jc w:val="right"/>
              <w:rPr>
                <w:sz w:val="16"/>
                <w:szCs w:val="16"/>
              </w:rPr>
            </w:pPr>
            <w:r>
              <w:rPr>
                <w:sz w:val="16"/>
                <w:szCs w:val="16"/>
              </w:rPr>
              <w:t>3</w:t>
            </w:r>
            <w:r w:rsidR="0058561E">
              <w:rPr>
                <w:sz w:val="16"/>
                <w:szCs w:val="16"/>
              </w:rPr>
              <w:t>58</w:t>
            </w:r>
          </w:p>
        </w:tc>
        <w:tc>
          <w:tcPr>
            <w:tcW w:w="810" w:type="dxa"/>
            <w:tcBorders>
              <w:bottom w:val="single" w:sz="6" w:space="0" w:color="auto"/>
            </w:tcBorders>
          </w:tcPr>
          <w:p w:rsidR="006247DF" w:rsidRPr="00E7637B" w:rsidRDefault="006247DF" w:rsidP="0058561E">
            <w:pPr>
              <w:spacing w:line="200" w:lineRule="exact"/>
              <w:jc w:val="right"/>
              <w:rPr>
                <w:sz w:val="16"/>
                <w:szCs w:val="16"/>
              </w:rPr>
            </w:pPr>
            <w:r>
              <w:rPr>
                <w:sz w:val="16"/>
                <w:szCs w:val="16"/>
              </w:rPr>
              <w:t>3</w:t>
            </w:r>
            <w:r w:rsidR="0058561E">
              <w:rPr>
                <w:sz w:val="16"/>
                <w:szCs w:val="16"/>
              </w:rPr>
              <w:t>41</w:t>
            </w:r>
          </w:p>
        </w:tc>
        <w:tc>
          <w:tcPr>
            <w:tcW w:w="810" w:type="dxa"/>
            <w:tcBorders>
              <w:bottom w:val="single" w:sz="6" w:space="0" w:color="auto"/>
            </w:tcBorders>
          </w:tcPr>
          <w:p w:rsidR="006247DF" w:rsidRPr="00E7637B" w:rsidRDefault="006247DF" w:rsidP="0058561E">
            <w:pPr>
              <w:spacing w:line="200" w:lineRule="exact"/>
              <w:jc w:val="right"/>
              <w:rPr>
                <w:sz w:val="16"/>
                <w:szCs w:val="16"/>
              </w:rPr>
            </w:pPr>
            <w:r>
              <w:rPr>
                <w:sz w:val="16"/>
                <w:szCs w:val="16"/>
              </w:rPr>
              <w:t>3</w:t>
            </w:r>
            <w:r w:rsidR="0058561E">
              <w:rPr>
                <w:sz w:val="16"/>
                <w:szCs w:val="16"/>
              </w:rPr>
              <w:t>27</w:t>
            </w:r>
          </w:p>
        </w:tc>
        <w:tc>
          <w:tcPr>
            <w:tcW w:w="811" w:type="dxa"/>
            <w:tcBorders>
              <w:bottom w:val="single" w:sz="6" w:space="0" w:color="auto"/>
            </w:tcBorders>
          </w:tcPr>
          <w:p w:rsidR="006247DF" w:rsidRPr="00E7637B" w:rsidRDefault="006247DF" w:rsidP="00420734">
            <w:pPr>
              <w:spacing w:line="200" w:lineRule="exact"/>
              <w:jc w:val="right"/>
              <w:rPr>
                <w:sz w:val="16"/>
                <w:szCs w:val="16"/>
              </w:rPr>
            </w:pPr>
            <w:r>
              <w:rPr>
                <w:sz w:val="16"/>
                <w:szCs w:val="16"/>
              </w:rPr>
              <w:t>3</w:t>
            </w:r>
            <w:r w:rsidR="00420734">
              <w:rPr>
                <w:sz w:val="16"/>
                <w:szCs w:val="16"/>
              </w:rPr>
              <w:t>18</w:t>
            </w:r>
          </w:p>
        </w:tc>
      </w:tr>
      <w:tr w:rsidR="006247DF" w:rsidRPr="00E7637B" w:rsidTr="006247DF">
        <w:trPr>
          <w:trHeight w:val="216"/>
        </w:trPr>
        <w:tc>
          <w:tcPr>
            <w:tcW w:w="253" w:type="dxa"/>
          </w:tcPr>
          <w:p w:rsidR="006247DF" w:rsidRPr="00E7637B" w:rsidRDefault="006247DF" w:rsidP="006247DF">
            <w:pPr>
              <w:spacing w:line="200" w:lineRule="exact"/>
              <w:jc w:val="right"/>
              <w:rPr>
                <w:sz w:val="16"/>
                <w:szCs w:val="16"/>
              </w:rPr>
            </w:pPr>
          </w:p>
        </w:tc>
        <w:tc>
          <w:tcPr>
            <w:tcW w:w="631" w:type="dxa"/>
          </w:tcPr>
          <w:p w:rsidR="006247DF" w:rsidRPr="00E7637B" w:rsidRDefault="006247DF" w:rsidP="006247DF">
            <w:pPr>
              <w:spacing w:line="200" w:lineRule="exact"/>
              <w:jc w:val="right"/>
              <w:rPr>
                <w:sz w:val="16"/>
                <w:szCs w:val="16"/>
              </w:rPr>
            </w:pPr>
          </w:p>
        </w:tc>
        <w:tc>
          <w:tcPr>
            <w:tcW w:w="790" w:type="dxa"/>
          </w:tcPr>
          <w:p w:rsidR="006247DF" w:rsidRPr="00E7637B" w:rsidRDefault="006247DF" w:rsidP="006247DF">
            <w:pPr>
              <w:spacing w:line="200" w:lineRule="exact"/>
              <w:jc w:val="right"/>
              <w:rPr>
                <w:sz w:val="16"/>
                <w:szCs w:val="16"/>
              </w:rPr>
            </w:pPr>
          </w:p>
        </w:tc>
        <w:tc>
          <w:tcPr>
            <w:tcW w:w="418" w:type="dxa"/>
          </w:tcPr>
          <w:p w:rsidR="006247DF" w:rsidRPr="00E7637B" w:rsidRDefault="006247DF" w:rsidP="006247DF">
            <w:pPr>
              <w:spacing w:line="200" w:lineRule="exact"/>
              <w:jc w:val="right"/>
              <w:rPr>
                <w:sz w:val="16"/>
                <w:szCs w:val="16"/>
              </w:rPr>
            </w:pP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6247DF" w:rsidP="0058561E">
            <w:pPr>
              <w:spacing w:line="200" w:lineRule="exact"/>
              <w:jc w:val="right"/>
              <w:rPr>
                <w:sz w:val="16"/>
                <w:szCs w:val="16"/>
              </w:rPr>
            </w:pPr>
            <w:r>
              <w:rPr>
                <w:sz w:val="16"/>
                <w:szCs w:val="16"/>
              </w:rPr>
              <w:t>4 8</w:t>
            </w:r>
            <w:r w:rsidR="0058561E">
              <w:rPr>
                <w:sz w:val="16"/>
                <w:szCs w:val="16"/>
              </w:rPr>
              <w:t>73</w:t>
            </w:r>
          </w:p>
        </w:tc>
        <w:tc>
          <w:tcPr>
            <w:tcW w:w="810" w:type="dxa"/>
          </w:tcPr>
          <w:p w:rsidR="006247DF" w:rsidRPr="00E7637B" w:rsidRDefault="006247DF" w:rsidP="0058561E">
            <w:pPr>
              <w:spacing w:line="200" w:lineRule="exact"/>
              <w:jc w:val="right"/>
              <w:rPr>
                <w:sz w:val="16"/>
                <w:szCs w:val="16"/>
              </w:rPr>
            </w:pPr>
            <w:r>
              <w:rPr>
                <w:sz w:val="16"/>
                <w:szCs w:val="16"/>
              </w:rPr>
              <w:t xml:space="preserve">4 </w:t>
            </w:r>
            <w:r w:rsidR="0058561E">
              <w:rPr>
                <w:sz w:val="16"/>
                <w:szCs w:val="16"/>
              </w:rPr>
              <w:t>884</w:t>
            </w:r>
          </w:p>
        </w:tc>
        <w:tc>
          <w:tcPr>
            <w:tcW w:w="810" w:type="dxa"/>
          </w:tcPr>
          <w:p w:rsidR="006247DF" w:rsidRPr="00E7637B" w:rsidRDefault="006247DF" w:rsidP="0058561E">
            <w:pPr>
              <w:spacing w:line="200" w:lineRule="exact"/>
              <w:jc w:val="right"/>
              <w:rPr>
                <w:sz w:val="16"/>
                <w:szCs w:val="16"/>
              </w:rPr>
            </w:pPr>
            <w:r>
              <w:rPr>
                <w:sz w:val="16"/>
                <w:szCs w:val="16"/>
              </w:rPr>
              <w:t xml:space="preserve">4 </w:t>
            </w:r>
            <w:r w:rsidR="0058561E">
              <w:rPr>
                <w:sz w:val="16"/>
                <w:szCs w:val="16"/>
              </w:rPr>
              <w:t>788</w:t>
            </w:r>
          </w:p>
        </w:tc>
        <w:tc>
          <w:tcPr>
            <w:tcW w:w="810" w:type="dxa"/>
          </w:tcPr>
          <w:p w:rsidR="006247DF" w:rsidRPr="00E7637B" w:rsidRDefault="0058561E" w:rsidP="0058561E">
            <w:pPr>
              <w:spacing w:line="200" w:lineRule="exact"/>
              <w:jc w:val="right"/>
              <w:rPr>
                <w:sz w:val="16"/>
                <w:szCs w:val="16"/>
              </w:rPr>
            </w:pPr>
            <w:r>
              <w:rPr>
                <w:sz w:val="16"/>
                <w:szCs w:val="16"/>
              </w:rPr>
              <w:t>4</w:t>
            </w:r>
            <w:r w:rsidR="006247DF">
              <w:rPr>
                <w:sz w:val="16"/>
                <w:szCs w:val="16"/>
              </w:rPr>
              <w:t xml:space="preserve"> </w:t>
            </w:r>
            <w:r>
              <w:rPr>
                <w:sz w:val="16"/>
                <w:szCs w:val="16"/>
              </w:rPr>
              <w:t>223</w:t>
            </w:r>
          </w:p>
        </w:tc>
        <w:tc>
          <w:tcPr>
            <w:tcW w:w="811" w:type="dxa"/>
          </w:tcPr>
          <w:p w:rsidR="006247DF" w:rsidRPr="00E7637B" w:rsidRDefault="006247DF" w:rsidP="00420734">
            <w:pPr>
              <w:spacing w:line="200" w:lineRule="exact"/>
              <w:jc w:val="right"/>
              <w:rPr>
                <w:sz w:val="16"/>
                <w:szCs w:val="16"/>
              </w:rPr>
            </w:pPr>
            <w:r>
              <w:rPr>
                <w:sz w:val="16"/>
                <w:szCs w:val="16"/>
              </w:rPr>
              <w:t xml:space="preserve">5 </w:t>
            </w:r>
            <w:r w:rsidR="00420734">
              <w:rPr>
                <w:sz w:val="16"/>
                <w:szCs w:val="16"/>
              </w:rPr>
              <w:t>334</w:t>
            </w:r>
          </w:p>
        </w:tc>
      </w:tr>
      <w:tr w:rsidR="006247DF" w:rsidRPr="00E7637B" w:rsidTr="006247DF">
        <w:tc>
          <w:tcPr>
            <w:tcW w:w="253" w:type="dxa"/>
          </w:tcPr>
          <w:p w:rsidR="006247DF" w:rsidRPr="00E7637B" w:rsidRDefault="006247DF" w:rsidP="006247DF">
            <w:pPr>
              <w:spacing w:before="0" w:line="120" w:lineRule="exact"/>
              <w:jc w:val="right"/>
              <w:rPr>
                <w:sz w:val="16"/>
                <w:szCs w:val="16"/>
              </w:rPr>
            </w:pPr>
          </w:p>
        </w:tc>
        <w:tc>
          <w:tcPr>
            <w:tcW w:w="631" w:type="dxa"/>
          </w:tcPr>
          <w:p w:rsidR="006247DF" w:rsidRPr="00E7637B" w:rsidRDefault="006247DF" w:rsidP="006247DF">
            <w:pPr>
              <w:spacing w:before="0" w:line="120" w:lineRule="exact"/>
              <w:jc w:val="right"/>
              <w:rPr>
                <w:sz w:val="16"/>
                <w:szCs w:val="16"/>
              </w:rPr>
            </w:pPr>
          </w:p>
        </w:tc>
        <w:tc>
          <w:tcPr>
            <w:tcW w:w="790" w:type="dxa"/>
          </w:tcPr>
          <w:p w:rsidR="006247DF" w:rsidRPr="00E7637B" w:rsidRDefault="006247DF" w:rsidP="006247DF">
            <w:pPr>
              <w:spacing w:before="0" w:line="120" w:lineRule="exact"/>
              <w:jc w:val="right"/>
              <w:rPr>
                <w:sz w:val="16"/>
                <w:szCs w:val="16"/>
              </w:rPr>
            </w:pPr>
          </w:p>
        </w:tc>
        <w:tc>
          <w:tcPr>
            <w:tcW w:w="418" w:type="dxa"/>
          </w:tcPr>
          <w:p w:rsidR="006247DF" w:rsidRPr="00E7637B" w:rsidRDefault="006247DF" w:rsidP="006247DF">
            <w:pPr>
              <w:spacing w:before="0" w:line="120" w:lineRule="exact"/>
              <w:jc w:val="right"/>
              <w:rPr>
                <w:sz w:val="16"/>
                <w:szCs w:val="16"/>
              </w:rPr>
            </w:pPr>
          </w:p>
        </w:tc>
        <w:tc>
          <w:tcPr>
            <w:tcW w:w="125" w:type="dxa"/>
          </w:tcPr>
          <w:p w:rsidR="006247DF" w:rsidRPr="00E7637B" w:rsidRDefault="006247DF" w:rsidP="006247DF">
            <w:pPr>
              <w:spacing w:before="0" w:line="120" w:lineRule="exact"/>
              <w:jc w:val="right"/>
              <w:rPr>
                <w:sz w:val="16"/>
                <w:szCs w:val="16"/>
              </w:rPr>
            </w:pPr>
          </w:p>
        </w:tc>
        <w:tc>
          <w:tcPr>
            <w:tcW w:w="812" w:type="dxa"/>
          </w:tcPr>
          <w:p w:rsidR="006247DF" w:rsidRPr="00E7637B" w:rsidRDefault="006247DF" w:rsidP="006247DF">
            <w:pPr>
              <w:spacing w:before="0" w:line="120" w:lineRule="exact"/>
              <w:jc w:val="right"/>
              <w:rPr>
                <w:sz w:val="16"/>
                <w:szCs w:val="16"/>
              </w:rPr>
            </w:pPr>
          </w:p>
        </w:tc>
        <w:tc>
          <w:tcPr>
            <w:tcW w:w="810" w:type="dxa"/>
          </w:tcPr>
          <w:p w:rsidR="006247DF" w:rsidRPr="00E7637B" w:rsidRDefault="006247DF" w:rsidP="006247DF">
            <w:pPr>
              <w:spacing w:before="0" w:line="120" w:lineRule="exact"/>
              <w:jc w:val="right"/>
              <w:rPr>
                <w:sz w:val="16"/>
                <w:szCs w:val="16"/>
              </w:rPr>
            </w:pPr>
          </w:p>
        </w:tc>
        <w:tc>
          <w:tcPr>
            <w:tcW w:w="810" w:type="dxa"/>
          </w:tcPr>
          <w:p w:rsidR="006247DF" w:rsidRPr="00E7637B" w:rsidRDefault="006247DF" w:rsidP="006247DF">
            <w:pPr>
              <w:spacing w:before="0" w:line="120" w:lineRule="exact"/>
              <w:jc w:val="right"/>
              <w:rPr>
                <w:sz w:val="16"/>
                <w:szCs w:val="16"/>
              </w:rPr>
            </w:pPr>
          </w:p>
        </w:tc>
        <w:tc>
          <w:tcPr>
            <w:tcW w:w="810" w:type="dxa"/>
          </w:tcPr>
          <w:p w:rsidR="006247DF" w:rsidRPr="00E7637B" w:rsidRDefault="006247DF" w:rsidP="006247DF">
            <w:pPr>
              <w:spacing w:before="0" w:line="120" w:lineRule="exact"/>
              <w:jc w:val="right"/>
              <w:rPr>
                <w:sz w:val="16"/>
                <w:szCs w:val="16"/>
              </w:rPr>
            </w:pPr>
          </w:p>
        </w:tc>
        <w:tc>
          <w:tcPr>
            <w:tcW w:w="811" w:type="dxa"/>
          </w:tcPr>
          <w:p w:rsidR="006247DF" w:rsidRPr="00E7637B" w:rsidRDefault="006247DF" w:rsidP="006247DF">
            <w:pPr>
              <w:spacing w:before="0" w:line="120" w:lineRule="exact"/>
              <w:jc w:val="right"/>
              <w:rPr>
                <w:sz w:val="16"/>
                <w:szCs w:val="16"/>
              </w:rPr>
            </w:pPr>
          </w:p>
        </w:tc>
      </w:tr>
      <w:tr w:rsidR="006247DF" w:rsidRPr="00E7637B" w:rsidTr="006247DF">
        <w:trPr>
          <w:trHeight w:val="228"/>
        </w:trPr>
        <w:tc>
          <w:tcPr>
            <w:tcW w:w="2092" w:type="dxa"/>
            <w:gridSpan w:val="4"/>
          </w:tcPr>
          <w:p w:rsidR="006247DF" w:rsidRPr="00E7637B" w:rsidRDefault="006247DF" w:rsidP="006247DF">
            <w:pPr>
              <w:spacing w:line="200" w:lineRule="exact"/>
              <w:jc w:val="left"/>
              <w:rPr>
                <w:sz w:val="16"/>
                <w:szCs w:val="16"/>
              </w:rPr>
            </w:pPr>
            <w:r w:rsidRPr="00E7637B">
              <w:rPr>
                <w:b/>
                <w:sz w:val="16"/>
                <w:szCs w:val="16"/>
              </w:rPr>
              <w:t>SUMMA TILLGÅNGAR</w:t>
            </w:r>
          </w:p>
        </w:tc>
        <w:tc>
          <w:tcPr>
            <w:tcW w:w="125" w:type="dxa"/>
          </w:tcPr>
          <w:p w:rsidR="006247DF" w:rsidRPr="00E7637B" w:rsidRDefault="006247DF" w:rsidP="006247DF">
            <w:pPr>
              <w:spacing w:line="200" w:lineRule="exact"/>
              <w:jc w:val="right"/>
              <w:rPr>
                <w:sz w:val="16"/>
                <w:szCs w:val="16"/>
              </w:rPr>
            </w:pPr>
          </w:p>
        </w:tc>
        <w:tc>
          <w:tcPr>
            <w:tcW w:w="812" w:type="dxa"/>
          </w:tcPr>
          <w:p w:rsidR="006247DF" w:rsidRPr="00E7637B" w:rsidRDefault="0058561E" w:rsidP="0058561E">
            <w:pPr>
              <w:spacing w:line="200" w:lineRule="exact"/>
              <w:jc w:val="right"/>
              <w:rPr>
                <w:b/>
                <w:sz w:val="16"/>
                <w:szCs w:val="16"/>
              </w:rPr>
            </w:pPr>
            <w:r>
              <w:rPr>
                <w:b/>
                <w:sz w:val="16"/>
                <w:szCs w:val="16"/>
              </w:rPr>
              <w:t>502</w:t>
            </w:r>
            <w:r w:rsidR="006247DF">
              <w:rPr>
                <w:b/>
                <w:sz w:val="16"/>
                <w:szCs w:val="16"/>
              </w:rPr>
              <w:t xml:space="preserve"> </w:t>
            </w:r>
            <w:r>
              <w:rPr>
                <w:b/>
                <w:sz w:val="16"/>
                <w:szCs w:val="16"/>
              </w:rPr>
              <w:t>401</w:t>
            </w:r>
          </w:p>
        </w:tc>
        <w:tc>
          <w:tcPr>
            <w:tcW w:w="810" w:type="dxa"/>
          </w:tcPr>
          <w:p w:rsidR="006247DF" w:rsidRPr="00E7637B" w:rsidRDefault="0058561E" w:rsidP="0058561E">
            <w:pPr>
              <w:spacing w:line="200" w:lineRule="exact"/>
              <w:jc w:val="right"/>
              <w:rPr>
                <w:b/>
                <w:sz w:val="16"/>
                <w:szCs w:val="16"/>
              </w:rPr>
            </w:pPr>
            <w:r>
              <w:rPr>
                <w:b/>
                <w:sz w:val="16"/>
                <w:szCs w:val="16"/>
              </w:rPr>
              <w:t>431 627</w:t>
            </w:r>
          </w:p>
        </w:tc>
        <w:tc>
          <w:tcPr>
            <w:tcW w:w="810" w:type="dxa"/>
          </w:tcPr>
          <w:p w:rsidR="006247DF" w:rsidRPr="00E7637B" w:rsidRDefault="006247DF" w:rsidP="0058561E">
            <w:pPr>
              <w:spacing w:line="200" w:lineRule="exact"/>
              <w:jc w:val="right"/>
              <w:rPr>
                <w:b/>
                <w:sz w:val="16"/>
                <w:szCs w:val="16"/>
              </w:rPr>
            </w:pPr>
            <w:r>
              <w:rPr>
                <w:b/>
                <w:sz w:val="16"/>
                <w:szCs w:val="16"/>
              </w:rPr>
              <w:t>34</w:t>
            </w:r>
            <w:r w:rsidR="0058561E">
              <w:rPr>
                <w:b/>
                <w:sz w:val="16"/>
                <w:szCs w:val="16"/>
              </w:rPr>
              <w:t>5</w:t>
            </w:r>
            <w:r>
              <w:rPr>
                <w:b/>
                <w:sz w:val="16"/>
                <w:szCs w:val="16"/>
              </w:rPr>
              <w:t xml:space="preserve"> </w:t>
            </w:r>
            <w:r w:rsidR="0058561E">
              <w:rPr>
                <w:b/>
                <w:sz w:val="16"/>
                <w:szCs w:val="16"/>
              </w:rPr>
              <w:t>739</w:t>
            </w:r>
          </w:p>
        </w:tc>
        <w:tc>
          <w:tcPr>
            <w:tcW w:w="810" w:type="dxa"/>
          </w:tcPr>
          <w:p w:rsidR="006247DF" w:rsidRPr="00E7637B" w:rsidRDefault="006247DF" w:rsidP="0058561E">
            <w:pPr>
              <w:spacing w:line="200" w:lineRule="exact"/>
              <w:jc w:val="right"/>
              <w:rPr>
                <w:b/>
                <w:sz w:val="16"/>
                <w:szCs w:val="16"/>
              </w:rPr>
            </w:pPr>
            <w:r>
              <w:rPr>
                <w:b/>
                <w:sz w:val="16"/>
                <w:szCs w:val="16"/>
              </w:rPr>
              <w:t>3</w:t>
            </w:r>
            <w:r w:rsidR="0058561E">
              <w:rPr>
                <w:b/>
                <w:sz w:val="16"/>
                <w:szCs w:val="16"/>
              </w:rPr>
              <w:t>47</w:t>
            </w:r>
            <w:r>
              <w:rPr>
                <w:b/>
                <w:sz w:val="16"/>
                <w:szCs w:val="16"/>
              </w:rPr>
              <w:t xml:space="preserve"> 9</w:t>
            </w:r>
            <w:r w:rsidR="0058561E">
              <w:rPr>
                <w:b/>
                <w:sz w:val="16"/>
                <w:szCs w:val="16"/>
              </w:rPr>
              <w:t>17</w:t>
            </w:r>
          </w:p>
        </w:tc>
        <w:tc>
          <w:tcPr>
            <w:tcW w:w="811" w:type="dxa"/>
          </w:tcPr>
          <w:p w:rsidR="006247DF" w:rsidRPr="00E7637B" w:rsidRDefault="00420734" w:rsidP="00420734">
            <w:pPr>
              <w:spacing w:line="200" w:lineRule="exact"/>
              <w:jc w:val="right"/>
              <w:rPr>
                <w:b/>
                <w:sz w:val="16"/>
                <w:szCs w:val="16"/>
              </w:rPr>
            </w:pPr>
            <w:r>
              <w:rPr>
                <w:b/>
                <w:sz w:val="16"/>
                <w:szCs w:val="16"/>
              </w:rPr>
              <w:t>326</w:t>
            </w:r>
            <w:r w:rsidR="006247DF" w:rsidRPr="00E7637B">
              <w:rPr>
                <w:b/>
                <w:sz w:val="16"/>
                <w:szCs w:val="16"/>
              </w:rPr>
              <w:t xml:space="preserve"> </w:t>
            </w:r>
            <w:r>
              <w:rPr>
                <w:b/>
                <w:sz w:val="16"/>
                <w:szCs w:val="16"/>
              </w:rPr>
              <w:t>926</w:t>
            </w:r>
          </w:p>
        </w:tc>
      </w:tr>
    </w:tbl>
    <w:p w:rsidR="006247DF" w:rsidRDefault="006247DF" w:rsidP="006247DF">
      <w:r>
        <w:br w:type="page"/>
      </w:r>
    </w:p>
    <w:tbl>
      <w:tblPr>
        <w:tblW w:w="6294" w:type="dxa"/>
        <w:tblLayout w:type="fixed"/>
        <w:tblCellMar>
          <w:left w:w="30" w:type="dxa"/>
          <w:right w:w="30" w:type="dxa"/>
        </w:tblCellMar>
        <w:tblLook w:val="0000" w:firstRow="0" w:lastRow="0" w:firstColumn="0" w:lastColumn="0" w:noHBand="0" w:noVBand="0"/>
      </w:tblPr>
      <w:tblGrid>
        <w:gridCol w:w="253"/>
        <w:gridCol w:w="25"/>
        <w:gridCol w:w="606"/>
        <w:gridCol w:w="24"/>
        <w:gridCol w:w="42"/>
        <w:gridCol w:w="126"/>
        <w:gridCol w:w="598"/>
        <w:gridCol w:w="25"/>
        <w:gridCol w:w="393"/>
        <w:gridCol w:w="28"/>
        <w:gridCol w:w="97"/>
        <w:gridCol w:w="26"/>
        <w:gridCol w:w="786"/>
        <w:gridCol w:w="24"/>
        <w:gridCol w:w="786"/>
        <w:gridCol w:w="24"/>
        <w:gridCol w:w="786"/>
        <w:gridCol w:w="24"/>
        <w:gridCol w:w="786"/>
        <w:gridCol w:w="24"/>
        <w:gridCol w:w="781"/>
        <w:gridCol w:w="6"/>
        <w:gridCol w:w="24"/>
      </w:tblGrid>
      <w:tr w:rsidR="006247DF" w:rsidRPr="00E7637B" w:rsidTr="006247DF">
        <w:trPr>
          <w:gridAfter w:val="1"/>
          <w:wAfter w:w="24" w:type="dxa"/>
        </w:trPr>
        <w:tc>
          <w:tcPr>
            <w:tcW w:w="253" w:type="dxa"/>
            <w:tcBorders>
              <w:bottom w:val="single" w:sz="4" w:space="0" w:color="auto"/>
            </w:tcBorders>
          </w:tcPr>
          <w:p w:rsidR="006247DF" w:rsidRPr="00E7637B" w:rsidRDefault="006247DF" w:rsidP="006247DF">
            <w:pPr>
              <w:spacing w:before="0" w:line="160" w:lineRule="exact"/>
              <w:rPr>
                <w:sz w:val="16"/>
                <w:szCs w:val="16"/>
              </w:rPr>
            </w:pPr>
          </w:p>
        </w:tc>
        <w:tc>
          <w:tcPr>
            <w:tcW w:w="631"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790" w:type="dxa"/>
            <w:gridSpan w:val="4"/>
            <w:tcBorders>
              <w:bottom w:val="single" w:sz="4" w:space="0" w:color="auto"/>
            </w:tcBorders>
          </w:tcPr>
          <w:p w:rsidR="006247DF" w:rsidRPr="00E7637B" w:rsidRDefault="006247DF" w:rsidP="006247DF">
            <w:pPr>
              <w:spacing w:before="0" w:line="160" w:lineRule="exact"/>
              <w:jc w:val="right"/>
              <w:rPr>
                <w:sz w:val="16"/>
                <w:szCs w:val="16"/>
              </w:rPr>
            </w:pPr>
          </w:p>
        </w:tc>
        <w:tc>
          <w:tcPr>
            <w:tcW w:w="418"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125"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812" w:type="dxa"/>
            <w:gridSpan w:val="2"/>
            <w:tcBorders>
              <w:bottom w:val="single" w:sz="4" w:space="0" w:color="auto"/>
            </w:tcBorders>
          </w:tcPr>
          <w:p w:rsidR="006247DF" w:rsidRPr="00E7637B" w:rsidRDefault="006247DF" w:rsidP="008333D0">
            <w:pPr>
              <w:spacing w:line="200" w:lineRule="exact"/>
              <w:rPr>
                <w:b/>
                <w:sz w:val="16"/>
                <w:szCs w:val="16"/>
              </w:rPr>
            </w:pPr>
            <w:r>
              <w:rPr>
                <w:b/>
                <w:sz w:val="16"/>
                <w:szCs w:val="16"/>
              </w:rPr>
              <w:t>201</w:t>
            </w:r>
            <w:r w:rsidR="008333D0">
              <w:rPr>
                <w:b/>
                <w:sz w:val="16"/>
                <w:szCs w:val="16"/>
              </w:rPr>
              <w:t>4</w:t>
            </w:r>
            <w:r>
              <w:rPr>
                <w:b/>
                <w:sz w:val="16"/>
                <w:szCs w:val="16"/>
              </w:rPr>
              <w:t>-12-31</w:t>
            </w:r>
          </w:p>
        </w:tc>
        <w:tc>
          <w:tcPr>
            <w:tcW w:w="810" w:type="dxa"/>
            <w:gridSpan w:val="2"/>
            <w:tcBorders>
              <w:bottom w:val="single" w:sz="4" w:space="0" w:color="auto"/>
            </w:tcBorders>
          </w:tcPr>
          <w:p w:rsidR="006247DF" w:rsidRPr="00E7637B" w:rsidRDefault="006247DF" w:rsidP="008333D0">
            <w:pPr>
              <w:spacing w:line="200" w:lineRule="exact"/>
              <w:rPr>
                <w:b/>
                <w:sz w:val="16"/>
                <w:szCs w:val="16"/>
              </w:rPr>
            </w:pPr>
            <w:r w:rsidRPr="00E7637B">
              <w:rPr>
                <w:b/>
                <w:sz w:val="16"/>
                <w:szCs w:val="16"/>
              </w:rPr>
              <w:t>201</w:t>
            </w:r>
            <w:r w:rsidR="008333D0">
              <w:rPr>
                <w:b/>
                <w:sz w:val="16"/>
                <w:szCs w:val="16"/>
              </w:rPr>
              <w:t>3</w:t>
            </w:r>
            <w:r w:rsidRPr="00E7637B">
              <w:rPr>
                <w:b/>
                <w:sz w:val="16"/>
                <w:szCs w:val="16"/>
              </w:rPr>
              <w:t>-12-31</w:t>
            </w:r>
          </w:p>
        </w:tc>
        <w:tc>
          <w:tcPr>
            <w:tcW w:w="810" w:type="dxa"/>
            <w:gridSpan w:val="2"/>
            <w:tcBorders>
              <w:bottom w:val="single" w:sz="4" w:space="0" w:color="auto"/>
            </w:tcBorders>
          </w:tcPr>
          <w:p w:rsidR="006247DF" w:rsidRPr="00E7637B" w:rsidRDefault="006247DF" w:rsidP="00F00FBA">
            <w:pPr>
              <w:spacing w:line="200" w:lineRule="exact"/>
              <w:rPr>
                <w:b/>
                <w:sz w:val="16"/>
                <w:szCs w:val="16"/>
              </w:rPr>
            </w:pPr>
            <w:r w:rsidRPr="00E7637B">
              <w:rPr>
                <w:b/>
                <w:sz w:val="16"/>
                <w:szCs w:val="16"/>
              </w:rPr>
              <w:t>20</w:t>
            </w:r>
            <w:r>
              <w:rPr>
                <w:b/>
                <w:sz w:val="16"/>
                <w:szCs w:val="16"/>
              </w:rPr>
              <w:t>1</w:t>
            </w:r>
            <w:r w:rsidR="00F00FBA">
              <w:rPr>
                <w:b/>
                <w:sz w:val="16"/>
                <w:szCs w:val="16"/>
              </w:rPr>
              <w:t>2</w:t>
            </w:r>
            <w:r w:rsidRPr="00E7637B">
              <w:rPr>
                <w:b/>
                <w:sz w:val="16"/>
                <w:szCs w:val="16"/>
              </w:rPr>
              <w:t>-12-31</w:t>
            </w:r>
          </w:p>
        </w:tc>
        <w:tc>
          <w:tcPr>
            <w:tcW w:w="810" w:type="dxa"/>
            <w:gridSpan w:val="2"/>
            <w:tcBorders>
              <w:bottom w:val="single" w:sz="4" w:space="0" w:color="auto"/>
            </w:tcBorders>
          </w:tcPr>
          <w:p w:rsidR="006247DF" w:rsidRPr="00E7637B" w:rsidRDefault="006247DF" w:rsidP="00F00FBA">
            <w:pPr>
              <w:spacing w:line="200" w:lineRule="exact"/>
              <w:rPr>
                <w:b/>
                <w:sz w:val="16"/>
                <w:szCs w:val="16"/>
              </w:rPr>
            </w:pPr>
            <w:r w:rsidRPr="00E7637B">
              <w:rPr>
                <w:b/>
                <w:sz w:val="16"/>
                <w:szCs w:val="16"/>
              </w:rPr>
              <w:t>20</w:t>
            </w:r>
            <w:r>
              <w:rPr>
                <w:b/>
                <w:sz w:val="16"/>
                <w:szCs w:val="16"/>
              </w:rPr>
              <w:t>1</w:t>
            </w:r>
            <w:r w:rsidR="00F00FBA">
              <w:rPr>
                <w:b/>
                <w:sz w:val="16"/>
                <w:szCs w:val="16"/>
              </w:rPr>
              <w:t>1</w:t>
            </w:r>
            <w:r w:rsidRPr="00E7637B">
              <w:rPr>
                <w:b/>
                <w:sz w:val="16"/>
                <w:szCs w:val="16"/>
              </w:rPr>
              <w:t>-12-31</w:t>
            </w:r>
          </w:p>
        </w:tc>
        <w:tc>
          <w:tcPr>
            <w:tcW w:w="811" w:type="dxa"/>
            <w:gridSpan w:val="3"/>
            <w:tcBorders>
              <w:bottom w:val="single" w:sz="4" w:space="0" w:color="auto"/>
            </w:tcBorders>
          </w:tcPr>
          <w:p w:rsidR="006247DF" w:rsidRPr="00E7637B" w:rsidRDefault="006247DF" w:rsidP="00F00FBA">
            <w:pPr>
              <w:spacing w:line="200" w:lineRule="exact"/>
              <w:rPr>
                <w:b/>
                <w:sz w:val="16"/>
                <w:szCs w:val="16"/>
              </w:rPr>
            </w:pPr>
            <w:r w:rsidRPr="00E7637B">
              <w:rPr>
                <w:b/>
                <w:sz w:val="16"/>
                <w:szCs w:val="16"/>
              </w:rPr>
              <w:t>20</w:t>
            </w:r>
            <w:r w:rsidR="00F00FBA">
              <w:rPr>
                <w:b/>
                <w:sz w:val="16"/>
                <w:szCs w:val="16"/>
              </w:rPr>
              <w:t>1</w:t>
            </w:r>
            <w:r w:rsidRPr="00E7637B">
              <w:rPr>
                <w:b/>
                <w:sz w:val="16"/>
                <w:szCs w:val="16"/>
              </w:rPr>
              <w:t>0-12-31</w:t>
            </w:r>
          </w:p>
        </w:tc>
      </w:tr>
      <w:tr w:rsidR="006247DF" w:rsidRPr="00E7637B" w:rsidTr="006247DF">
        <w:trPr>
          <w:gridAfter w:val="1"/>
          <w:wAfter w:w="24" w:type="dxa"/>
          <w:trHeight w:val="216"/>
        </w:trPr>
        <w:tc>
          <w:tcPr>
            <w:tcW w:w="2092" w:type="dxa"/>
            <w:gridSpan w:val="9"/>
            <w:tcBorders>
              <w:top w:val="single" w:sz="4" w:space="0" w:color="auto"/>
            </w:tcBorders>
          </w:tcPr>
          <w:p w:rsidR="006247DF" w:rsidRPr="00E7637B" w:rsidRDefault="006247DF" w:rsidP="006247DF">
            <w:pPr>
              <w:spacing w:line="200" w:lineRule="exact"/>
              <w:jc w:val="left"/>
              <w:rPr>
                <w:b/>
                <w:sz w:val="16"/>
                <w:szCs w:val="16"/>
              </w:rPr>
            </w:pPr>
            <w:r w:rsidRPr="00E7637B">
              <w:rPr>
                <w:b/>
                <w:sz w:val="16"/>
                <w:szCs w:val="16"/>
              </w:rPr>
              <w:t>SKULDER OCH EGET KAPITAL</w:t>
            </w:r>
          </w:p>
        </w:tc>
        <w:tc>
          <w:tcPr>
            <w:tcW w:w="125"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2"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1" w:type="dxa"/>
            <w:gridSpan w:val="3"/>
            <w:tcBorders>
              <w:top w:val="single" w:sz="4" w:space="0" w:color="auto"/>
            </w:tcBorders>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253" w:type="dxa"/>
          </w:tcPr>
          <w:p w:rsidR="006247DF" w:rsidRPr="00E7637B" w:rsidRDefault="006247DF" w:rsidP="006247DF">
            <w:pPr>
              <w:spacing w:before="0" w:line="200" w:lineRule="exact"/>
              <w:jc w:val="right"/>
              <w:rPr>
                <w:sz w:val="16"/>
                <w:szCs w:val="16"/>
              </w:rPr>
            </w:pPr>
          </w:p>
        </w:tc>
        <w:tc>
          <w:tcPr>
            <w:tcW w:w="631" w:type="dxa"/>
            <w:gridSpan w:val="2"/>
          </w:tcPr>
          <w:p w:rsidR="006247DF" w:rsidRPr="00E7637B" w:rsidRDefault="006247DF" w:rsidP="006247DF">
            <w:pPr>
              <w:spacing w:before="0" w:line="200" w:lineRule="exact"/>
              <w:jc w:val="right"/>
              <w:rPr>
                <w:sz w:val="16"/>
                <w:szCs w:val="16"/>
              </w:rPr>
            </w:pPr>
          </w:p>
        </w:tc>
        <w:tc>
          <w:tcPr>
            <w:tcW w:w="790" w:type="dxa"/>
            <w:gridSpan w:val="4"/>
          </w:tcPr>
          <w:p w:rsidR="006247DF" w:rsidRPr="00E7637B" w:rsidRDefault="006247DF" w:rsidP="006247DF">
            <w:pPr>
              <w:spacing w:before="0" w:line="200" w:lineRule="exact"/>
              <w:jc w:val="right"/>
              <w:rPr>
                <w:sz w:val="16"/>
                <w:szCs w:val="16"/>
              </w:rPr>
            </w:pPr>
          </w:p>
        </w:tc>
        <w:tc>
          <w:tcPr>
            <w:tcW w:w="418" w:type="dxa"/>
            <w:gridSpan w:val="2"/>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tcPr>
          <w:p w:rsidR="006247DF" w:rsidRPr="00E7637B" w:rsidRDefault="006247DF" w:rsidP="006247DF">
            <w:pPr>
              <w:spacing w:line="200" w:lineRule="exact"/>
              <w:rPr>
                <w:b/>
                <w:sz w:val="16"/>
                <w:szCs w:val="16"/>
              </w:rPr>
            </w:pPr>
            <w:r w:rsidRPr="00E7637B">
              <w:rPr>
                <w:b/>
                <w:sz w:val="16"/>
                <w:szCs w:val="16"/>
              </w:rPr>
              <w:t>Utelöpande sedlar och mynt</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1" w:type="dxa"/>
            <w:gridSpan w:val="3"/>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884" w:type="dxa"/>
            <w:gridSpan w:val="3"/>
          </w:tcPr>
          <w:p w:rsidR="006247DF" w:rsidRPr="00E7637B" w:rsidRDefault="006247DF" w:rsidP="006247DF">
            <w:pPr>
              <w:spacing w:line="200" w:lineRule="exact"/>
              <w:rPr>
                <w:sz w:val="16"/>
                <w:szCs w:val="16"/>
              </w:rPr>
            </w:pPr>
            <w:r w:rsidRPr="00E7637B">
              <w:rPr>
                <w:sz w:val="16"/>
                <w:szCs w:val="16"/>
              </w:rPr>
              <w:t>Sedlar</w:t>
            </w:r>
          </w:p>
        </w:tc>
        <w:tc>
          <w:tcPr>
            <w:tcW w:w="790" w:type="dxa"/>
            <w:gridSpan w:val="4"/>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77</w:t>
            </w:r>
            <w:r w:rsidR="006247DF">
              <w:rPr>
                <w:sz w:val="16"/>
                <w:szCs w:val="16"/>
              </w:rPr>
              <w:t xml:space="preserve"> </w:t>
            </w:r>
            <w:r>
              <w:rPr>
                <w:sz w:val="16"/>
                <w:szCs w:val="16"/>
              </w:rPr>
              <w:t>887</w:t>
            </w:r>
          </w:p>
        </w:tc>
        <w:tc>
          <w:tcPr>
            <w:tcW w:w="810" w:type="dxa"/>
            <w:gridSpan w:val="2"/>
          </w:tcPr>
          <w:p w:rsidR="006247DF" w:rsidRPr="00E7637B" w:rsidRDefault="008333D0" w:rsidP="008333D0">
            <w:pPr>
              <w:spacing w:line="200" w:lineRule="exact"/>
              <w:jc w:val="right"/>
              <w:rPr>
                <w:sz w:val="16"/>
                <w:szCs w:val="16"/>
              </w:rPr>
            </w:pPr>
            <w:r>
              <w:rPr>
                <w:sz w:val="16"/>
                <w:szCs w:val="16"/>
              </w:rPr>
              <w:t>80</w:t>
            </w:r>
            <w:r w:rsidR="006247DF">
              <w:rPr>
                <w:sz w:val="16"/>
                <w:szCs w:val="16"/>
              </w:rPr>
              <w:t xml:space="preserve"> </w:t>
            </w:r>
            <w:r>
              <w:rPr>
                <w:sz w:val="16"/>
                <w:szCs w:val="16"/>
              </w:rPr>
              <w:t>294</w:t>
            </w:r>
          </w:p>
        </w:tc>
        <w:tc>
          <w:tcPr>
            <w:tcW w:w="810" w:type="dxa"/>
            <w:gridSpan w:val="2"/>
          </w:tcPr>
          <w:p w:rsidR="006247DF" w:rsidRPr="00E7637B" w:rsidRDefault="006247DF" w:rsidP="00F00FBA">
            <w:pPr>
              <w:spacing w:line="200" w:lineRule="exact"/>
              <w:jc w:val="right"/>
              <w:rPr>
                <w:sz w:val="16"/>
                <w:szCs w:val="16"/>
              </w:rPr>
            </w:pPr>
            <w:r>
              <w:rPr>
                <w:sz w:val="16"/>
                <w:szCs w:val="16"/>
              </w:rPr>
              <w:t>9</w:t>
            </w:r>
            <w:r w:rsidR="00F00FBA">
              <w:rPr>
                <w:sz w:val="16"/>
                <w:szCs w:val="16"/>
              </w:rPr>
              <w:t>1</w:t>
            </w:r>
            <w:r>
              <w:rPr>
                <w:sz w:val="16"/>
                <w:szCs w:val="16"/>
              </w:rPr>
              <w:t xml:space="preserve"> </w:t>
            </w:r>
            <w:r w:rsidR="00F00FBA">
              <w:rPr>
                <w:sz w:val="16"/>
                <w:szCs w:val="16"/>
              </w:rPr>
              <w:t>056</w:t>
            </w:r>
          </w:p>
        </w:tc>
        <w:tc>
          <w:tcPr>
            <w:tcW w:w="810" w:type="dxa"/>
            <w:gridSpan w:val="2"/>
          </w:tcPr>
          <w:p w:rsidR="006247DF" w:rsidRPr="00E7637B" w:rsidRDefault="006247DF" w:rsidP="00F00FBA">
            <w:pPr>
              <w:spacing w:line="200" w:lineRule="exact"/>
              <w:jc w:val="right"/>
              <w:rPr>
                <w:sz w:val="16"/>
                <w:szCs w:val="16"/>
              </w:rPr>
            </w:pPr>
            <w:r w:rsidRPr="00E7637B">
              <w:rPr>
                <w:sz w:val="16"/>
                <w:szCs w:val="16"/>
              </w:rPr>
              <w:t>9</w:t>
            </w:r>
            <w:r w:rsidR="00F00FBA">
              <w:rPr>
                <w:sz w:val="16"/>
                <w:szCs w:val="16"/>
              </w:rPr>
              <w:t>4</w:t>
            </w:r>
            <w:r w:rsidRPr="00E7637B">
              <w:rPr>
                <w:sz w:val="16"/>
                <w:szCs w:val="16"/>
              </w:rPr>
              <w:t xml:space="preserve"> </w:t>
            </w:r>
            <w:r w:rsidR="00F00FBA">
              <w:rPr>
                <w:sz w:val="16"/>
                <w:szCs w:val="16"/>
              </w:rPr>
              <w:t>771</w:t>
            </w:r>
          </w:p>
        </w:tc>
        <w:tc>
          <w:tcPr>
            <w:tcW w:w="811" w:type="dxa"/>
            <w:gridSpan w:val="3"/>
          </w:tcPr>
          <w:p w:rsidR="006247DF" w:rsidRPr="00E7637B" w:rsidRDefault="00F00FBA" w:rsidP="00F00FBA">
            <w:pPr>
              <w:spacing w:line="200" w:lineRule="exact"/>
              <w:jc w:val="right"/>
              <w:rPr>
                <w:sz w:val="16"/>
                <w:szCs w:val="16"/>
              </w:rPr>
            </w:pPr>
            <w:r>
              <w:rPr>
                <w:sz w:val="16"/>
                <w:szCs w:val="16"/>
              </w:rPr>
              <w:t>99</w:t>
            </w:r>
            <w:r w:rsidR="006247DF" w:rsidRPr="00E7637B">
              <w:rPr>
                <w:sz w:val="16"/>
                <w:szCs w:val="16"/>
              </w:rPr>
              <w:t xml:space="preserve"> </w:t>
            </w:r>
            <w:r>
              <w:rPr>
                <w:sz w:val="16"/>
                <w:szCs w:val="16"/>
              </w:rPr>
              <w:t>902</w:t>
            </w:r>
          </w:p>
        </w:tc>
      </w:tr>
      <w:tr w:rsidR="006247DF" w:rsidRPr="00E7637B" w:rsidTr="006247DF">
        <w:trPr>
          <w:gridAfter w:val="1"/>
          <w:wAfter w:w="24" w:type="dxa"/>
          <w:trHeight w:val="216"/>
        </w:trPr>
        <w:tc>
          <w:tcPr>
            <w:tcW w:w="884" w:type="dxa"/>
            <w:gridSpan w:val="3"/>
          </w:tcPr>
          <w:p w:rsidR="006247DF" w:rsidRPr="00E7637B" w:rsidRDefault="006247DF" w:rsidP="006247DF">
            <w:pPr>
              <w:spacing w:line="200" w:lineRule="exact"/>
              <w:rPr>
                <w:sz w:val="16"/>
                <w:szCs w:val="16"/>
              </w:rPr>
            </w:pPr>
            <w:r w:rsidRPr="00E7637B">
              <w:rPr>
                <w:sz w:val="16"/>
                <w:szCs w:val="16"/>
              </w:rPr>
              <w:t>Mynt</w:t>
            </w:r>
          </w:p>
        </w:tc>
        <w:tc>
          <w:tcPr>
            <w:tcW w:w="790" w:type="dxa"/>
            <w:gridSpan w:val="4"/>
          </w:tcPr>
          <w:p w:rsidR="006247DF" w:rsidRPr="00E7637B" w:rsidRDefault="006247DF" w:rsidP="006247DF">
            <w:pPr>
              <w:spacing w:line="200" w:lineRule="exac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Borders>
              <w:bottom w:val="single" w:sz="6" w:space="0" w:color="auto"/>
            </w:tcBorders>
          </w:tcPr>
          <w:p w:rsidR="006247DF" w:rsidRPr="00E7637B" w:rsidRDefault="006247DF" w:rsidP="00276CE0">
            <w:pPr>
              <w:spacing w:line="200" w:lineRule="exact"/>
              <w:jc w:val="right"/>
              <w:rPr>
                <w:sz w:val="16"/>
                <w:szCs w:val="16"/>
              </w:rPr>
            </w:pPr>
            <w:r>
              <w:rPr>
                <w:sz w:val="16"/>
                <w:szCs w:val="16"/>
              </w:rPr>
              <w:t xml:space="preserve">5 </w:t>
            </w:r>
            <w:r w:rsidR="00276CE0">
              <w:rPr>
                <w:sz w:val="16"/>
                <w:szCs w:val="16"/>
              </w:rPr>
              <w:t>337</w:t>
            </w:r>
          </w:p>
        </w:tc>
        <w:tc>
          <w:tcPr>
            <w:tcW w:w="810" w:type="dxa"/>
            <w:gridSpan w:val="2"/>
            <w:tcBorders>
              <w:bottom w:val="single" w:sz="6" w:space="0" w:color="auto"/>
            </w:tcBorders>
          </w:tcPr>
          <w:p w:rsidR="006247DF" w:rsidRPr="00E7637B" w:rsidRDefault="006247DF" w:rsidP="008333D0">
            <w:pPr>
              <w:spacing w:line="200" w:lineRule="exact"/>
              <w:jc w:val="right"/>
              <w:rPr>
                <w:sz w:val="16"/>
                <w:szCs w:val="16"/>
              </w:rPr>
            </w:pPr>
            <w:r>
              <w:rPr>
                <w:sz w:val="16"/>
                <w:szCs w:val="16"/>
              </w:rPr>
              <w:t xml:space="preserve">5 </w:t>
            </w:r>
            <w:r w:rsidR="008333D0">
              <w:rPr>
                <w:sz w:val="16"/>
                <w:szCs w:val="16"/>
              </w:rPr>
              <w:t>406</w:t>
            </w:r>
          </w:p>
        </w:tc>
        <w:tc>
          <w:tcPr>
            <w:tcW w:w="810" w:type="dxa"/>
            <w:gridSpan w:val="2"/>
            <w:tcBorders>
              <w:bottom w:val="single" w:sz="6" w:space="0" w:color="auto"/>
            </w:tcBorders>
          </w:tcPr>
          <w:p w:rsidR="006247DF" w:rsidRPr="00E7637B" w:rsidRDefault="006247DF" w:rsidP="00F00FBA">
            <w:pPr>
              <w:spacing w:line="200" w:lineRule="exact"/>
              <w:jc w:val="right"/>
              <w:rPr>
                <w:sz w:val="16"/>
                <w:szCs w:val="16"/>
              </w:rPr>
            </w:pPr>
            <w:r>
              <w:rPr>
                <w:sz w:val="16"/>
                <w:szCs w:val="16"/>
              </w:rPr>
              <w:t>5 3</w:t>
            </w:r>
            <w:r w:rsidR="00F00FBA">
              <w:rPr>
                <w:sz w:val="16"/>
                <w:szCs w:val="16"/>
              </w:rPr>
              <w:t>8</w:t>
            </w:r>
            <w:r>
              <w:rPr>
                <w:sz w:val="16"/>
                <w:szCs w:val="16"/>
              </w:rPr>
              <w:t>5</w:t>
            </w:r>
          </w:p>
        </w:tc>
        <w:tc>
          <w:tcPr>
            <w:tcW w:w="810" w:type="dxa"/>
            <w:gridSpan w:val="2"/>
            <w:tcBorders>
              <w:bottom w:val="single" w:sz="6" w:space="0" w:color="auto"/>
            </w:tcBorders>
          </w:tcPr>
          <w:p w:rsidR="006247DF" w:rsidRPr="00E7637B" w:rsidRDefault="006247DF" w:rsidP="00F00FBA">
            <w:pPr>
              <w:spacing w:line="200" w:lineRule="exact"/>
              <w:jc w:val="right"/>
              <w:rPr>
                <w:sz w:val="16"/>
                <w:szCs w:val="16"/>
              </w:rPr>
            </w:pPr>
            <w:r w:rsidRPr="00E7637B">
              <w:rPr>
                <w:sz w:val="16"/>
                <w:szCs w:val="16"/>
              </w:rPr>
              <w:t xml:space="preserve">5 </w:t>
            </w:r>
            <w:r w:rsidR="00F00FBA">
              <w:rPr>
                <w:sz w:val="16"/>
                <w:szCs w:val="16"/>
              </w:rPr>
              <w:t>365</w:t>
            </w:r>
          </w:p>
        </w:tc>
        <w:tc>
          <w:tcPr>
            <w:tcW w:w="811" w:type="dxa"/>
            <w:gridSpan w:val="3"/>
            <w:tcBorders>
              <w:bottom w:val="single" w:sz="6" w:space="0" w:color="auto"/>
            </w:tcBorders>
          </w:tcPr>
          <w:p w:rsidR="006247DF" w:rsidRPr="00E7637B" w:rsidRDefault="00F00FBA" w:rsidP="00F00FBA">
            <w:pPr>
              <w:spacing w:line="200" w:lineRule="exact"/>
              <w:jc w:val="right"/>
              <w:rPr>
                <w:sz w:val="16"/>
                <w:szCs w:val="16"/>
              </w:rPr>
            </w:pPr>
            <w:r>
              <w:rPr>
                <w:sz w:val="16"/>
                <w:szCs w:val="16"/>
              </w:rPr>
              <w:t>5</w:t>
            </w:r>
            <w:r w:rsidR="006247DF" w:rsidRPr="00E7637B">
              <w:rPr>
                <w:sz w:val="16"/>
                <w:szCs w:val="16"/>
              </w:rPr>
              <w:t xml:space="preserve"> </w:t>
            </w:r>
            <w:r>
              <w:rPr>
                <w:sz w:val="16"/>
                <w:szCs w:val="16"/>
              </w:rPr>
              <w:t>499</w:t>
            </w:r>
          </w:p>
        </w:tc>
      </w:tr>
      <w:tr w:rsidR="006247DF" w:rsidRPr="00E7637B" w:rsidTr="006247DF">
        <w:trPr>
          <w:gridAfter w:val="1"/>
          <w:wAfter w:w="24" w:type="dxa"/>
          <w:trHeight w:val="216"/>
        </w:trPr>
        <w:tc>
          <w:tcPr>
            <w:tcW w:w="253" w:type="dxa"/>
          </w:tcPr>
          <w:p w:rsidR="006247DF" w:rsidRPr="00E7637B" w:rsidRDefault="006247DF" w:rsidP="006247DF">
            <w:pPr>
              <w:spacing w:line="200" w:lineRule="exact"/>
              <w:jc w:val="right"/>
              <w:rPr>
                <w:sz w:val="16"/>
                <w:szCs w:val="16"/>
              </w:rPr>
            </w:pPr>
          </w:p>
        </w:tc>
        <w:tc>
          <w:tcPr>
            <w:tcW w:w="631" w:type="dxa"/>
            <w:gridSpan w:val="2"/>
          </w:tcPr>
          <w:p w:rsidR="006247DF" w:rsidRPr="00E7637B" w:rsidRDefault="006247DF" w:rsidP="006247DF">
            <w:pPr>
              <w:spacing w:line="200" w:lineRule="exact"/>
              <w:jc w:val="right"/>
              <w:rPr>
                <w:sz w:val="16"/>
                <w:szCs w:val="16"/>
              </w:rPr>
            </w:pPr>
          </w:p>
        </w:tc>
        <w:tc>
          <w:tcPr>
            <w:tcW w:w="790" w:type="dxa"/>
            <w:gridSpan w:val="4"/>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276CE0">
            <w:pPr>
              <w:spacing w:line="200" w:lineRule="exact"/>
              <w:jc w:val="right"/>
              <w:rPr>
                <w:sz w:val="16"/>
                <w:szCs w:val="16"/>
              </w:rPr>
            </w:pPr>
            <w:r>
              <w:rPr>
                <w:sz w:val="16"/>
                <w:szCs w:val="16"/>
              </w:rPr>
              <w:t>8</w:t>
            </w:r>
            <w:r w:rsidR="00276CE0">
              <w:rPr>
                <w:sz w:val="16"/>
                <w:szCs w:val="16"/>
              </w:rPr>
              <w:t>3</w:t>
            </w:r>
            <w:r>
              <w:rPr>
                <w:sz w:val="16"/>
                <w:szCs w:val="16"/>
              </w:rPr>
              <w:t xml:space="preserve"> </w:t>
            </w:r>
            <w:r w:rsidR="00276CE0">
              <w:rPr>
                <w:sz w:val="16"/>
                <w:szCs w:val="16"/>
              </w:rPr>
              <w:t>224</w:t>
            </w:r>
          </w:p>
        </w:tc>
        <w:tc>
          <w:tcPr>
            <w:tcW w:w="810" w:type="dxa"/>
            <w:gridSpan w:val="2"/>
          </w:tcPr>
          <w:p w:rsidR="006247DF" w:rsidRPr="00E7637B" w:rsidRDefault="008333D0" w:rsidP="008333D0">
            <w:pPr>
              <w:spacing w:line="200" w:lineRule="exact"/>
              <w:jc w:val="right"/>
              <w:rPr>
                <w:sz w:val="16"/>
                <w:szCs w:val="16"/>
              </w:rPr>
            </w:pPr>
            <w:r>
              <w:rPr>
                <w:sz w:val="16"/>
                <w:szCs w:val="16"/>
              </w:rPr>
              <w:t>85</w:t>
            </w:r>
            <w:r w:rsidR="006247DF">
              <w:rPr>
                <w:sz w:val="16"/>
                <w:szCs w:val="16"/>
              </w:rPr>
              <w:t xml:space="preserve"> </w:t>
            </w:r>
            <w:r>
              <w:rPr>
                <w:sz w:val="16"/>
                <w:szCs w:val="16"/>
              </w:rPr>
              <w:t>700</w:t>
            </w:r>
          </w:p>
        </w:tc>
        <w:tc>
          <w:tcPr>
            <w:tcW w:w="810" w:type="dxa"/>
            <w:gridSpan w:val="2"/>
          </w:tcPr>
          <w:p w:rsidR="006247DF" w:rsidRPr="00E7637B" w:rsidRDefault="00F00FBA" w:rsidP="00F00FBA">
            <w:pPr>
              <w:spacing w:line="200" w:lineRule="exact"/>
              <w:jc w:val="right"/>
              <w:rPr>
                <w:sz w:val="16"/>
                <w:szCs w:val="16"/>
              </w:rPr>
            </w:pPr>
            <w:r>
              <w:rPr>
                <w:sz w:val="16"/>
                <w:szCs w:val="16"/>
              </w:rPr>
              <w:t>96</w:t>
            </w:r>
            <w:r w:rsidR="006247DF">
              <w:rPr>
                <w:sz w:val="16"/>
                <w:szCs w:val="16"/>
              </w:rPr>
              <w:t xml:space="preserve"> </w:t>
            </w:r>
            <w:r>
              <w:rPr>
                <w:sz w:val="16"/>
                <w:szCs w:val="16"/>
              </w:rPr>
              <w:t>441</w:t>
            </w:r>
          </w:p>
        </w:tc>
        <w:tc>
          <w:tcPr>
            <w:tcW w:w="810" w:type="dxa"/>
            <w:gridSpan w:val="2"/>
          </w:tcPr>
          <w:p w:rsidR="006247DF" w:rsidRPr="00E7637B" w:rsidRDefault="006247DF" w:rsidP="00F00FBA">
            <w:pPr>
              <w:spacing w:line="200" w:lineRule="exact"/>
              <w:jc w:val="right"/>
              <w:rPr>
                <w:sz w:val="16"/>
                <w:szCs w:val="16"/>
              </w:rPr>
            </w:pPr>
            <w:r w:rsidRPr="00E7637B">
              <w:rPr>
                <w:sz w:val="16"/>
                <w:szCs w:val="16"/>
              </w:rPr>
              <w:t>10</w:t>
            </w:r>
            <w:r w:rsidR="00F00FBA">
              <w:rPr>
                <w:sz w:val="16"/>
                <w:szCs w:val="16"/>
              </w:rPr>
              <w:t>0</w:t>
            </w:r>
            <w:r w:rsidRPr="00E7637B">
              <w:rPr>
                <w:sz w:val="16"/>
                <w:szCs w:val="16"/>
              </w:rPr>
              <w:t xml:space="preserve"> </w:t>
            </w:r>
            <w:r w:rsidR="00F00FBA">
              <w:rPr>
                <w:sz w:val="16"/>
                <w:szCs w:val="16"/>
              </w:rPr>
              <w:t>136</w:t>
            </w:r>
          </w:p>
        </w:tc>
        <w:tc>
          <w:tcPr>
            <w:tcW w:w="811" w:type="dxa"/>
            <w:gridSpan w:val="3"/>
          </w:tcPr>
          <w:p w:rsidR="006247DF" w:rsidRPr="00E7637B" w:rsidRDefault="006247DF" w:rsidP="00F00FBA">
            <w:pPr>
              <w:spacing w:line="200" w:lineRule="exact"/>
              <w:jc w:val="right"/>
              <w:rPr>
                <w:sz w:val="16"/>
                <w:szCs w:val="16"/>
              </w:rPr>
            </w:pPr>
            <w:r w:rsidRPr="00E7637B">
              <w:rPr>
                <w:sz w:val="16"/>
                <w:szCs w:val="16"/>
              </w:rPr>
              <w:t>1</w:t>
            </w:r>
            <w:r w:rsidR="00F00FBA">
              <w:rPr>
                <w:sz w:val="16"/>
                <w:szCs w:val="16"/>
              </w:rPr>
              <w:t>05</w:t>
            </w:r>
            <w:r w:rsidRPr="00E7637B">
              <w:rPr>
                <w:sz w:val="16"/>
                <w:szCs w:val="16"/>
              </w:rPr>
              <w:t xml:space="preserve"> </w:t>
            </w:r>
            <w:r w:rsidR="00F00FBA">
              <w:rPr>
                <w:sz w:val="16"/>
                <w:szCs w:val="16"/>
              </w:rPr>
              <w:t>401</w:t>
            </w:r>
          </w:p>
        </w:tc>
      </w:tr>
      <w:tr w:rsidR="006247DF" w:rsidRPr="00E7637B" w:rsidTr="006247DF">
        <w:trPr>
          <w:gridAfter w:val="1"/>
          <w:wAfter w:w="24" w:type="dxa"/>
          <w:trHeight w:val="216"/>
        </w:trPr>
        <w:tc>
          <w:tcPr>
            <w:tcW w:w="2092" w:type="dxa"/>
            <w:gridSpan w:val="9"/>
          </w:tcPr>
          <w:p w:rsidR="006247DF" w:rsidRPr="00E7637B" w:rsidRDefault="006247DF" w:rsidP="006247DF">
            <w:pPr>
              <w:spacing w:before="0" w:line="200" w:lineRule="exact"/>
              <w:jc w:val="right"/>
              <w:rPr>
                <w:b/>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tcPr>
          <w:p w:rsidR="006247DF" w:rsidRPr="00E7637B" w:rsidRDefault="006247DF" w:rsidP="006247DF">
            <w:pPr>
              <w:spacing w:line="200" w:lineRule="exact"/>
              <w:jc w:val="left"/>
              <w:rPr>
                <w:b/>
                <w:sz w:val="16"/>
                <w:szCs w:val="16"/>
              </w:rPr>
            </w:pPr>
            <w:r w:rsidRPr="00E7637B">
              <w:rPr>
                <w:b/>
                <w:sz w:val="16"/>
                <w:szCs w:val="16"/>
              </w:rPr>
              <w:t xml:space="preserve">Skulder i svenska kronor </w:t>
            </w:r>
            <w:r>
              <w:rPr>
                <w:b/>
                <w:sz w:val="16"/>
                <w:szCs w:val="16"/>
              </w:rPr>
              <w:br/>
            </w:r>
            <w:r w:rsidRPr="00E7637B">
              <w:rPr>
                <w:b/>
                <w:sz w:val="16"/>
                <w:szCs w:val="16"/>
              </w:rPr>
              <w:t>till kreditinstitut i Sverige relaterade till penningpoliti</w:t>
            </w:r>
            <w:r w:rsidRPr="00E7637B">
              <w:rPr>
                <w:b/>
                <w:sz w:val="16"/>
                <w:szCs w:val="16"/>
              </w:rPr>
              <w:t>s</w:t>
            </w:r>
            <w:r w:rsidRPr="00E7637B">
              <w:rPr>
                <w:b/>
                <w:sz w:val="16"/>
                <w:szCs w:val="16"/>
              </w:rPr>
              <w:t>ka transaktioner</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1" w:type="dxa"/>
            <w:gridSpan w:val="3"/>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1674" w:type="dxa"/>
            <w:gridSpan w:val="7"/>
          </w:tcPr>
          <w:p w:rsidR="006247DF" w:rsidRPr="00E7637B" w:rsidRDefault="006247DF" w:rsidP="006247DF">
            <w:pPr>
              <w:spacing w:line="200" w:lineRule="exact"/>
              <w:rPr>
                <w:sz w:val="16"/>
                <w:szCs w:val="16"/>
              </w:rPr>
            </w:pPr>
            <w:r w:rsidRPr="00E7637B">
              <w:rPr>
                <w:sz w:val="16"/>
                <w:szCs w:val="16"/>
              </w:rPr>
              <w:t>Inlåningsfacilitet</w:t>
            </w:r>
          </w:p>
        </w:tc>
        <w:tc>
          <w:tcPr>
            <w:tcW w:w="418" w:type="dxa"/>
            <w:gridSpan w:val="2"/>
          </w:tcPr>
          <w:p w:rsidR="006247DF" w:rsidRPr="00E7637B" w:rsidRDefault="006247DF" w:rsidP="006247DF">
            <w:pPr>
              <w:spacing w:line="200" w:lineRule="exac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130</w:t>
            </w:r>
          </w:p>
        </w:tc>
        <w:tc>
          <w:tcPr>
            <w:tcW w:w="810" w:type="dxa"/>
            <w:gridSpan w:val="2"/>
          </w:tcPr>
          <w:p w:rsidR="006247DF" w:rsidRPr="00E7637B" w:rsidRDefault="008333D0" w:rsidP="008333D0">
            <w:pPr>
              <w:spacing w:line="200" w:lineRule="exact"/>
              <w:jc w:val="right"/>
              <w:rPr>
                <w:sz w:val="16"/>
                <w:szCs w:val="16"/>
              </w:rPr>
            </w:pPr>
            <w:r>
              <w:rPr>
                <w:sz w:val="16"/>
                <w:szCs w:val="16"/>
              </w:rPr>
              <w:t>580</w:t>
            </w:r>
          </w:p>
        </w:tc>
        <w:tc>
          <w:tcPr>
            <w:tcW w:w="810" w:type="dxa"/>
            <w:gridSpan w:val="2"/>
          </w:tcPr>
          <w:p w:rsidR="006247DF" w:rsidRPr="00E7637B" w:rsidRDefault="00F00FBA" w:rsidP="00F00FBA">
            <w:pPr>
              <w:spacing w:line="200" w:lineRule="exact"/>
              <w:jc w:val="right"/>
              <w:rPr>
                <w:sz w:val="16"/>
                <w:szCs w:val="16"/>
              </w:rPr>
            </w:pPr>
            <w:r>
              <w:rPr>
                <w:sz w:val="16"/>
                <w:szCs w:val="16"/>
              </w:rPr>
              <w:t>339</w:t>
            </w:r>
          </w:p>
        </w:tc>
        <w:tc>
          <w:tcPr>
            <w:tcW w:w="810" w:type="dxa"/>
            <w:gridSpan w:val="2"/>
          </w:tcPr>
          <w:p w:rsidR="006247DF" w:rsidRPr="00E7637B" w:rsidRDefault="00F00FBA" w:rsidP="00F00FBA">
            <w:pPr>
              <w:spacing w:line="200" w:lineRule="exact"/>
              <w:jc w:val="right"/>
              <w:rPr>
                <w:sz w:val="16"/>
                <w:szCs w:val="16"/>
              </w:rPr>
            </w:pPr>
            <w:r>
              <w:rPr>
                <w:sz w:val="16"/>
                <w:szCs w:val="16"/>
              </w:rPr>
              <w:t>4</w:t>
            </w:r>
            <w:r w:rsidR="006247DF" w:rsidRPr="00E7637B">
              <w:rPr>
                <w:sz w:val="16"/>
                <w:szCs w:val="16"/>
              </w:rPr>
              <w:t>4</w:t>
            </w:r>
          </w:p>
        </w:tc>
        <w:tc>
          <w:tcPr>
            <w:tcW w:w="811" w:type="dxa"/>
            <w:gridSpan w:val="3"/>
          </w:tcPr>
          <w:p w:rsidR="006247DF" w:rsidRPr="00E7637B" w:rsidRDefault="00F00FBA" w:rsidP="00F00FBA">
            <w:pPr>
              <w:spacing w:line="200" w:lineRule="exact"/>
              <w:jc w:val="right"/>
              <w:rPr>
                <w:sz w:val="16"/>
                <w:szCs w:val="16"/>
              </w:rPr>
            </w:pPr>
            <w:r>
              <w:rPr>
                <w:sz w:val="16"/>
                <w:szCs w:val="16"/>
              </w:rPr>
              <w:t>4</w:t>
            </w:r>
            <w:r w:rsidR="006247DF" w:rsidRPr="00E7637B">
              <w:rPr>
                <w:sz w:val="16"/>
                <w:szCs w:val="16"/>
              </w:rPr>
              <w:t>5</w:t>
            </w:r>
          </w:p>
        </w:tc>
      </w:tr>
      <w:tr w:rsidR="006247DF" w:rsidRPr="00E7637B" w:rsidTr="006247DF">
        <w:trPr>
          <w:gridAfter w:val="1"/>
          <w:wAfter w:w="24" w:type="dxa"/>
          <w:trHeight w:val="216"/>
        </w:trPr>
        <w:tc>
          <w:tcPr>
            <w:tcW w:w="2092" w:type="dxa"/>
            <w:gridSpan w:val="9"/>
          </w:tcPr>
          <w:p w:rsidR="006247DF" w:rsidRPr="00E7637B" w:rsidRDefault="006247DF" w:rsidP="006247DF">
            <w:pPr>
              <w:spacing w:line="200" w:lineRule="exact"/>
              <w:rPr>
                <w:sz w:val="16"/>
                <w:szCs w:val="16"/>
              </w:rPr>
            </w:pPr>
            <w:r w:rsidRPr="00E7637B">
              <w:rPr>
                <w:sz w:val="16"/>
                <w:szCs w:val="16"/>
              </w:rPr>
              <w:t>Finjusterande transaktioner</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Borders>
              <w:bottom w:val="single" w:sz="4" w:space="0" w:color="auto"/>
            </w:tcBorders>
          </w:tcPr>
          <w:p w:rsidR="006247DF" w:rsidRPr="00E7637B" w:rsidRDefault="00276CE0" w:rsidP="00276CE0">
            <w:pPr>
              <w:spacing w:line="200" w:lineRule="exact"/>
              <w:jc w:val="right"/>
              <w:rPr>
                <w:sz w:val="16"/>
                <w:szCs w:val="16"/>
              </w:rPr>
            </w:pPr>
            <w:r>
              <w:rPr>
                <w:sz w:val="16"/>
                <w:szCs w:val="16"/>
              </w:rPr>
              <w:t>14</w:t>
            </w:r>
            <w:r w:rsidR="006247DF">
              <w:rPr>
                <w:sz w:val="16"/>
                <w:szCs w:val="16"/>
              </w:rPr>
              <w:t xml:space="preserve"> </w:t>
            </w:r>
            <w:r>
              <w:rPr>
                <w:sz w:val="16"/>
                <w:szCs w:val="16"/>
              </w:rPr>
              <w:t>673</w:t>
            </w:r>
          </w:p>
        </w:tc>
        <w:tc>
          <w:tcPr>
            <w:tcW w:w="810" w:type="dxa"/>
            <w:gridSpan w:val="2"/>
            <w:tcBorders>
              <w:bottom w:val="single" w:sz="4" w:space="0" w:color="auto"/>
            </w:tcBorders>
          </w:tcPr>
          <w:p w:rsidR="006247DF" w:rsidRPr="00E7637B" w:rsidRDefault="006247DF" w:rsidP="008333D0">
            <w:pPr>
              <w:spacing w:line="200" w:lineRule="exact"/>
              <w:jc w:val="right"/>
              <w:rPr>
                <w:sz w:val="16"/>
                <w:szCs w:val="16"/>
              </w:rPr>
            </w:pPr>
            <w:r>
              <w:rPr>
                <w:sz w:val="16"/>
                <w:szCs w:val="16"/>
              </w:rPr>
              <w:t>2</w:t>
            </w:r>
            <w:r w:rsidR="008333D0">
              <w:rPr>
                <w:sz w:val="16"/>
                <w:szCs w:val="16"/>
              </w:rPr>
              <w:t>1</w:t>
            </w:r>
            <w:r>
              <w:rPr>
                <w:sz w:val="16"/>
                <w:szCs w:val="16"/>
              </w:rPr>
              <w:t xml:space="preserve"> </w:t>
            </w:r>
            <w:r w:rsidR="008333D0">
              <w:rPr>
                <w:sz w:val="16"/>
                <w:szCs w:val="16"/>
              </w:rPr>
              <w:t>085</w:t>
            </w:r>
          </w:p>
        </w:tc>
        <w:tc>
          <w:tcPr>
            <w:tcW w:w="810" w:type="dxa"/>
            <w:gridSpan w:val="2"/>
            <w:tcBorders>
              <w:bottom w:val="single" w:sz="4" w:space="0" w:color="auto"/>
            </w:tcBorders>
          </w:tcPr>
          <w:p w:rsidR="006247DF" w:rsidRPr="00E7637B" w:rsidRDefault="00F00FBA" w:rsidP="00F00FBA">
            <w:pPr>
              <w:spacing w:line="200" w:lineRule="exact"/>
              <w:jc w:val="right"/>
              <w:rPr>
                <w:sz w:val="16"/>
                <w:szCs w:val="16"/>
              </w:rPr>
            </w:pPr>
            <w:r>
              <w:rPr>
                <w:sz w:val="16"/>
                <w:szCs w:val="16"/>
              </w:rPr>
              <w:t>25</w:t>
            </w:r>
            <w:r w:rsidR="006247DF">
              <w:rPr>
                <w:sz w:val="16"/>
                <w:szCs w:val="16"/>
              </w:rPr>
              <w:t xml:space="preserve"> </w:t>
            </w:r>
            <w:r>
              <w:rPr>
                <w:sz w:val="16"/>
                <w:szCs w:val="16"/>
              </w:rPr>
              <w:t>815</w:t>
            </w:r>
          </w:p>
        </w:tc>
        <w:tc>
          <w:tcPr>
            <w:tcW w:w="810" w:type="dxa"/>
            <w:gridSpan w:val="2"/>
            <w:tcBorders>
              <w:bottom w:val="single" w:sz="4" w:space="0" w:color="auto"/>
            </w:tcBorders>
          </w:tcPr>
          <w:p w:rsidR="006247DF" w:rsidRPr="00E7637B" w:rsidRDefault="00F00FBA" w:rsidP="00F00FBA">
            <w:pPr>
              <w:spacing w:line="200" w:lineRule="exact"/>
              <w:jc w:val="right"/>
              <w:rPr>
                <w:sz w:val="16"/>
                <w:szCs w:val="16"/>
              </w:rPr>
            </w:pPr>
            <w:r>
              <w:rPr>
                <w:sz w:val="16"/>
                <w:szCs w:val="16"/>
              </w:rPr>
              <w:t>16</w:t>
            </w:r>
            <w:r w:rsidR="006247DF" w:rsidRPr="00E7637B">
              <w:rPr>
                <w:sz w:val="16"/>
                <w:szCs w:val="16"/>
              </w:rPr>
              <w:t xml:space="preserve"> </w:t>
            </w:r>
            <w:r>
              <w:rPr>
                <w:sz w:val="16"/>
                <w:szCs w:val="16"/>
              </w:rPr>
              <w:t>831</w:t>
            </w:r>
          </w:p>
        </w:tc>
        <w:tc>
          <w:tcPr>
            <w:tcW w:w="811" w:type="dxa"/>
            <w:gridSpan w:val="3"/>
            <w:tcBorders>
              <w:bottom w:val="single" w:sz="4" w:space="0" w:color="auto"/>
            </w:tcBorders>
          </w:tcPr>
          <w:p w:rsidR="006247DF" w:rsidRPr="00E7637B" w:rsidRDefault="00F00FBA" w:rsidP="00F00FBA">
            <w:pPr>
              <w:spacing w:line="200" w:lineRule="exact"/>
              <w:jc w:val="right"/>
              <w:rPr>
                <w:sz w:val="16"/>
                <w:szCs w:val="16"/>
              </w:rPr>
            </w:pPr>
            <w:r>
              <w:rPr>
                <w:sz w:val="16"/>
                <w:szCs w:val="16"/>
              </w:rPr>
              <w:t>5</w:t>
            </w:r>
            <w:r w:rsidR="006247DF" w:rsidRPr="00E7637B">
              <w:rPr>
                <w:sz w:val="16"/>
                <w:szCs w:val="16"/>
              </w:rPr>
              <w:t xml:space="preserve"> </w:t>
            </w:r>
            <w:r>
              <w:rPr>
                <w:sz w:val="16"/>
                <w:szCs w:val="16"/>
              </w:rPr>
              <w:t>097</w:t>
            </w:r>
          </w:p>
        </w:tc>
      </w:tr>
      <w:tr w:rsidR="006247DF" w:rsidRPr="00E7637B" w:rsidTr="006247DF">
        <w:trPr>
          <w:gridAfter w:val="1"/>
          <w:wAfter w:w="24" w:type="dxa"/>
          <w:trHeight w:val="216"/>
        </w:trPr>
        <w:tc>
          <w:tcPr>
            <w:tcW w:w="253" w:type="dxa"/>
          </w:tcPr>
          <w:p w:rsidR="006247DF" w:rsidRPr="00E7637B" w:rsidRDefault="006247DF" w:rsidP="006247DF">
            <w:pPr>
              <w:spacing w:line="200" w:lineRule="exact"/>
              <w:jc w:val="right"/>
              <w:rPr>
                <w:sz w:val="16"/>
                <w:szCs w:val="16"/>
              </w:rPr>
            </w:pPr>
          </w:p>
        </w:tc>
        <w:tc>
          <w:tcPr>
            <w:tcW w:w="631" w:type="dxa"/>
            <w:gridSpan w:val="2"/>
          </w:tcPr>
          <w:p w:rsidR="006247DF" w:rsidRPr="00E7637B" w:rsidRDefault="006247DF" w:rsidP="006247DF">
            <w:pPr>
              <w:spacing w:line="200" w:lineRule="exact"/>
              <w:jc w:val="right"/>
              <w:rPr>
                <w:sz w:val="16"/>
                <w:szCs w:val="16"/>
              </w:rPr>
            </w:pPr>
          </w:p>
        </w:tc>
        <w:tc>
          <w:tcPr>
            <w:tcW w:w="790" w:type="dxa"/>
            <w:gridSpan w:val="4"/>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14</w:t>
            </w:r>
            <w:r w:rsidR="006247DF">
              <w:rPr>
                <w:sz w:val="16"/>
                <w:szCs w:val="16"/>
              </w:rPr>
              <w:t xml:space="preserve"> </w:t>
            </w:r>
            <w:r>
              <w:rPr>
                <w:sz w:val="16"/>
                <w:szCs w:val="16"/>
              </w:rPr>
              <w:t>803</w:t>
            </w:r>
          </w:p>
        </w:tc>
        <w:tc>
          <w:tcPr>
            <w:tcW w:w="810" w:type="dxa"/>
            <w:gridSpan w:val="2"/>
            <w:tcBorders>
              <w:top w:val="single" w:sz="4" w:space="0" w:color="auto"/>
            </w:tcBorders>
          </w:tcPr>
          <w:p w:rsidR="006247DF" w:rsidRPr="00E7637B" w:rsidRDefault="006247DF" w:rsidP="008333D0">
            <w:pPr>
              <w:spacing w:line="200" w:lineRule="exact"/>
              <w:jc w:val="right"/>
              <w:rPr>
                <w:sz w:val="16"/>
                <w:szCs w:val="16"/>
              </w:rPr>
            </w:pPr>
            <w:r>
              <w:rPr>
                <w:sz w:val="16"/>
                <w:szCs w:val="16"/>
              </w:rPr>
              <w:t>2</w:t>
            </w:r>
            <w:r w:rsidR="008333D0">
              <w:rPr>
                <w:sz w:val="16"/>
                <w:szCs w:val="16"/>
              </w:rPr>
              <w:t>1</w:t>
            </w:r>
            <w:r>
              <w:rPr>
                <w:sz w:val="16"/>
                <w:szCs w:val="16"/>
              </w:rPr>
              <w:t xml:space="preserve"> </w:t>
            </w:r>
            <w:r w:rsidR="008333D0">
              <w:rPr>
                <w:sz w:val="16"/>
                <w:szCs w:val="16"/>
              </w:rPr>
              <w:t>665</w:t>
            </w:r>
          </w:p>
        </w:tc>
        <w:tc>
          <w:tcPr>
            <w:tcW w:w="810" w:type="dxa"/>
            <w:gridSpan w:val="2"/>
            <w:tcBorders>
              <w:top w:val="single" w:sz="4" w:space="0" w:color="auto"/>
            </w:tcBorders>
          </w:tcPr>
          <w:p w:rsidR="006247DF" w:rsidRPr="00E7637B" w:rsidRDefault="00F00FBA" w:rsidP="00F00FBA">
            <w:pPr>
              <w:spacing w:line="200" w:lineRule="exact"/>
              <w:jc w:val="right"/>
              <w:rPr>
                <w:sz w:val="16"/>
                <w:szCs w:val="16"/>
              </w:rPr>
            </w:pPr>
            <w:r>
              <w:rPr>
                <w:sz w:val="16"/>
                <w:szCs w:val="16"/>
              </w:rPr>
              <w:t>2</w:t>
            </w:r>
            <w:r w:rsidR="006247DF">
              <w:rPr>
                <w:sz w:val="16"/>
                <w:szCs w:val="16"/>
              </w:rPr>
              <w:t xml:space="preserve">6 </w:t>
            </w:r>
            <w:r>
              <w:rPr>
                <w:sz w:val="16"/>
                <w:szCs w:val="16"/>
              </w:rPr>
              <w:t>154</w:t>
            </w:r>
          </w:p>
        </w:tc>
        <w:tc>
          <w:tcPr>
            <w:tcW w:w="810" w:type="dxa"/>
            <w:gridSpan w:val="2"/>
            <w:tcBorders>
              <w:top w:val="single" w:sz="4" w:space="0" w:color="auto"/>
            </w:tcBorders>
          </w:tcPr>
          <w:p w:rsidR="006247DF" w:rsidRPr="00E7637B" w:rsidRDefault="00F00FBA" w:rsidP="00F00FBA">
            <w:pPr>
              <w:spacing w:line="200" w:lineRule="exact"/>
              <w:jc w:val="right"/>
              <w:rPr>
                <w:sz w:val="16"/>
                <w:szCs w:val="16"/>
              </w:rPr>
            </w:pPr>
            <w:r>
              <w:rPr>
                <w:sz w:val="16"/>
                <w:szCs w:val="16"/>
              </w:rPr>
              <w:t>16</w:t>
            </w:r>
            <w:r w:rsidR="006247DF" w:rsidRPr="00E7637B">
              <w:rPr>
                <w:sz w:val="16"/>
                <w:szCs w:val="16"/>
              </w:rPr>
              <w:t xml:space="preserve"> </w:t>
            </w:r>
            <w:r>
              <w:rPr>
                <w:sz w:val="16"/>
                <w:szCs w:val="16"/>
              </w:rPr>
              <w:t>875</w:t>
            </w:r>
          </w:p>
        </w:tc>
        <w:tc>
          <w:tcPr>
            <w:tcW w:w="811" w:type="dxa"/>
            <w:gridSpan w:val="3"/>
            <w:tcBorders>
              <w:top w:val="single" w:sz="4" w:space="0" w:color="auto"/>
            </w:tcBorders>
          </w:tcPr>
          <w:p w:rsidR="006247DF" w:rsidRPr="00E7637B" w:rsidRDefault="00F00FBA" w:rsidP="00F00FBA">
            <w:pPr>
              <w:spacing w:line="200" w:lineRule="exact"/>
              <w:jc w:val="right"/>
              <w:rPr>
                <w:sz w:val="16"/>
                <w:szCs w:val="16"/>
              </w:rPr>
            </w:pPr>
            <w:r>
              <w:rPr>
                <w:sz w:val="16"/>
                <w:szCs w:val="16"/>
              </w:rPr>
              <w:t>5</w:t>
            </w:r>
            <w:r w:rsidR="006247DF" w:rsidRPr="00E7637B">
              <w:rPr>
                <w:sz w:val="16"/>
                <w:szCs w:val="16"/>
              </w:rPr>
              <w:t xml:space="preserve"> </w:t>
            </w:r>
            <w:r>
              <w:rPr>
                <w:sz w:val="16"/>
                <w:szCs w:val="16"/>
              </w:rPr>
              <w:t>142</w:t>
            </w:r>
          </w:p>
        </w:tc>
      </w:tr>
      <w:tr w:rsidR="006247DF" w:rsidRPr="00E7637B" w:rsidTr="006247DF">
        <w:trPr>
          <w:gridAfter w:val="1"/>
          <w:wAfter w:w="24" w:type="dxa"/>
        </w:trPr>
        <w:tc>
          <w:tcPr>
            <w:tcW w:w="2092" w:type="dxa"/>
            <w:gridSpan w:val="9"/>
          </w:tcPr>
          <w:p w:rsidR="006247DF" w:rsidRPr="00E7637B" w:rsidRDefault="006247DF" w:rsidP="006247DF">
            <w:pPr>
              <w:spacing w:before="0" w:line="200" w:lineRule="exact"/>
              <w:rPr>
                <w:b/>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tcPr>
          <w:p w:rsidR="006247DF" w:rsidRPr="00E7637B" w:rsidRDefault="006247DF" w:rsidP="006247DF">
            <w:pPr>
              <w:spacing w:line="200" w:lineRule="exact"/>
              <w:rPr>
                <w:b/>
                <w:sz w:val="16"/>
                <w:szCs w:val="16"/>
              </w:rPr>
            </w:pPr>
            <w:r w:rsidRPr="00E7637B">
              <w:rPr>
                <w:b/>
                <w:sz w:val="16"/>
                <w:szCs w:val="16"/>
              </w:rPr>
              <w:t>Emitterade skuldcertifikat</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262BC2" w:rsidRDefault="00276CE0" w:rsidP="00276CE0">
            <w:pPr>
              <w:spacing w:line="200" w:lineRule="exact"/>
              <w:jc w:val="right"/>
              <w:rPr>
                <w:sz w:val="16"/>
                <w:szCs w:val="16"/>
              </w:rPr>
            </w:pPr>
            <w:r>
              <w:rPr>
                <w:sz w:val="16"/>
                <w:szCs w:val="16"/>
              </w:rPr>
              <w:t>35</w:t>
            </w:r>
            <w:r w:rsidR="006247DF">
              <w:rPr>
                <w:sz w:val="16"/>
                <w:szCs w:val="16"/>
              </w:rPr>
              <w:t xml:space="preserve"> </w:t>
            </w:r>
            <w:r>
              <w:rPr>
                <w:sz w:val="16"/>
                <w:szCs w:val="16"/>
              </w:rPr>
              <w:t>004</w:t>
            </w:r>
          </w:p>
        </w:tc>
        <w:tc>
          <w:tcPr>
            <w:tcW w:w="810" w:type="dxa"/>
            <w:gridSpan w:val="2"/>
          </w:tcPr>
          <w:p w:rsidR="006247DF" w:rsidRPr="00262BC2" w:rsidRDefault="006247DF" w:rsidP="008333D0">
            <w:pPr>
              <w:spacing w:line="200" w:lineRule="exact"/>
              <w:jc w:val="right"/>
              <w:rPr>
                <w:sz w:val="16"/>
                <w:szCs w:val="16"/>
              </w:rPr>
            </w:pPr>
            <w:r>
              <w:rPr>
                <w:sz w:val="16"/>
                <w:szCs w:val="16"/>
              </w:rPr>
              <w:t>2</w:t>
            </w:r>
            <w:r w:rsidR="008333D0">
              <w:rPr>
                <w:sz w:val="16"/>
                <w:szCs w:val="16"/>
              </w:rPr>
              <w:t>4</w:t>
            </w:r>
            <w:r>
              <w:rPr>
                <w:sz w:val="16"/>
                <w:szCs w:val="16"/>
              </w:rPr>
              <w:t xml:space="preserve"> 9</w:t>
            </w:r>
            <w:r w:rsidR="008333D0">
              <w:rPr>
                <w:sz w:val="16"/>
                <w:szCs w:val="16"/>
              </w:rPr>
              <w:t>8</w:t>
            </w:r>
            <w:r>
              <w:rPr>
                <w:sz w:val="16"/>
                <w:szCs w:val="16"/>
              </w:rPr>
              <w:t>9</w:t>
            </w:r>
          </w:p>
        </w:tc>
        <w:tc>
          <w:tcPr>
            <w:tcW w:w="810" w:type="dxa"/>
            <w:gridSpan w:val="2"/>
          </w:tcPr>
          <w:p w:rsidR="006247DF" w:rsidRPr="00262BC2" w:rsidRDefault="00F00FBA" w:rsidP="008333D0">
            <w:pPr>
              <w:spacing w:line="200" w:lineRule="exact"/>
              <w:jc w:val="right"/>
              <w:rPr>
                <w:sz w:val="16"/>
                <w:szCs w:val="16"/>
              </w:rPr>
            </w:pPr>
            <w:r>
              <w:rPr>
                <w:sz w:val="16"/>
                <w:szCs w:val="16"/>
              </w:rPr>
              <w:t>2</w:t>
            </w:r>
            <w:r w:rsidR="008333D0">
              <w:rPr>
                <w:sz w:val="16"/>
                <w:szCs w:val="16"/>
              </w:rPr>
              <w:t xml:space="preserve"> </w:t>
            </w:r>
            <w:r>
              <w:rPr>
                <w:sz w:val="16"/>
                <w:szCs w:val="16"/>
              </w:rPr>
              <w:t>998</w:t>
            </w:r>
          </w:p>
        </w:tc>
        <w:tc>
          <w:tcPr>
            <w:tcW w:w="810" w:type="dxa"/>
            <w:gridSpan w:val="2"/>
          </w:tcPr>
          <w:p w:rsidR="006247DF" w:rsidRPr="00262BC2" w:rsidRDefault="006247DF" w:rsidP="006247DF">
            <w:pPr>
              <w:spacing w:line="200" w:lineRule="exact"/>
              <w:jc w:val="right"/>
              <w:rPr>
                <w:sz w:val="16"/>
                <w:szCs w:val="16"/>
              </w:rPr>
            </w:pPr>
            <w:r>
              <w:rPr>
                <w:sz w:val="16"/>
                <w:szCs w:val="16"/>
              </w:rPr>
              <w:t>–</w:t>
            </w:r>
          </w:p>
        </w:tc>
        <w:tc>
          <w:tcPr>
            <w:tcW w:w="811" w:type="dxa"/>
            <w:gridSpan w:val="3"/>
          </w:tcPr>
          <w:p w:rsidR="006247DF" w:rsidRPr="00E7637B" w:rsidRDefault="00F00FBA" w:rsidP="00F00FBA">
            <w:pPr>
              <w:spacing w:line="200" w:lineRule="exact"/>
              <w:jc w:val="right"/>
              <w:rPr>
                <w:sz w:val="16"/>
                <w:szCs w:val="16"/>
              </w:rPr>
            </w:pPr>
            <w:r>
              <w:rPr>
                <w:sz w:val="16"/>
                <w:szCs w:val="16"/>
              </w:rPr>
              <w:t>–</w:t>
            </w:r>
          </w:p>
        </w:tc>
      </w:tr>
      <w:tr w:rsidR="006247DF" w:rsidRPr="00E7637B" w:rsidTr="006247DF">
        <w:trPr>
          <w:gridAfter w:val="1"/>
          <w:wAfter w:w="24" w:type="dxa"/>
          <w:trHeight w:val="216"/>
        </w:trPr>
        <w:tc>
          <w:tcPr>
            <w:tcW w:w="2092" w:type="dxa"/>
            <w:gridSpan w:val="9"/>
          </w:tcPr>
          <w:p w:rsidR="006247DF" w:rsidRPr="00E7637B" w:rsidRDefault="006247DF" w:rsidP="006247DF">
            <w:pPr>
              <w:spacing w:before="0" w:line="200" w:lineRule="exact"/>
              <w:rPr>
                <w:b/>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vAlign w:val="bottom"/>
          </w:tcPr>
          <w:p w:rsidR="006247DF" w:rsidRPr="00E7637B" w:rsidRDefault="006247DF" w:rsidP="006247DF">
            <w:pPr>
              <w:spacing w:line="200" w:lineRule="exact"/>
              <w:jc w:val="left"/>
              <w:rPr>
                <w:b/>
                <w:sz w:val="16"/>
                <w:szCs w:val="16"/>
              </w:rPr>
            </w:pPr>
            <w:r w:rsidRPr="00E7637B">
              <w:rPr>
                <w:b/>
                <w:sz w:val="16"/>
                <w:szCs w:val="16"/>
              </w:rPr>
              <w:t xml:space="preserve">Skulder i svenska kronor </w:t>
            </w:r>
            <w:r>
              <w:rPr>
                <w:b/>
                <w:sz w:val="16"/>
                <w:szCs w:val="16"/>
              </w:rPr>
              <w:br/>
            </w:r>
            <w:r w:rsidRPr="00E7637B">
              <w:rPr>
                <w:b/>
                <w:sz w:val="16"/>
                <w:szCs w:val="16"/>
              </w:rPr>
              <w:t>till hemmahörande utanför Sverige</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276CE0" w:rsidP="00276CE0">
            <w:pPr>
              <w:spacing w:line="200" w:lineRule="exact"/>
              <w:jc w:val="right"/>
              <w:rPr>
                <w:sz w:val="16"/>
                <w:szCs w:val="16"/>
              </w:rPr>
            </w:pPr>
            <w:r>
              <w:rPr>
                <w:sz w:val="16"/>
                <w:szCs w:val="16"/>
              </w:rPr>
              <w:t>1 983</w:t>
            </w:r>
          </w:p>
        </w:tc>
        <w:tc>
          <w:tcPr>
            <w:tcW w:w="810" w:type="dxa"/>
            <w:gridSpan w:val="2"/>
            <w:vAlign w:val="bottom"/>
          </w:tcPr>
          <w:p w:rsidR="006247DF" w:rsidRPr="00E7637B" w:rsidRDefault="008333D0" w:rsidP="008333D0">
            <w:pPr>
              <w:spacing w:line="200" w:lineRule="exact"/>
              <w:jc w:val="right"/>
              <w:rPr>
                <w:sz w:val="16"/>
                <w:szCs w:val="16"/>
              </w:rPr>
            </w:pPr>
            <w:r>
              <w:rPr>
                <w:sz w:val="16"/>
                <w:szCs w:val="16"/>
              </w:rPr>
              <w:t>707</w:t>
            </w:r>
          </w:p>
        </w:tc>
        <w:tc>
          <w:tcPr>
            <w:tcW w:w="810" w:type="dxa"/>
            <w:gridSpan w:val="2"/>
            <w:vAlign w:val="bottom"/>
          </w:tcPr>
          <w:p w:rsidR="006247DF" w:rsidRPr="00E7637B" w:rsidRDefault="006247DF" w:rsidP="00F00FBA">
            <w:pPr>
              <w:spacing w:line="200" w:lineRule="exact"/>
              <w:jc w:val="right"/>
              <w:rPr>
                <w:sz w:val="16"/>
                <w:szCs w:val="16"/>
              </w:rPr>
            </w:pPr>
            <w:r>
              <w:rPr>
                <w:sz w:val="16"/>
                <w:szCs w:val="16"/>
              </w:rPr>
              <w:t>1</w:t>
            </w:r>
            <w:r w:rsidR="00F00FBA">
              <w:rPr>
                <w:sz w:val="16"/>
                <w:szCs w:val="16"/>
              </w:rPr>
              <w:t>5</w:t>
            </w:r>
            <w:r>
              <w:rPr>
                <w:sz w:val="16"/>
                <w:szCs w:val="16"/>
              </w:rPr>
              <w:t>6</w:t>
            </w:r>
          </w:p>
        </w:tc>
        <w:tc>
          <w:tcPr>
            <w:tcW w:w="810" w:type="dxa"/>
            <w:gridSpan w:val="2"/>
            <w:vAlign w:val="bottom"/>
          </w:tcPr>
          <w:p w:rsidR="006247DF" w:rsidRPr="00E7637B" w:rsidRDefault="00F00FBA" w:rsidP="00F00FBA">
            <w:pPr>
              <w:spacing w:line="200" w:lineRule="exact"/>
              <w:jc w:val="right"/>
              <w:rPr>
                <w:sz w:val="16"/>
                <w:szCs w:val="16"/>
              </w:rPr>
            </w:pPr>
            <w:r>
              <w:rPr>
                <w:sz w:val="16"/>
                <w:szCs w:val="16"/>
              </w:rPr>
              <w:t>10</w:t>
            </w:r>
            <w:r w:rsidR="006247DF" w:rsidRPr="00E7637B">
              <w:rPr>
                <w:sz w:val="16"/>
                <w:szCs w:val="16"/>
              </w:rPr>
              <w:t>6</w:t>
            </w:r>
          </w:p>
        </w:tc>
        <w:tc>
          <w:tcPr>
            <w:tcW w:w="811" w:type="dxa"/>
            <w:gridSpan w:val="3"/>
            <w:vAlign w:val="bottom"/>
          </w:tcPr>
          <w:p w:rsidR="006247DF" w:rsidRPr="00E7637B" w:rsidRDefault="00F00FBA" w:rsidP="00F00FBA">
            <w:pPr>
              <w:spacing w:line="200" w:lineRule="exact"/>
              <w:jc w:val="right"/>
              <w:rPr>
                <w:sz w:val="16"/>
                <w:szCs w:val="16"/>
              </w:rPr>
            </w:pPr>
            <w:r>
              <w:rPr>
                <w:sz w:val="16"/>
                <w:szCs w:val="16"/>
              </w:rPr>
              <w:t>69</w:t>
            </w:r>
            <w:r w:rsidR="006247DF" w:rsidRPr="00E7637B">
              <w:rPr>
                <w:sz w:val="16"/>
                <w:szCs w:val="16"/>
              </w:rPr>
              <w:t xml:space="preserve"> </w:t>
            </w:r>
          </w:p>
        </w:tc>
      </w:tr>
      <w:tr w:rsidR="006247DF" w:rsidRPr="00E7637B" w:rsidTr="006247DF">
        <w:trPr>
          <w:gridAfter w:val="1"/>
          <w:wAfter w:w="24" w:type="dxa"/>
          <w:trHeight w:val="216"/>
        </w:trPr>
        <w:tc>
          <w:tcPr>
            <w:tcW w:w="2092" w:type="dxa"/>
            <w:gridSpan w:val="9"/>
          </w:tcPr>
          <w:p w:rsidR="006247DF" w:rsidRPr="00E7637B" w:rsidRDefault="006247DF" w:rsidP="006247DF">
            <w:pPr>
              <w:spacing w:before="0" w:line="200" w:lineRule="exact"/>
              <w:rPr>
                <w:b/>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center"/>
              <w:rPr>
                <w:sz w:val="16"/>
                <w:szCs w:val="16"/>
              </w:rPr>
            </w:pPr>
          </w:p>
        </w:tc>
        <w:tc>
          <w:tcPr>
            <w:tcW w:w="810" w:type="dxa"/>
            <w:gridSpan w:val="2"/>
          </w:tcPr>
          <w:p w:rsidR="006247DF" w:rsidRPr="00E7637B" w:rsidRDefault="006247DF" w:rsidP="006247DF">
            <w:pPr>
              <w:spacing w:before="0" w:line="200" w:lineRule="exact"/>
              <w:jc w:val="center"/>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vAlign w:val="bottom"/>
          </w:tcPr>
          <w:p w:rsidR="006247DF" w:rsidRPr="00E7637B" w:rsidRDefault="006247DF" w:rsidP="006247DF">
            <w:pPr>
              <w:spacing w:line="200" w:lineRule="exact"/>
              <w:jc w:val="left"/>
              <w:rPr>
                <w:b/>
                <w:sz w:val="16"/>
                <w:szCs w:val="16"/>
              </w:rPr>
            </w:pPr>
            <w:r w:rsidRPr="00E7637B">
              <w:rPr>
                <w:b/>
                <w:sz w:val="16"/>
                <w:szCs w:val="16"/>
              </w:rPr>
              <w:t xml:space="preserve">Skulder i utländsk valuta </w:t>
            </w:r>
            <w:r>
              <w:rPr>
                <w:b/>
                <w:sz w:val="16"/>
                <w:szCs w:val="16"/>
              </w:rPr>
              <w:br/>
            </w:r>
            <w:r w:rsidRPr="00E7637B">
              <w:rPr>
                <w:b/>
                <w:sz w:val="16"/>
                <w:szCs w:val="16"/>
              </w:rPr>
              <w:t>till hemmahörande i Sverige</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276CE0" w:rsidP="00276CE0">
            <w:pPr>
              <w:spacing w:line="200" w:lineRule="exact"/>
              <w:jc w:val="right"/>
              <w:rPr>
                <w:sz w:val="16"/>
                <w:szCs w:val="16"/>
              </w:rPr>
            </w:pPr>
            <w:r>
              <w:rPr>
                <w:sz w:val="16"/>
                <w:szCs w:val="16"/>
              </w:rPr>
              <w:t>228</w:t>
            </w:r>
            <w:r w:rsidR="006247DF">
              <w:rPr>
                <w:sz w:val="16"/>
                <w:szCs w:val="16"/>
              </w:rPr>
              <w:t xml:space="preserve"> </w:t>
            </w:r>
            <w:r>
              <w:rPr>
                <w:sz w:val="16"/>
                <w:szCs w:val="16"/>
              </w:rPr>
              <w:t>331</w:t>
            </w:r>
          </w:p>
        </w:tc>
        <w:tc>
          <w:tcPr>
            <w:tcW w:w="810" w:type="dxa"/>
            <w:gridSpan w:val="2"/>
            <w:vAlign w:val="bottom"/>
          </w:tcPr>
          <w:p w:rsidR="006247DF" w:rsidRPr="00E7637B" w:rsidRDefault="008333D0" w:rsidP="008333D0">
            <w:pPr>
              <w:spacing w:line="200" w:lineRule="exact"/>
              <w:jc w:val="right"/>
              <w:rPr>
                <w:sz w:val="16"/>
                <w:szCs w:val="16"/>
              </w:rPr>
            </w:pPr>
            <w:r>
              <w:rPr>
                <w:sz w:val="16"/>
                <w:szCs w:val="16"/>
              </w:rPr>
              <w:t>193</w:t>
            </w:r>
            <w:r w:rsidR="006247DF">
              <w:rPr>
                <w:sz w:val="16"/>
                <w:szCs w:val="16"/>
              </w:rPr>
              <w:t xml:space="preserve"> </w:t>
            </w:r>
            <w:r>
              <w:rPr>
                <w:sz w:val="16"/>
                <w:szCs w:val="16"/>
              </w:rPr>
              <w:t>117</w:t>
            </w:r>
          </w:p>
        </w:tc>
        <w:tc>
          <w:tcPr>
            <w:tcW w:w="810" w:type="dxa"/>
            <w:gridSpan w:val="2"/>
            <w:vAlign w:val="bottom"/>
          </w:tcPr>
          <w:p w:rsidR="006247DF" w:rsidRPr="00E7637B" w:rsidRDefault="006247DF" w:rsidP="00F00FBA">
            <w:pPr>
              <w:spacing w:line="200" w:lineRule="exact"/>
              <w:jc w:val="right"/>
              <w:rPr>
                <w:sz w:val="16"/>
                <w:szCs w:val="16"/>
              </w:rPr>
            </w:pPr>
            <w:r>
              <w:rPr>
                <w:sz w:val="16"/>
                <w:szCs w:val="16"/>
              </w:rPr>
              <w:t>8</w:t>
            </w:r>
            <w:r w:rsidR="00F00FBA">
              <w:rPr>
                <w:sz w:val="16"/>
                <w:szCs w:val="16"/>
              </w:rPr>
              <w:t>8</w:t>
            </w:r>
            <w:r>
              <w:rPr>
                <w:sz w:val="16"/>
                <w:szCs w:val="16"/>
              </w:rPr>
              <w:t xml:space="preserve"> 4</w:t>
            </w:r>
            <w:r w:rsidR="00F00FBA">
              <w:rPr>
                <w:sz w:val="16"/>
                <w:szCs w:val="16"/>
              </w:rPr>
              <w:t>13</w:t>
            </w:r>
          </w:p>
        </w:tc>
        <w:tc>
          <w:tcPr>
            <w:tcW w:w="810" w:type="dxa"/>
            <w:gridSpan w:val="2"/>
            <w:vAlign w:val="bottom"/>
          </w:tcPr>
          <w:p w:rsidR="006247DF" w:rsidRPr="00E7637B" w:rsidRDefault="006247DF" w:rsidP="00F00FBA">
            <w:pPr>
              <w:spacing w:line="200" w:lineRule="exact"/>
              <w:jc w:val="right"/>
              <w:rPr>
                <w:sz w:val="16"/>
                <w:szCs w:val="16"/>
              </w:rPr>
            </w:pPr>
            <w:r w:rsidRPr="00E7637B">
              <w:rPr>
                <w:sz w:val="16"/>
                <w:szCs w:val="16"/>
              </w:rPr>
              <w:t>8</w:t>
            </w:r>
            <w:r w:rsidR="00F00FBA">
              <w:rPr>
                <w:sz w:val="16"/>
                <w:szCs w:val="16"/>
              </w:rPr>
              <w:t>6</w:t>
            </w:r>
            <w:r w:rsidRPr="00E7637B">
              <w:rPr>
                <w:sz w:val="16"/>
                <w:szCs w:val="16"/>
              </w:rPr>
              <w:t xml:space="preserve"> </w:t>
            </w:r>
            <w:r w:rsidR="00F00FBA">
              <w:rPr>
                <w:sz w:val="16"/>
                <w:szCs w:val="16"/>
              </w:rPr>
              <w:t>497</w:t>
            </w:r>
          </w:p>
        </w:tc>
        <w:tc>
          <w:tcPr>
            <w:tcW w:w="811" w:type="dxa"/>
            <w:gridSpan w:val="3"/>
            <w:vAlign w:val="bottom"/>
          </w:tcPr>
          <w:p w:rsidR="006247DF" w:rsidRPr="00E7637B" w:rsidRDefault="00F00FBA" w:rsidP="00F00FBA">
            <w:pPr>
              <w:spacing w:line="200" w:lineRule="exact"/>
              <w:jc w:val="right"/>
              <w:rPr>
                <w:sz w:val="16"/>
                <w:szCs w:val="16"/>
              </w:rPr>
            </w:pPr>
            <w:r>
              <w:rPr>
                <w:sz w:val="16"/>
                <w:szCs w:val="16"/>
              </w:rPr>
              <w:t>83</w:t>
            </w:r>
            <w:r w:rsidR="006247DF" w:rsidRPr="00E7637B">
              <w:rPr>
                <w:sz w:val="16"/>
                <w:szCs w:val="16"/>
              </w:rPr>
              <w:t xml:space="preserve"> </w:t>
            </w:r>
            <w:r>
              <w:rPr>
                <w:sz w:val="16"/>
                <w:szCs w:val="16"/>
              </w:rPr>
              <w:t>774</w:t>
            </w:r>
          </w:p>
        </w:tc>
      </w:tr>
      <w:tr w:rsidR="006247DF" w:rsidRPr="00E7637B" w:rsidTr="006247DF">
        <w:trPr>
          <w:gridAfter w:val="1"/>
          <w:wAfter w:w="24" w:type="dxa"/>
          <w:trHeight w:val="216"/>
        </w:trPr>
        <w:tc>
          <w:tcPr>
            <w:tcW w:w="253" w:type="dxa"/>
          </w:tcPr>
          <w:p w:rsidR="006247DF" w:rsidRPr="00E7637B" w:rsidRDefault="006247DF" w:rsidP="006247DF">
            <w:pPr>
              <w:spacing w:before="0" w:line="200" w:lineRule="exact"/>
              <w:jc w:val="right"/>
              <w:rPr>
                <w:sz w:val="16"/>
                <w:szCs w:val="16"/>
              </w:rPr>
            </w:pPr>
          </w:p>
        </w:tc>
        <w:tc>
          <w:tcPr>
            <w:tcW w:w="631" w:type="dxa"/>
            <w:gridSpan w:val="2"/>
          </w:tcPr>
          <w:p w:rsidR="006247DF" w:rsidRPr="00E7637B" w:rsidRDefault="006247DF" w:rsidP="006247DF">
            <w:pPr>
              <w:spacing w:before="0" w:line="200" w:lineRule="exact"/>
              <w:jc w:val="right"/>
              <w:rPr>
                <w:sz w:val="16"/>
                <w:szCs w:val="16"/>
              </w:rPr>
            </w:pPr>
          </w:p>
        </w:tc>
        <w:tc>
          <w:tcPr>
            <w:tcW w:w="790" w:type="dxa"/>
            <w:gridSpan w:val="4"/>
          </w:tcPr>
          <w:p w:rsidR="006247DF" w:rsidRPr="00E7637B" w:rsidRDefault="006247DF" w:rsidP="006247DF">
            <w:pPr>
              <w:spacing w:before="0" w:line="200" w:lineRule="exact"/>
              <w:jc w:val="right"/>
              <w:rPr>
                <w:sz w:val="16"/>
                <w:szCs w:val="16"/>
              </w:rPr>
            </w:pPr>
          </w:p>
        </w:tc>
        <w:tc>
          <w:tcPr>
            <w:tcW w:w="418" w:type="dxa"/>
            <w:gridSpan w:val="2"/>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vAlign w:val="bottom"/>
          </w:tcPr>
          <w:p w:rsidR="006247DF" w:rsidRPr="00E7637B" w:rsidRDefault="006247DF" w:rsidP="006247DF">
            <w:pPr>
              <w:spacing w:line="200" w:lineRule="exact"/>
              <w:jc w:val="left"/>
              <w:rPr>
                <w:b/>
                <w:sz w:val="16"/>
                <w:szCs w:val="16"/>
              </w:rPr>
            </w:pPr>
            <w:r w:rsidRPr="00E7637B">
              <w:rPr>
                <w:b/>
                <w:sz w:val="16"/>
                <w:szCs w:val="16"/>
              </w:rPr>
              <w:t xml:space="preserve">Skulder i utländsk valuta </w:t>
            </w:r>
            <w:r>
              <w:rPr>
                <w:b/>
                <w:sz w:val="16"/>
                <w:szCs w:val="16"/>
              </w:rPr>
              <w:br/>
            </w:r>
            <w:r w:rsidRPr="00E7637B">
              <w:rPr>
                <w:b/>
                <w:sz w:val="16"/>
                <w:szCs w:val="16"/>
              </w:rPr>
              <w:t>till hemmahörande utanför Sverige</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6247DF" w:rsidP="006247DF">
            <w:pPr>
              <w:spacing w:line="200" w:lineRule="exact"/>
              <w:jc w:val="right"/>
              <w:rPr>
                <w:sz w:val="16"/>
                <w:szCs w:val="16"/>
              </w:rPr>
            </w:pPr>
            <w:r w:rsidRPr="00E7637B">
              <w:rPr>
                <w:sz w:val="16"/>
                <w:szCs w:val="16"/>
              </w:rPr>
              <w:t>–</w:t>
            </w:r>
          </w:p>
        </w:tc>
        <w:tc>
          <w:tcPr>
            <w:tcW w:w="810" w:type="dxa"/>
            <w:gridSpan w:val="2"/>
            <w:vAlign w:val="bottom"/>
          </w:tcPr>
          <w:p w:rsidR="006247DF" w:rsidRPr="00E7637B" w:rsidRDefault="006247DF" w:rsidP="006247DF">
            <w:pPr>
              <w:spacing w:line="200" w:lineRule="exact"/>
              <w:jc w:val="right"/>
              <w:rPr>
                <w:sz w:val="16"/>
                <w:szCs w:val="16"/>
              </w:rPr>
            </w:pPr>
            <w:r w:rsidRPr="00E7637B">
              <w:rPr>
                <w:sz w:val="16"/>
                <w:szCs w:val="16"/>
              </w:rPr>
              <w:t>–</w:t>
            </w:r>
          </w:p>
        </w:tc>
        <w:tc>
          <w:tcPr>
            <w:tcW w:w="810" w:type="dxa"/>
            <w:gridSpan w:val="2"/>
            <w:vAlign w:val="bottom"/>
          </w:tcPr>
          <w:p w:rsidR="006247DF" w:rsidRPr="00E7637B" w:rsidRDefault="006247DF" w:rsidP="006247DF">
            <w:pPr>
              <w:spacing w:line="200" w:lineRule="exact"/>
              <w:jc w:val="right"/>
              <w:rPr>
                <w:sz w:val="16"/>
                <w:szCs w:val="16"/>
              </w:rPr>
            </w:pPr>
            <w:r w:rsidRPr="00E7637B">
              <w:rPr>
                <w:sz w:val="16"/>
                <w:szCs w:val="16"/>
              </w:rPr>
              <w:t>–</w:t>
            </w:r>
          </w:p>
        </w:tc>
        <w:tc>
          <w:tcPr>
            <w:tcW w:w="810" w:type="dxa"/>
            <w:gridSpan w:val="2"/>
            <w:vAlign w:val="bottom"/>
          </w:tcPr>
          <w:p w:rsidR="006247DF" w:rsidRPr="00E7637B" w:rsidRDefault="00F00FBA" w:rsidP="00F00FBA">
            <w:pPr>
              <w:spacing w:line="200" w:lineRule="exact"/>
              <w:jc w:val="right"/>
              <w:rPr>
                <w:sz w:val="16"/>
                <w:szCs w:val="16"/>
              </w:rPr>
            </w:pPr>
            <w:r w:rsidRPr="00E7637B">
              <w:rPr>
                <w:sz w:val="16"/>
                <w:szCs w:val="16"/>
              </w:rPr>
              <w:t>–</w:t>
            </w:r>
          </w:p>
        </w:tc>
        <w:tc>
          <w:tcPr>
            <w:tcW w:w="811" w:type="dxa"/>
            <w:gridSpan w:val="3"/>
            <w:vAlign w:val="bottom"/>
          </w:tcPr>
          <w:p w:rsidR="006247DF" w:rsidRPr="00E7637B" w:rsidRDefault="00F00FBA" w:rsidP="00F00FBA">
            <w:pPr>
              <w:spacing w:line="200" w:lineRule="exact"/>
              <w:jc w:val="right"/>
              <w:rPr>
                <w:sz w:val="16"/>
                <w:szCs w:val="16"/>
              </w:rPr>
            </w:pPr>
            <w:r>
              <w:rPr>
                <w:sz w:val="16"/>
                <w:szCs w:val="16"/>
              </w:rPr>
              <w:t>431</w:t>
            </w:r>
          </w:p>
        </w:tc>
      </w:tr>
      <w:tr w:rsidR="006247DF" w:rsidRPr="00E7637B" w:rsidTr="006247DF">
        <w:trPr>
          <w:gridAfter w:val="1"/>
          <w:wAfter w:w="24" w:type="dxa"/>
          <w:trHeight w:val="216"/>
        </w:trPr>
        <w:tc>
          <w:tcPr>
            <w:tcW w:w="253" w:type="dxa"/>
          </w:tcPr>
          <w:p w:rsidR="006247DF" w:rsidRPr="00E7637B" w:rsidRDefault="006247DF" w:rsidP="006247DF">
            <w:pPr>
              <w:spacing w:before="0" w:line="200" w:lineRule="exact"/>
              <w:jc w:val="right"/>
              <w:rPr>
                <w:sz w:val="16"/>
                <w:szCs w:val="16"/>
              </w:rPr>
            </w:pPr>
          </w:p>
        </w:tc>
        <w:tc>
          <w:tcPr>
            <w:tcW w:w="631" w:type="dxa"/>
            <w:gridSpan w:val="2"/>
          </w:tcPr>
          <w:p w:rsidR="006247DF" w:rsidRPr="00E7637B" w:rsidRDefault="006247DF" w:rsidP="006247DF">
            <w:pPr>
              <w:spacing w:before="0" w:line="200" w:lineRule="exact"/>
              <w:jc w:val="right"/>
              <w:rPr>
                <w:sz w:val="16"/>
                <w:szCs w:val="16"/>
              </w:rPr>
            </w:pPr>
          </w:p>
        </w:tc>
        <w:tc>
          <w:tcPr>
            <w:tcW w:w="790" w:type="dxa"/>
            <w:gridSpan w:val="4"/>
          </w:tcPr>
          <w:p w:rsidR="006247DF" w:rsidRPr="00E7637B" w:rsidRDefault="006247DF" w:rsidP="006247DF">
            <w:pPr>
              <w:spacing w:before="0" w:line="200" w:lineRule="exact"/>
              <w:jc w:val="right"/>
              <w:rPr>
                <w:sz w:val="16"/>
                <w:szCs w:val="16"/>
              </w:rPr>
            </w:pPr>
          </w:p>
        </w:tc>
        <w:tc>
          <w:tcPr>
            <w:tcW w:w="418" w:type="dxa"/>
            <w:gridSpan w:val="2"/>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Pr>
        <w:tc>
          <w:tcPr>
            <w:tcW w:w="2092" w:type="dxa"/>
            <w:gridSpan w:val="9"/>
            <w:vAlign w:val="bottom"/>
          </w:tcPr>
          <w:p w:rsidR="006247DF" w:rsidRPr="00E7637B" w:rsidRDefault="006247DF" w:rsidP="006247DF">
            <w:pPr>
              <w:spacing w:line="200" w:lineRule="exact"/>
              <w:jc w:val="left"/>
              <w:rPr>
                <w:b/>
                <w:sz w:val="16"/>
                <w:szCs w:val="16"/>
              </w:rPr>
            </w:pPr>
            <w:r w:rsidRPr="00E7637B">
              <w:rPr>
                <w:b/>
                <w:sz w:val="16"/>
                <w:szCs w:val="16"/>
              </w:rPr>
              <w:t xml:space="preserve">Motpost till SDR som </w:t>
            </w:r>
            <w:r>
              <w:rPr>
                <w:b/>
                <w:sz w:val="16"/>
                <w:szCs w:val="16"/>
              </w:rPr>
              <w:br/>
            </w:r>
            <w:r w:rsidRPr="00E7637B">
              <w:rPr>
                <w:b/>
                <w:sz w:val="16"/>
                <w:szCs w:val="16"/>
              </w:rPr>
              <w:t>tilldelats av IMF</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6247DF" w:rsidP="00276CE0">
            <w:pPr>
              <w:spacing w:line="200" w:lineRule="exact"/>
              <w:jc w:val="right"/>
              <w:rPr>
                <w:sz w:val="16"/>
                <w:szCs w:val="16"/>
              </w:rPr>
            </w:pPr>
            <w:r>
              <w:rPr>
                <w:sz w:val="16"/>
                <w:szCs w:val="16"/>
              </w:rPr>
              <w:t>2</w:t>
            </w:r>
            <w:r w:rsidR="00276CE0">
              <w:rPr>
                <w:sz w:val="16"/>
                <w:szCs w:val="16"/>
              </w:rPr>
              <w:t>5</w:t>
            </w:r>
            <w:r>
              <w:rPr>
                <w:sz w:val="16"/>
                <w:szCs w:val="16"/>
              </w:rPr>
              <w:t xml:space="preserve"> </w:t>
            </w:r>
            <w:r w:rsidR="00276CE0">
              <w:rPr>
                <w:sz w:val="16"/>
                <w:szCs w:val="16"/>
              </w:rPr>
              <w:t>504</w:t>
            </w:r>
          </w:p>
        </w:tc>
        <w:tc>
          <w:tcPr>
            <w:tcW w:w="810" w:type="dxa"/>
            <w:gridSpan w:val="2"/>
            <w:vAlign w:val="bottom"/>
          </w:tcPr>
          <w:p w:rsidR="006247DF" w:rsidRPr="00E7637B" w:rsidRDefault="006247DF" w:rsidP="008333D0">
            <w:pPr>
              <w:spacing w:line="200" w:lineRule="exact"/>
              <w:jc w:val="right"/>
              <w:rPr>
                <w:sz w:val="16"/>
                <w:szCs w:val="16"/>
              </w:rPr>
            </w:pPr>
            <w:r>
              <w:rPr>
                <w:sz w:val="16"/>
                <w:szCs w:val="16"/>
              </w:rPr>
              <w:t xml:space="preserve">22 </w:t>
            </w:r>
            <w:r w:rsidR="008333D0">
              <w:rPr>
                <w:sz w:val="16"/>
                <w:szCs w:val="16"/>
              </w:rPr>
              <w:t>265</w:t>
            </w:r>
          </w:p>
        </w:tc>
        <w:tc>
          <w:tcPr>
            <w:tcW w:w="810" w:type="dxa"/>
            <w:gridSpan w:val="2"/>
            <w:vAlign w:val="bottom"/>
          </w:tcPr>
          <w:p w:rsidR="006247DF" w:rsidRPr="00E7637B" w:rsidRDefault="006247DF" w:rsidP="00F00FBA">
            <w:pPr>
              <w:spacing w:line="200" w:lineRule="exact"/>
              <w:jc w:val="right"/>
              <w:rPr>
                <w:sz w:val="16"/>
                <w:szCs w:val="16"/>
              </w:rPr>
            </w:pPr>
            <w:r>
              <w:rPr>
                <w:sz w:val="16"/>
                <w:szCs w:val="16"/>
              </w:rPr>
              <w:t>2</w:t>
            </w:r>
            <w:r w:rsidR="00F00FBA">
              <w:rPr>
                <w:sz w:val="16"/>
                <w:szCs w:val="16"/>
              </w:rPr>
              <w:t>2</w:t>
            </w:r>
            <w:r>
              <w:rPr>
                <w:sz w:val="16"/>
                <w:szCs w:val="16"/>
              </w:rPr>
              <w:t xml:space="preserve"> </w:t>
            </w:r>
            <w:r w:rsidR="00F00FBA">
              <w:rPr>
                <w:sz w:val="16"/>
                <w:szCs w:val="16"/>
              </w:rPr>
              <w:t>505</w:t>
            </w:r>
          </w:p>
        </w:tc>
        <w:tc>
          <w:tcPr>
            <w:tcW w:w="810" w:type="dxa"/>
            <w:gridSpan w:val="2"/>
            <w:vAlign w:val="bottom"/>
          </w:tcPr>
          <w:p w:rsidR="006247DF" w:rsidRPr="00E7637B" w:rsidRDefault="006247DF" w:rsidP="00F00FBA">
            <w:pPr>
              <w:spacing w:line="200" w:lineRule="exact"/>
              <w:jc w:val="right"/>
              <w:rPr>
                <w:sz w:val="16"/>
                <w:szCs w:val="16"/>
              </w:rPr>
            </w:pPr>
            <w:r w:rsidRPr="00E7637B">
              <w:rPr>
                <w:sz w:val="16"/>
                <w:szCs w:val="16"/>
              </w:rPr>
              <w:t xml:space="preserve">23 </w:t>
            </w:r>
            <w:r w:rsidR="00F00FBA">
              <w:rPr>
                <w:sz w:val="16"/>
                <w:szCs w:val="16"/>
              </w:rPr>
              <w:t>754</w:t>
            </w:r>
          </w:p>
        </w:tc>
        <w:tc>
          <w:tcPr>
            <w:tcW w:w="811" w:type="dxa"/>
            <w:gridSpan w:val="3"/>
            <w:vAlign w:val="bottom"/>
          </w:tcPr>
          <w:p w:rsidR="006247DF" w:rsidRPr="00E7637B" w:rsidRDefault="006247DF" w:rsidP="00F00FBA">
            <w:pPr>
              <w:spacing w:line="200" w:lineRule="exact"/>
              <w:jc w:val="right"/>
              <w:rPr>
                <w:sz w:val="16"/>
                <w:szCs w:val="16"/>
              </w:rPr>
            </w:pPr>
            <w:r w:rsidRPr="00E7637B">
              <w:rPr>
                <w:sz w:val="16"/>
                <w:szCs w:val="16"/>
              </w:rPr>
              <w:t>2</w:t>
            </w:r>
            <w:r w:rsidR="00F00FBA">
              <w:rPr>
                <w:sz w:val="16"/>
                <w:szCs w:val="16"/>
              </w:rPr>
              <w:t>3</w:t>
            </w:r>
            <w:r w:rsidRPr="00E7637B">
              <w:rPr>
                <w:sz w:val="16"/>
                <w:szCs w:val="16"/>
              </w:rPr>
              <w:t xml:space="preserve"> </w:t>
            </w:r>
            <w:r w:rsidR="00F00FBA">
              <w:rPr>
                <w:sz w:val="16"/>
                <w:szCs w:val="16"/>
              </w:rPr>
              <w:t>275</w:t>
            </w:r>
          </w:p>
        </w:tc>
      </w:tr>
      <w:tr w:rsidR="006247DF" w:rsidRPr="00E7637B" w:rsidTr="006247DF">
        <w:trPr>
          <w:gridAfter w:val="1"/>
          <w:wAfter w:w="24" w:type="dxa"/>
          <w:trHeight w:val="216"/>
        </w:trPr>
        <w:tc>
          <w:tcPr>
            <w:tcW w:w="253" w:type="dxa"/>
          </w:tcPr>
          <w:p w:rsidR="006247DF" w:rsidRPr="00E7637B" w:rsidRDefault="006247DF" w:rsidP="006247DF">
            <w:pPr>
              <w:spacing w:before="0" w:line="200" w:lineRule="exact"/>
              <w:jc w:val="right"/>
              <w:rPr>
                <w:sz w:val="16"/>
                <w:szCs w:val="16"/>
              </w:rPr>
            </w:pPr>
          </w:p>
        </w:tc>
        <w:tc>
          <w:tcPr>
            <w:tcW w:w="823" w:type="dxa"/>
            <w:gridSpan w:val="5"/>
          </w:tcPr>
          <w:p w:rsidR="006247DF" w:rsidRPr="00E7637B" w:rsidRDefault="006247DF" w:rsidP="006247DF">
            <w:pPr>
              <w:spacing w:before="0" w:line="200" w:lineRule="exact"/>
              <w:jc w:val="right"/>
              <w:rPr>
                <w:sz w:val="16"/>
                <w:szCs w:val="16"/>
              </w:rPr>
            </w:pPr>
          </w:p>
        </w:tc>
        <w:tc>
          <w:tcPr>
            <w:tcW w:w="598" w:type="dxa"/>
          </w:tcPr>
          <w:p w:rsidR="006247DF" w:rsidRPr="00E7637B" w:rsidRDefault="006247DF" w:rsidP="006247DF">
            <w:pPr>
              <w:spacing w:before="0" w:line="200" w:lineRule="exact"/>
              <w:jc w:val="right"/>
              <w:rPr>
                <w:sz w:val="16"/>
                <w:szCs w:val="16"/>
              </w:rPr>
            </w:pPr>
          </w:p>
        </w:tc>
        <w:tc>
          <w:tcPr>
            <w:tcW w:w="418" w:type="dxa"/>
            <w:gridSpan w:val="2"/>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1674" w:type="dxa"/>
            <w:gridSpan w:val="7"/>
          </w:tcPr>
          <w:p w:rsidR="006247DF" w:rsidRPr="00E7637B" w:rsidRDefault="006247DF" w:rsidP="006247DF">
            <w:pPr>
              <w:spacing w:line="200" w:lineRule="exact"/>
              <w:jc w:val="left"/>
              <w:rPr>
                <w:sz w:val="16"/>
                <w:szCs w:val="16"/>
              </w:rPr>
            </w:pPr>
            <w:r w:rsidRPr="00E7637B">
              <w:rPr>
                <w:b/>
                <w:sz w:val="16"/>
                <w:szCs w:val="16"/>
              </w:rPr>
              <w:t>Övriga skulder</w:t>
            </w: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1" w:type="dxa"/>
            <w:gridSpan w:val="3"/>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1674" w:type="dxa"/>
            <w:gridSpan w:val="7"/>
          </w:tcPr>
          <w:p w:rsidR="006247DF" w:rsidRPr="00E7637B" w:rsidRDefault="006247DF" w:rsidP="006247DF">
            <w:pPr>
              <w:spacing w:line="200" w:lineRule="exact"/>
              <w:rPr>
                <w:sz w:val="16"/>
                <w:szCs w:val="16"/>
              </w:rPr>
            </w:pPr>
            <w:r w:rsidRPr="00E7637B">
              <w:rPr>
                <w:sz w:val="16"/>
                <w:szCs w:val="16"/>
              </w:rPr>
              <w:t>Derivatinstrument</w:t>
            </w:r>
          </w:p>
        </w:tc>
        <w:tc>
          <w:tcPr>
            <w:tcW w:w="418" w:type="dxa"/>
            <w:gridSpan w:val="2"/>
          </w:tcPr>
          <w:p w:rsidR="006247DF" w:rsidRPr="00E7637B" w:rsidRDefault="006247DF" w:rsidP="006247DF">
            <w:pPr>
              <w:spacing w:line="200" w:lineRule="exac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262BC2" w:rsidRDefault="00276CE0" w:rsidP="00276CE0">
            <w:pPr>
              <w:spacing w:line="200" w:lineRule="exact"/>
              <w:jc w:val="right"/>
              <w:rPr>
                <w:sz w:val="16"/>
                <w:szCs w:val="16"/>
              </w:rPr>
            </w:pPr>
            <w:r>
              <w:rPr>
                <w:sz w:val="16"/>
                <w:szCs w:val="16"/>
              </w:rPr>
              <w:t>2 905</w:t>
            </w:r>
          </w:p>
        </w:tc>
        <w:tc>
          <w:tcPr>
            <w:tcW w:w="810" w:type="dxa"/>
            <w:gridSpan w:val="2"/>
          </w:tcPr>
          <w:p w:rsidR="006247DF" w:rsidRPr="00262BC2" w:rsidRDefault="008333D0" w:rsidP="008333D0">
            <w:pPr>
              <w:spacing w:line="200" w:lineRule="exact"/>
              <w:jc w:val="right"/>
              <w:rPr>
                <w:sz w:val="16"/>
                <w:szCs w:val="16"/>
              </w:rPr>
            </w:pPr>
            <w:r>
              <w:rPr>
                <w:sz w:val="16"/>
                <w:szCs w:val="16"/>
              </w:rPr>
              <w:t>197</w:t>
            </w:r>
          </w:p>
        </w:tc>
        <w:tc>
          <w:tcPr>
            <w:tcW w:w="810" w:type="dxa"/>
            <w:gridSpan w:val="2"/>
          </w:tcPr>
          <w:p w:rsidR="006247DF" w:rsidRPr="00262BC2" w:rsidRDefault="00F00FBA" w:rsidP="00F00FBA">
            <w:pPr>
              <w:spacing w:line="200" w:lineRule="exact"/>
              <w:jc w:val="right"/>
              <w:rPr>
                <w:sz w:val="16"/>
                <w:szCs w:val="16"/>
              </w:rPr>
            </w:pPr>
            <w:r w:rsidRPr="00E7637B">
              <w:rPr>
                <w:sz w:val="16"/>
                <w:szCs w:val="16"/>
              </w:rPr>
              <w:t>–</w:t>
            </w:r>
          </w:p>
        </w:tc>
        <w:tc>
          <w:tcPr>
            <w:tcW w:w="810" w:type="dxa"/>
            <w:gridSpan w:val="2"/>
          </w:tcPr>
          <w:p w:rsidR="006247DF" w:rsidRPr="00262BC2" w:rsidRDefault="00F00FBA" w:rsidP="00F00FBA">
            <w:pPr>
              <w:spacing w:line="200" w:lineRule="exact"/>
              <w:jc w:val="right"/>
              <w:rPr>
                <w:sz w:val="16"/>
                <w:szCs w:val="16"/>
              </w:rPr>
            </w:pPr>
            <w:r>
              <w:rPr>
                <w:sz w:val="16"/>
                <w:szCs w:val="16"/>
              </w:rPr>
              <w:t>943</w:t>
            </w:r>
          </w:p>
        </w:tc>
        <w:tc>
          <w:tcPr>
            <w:tcW w:w="811" w:type="dxa"/>
            <w:gridSpan w:val="3"/>
          </w:tcPr>
          <w:p w:rsidR="006247DF" w:rsidRPr="00E7637B" w:rsidRDefault="00F00FBA" w:rsidP="00F00FBA">
            <w:pPr>
              <w:spacing w:line="200" w:lineRule="exact"/>
              <w:jc w:val="right"/>
              <w:rPr>
                <w:sz w:val="16"/>
                <w:szCs w:val="16"/>
              </w:rPr>
            </w:pPr>
            <w:r>
              <w:rPr>
                <w:sz w:val="16"/>
                <w:szCs w:val="16"/>
              </w:rPr>
              <w:t>–</w:t>
            </w:r>
          </w:p>
        </w:tc>
      </w:tr>
      <w:tr w:rsidR="006247DF" w:rsidRPr="00E7637B" w:rsidTr="006247DF">
        <w:trPr>
          <w:gridAfter w:val="1"/>
          <w:wAfter w:w="24" w:type="dxa"/>
        </w:trPr>
        <w:tc>
          <w:tcPr>
            <w:tcW w:w="2092" w:type="dxa"/>
            <w:gridSpan w:val="9"/>
            <w:vAlign w:val="bottom"/>
          </w:tcPr>
          <w:p w:rsidR="006247DF" w:rsidRPr="00E7637B" w:rsidRDefault="006247DF" w:rsidP="006247DF">
            <w:pPr>
              <w:spacing w:line="200" w:lineRule="exact"/>
              <w:jc w:val="left"/>
              <w:rPr>
                <w:sz w:val="16"/>
                <w:szCs w:val="16"/>
              </w:rPr>
            </w:pPr>
            <w:r w:rsidRPr="00E7637B">
              <w:rPr>
                <w:sz w:val="16"/>
                <w:szCs w:val="16"/>
              </w:rPr>
              <w:t xml:space="preserve">Upplupna kostnader och </w:t>
            </w:r>
            <w:r w:rsidRPr="00E7637B">
              <w:rPr>
                <w:sz w:val="16"/>
                <w:szCs w:val="16"/>
              </w:rPr>
              <w:br/>
              <w:t>förutbetalda intäkter</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276CE0" w:rsidP="00276CE0">
            <w:pPr>
              <w:spacing w:line="200" w:lineRule="exact"/>
              <w:jc w:val="right"/>
              <w:rPr>
                <w:sz w:val="16"/>
                <w:szCs w:val="16"/>
              </w:rPr>
            </w:pPr>
            <w:r>
              <w:rPr>
                <w:sz w:val="16"/>
                <w:szCs w:val="16"/>
              </w:rPr>
              <w:t>1 063</w:t>
            </w:r>
          </w:p>
        </w:tc>
        <w:tc>
          <w:tcPr>
            <w:tcW w:w="810" w:type="dxa"/>
            <w:gridSpan w:val="2"/>
            <w:vAlign w:val="bottom"/>
          </w:tcPr>
          <w:p w:rsidR="006247DF" w:rsidRPr="00E7637B" w:rsidRDefault="008333D0" w:rsidP="008333D0">
            <w:pPr>
              <w:spacing w:line="200" w:lineRule="exact"/>
              <w:jc w:val="right"/>
              <w:rPr>
                <w:sz w:val="16"/>
                <w:szCs w:val="16"/>
              </w:rPr>
            </w:pPr>
            <w:r>
              <w:rPr>
                <w:sz w:val="16"/>
                <w:szCs w:val="16"/>
              </w:rPr>
              <w:t>76</w:t>
            </w:r>
            <w:r w:rsidR="006247DF">
              <w:rPr>
                <w:sz w:val="16"/>
                <w:szCs w:val="16"/>
              </w:rPr>
              <w:t>3</w:t>
            </w:r>
          </w:p>
        </w:tc>
        <w:tc>
          <w:tcPr>
            <w:tcW w:w="810" w:type="dxa"/>
            <w:gridSpan w:val="2"/>
            <w:vAlign w:val="bottom"/>
          </w:tcPr>
          <w:p w:rsidR="006247DF" w:rsidRPr="00E7637B" w:rsidRDefault="00F00FBA" w:rsidP="00F00FBA">
            <w:pPr>
              <w:spacing w:line="200" w:lineRule="exact"/>
              <w:jc w:val="right"/>
              <w:rPr>
                <w:sz w:val="16"/>
                <w:szCs w:val="16"/>
              </w:rPr>
            </w:pPr>
            <w:r>
              <w:rPr>
                <w:sz w:val="16"/>
                <w:szCs w:val="16"/>
              </w:rPr>
              <w:t>306</w:t>
            </w:r>
            <w:r w:rsidR="006247DF">
              <w:rPr>
                <w:sz w:val="16"/>
                <w:szCs w:val="16"/>
              </w:rPr>
              <w:t xml:space="preserve"> </w:t>
            </w:r>
          </w:p>
        </w:tc>
        <w:tc>
          <w:tcPr>
            <w:tcW w:w="810" w:type="dxa"/>
            <w:gridSpan w:val="2"/>
            <w:vAlign w:val="bottom"/>
          </w:tcPr>
          <w:p w:rsidR="006247DF" w:rsidRPr="00E7637B" w:rsidRDefault="00F00FBA" w:rsidP="00F00FBA">
            <w:pPr>
              <w:spacing w:line="200" w:lineRule="exact"/>
              <w:jc w:val="right"/>
              <w:rPr>
                <w:sz w:val="16"/>
                <w:szCs w:val="16"/>
              </w:rPr>
            </w:pPr>
            <w:r>
              <w:rPr>
                <w:sz w:val="16"/>
                <w:szCs w:val="16"/>
              </w:rPr>
              <w:t>252</w:t>
            </w:r>
          </w:p>
        </w:tc>
        <w:tc>
          <w:tcPr>
            <w:tcW w:w="811" w:type="dxa"/>
            <w:gridSpan w:val="3"/>
            <w:vAlign w:val="bottom"/>
          </w:tcPr>
          <w:p w:rsidR="006247DF" w:rsidRPr="00E7637B" w:rsidRDefault="00F00FBA" w:rsidP="00F00FBA">
            <w:pPr>
              <w:spacing w:line="200" w:lineRule="exact"/>
              <w:jc w:val="right"/>
              <w:rPr>
                <w:sz w:val="16"/>
                <w:szCs w:val="16"/>
              </w:rPr>
            </w:pPr>
            <w:r>
              <w:rPr>
                <w:sz w:val="16"/>
                <w:szCs w:val="16"/>
              </w:rPr>
              <w:t>488</w:t>
            </w:r>
          </w:p>
        </w:tc>
      </w:tr>
      <w:tr w:rsidR="006247DF" w:rsidRPr="00E7637B" w:rsidTr="006247DF">
        <w:trPr>
          <w:gridAfter w:val="1"/>
          <w:wAfter w:w="24" w:type="dxa"/>
          <w:trHeight w:val="216"/>
        </w:trPr>
        <w:tc>
          <w:tcPr>
            <w:tcW w:w="1076" w:type="dxa"/>
            <w:gridSpan w:val="6"/>
          </w:tcPr>
          <w:p w:rsidR="006247DF" w:rsidRPr="00E7637B" w:rsidRDefault="006247DF" w:rsidP="006247DF">
            <w:pPr>
              <w:spacing w:line="200" w:lineRule="exact"/>
              <w:rPr>
                <w:sz w:val="16"/>
                <w:szCs w:val="16"/>
              </w:rPr>
            </w:pPr>
            <w:r w:rsidRPr="00E7637B">
              <w:rPr>
                <w:sz w:val="16"/>
                <w:szCs w:val="16"/>
              </w:rPr>
              <w:t>Övriga skulder</w:t>
            </w:r>
          </w:p>
        </w:tc>
        <w:tc>
          <w:tcPr>
            <w:tcW w:w="598" w:type="dxa"/>
          </w:tcPr>
          <w:p w:rsidR="006247DF" w:rsidRPr="00E7637B" w:rsidRDefault="006247DF" w:rsidP="006247DF">
            <w:pPr>
              <w:spacing w:line="200" w:lineRule="exac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Borders>
              <w:bottom w:val="single" w:sz="6" w:space="0" w:color="auto"/>
            </w:tcBorders>
          </w:tcPr>
          <w:p w:rsidR="006247DF" w:rsidRPr="00E7637B" w:rsidRDefault="00276CE0" w:rsidP="00276CE0">
            <w:pPr>
              <w:spacing w:line="200" w:lineRule="exact"/>
              <w:jc w:val="right"/>
              <w:rPr>
                <w:sz w:val="16"/>
                <w:szCs w:val="16"/>
              </w:rPr>
            </w:pPr>
            <w:r>
              <w:rPr>
                <w:sz w:val="16"/>
                <w:szCs w:val="16"/>
              </w:rPr>
              <w:t>6</w:t>
            </w:r>
            <w:r w:rsidR="006247DF">
              <w:rPr>
                <w:sz w:val="16"/>
                <w:szCs w:val="16"/>
              </w:rPr>
              <w:t>4</w:t>
            </w:r>
          </w:p>
        </w:tc>
        <w:tc>
          <w:tcPr>
            <w:tcW w:w="810" w:type="dxa"/>
            <w:gridSpan w:val="2"/>
            <w:tcBorders>
              <w:bottom w:val="single" w:sz="6" w:space="0" w:color="auto"/>
            </w:tcBorders>
          </w:tcPr>
          <w:p w:rsidR="006247DF" w:rsidRPr="00E7637B" w:rsidRDefault="008333D0" w:rsidP="008333D0">
            <w:pPr>
              <w:spacing w:line="200" w:lineRule="exact"/>
              <w:jc w:val="right"/>
              <w:rPr>
                <w:sz w:val="16"/>
                <w:szCs w:val="16"/>
              </w:rPr>
            </w:pPr>
            <w:r>
              <w:rPr>
                <w:sz w:val="16"/>
                <w:szCs w:val="16"/>
              </w:rPr>
              <w:t>4</w:t>
            </w:r>
            <w:r w:rsidR="006247DF">
              <w:rPr>
                <w:sz w:val="16"/>
                <w:szCs w:val="16"/>
              </w:rPr>
              <w:t>8</w:t>
            </w:r>
          </w:p>
        </w:tc>
        <w:tc>
          <w:tcPr>
            <w:tcW w:w="810" w:type="dxa"/>
            <w:gridSpan w:val="2"/>
            <w:tcBorders>
              <w:bottom w:val="single" w:sz="6" w:space="0" w:color="auto"/>
            </w:tcBorders>
          </w:tcPr>
          <w:p w:rsidR="006247DF" w:rsidRPr="00E7637B" w:rsidRDefault="00F00FBA" w:rsidP="00F00FBA">
            <w:pPr>
              <w:spacing w:line="200" w:lineRule="exact"/>
              <w:jc w:val="right"/>
              <w:rPr>
                <w:sz w:val="16"/>
                <w:szCs w:val="16"/>
              </w:rPr>
            </w:pPr>
            <w:r>
              <w:rPr>
                <w:sz w:val="16"/>
                <w:szCs w:val="16"/>
              </w:rPr>
              <w:t>7</w:t>
            </w:r>
            <w:r w:rsidR="006247DF">
              <w:rPr>
                <w:sz w:val="16"/>
                <w:szCs w:val="16"/>
              </w:rPr>
              <w:t>8</w:t>
            </w:r>
          </w:p>
        </w:tc>
        <w:tc>
          <w:tcPr>
            <w:tcW w:w="810" w:type="dxa"/>
            <w:gridSpan w:val="2"/>
            <w:tcBorders>
              <w:bottom w:val="single" w:sz="6" w:space="0" w:color="auto"/>
            </w:tcBorders>
          </w:tcPr>
          <w:p w:rsidR="006247DF" w:rsidRPr="00E7637B" w:rsidRDefault="00F00FBA" w:rsidP="00F00FBA">
            <w:pPr>
              <w:spacing w:line="200" w:lineRule="exact"/>
              <w:jc w:val="right"/>
              <w:rPr>
                <w:sz w:val="16"/>
                <w:szCs w:val="16"/>
              </w:rPr>
            </w:pPr>
            <w:r>
              <w:rPr>
                <w:sz w:val="16"/>
                <w:szCs w:val="16"/>
              </w:rPr>
              <w:t>88</w:t>
            </w:r>
          </w:p>
        </w:tc>
        <w:tc>
          <w:tcPr>
            <w:tcW w:w="811" w:type="dxa"/>
            <w:gridSpan w:val="3"/>
            <w:tcBorders>
              <w:bottom w:val="single" w:sz="6" w:space="0" w:color="auto"/>
            </w:tcBorders>
          </w:tcPr>
          <w:p w:rsidR="006247DF" w:rsidRPr="00E7637B" w:rsidRDefault="00F00FBA" w:rsidP="00F00FBA">
            <w:pPr>
              <w:spacing w:line="200" w:lineRule="exact"/>
              <w:jc w:val="right"/>
              <w:rPr>
                <w:sz w:val="16"/>
                <w:szCs w:val="16"/>
              </w:rPr>
            </w:pPr>
            <w:r>
              <w:rPr>
                <w:sz w:val="16"/>
                <w:szCs w:val="16"/>
              </w:rPr>
              <w:t>47</w:t>
            </w:r>
          </w:p>
        </w:tc>
      </w:tr>
      <w:tr w:rsidR="006247DF" w:rsidRPr="00E7637B" w:rsidTr="006247DF">
        <w:trPr>
          <w:gridAfter w:val="1"/>
          <w:wAfter w:w="24" w:type="dxa"/>
          <w:trHeight w:val="216"/>
        </w:trPr>
        <w:tc>
          <w:tcPr>
            <w:tcW w:w="253" w:type="dxa"/>
          </w:tcPr>
          <w:p w:rsidR="006247DF" w:rsidRPr="00E7637B" w:rsidRDefault="006247DF" w:rsidP="006247DF">
            <w:pPr>
              <w:spacing w:line="200" w:lineRule="exact"/>
              <w:jc w:val="right"/>
              <w:rPr>
                <w:sz w:val="16"/>
                <w:szCs w:val="16"/>
              </w:rPr>
            </w:pPr>
          </w:p>
        </w:tc>
        <w:tc>
          <w:tcPr>
            <w:tcW w:w="823" w:type="dxa"/>
            <w:gridSpan w:val="5"/>
          </w:tcPr>
          <w:p w:rsidR="006247DF" w:rsidRPr="00E7637B" w:rsidRDefault="006247DF" w:rsidP="006247DF">
            <w:pPr>
              <w:spacing w:line="200" w:lineRule="exact"/>
              <w:jc w:val="right"/>
              <w:rPr>
                <w:sz w:val="16"/>
                <w:szCs w:val="16"/>
              </w:rPr>
            </w:pPr>
          </w:p>
        </w:tc>
        <w:tc>
          <w:tcPr>
            <w:tcW w:w="598" w:type="dxa"/>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4 032</w:t>
            </w:r>
          </w:p>
        </w:tc>
        <w:tc>
          <w:tcPr>
            <w:tcW w:w="810" w:type="dxa"/>
            <w:gridSpan w:val="2"/>
          </w:tcPr>
          <w:p w:rsidR="006247DF" w:rsidRPr="00E7637B" w:rsidRDefault="008333D0" w:rsidP="008333D0">
            <w:pPr>
              <w:spacing w:line="200" w:lineRule="exact"/>
              <w:jc w:val="right"/>
              <w:rPr>
                <w:sz w:val="16"/>
                <w:szCs w:val="16"/>
              </w:rPr>
            </w:pPr>
            <w:r>
              <w:rPr>
                <w:sz w:val="16"/>
                <w:szCs w:val="16"/>
              </w:rPr>
              <w:t>1 008</w:t>
            </w:r>
          </w:p>
        </w:tc>
        <w:tc>
          <w:tcPr>
            <w:tcW w:w="810" w:type="dxa"/>
            <w:gridSpan w:val="2"/>
          </w:tcPr>
          <w:p w:rsidR="006247DF" w:rsidRPr="00E7637B" w:rsidRDefault="006247DF" w:rsidP="00F00FBA">
            <w:pPr>
              <w:spacing w:line="200" w:lineRule="exact"/>
              <w:jc w:val="right"/>
              <w:rPr>
                <w:sz w:val="16"/>
                <w:szCs w:val="16"/>
              </w:rPr>
            </w:pPr>
            <w:r>
              <w:rPr>
                <w:sz w:val="16"/>
                <w:szCs w:val="16"/>
              </w:rPr>
              <w:t xml:space="preserve"> </w:t>
            </w:r>
            <w:r w:rsidR="00F00FBA">
              <w:rPr>
                <w:sz w:val="16"/>
                <w:szCs w:val="16"/>
              </w:rPr>
              <w:t>384</w:t>
            </w:r>
          </w:p>
        </w:tc>
        <w:tc>
          <w:tcPr>
            <w:tcW w:w="810" w:type="dxa"/>
            <w:gridSpan w:val="2"/>
          </w:tcPr>
          <w:p w:rsidR="006247DF" w:rsidRPr="00E7637B" w:rsidRDefault="00F00FBA" w:rsidP="00F00FBA">
            <w:pPr>
              <w:spacing w:line="200" w:lineRule="exact"/>
              <w:jc w:val="right"/>
              <w:rPr>
                <w:sz w:val="16"/>
                <w:szCs w:val="16"/>
              </w:rPr>
            </w:pPr>
            <w:r>
              <w:rPr>
                <w:sz w:val="16"/>
                <w:szCs w:val="16"/>
              </w:rPr>
              <w:t>1 283</w:t>
            </w:r>
          </w:p>
        </w:tc>
        <w:tc>
          <w:tcPr>
            <w:tcW w:w="811" w:type="dxa"/>
            <w:gridSpan w:val="3"/>
          </w:tcPr>
          <w:p w:rsidR="006247DF" w:rsidRPr="00E7637B" w:rsidRDefault="00F00FBA" w:rsidP="00F00FBA">
            <w:pPr>
              <w:spacing w:line="200" w:lineRule="exact"/>
              <w:jc w:val="right"/>
              <w:rPr>
                <w:sz w:val="16"/>
                <w:szCs w:val="16"/>
              </w:rPr>
            </w:pPr>
            <w:r>
              <w:rPr>
                <w:sz w:val="16"/>
                <w:szCs w:val="16"/>
              </w:rPr>
              <w:t>535</w:t>
            </w:r>
          </w:p>
        </w:tc>
      </w:tr>
      <w:tr w:rsidR="006247DF" w:rsidRPr="00E7637B" w:rsidTr="006247DF">
        <w:trPr>
          <w:gridAfter w:val="1"/>
          <w:wAfter w:w="24" w:type="dxa"/>
          <w:trHeight w:val="216"/>
        </w:trPr>
        <w:tc>
          <w:tcPr>
            <w:tcW w:w="2092" w:type="dxa"/>
            <w:gridSpan w:val="9"/>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Height w:val="216"/>
        </w:trPr>
        <w:tc>
          <w:tcPr>
            <w:tcW w:w="2092" w:type="dxa"/>
            <w:gridSpan w:val="9"/>
          </w:tcPr>
          <w:p w:rsidR="006247DF" w:rsidRPr="00E7637B" w:rsidRDefault="006247DF" w:rsidP="006247DF">
            <w:pPr>
              <w:spacing w:line="200" w:lineRule="exact"/>
              <w:rPr>
                <w:b/>
                <w:sz w:val="16"/>
                <w:szCs w:val="16"/>
              </w:rPr>
            </w:pPr>
            <w:r w:rsidRPr="00E7637B">
              <w:rPr>
                <w:b/>
                <w:sz w:val="16"/>
                <w:szCs w:val="16"/>
              </w:rPr>
              <w:t>Avsättningar</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112</w:t>
            </w:r>
          </w:p>
        </w:tc>
        <w:tc>
          <w:tcPr>
            <w:tcW w:w="810" w:type="dxa"/>
            <w:gridSpan w:val="2"/>
          </w:tcPr>
          <w:p w:rsidR="006247DF" w:rsidRPr="00E7637B" w:rsidRDefault="006247DF" w:rsidP="008333D0">
            <w:pPr>
              <w:spacing w:line="200" w:lineRule="exact"/>
              <w:jc w:val="right"/>
              <w:rPr>
                <w:sz w:val="16"/>
                <w:szCs w:val="16"/>
              </w:rPr>
            </w:pPr>
            <w:r>
              <w:rPr>
                <w:sz w:val="16"/>
                <w:szCs w:val="16"/>
              </w:rPr>
              <w:t>1</w:t>
            </w:r>
            <w:r w:rsidR="008333D0">
              <w:rPr>
                <w:sz w:val="16"/>
                <w:szCs w:val="16"/>
              </w:rPr>
              <w:t>69</w:t>
            </w:r>
          </w:p>
        </w:tc>
        <w:tc>
          <w:tcPr>
            <w:tcW w:w="810" w:type="dxa"/>
            <w:gridSpan w:val="2"/>
          </w:tcPr>
          <w:p w:rsidR="006247DF" w:rsidRPr="00E7637B" w:rsidRDefault="00F00FBA" w:rsidP="00F00FBA">
            <w:pPr>
              <w:spacing w:line="200" w:lineRule="exact"/>
              <w:jc w:val="right"/>
              <w:rPr>
                <w:sz w:val="16"/>
                <w:szCs w:val="16"/>
              </w:rPr>
            </w:pPr>
            <w:r>
              <w:rPr>
                <w:sz w:val="16"/>
                <w:szCs w:val="16"/>
              </w:rPr>
              <w:t>184</w:t>
            </w:r>
          </w:p>
        </w:tc>
        <w:tc>
          <w:tcPr>
            <w:tcW w:w="810" w:type="dxa"/>
            <w:gridSpan w:val="2"/>
          </w:tcPr>
          <w:p w:rsidR="006247DF" w:rsidRPr="00E7637B" w:rsidRDefault="006247DF" w:rsidP="00F00FBA">
            <w:pPr>
              <w:spacing w:line="200" w:lineRule="exact"/>
              <w:jc w:val="right"/>
              <w:rPr>
                <w:sz w:val="16"/>
                <w:szCs w:val="16"/>
              </w:rPr>
            </w:pPr>
            <w:r w:rsidRPr="00E7637B">
              <w:rPr>
                <w:sz w:val="16"/>
                <w:szCs w:val="16"/>
              </w:rPr>
              <w:t>2</w:t>
            </w:r>
            <w:r w:rsidR="00F00FBA">
              <w:rPr>
                <w:sz w:val="16"/>
                <w:szCs w:val="16"/>
              </w:rPr>
              <w:t>03</w:t>
            </w:r>
          </w:p>
        </w:tc>
        <w:tc>
          <w:tcPr>
            <w:tcW w:w="811" w:type="dxa"/>
            <w:gridSpan w:val="3"/>
          </w:tcPr>
          <w:p w:rsidR="006247DF" w:rsidRPr="00E7637B" w:rsidRDefault="006247DF" w:rsidP="00F00FBA">
            <w:pPr>
              <w:spacing w:line="200" w:lineRule="exact"/>
              <w:jc w:val="right"/>
              <w:rPr>
                <w:sz w:val="16"/>
                <w:szCs w:val="16"/>
              </w:rPr>
            </w:pPr>
            <w:r w:rsidRPr="00E7637B">
              <w:rPr>
                <w:sz w:val="16"/>
                <w:szCs w:val="16"/>
              </w:rPr>
              <w:t>2</w:t>
            </w:r>
            <w:r w:rsidR="00F00FBA">
              <w:rPr>
                <w:sz w:val="16"/>
                <w:szCs w:val="16"/>
              </w:rPr>
              <w:t>20</w:t>
            </w:r>
          </w:p>
        </w:tc>
      </w:tr>
      <w:tr w:rsidR="006247DF" w:rsidRPr="00E7637B" w:rsidTr="006247DF">
        <w:trPr>
          <w:gridAfter w:val="1"/>
          <w:wAfter w:w="24" w:type="dxa"/>
          <w:trHeight w:val="216"/>
        </w:trPr>
        <w:tc>
          <w:tcPr>
            <w:tcW w:w="2092" w:type="dxa"/>
            <w:gridSpan w:val="9"/>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2"/>
          <w:wAfter w:w="30" w:type="dxa"/>
          <w:trHeight w:val="216"/>
        </w:trPr>
        <w:tc>
          <w:tcPr>
            <w:tcW w:w="2092" w:type="dxa"/>
            <w:gridSpan w:val="9"/>
          </w:tcPr>
          <w:p w:rsidR="006247DF" w:rsidRPr="00E7637B" w:rsidRDefault="006247DF" w:rsidP="006247DF">
            <w:pPr>
              <w:spacing w:line="200" w:lineRule="exact"/>
              <w:rPr>
                <w:b/>
                <w:sz w:val="16"/>
                <w:szCs w:val="16"/>
              </w:rPr>
            </w:pPr>
            <w:r w:rsidRPr="00E7637B">
              <w:rPr>
                <w:b/>
                <w:sz w:val="16"/>
                <w:szCs w:val="16"/>
              </w:rPr>
              <w:t>Värderegleringskonton</w:t>
            </w: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276CE0" w:rsidP="00276CE0">
            <w:pPr>
              <w:spacing w:line="200" w:lineRule="exact"/>
              <w:jc w:val="right"/>
              <w:rPr>
                <w:sz w:val="16"/>
                <w:szCs w:val="16"/>
              </w:rPr>
            </w:pPr>
            <w:r>
              <w:rPr>
                <w:sz w:val="16"/>
                <w:szCs w:val="16"/>
              </w:rPr>
              <w:t>53</w:t>
            </w:r>
            <w:r w:rsidR="006247DF">
              <w:rPr>
                <w:sz w:val="16"/>
                <w:szCs w:val="16"/>
              </w:rPr>
              <w:t xml:space="preserve"> </w:t>
            </w:r>
            <w:r>
              <w:rPr>
                <w:sz w:val="16"/>
                <w:szCs w:val="16"/>
              </w:rPr>
              <w:t>111</w:t>
            </w:r>
          </w:p>
        </w:tc>
        <w:tc>
          <w:tcPr>
            <w:tcW w:w="810" w:type="dxa"/>
            <w:gridSpan w:val="2"/>
          </w:tcPr>
          <w:p w:rsidR="006247DF" w:rsidRPr="00E7637B" w:rsidRDefault="008333D0" w:rsidP="008333D0">
            <w:pPr>
              <w:spacing w:line="200" w:lineRule="exact"/>
              <w:jc w:val="right"/>
              <w:rPr>
                <w:sz w:val="16"/>
                <w:szCs w:val="16"/>
              </w:rPr>
            </w:pPr>
            <w:r>
              <w:rPr>
                <w:sz w:val="16"/>
                <w:szCs w:val="16"/>
              </w:rPr>
              <w:t>25</w:t>
            </w:r>
            <w:r w:rsidR="006247DF">
              <w:rPr>
                <w:sz w:val="16"/>
                <w:szCs w:val="16"/>
              </w:rPr>
              <w:t xml:space="preserve"> </w:t>
            </w:r>
            <w:r>
              <w:rPr>
                <w:sz w:val="16"/>
                <w:szCs w:val="16"/>
              </w:rPr>
              <w:t>677</w:t>
            </w:r>
          </w:p>
        </w:tc>
        <w:tc>
          <w:tcPr>
            <w:tcW w:w="810" w:type="dxa"/>
            <w:gridSpan w:val="2"/>
          </w:tcPr>
          <w:p w:rsidR="006247DF" w:rsidRPr="00E7637B" w:rsidRDefault="006247DF" w:rsidP="00F00FBA">
            <w:pPr>
              <w:spacing w:line="200" w:lineRule="exact"/>
              <w:jc w:val="right"/>
              <w:rPr>
                <w:sz w:val="16"/>
                <w:szCs w:val="16"/>
              </w:rPr>
            </w:pPr>
            <w:r>
              <w:rPr>
                <w:sz w:val="16"/>
                <w:szCs w:val="16"/>
              </w:rPr>
              <w:t>4</w:t>
            </w:r>
            <w:r w:rsidR="00F00FBA">
              <w:rPr>
                <w:sz w:val="16"/>
                <w:szCs w:val="16"/>
              </w:rPr>
              <w:t>3</w:t>
            </w:r>
            <w:r>
              <w:rPr>
                <w:sz w:val="16"/>
                <w:szCs w:val="16"/>
              </w:rPr>
              <w:t xml:space="preserve"> </w:t>
            </w:r>
            <w:r w:rsidR="00F00FBA">
              <w:rPr>
                <w:sz w:val="16"/>
                <w:szCs w:val="16"/>
              </w:rPr>
              <w:t>363</w:t>
            </w:r>
          </w:p>
        </w:tc>
        <w:tc>
          <w:tcPr>
            <w:tcW w:w="810" w:type="dxa"/>
            <w:gridSpan w:val="2"/>
          </w:tcPr>
          <w:p w:rsidR="006247DF" w:rsidRPr="00E7637B" w:rsidRDefault="00F00FBA" w:rsidP="00F00FBA">
            <w:pPr>
              <w:spacing w:line="200" w:lineRule="exact"/>
              <w:jc w:val="right"/>
              <w:rPr>
                <w:sz w:val="16"/>
                <w:szCs w:val="16"/>
              </w:rPr>
            </w:pPr>
            <w:r>
              <w:rPr>
                <w:sz w:val="16"/>
                <w:szCs w:val="16"/>
              </w:rPr>
              <w:t>48</w:t>
            </w:r>
            <w:r w:rsidR="006247DF" w:rsidRPr="00E7637B">
              <w:rPr>
                <w:sz w:val="16"/>
                <w:szCs w:val="16"/>
              </w:rPr>
              <w:t xml:space="preserve"> </w:t>
            </w:r>
            <w:r>
              <w:rPr>
                <w:sz w:val="16"/>
                <w:szCs w:val="16"/>
              </w:rPr>
              <w:t>356</w:t>
            </w:r>
          </w:p>
        </w:tc>
        <w:tc>
          <w:tcPr>
            <w:tcW w:w="805" w:type="dxa"/>
            <w:gridSpan w:val="2"/>
          </w:tcPr>
          <w:p w:rsidR="006247DF" w:rsidRPr="00E7637B" w:rsidRDefault="006247DF" w:rsidP="00F00FBA">
            <w:pPr>
              <w:spacing w:line="200" w:lineRule="exact"/>
              <w:jc w:val="right"/>
              <w:rPr>
                <w:sz w:val="16"/>
                <w:szCs w:val="16"/>
              </w:rPr>
            </w:pPr>
            <w:r w:rsidRPr="00E7637B">
              <w:rPr>
                <w:sz w:val="16"/>
                <w:szCs w:val="16"/>
              </w:rPr>
              <w:t>3</w:t>
            </w:r>
            <w:r w:rsidR="00F00FBA">
              <w:rPr>
                <w:sz w:val="16"/>
                <w:szCs w:val="16"/>
              </w:rPr>
              <w:t>5</w:t>
            </w:r>
            <w:r w:rsidRPr="00E7637B">
              <w:rPr>
                <w:sz w:val="16"/>
                <w:szCs w:val="16"/>
              </w:rPr>
              <w:t xml:space="preserve"> </w:t>
            </w:r>
            <w:r w:rsidR="00F00FBA">
              <w:rPr>
                <w:sz w:val="16"/>
                <w:szCs w:val="16"/>
              </w:rPr>
              <w:t>102</w:t>
            </w:r>
          </w:p>
        </w:tc>
      </w:tr>
      <w:tr w:rsidR="006247DF" w:rsidRPr="00E7637B" w:rsidTr="006247DF">
        <w:trPr>
          <w:gridAfter w:val="1"/>
          <w:wAfter w:w="24" w:type="dxa"/>
          <w:trHeight w:val="216"/>
        </w:trPr>
        <w:tc>
          <w:tcPr>
            <w:tcW w:w="2092" w:type="dxa"/>
            <w:gridSpan w:val="9"/>
          </w:tcPr>
          <w:p w:rsidR="006247DF" w:rsidRDefault="006247DF" w:rsidP="006247DF">
            <w:pPr>
              <w:spacing w:before="0" w:line="200" w:lineRule="exact"/>
              <w:jc w:val="right"/>
              <w:rPr>
                <w:sz w:val="16"/>
                <w:szCs w:val="16"/>
              </w:rPr>
            </w:pPr>
          </w:p>
          <w:p w:rsidR="006247DF" w:rsidRDefault="006247DF" w:rsidP="006247DF">
            <w:pPr>
              <w:pStyle w:val="Normaltindrag"/>
            </w:pPr>
          </w:p>
          <w:p w:rsidR="0086335D" w:rsidRDefault="0086335D" w:rsidP="006247DF">
            <w:pPr>
              <w:pStyle w:val="Normaltindrag"/>
            </w:pPr>
          </w:p>
          <w:p w:rsidR="006247DF" w:rsidRPr="00DB4ADF" w:rsidRDefault="006247DF" w:rsidP="006247DF">
            <w:pPr>
              <w:pStyle w:val="Normaltindrag"/>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Pr>
        <w:tc>
          <w:tcPr>
            <w:tcW w:w="253" w:type="dxa"/>
            <w:tcBorders>
              <w:bottom w:val="single" w:sz="4" w:space="0" w:color="auto"/>
            </w:tcBorders>
          </w:tcPr>
          <w:p w:rsidR="006247DF" w:rsidRPr="00E7637B" w:rsidRDefault="006247DF" w:rsidP="006247DF">
            <w:pPr>
              <w:spacing w:before="0" w:line="160" w:lineRule="exact"/>
              <w:jc w:val="right"/>
              <w:rPr>
                <w:sz w:val="16"/>
                <w:szCs w:val="16"/>
              </w:rPr>
            </w:pPr>
          </w:p>
        </w:tc>
        <w:tc>
          <w:tcPr>
            <w:tcW w:w="631"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790" w:type="dxa"/>
            <w:gridSpan w:val="4"/>
            <w:tcBorders>
              <w:bottom w:val="single" w:sz="4" w:space="0" w:color="auto"/>
            </w:tcBorders>
          </w:tcPr>
          <w:p w:rsidR="006247DF" w:rsidRPr="00E7637B" w:rsidRDefault="006247DF" w:rsidP="006247DF">
            <w:pPr>
              <w:spacing w:before="0" w:line="160" w:lineRule="exact"/>
              <w:jc w:val="right"/>
              <w:rPr>
                <w:sz w:val="16"/>
                <w:szCs w:val="16"/>
              </w:rPr>
            </w:pPr>
          </w:p>
        </w:tc>
        <w:tc>
          <w:tcPr>
            <w:tcW w:w="418"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125" w:type="dxa"/>
            <w:gridSpan w:val="2"/>
            <w:tcBorders>
              <w:bottom w:val="single" w:sz="4" w:space="0" w:color="auto"/>
            </w:tcBorders>
          </w:tcPr>
          <w:p w:rsidR="006247DF" w:rsidRPr="00E7637B" w:rsidRDefault="006247DF" w:rsidP="006247DF">
            <w:pPr>
              <w:spacing w:before="0" w:line="160" w:lineRule="exact"/>
              <w:jc w:val="right"/>
              <w:rPr>
                <w:sz w:val="16"/>
                <w:szCs w:val="16"/>
              </w:rPr>
            </w:pPr>
          </w:p>
        </w:tc>
        <w:tc>
          <w:tcPr>
            <w:tcW w:w="812" w:type="dxa"/>
            <w:gridSpan w:val="2"/>
            <w:tcBorders>
              <w:bottom w:val="single" w:sz="4" w:space="0" w:color="auto"/>
            </w:tcBorders>
          </w:tcPr>
          <w:p w:rsidR="006247DF" w:rsidRPr="00E7637B" w:rsidRDefault="006247DF" w:rsidP="00C81359">
            <w:pPr>
              <w:spacing w:line="200" w:lineRule="exact"/>
              <w:rPr>
                <w:b/>
                <w:sz w:val="16"/>
                <w:szCs w:val="16"/>
              </w:rPr>
            </w:pPr>
            <w:r>
              <w:rPr>
                <w:b/>
                <w:sz w:val="16"/>
                <w:szCs w:val="16"/>
              </w:rPr>
              <w:t>201</w:t>
            </w:r>
            <w:r w:rsidR="00C81359">
              <w:rPr>
                <w:b/>
                <w:sz w:val="16"/>
                <w:szCs w:val="16"/>
              </w:rPr>
              <w:t>4</w:t>
            </w:r>
            <w:r>
              <w:rPr>
                <w:b/>
                <w:sz w:val="16"/>
                <w:szCs w:val="16"/>
              </w:rPr>
              <w:t>-12-31</w:t>
            </w:r>
          </w:p>
        </w:tc>
        <w:tc>
          <w:tcPr>
            <w:tcW w:w="810" w:type="dxa"/>
            <w:gridSpan w:val="2"/>
            <w:tcBorders>
              <w:bottom w:val="single" w:sz="4" w:space="0" w:color="auto"/>
            </w:tcBorders>
          </w:tcPr>
          <w:p w:rsidR="006247DF" w:rsidRPr="00E7637B" w:rsidRDefault="006247DF" w:rsidP="00FA0017">
            <w:pPr>
              <w:spacing w:line="200" w:lineRule="exact"/>
              <w:rPr>
                <w:b/>
                <w:sz w:val="16"/>
                <w:szCs w:val="16"/>
              </w:rPr>
            </w:pPr>
            <w:r>
              <w:rPr>
                <w:b/>
                <w:sz w:val="16"/>
                <w:szCs w:val="16"/>
              </w:rPr>
              <w:t>201</w:t>
            </w:r>
            <w:r w:rsidR="00FA0017">
              <w:rPr>
                <w:b/>
                <w:sz w:val="16"/>
                <w:szCs w:val="16"/>
              </w:rPr>
              <w:t>3</w:t>
            </w:r>
            <w:r w:rsidRPr="00E7637B">
              <w:rPr>
                <w:b/>
                <w:sz w:val="16"/>
                <w:szCs w:val="16"/>
              </w:rPr>
              <w:t>-12-31</w:t>
            </w:r>
          </w:p>
        </w:tc>
        <w:tc>
          <w:tcPr>
            <w:tcW w:w="810" w:type="dxa"/>
            <w:gridSpan w:val="2"/>
            <w:tcBorders>
              <w:bottom w:val="single" w:sz="4" w:space="0" w:color="auto"/>
            </w:tcBorders>
          </w:tcPr>
          <w:p w:rsidR="006247DF" w:rsidRPr="00E7637B" w:rsidRDefault="006247DF" w:rsidP="0004513D">
            <w:pPr>
              <w:spacing w:line="200" w:lineRule="exact"/>
              <w:rPr>
                <w:b/>
                <w:sz w:val="16"/>
                <w:szCs w:val="16"/>
              </w:rPr>
            </w:pPr>
            <w:r w:rsidRPr="00E7637B">
              <w:rPr>
                <w:b/>
                <w:sz w:val="16"/>
                <w:szCs w:val="16"/>
              </w:rPr>
              <w:t>20</w:t>
            </w:r>
            <w:r>
              <w:rPr>
                <w:b/>
                <w:sz w:val="16"/>
                <w:szCs w:val="16"/>
              </w:rPr>
              <w:t>1</w:t>
            </w:r>
            <w:r w:rsidR="0004513D">
              <w:rPr>
                <w:b/>
                <w:sz w:val="16"/>
                <w:szCs w:val="16"/>
              </w:rPr>
              <w:t>2</w:t>
            </w:r>
            <w:r w:rsidRPr="00E7637B">
              <w:rPr>
                <w:b/>
                <w:sz w:val="16"/>
                <w:szCs w:val="16"/>
              </w:rPr>
              <w:t>-12-31</w:t>
            </w:r>
          </w:p>
        </w:tc>
        <w:tc>
          <w:tcPr>
            <w:tcW w:w="810" w:type="dxa"/>
            <w:gridSpan w:val="2"/>
            <w:tcBorders>
              <w:bottom w:val="single" w:sz="4" w:space="0" w:color="auto"/>
            </w:tcBorders>
          </w:tcPr>
          <w:p w:rsidR="006247DF" w:rsidRPr="00E7637B" w:rsidRDefault="006247DF" w:rsidP="0004513D">
            <w:pPr>
              <w:spacing w:line="200" w:lineRule="exact"/>
              <w:rPr>
                <w:b/>
                <w:sz w:val="16"/>
                <w:szCs w:val="16"/>
              </w:rPr>
            </w:pPr>
            <w:r>
              <w:rPr>
                <w:b/>
                <w:sz w:val="16"/>
                <w:szCs w:val="16"/>
              </w:rPr>
              <w:t>201</w:t>
            </w:r>
            <w:r w:rsidR="0004513D">
              <w:rPr>
                <w:b/>
                <w:sz w:val="16"/>
                <w:szCs w:val="16"/>
              </w:rPr>
              <w:t>1</w:t>
            </w:r>
            <w:r w:rsidRPr="00E7637B">
              <w:rPr>
                <w:b/>
                <w:sz w:val="16"/>
                <w:szCs w:val="16"/>
              </w:rPr>
              <w:t>-12-31</w:t>
            </w:r>
          </w:p>
        </w:tc>
        <w:tc>
          <w:tcPr>
            <w:tcW w:w="811" w:type="dxa"/>
            <w:gridSpan w:val="3"/>
            <w:tcBorders>
              <w:bottom w:val="single" w:sz="4" w:space="0" w:color="auto"/>
            </w:tcBorders>
          </w:tcPr>
          <w:p w:rsidR="006247DF" w:rsidRPr="00E7637B" w:rsidRDefault="006247DF" w:rsidP="0004513D">
            <w:pPr>
              <w:spacing w:line="200" w:lineRule="exact"/>
              <w:rPr>
                <w:b/>
                <w:sz w:val="16"/>
                <w:szCs w:val="16"/>
              </w:rPr>
            </w:pPr>
            <w:r w:rsidRPr="00E7637B">
              <w:rPr>
                <w:b/>
                <w:sz w:val="16"/>
                <w:szCs w:val="16"/>
              </w:rPr>
              <w:t>20</w:t>
            </w:r>
            <w:r w:rsidR="0004513D">
              <w:rPr>
                <w:b/>
                <w:sz w:val="16"/>
                <w:szCs w:val="16"/>
              </w:rPr>
              <w:t>1</w:t>
            </w:r>
            <w:r w:rsidRPr="00E7637B">
              <w:rPr>
                <w:b/>
                <w:sz w:val="16"/>
                <w:szCs w:val="16"/>
              </w:rPr>
              <w:t>0-12-31</w:t>
            </w:r>
          </w:p>
        </w:tc>
      </w:tr>
      <w:tr w:rsidR="006247DF" w:rsidRPr="00E7637B" w:rsidTr="006247DF">
        <w:trPr>
          <w:gridAfter w:val="1"/>
          <w:wAfter w:w="24" w:type="dxa"/>
          <w:trHeight w:val="216"/>
        </w:trPr>
        <w:tc>
          <w:tcPr>
            <w:tcW w:w="2092" w:type="dxa"/>
            <w:gridSpan w:val="9"/>
            <w:tcBorders>
              <w:top w:val="single" w:sz="4" w:space="0" w:color="auto"/>
            </w:tcBorders>
          </w:tcPr>
          <w:p w:rsidR="006247DF" w:rsidRPr="00E7637B" w:rsidRDefault="006247DF" w:rsidP="006247DF">
            <w:pPr>
              <w:spacing w:line="200" w:lineRule="exact"/>
              <w:rPr>
                <w:b/>
                <w:sz w:val="16"/>
                <w:szCs w:val="16"/>
              </w:rPr>
            </w:pPr>
            <w:r w:rsidRPr="00E7637B">
              <w:rPr>
                <w:b/>
                <w:sz w:val="16"/>
                <w:szCs w:val="16"/>
              </w:rPr>
              <w:t>Eget kapital</w:t>
            </w:r>
          </w:p>
        </w:tc>
        <w:tc>
          <w:tcPr>
            <w:tcW w:w="125"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2"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0" w:type="dxa"/>
            <w:gridSpan w:val="2"/>
            <w:tcBorders>
              <w:top w:val="single" w:sz="4" w:space="0" w:color="auto"/>
            </w:tcBorders>
          </w:tcPr>
          <w:p w:rsidR="006247DF" w:rsidRPr="00E7637B" w:rsidRDefault="006247DF" w:rsidP="006247DF">
            <w:pPr>
              <w:spacing w:line="200" w:lineRule="exact"/>
              <w:jc w:val="right"/>
              <w:rPr>
                <w:sz w:val="16"/>
                <w:szCs w:val="16"/>
              </w:rPr>
            </w:pPr>
          </w:p>
        </w:tc>
        <w:tc>
          <w:tcPr>
            <w:tcW w:w="811" w:type="dxa"/>
            <w:gridSpan w:val="3"/>
            <w:tcBorders>
              <w:top w:val="single" w:sz="4" w:space="0" w:color="auto"/>
            </w:tcBorders>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1674" w:type="dxa"/>
            <w:gridSpan w:val="7"/>
          </w:tcPr>
          <w:p w:rsidR="006247DF" w:rsidRPr="00E7637B" w:rsidRDefault="006247DF" w:rsidP="006247DF">
            <w:pPr>
              <w:spacing w:line="200" w:lineRule="exact"/>
              <w:rPr>
                <w:sz w:val="16"/>
                <w:szCs w:val="16"/>
              </w:rPr>
            </w:pPr>
            <w:r w:rsidRPr="00E7637B">
              <w:rPr>
                <w:sz w:val="16"/>
                <w:szCs w:val="16"/>
              </w:rPr>
              <w:t>Grundfond</w:t>
            </w: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6247DF">
            <w:pPr>
              <w:spacing w:line="200" w:lineRule="exact"/>
              <w:jc w:val="right"/>
              <w:rPr>
                <w:sz w:val="16"/>
                <w:szCs w:val="16"/>
              </w:rPr>
            </w:pPr>
            <w:r>
              <w:rPr>
                <w:sz w:val="16"/>
                <w:szCs w:val="16"/>
              </w:rPr>
              <w:t>1 000</w:t>
            </w:r>
          </w:p>
        </w:tc>
        <w:tc>
          <w:tcPr>
            <w:tcW w:w="810" w:type="dxa"/>
            <w:gridSpan w:val="2"/>
          </w:tcPr>
          <w:p w:rsidR="006247DF" w:rsidRPr="00E7637B" w:rsidRDefault="006247DF" w:rsidP="006247DF">
            <w:pPr>
              <w:spacing w:line="200" w:lineRule="exact"/>
              <w:jc w:val="right"/>
              <w:rPr>
                <w:sz w:val="16"/>
                <w:szCs w:val="16"/>
              </w:rPr>
            </w:pPr>
            <w:r w:rsidRPr="00E7637B">
              <w:rPr>
                <w:sz w:val="16"/>
                <w:szCs w:val="16"/>
              </w:rPr>
              <w:t>1 000</w:t>
            </w:r>
          </w:p>
        </w:tc>
        <w:tc>
          <w:tcPr>
            <w:tcW w:w="810" w:type="dxa"/>
            <w:gridSpan w:val="2"/>
          </w:tcPr>
          <w:p w:rsidR="006247DF" w:rsidRPr="00E7637B" w:rsidRDefault="006247DF" w:rsidP="006247DF">
            <w:pPr>
              <w:spacing w:line="200" w:lineRule="exact"/>
              <w:jc w:val="right"/>
              <w:rPr>
                <w:sz w:val="16"/>
                <w:szCs w:val="16"/>
              </w:rPr>
            </w:pPr>
            <w:r w:rsidRPr="00E7637B">
              <w:rPr>
                <w:sz w:val="16"/>
                <w:szCs w:val="16"/>
              </w:rPr>
              <w:t>1 000</w:t>
            </w:r>
          </w:p>
        </w:tc>
        <w:tc>
          <w:tcPr>
            <w:tcW w:w="810" w:type="dxa"/>
            <w:gridSpan w:val="2"/>
          </w:tcPr>
          <w:p w:rsidR="006247DF" w:rsidRPr="00E7637B" w:rsidRDefault="006247DF" w:rsidP="006247DF">
            <w:pPr>
              <w:spacing w:line="200" w:lineRule="exact"/>
              <w:jc w:val="right"/>
              <w:rPr>
                <w:sz w:val="16"/>
                <w:szCs w:val="16"/>
              </w:rPr>
            </w:pPr>
            <w:r w:rsidRPr="00E7637B">
              <w:rPr>
                <w:sz w:val="16"/>
                <w:szCs w:val="16"/>
              </w:rPr>
              <w:t>1 000</w:t>
            </w:r>
          </w:p>
        </w:tc>
        <w:tc>
          <w:tcPr>
            <w:tcW w:w="811" w:type="dxa"/>
            <w:gridSpan w:val="3"/>
          </w:tcPr>
          <w:p w:rsidR="006247DF" w:rsidRPr="00E7637B" w:rsidRDefault="006247DF" w:rsidP="006247DF">
            <w:pPr>
              <w:spacing w:line="200" w:lineRule="exact"/>
              <w:jc w:val="right"/>
              <w:rPr>
                <w:sz w:val="16"/>
                <w:szCs w:val="16"/>
              </w:rPr>
            </w:pPr>
            <w:r w:rsidRPr="00E7637B">
              <w:rPr>
                <w:sz w:val="16"/>
                <w:szCs w:val="16"/>
              </w:rPr>
              <w:t>1 000</w:t>
            </w:r>
          </w:p>
        </w:tc>
      </w:tr>
      <w:tr w:rsidR="006247DF" w:rsidRPr="00E7637B" w:rsidTr="006247DF">
        <w:trPr>
          <w:gridAfter w:val="1"/>
          <w:wAfter w:w="24" w:type="dxa"/>
          <w:trHeight w:val="216"/>
        </w:trPr>
        <w:tc>
          <w:tcPr>
            <w:tcW w:w="950" w:type="dxa"/>
            <w:gridSpan w:val="5"/>
          </w:tcPr>
          <w:p w:rsidR="006247DF" w:rsidRPr="00E7637B" w:rsidRDefault="006247DF" w:rsidP="006247DF">
            <w:pPr>
              <w:spacing w:line="200" w:lineRule="exact"/>
              <w:rPr>
                <w:sz w:val="16"/>
                <w:szCs w:val="16"/>
              </w:rPr>
            </w:pPr>
            <w:r w:rsidRPr="00E7637B">
              <w:rPr>
                <w:sz w:val="16"/>
                <w:szCs w:val="16"/>
              </w:rPr>
              <w:t>Reserver</w:t>
            </w:r>
          </w:p>
        </w:tc>
        <w:tc>
          <w:tcPr>
            <w:tcW w:w="724" w:type="dxa"/>
            <w:gridSpan w:val="2"/>
          </w:tcPr>
          <w:p w:rsidR="006247DF" w:rsidRPr="00E7637B" w:rsidRDefault="006247DF" w:rsidP="006247DF">
            <w:pPr>
              <w:spacing w:line="200" w:lineRule="exac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Borders>
              <w:bottom w:val="single" w:sz="6" w:space="0" w:color="auto"/>
            </w:tcBorders>
          </w:tcPr>
          <w:p w:rsidR="006247DF" w:rsidRPr="00E7637B" w:rsidRDefault="006247DF" w:rsidP="00C81359">
            <w:pPr>
              <w:spacing w:line="200" w:lineRule="exact"/>
              <w:jc w:val="right"/>
              <w:rPr>
                <w:sz w:val="16"/>
                <w:szCs w:val="16"/>
              </w:rPr>
            </w:pPr>
            <w:r>
              <w:rPr>
                <w:sz w:val="16"/>
                <w:szCs w:val="16"/>
              </w:rPr>
              <w:t>5</w:t>
            </w:r>
            <w:r w:rsidR="00C81359">
              <w:rPr>
                <w:sz w:val="16"/>
                <w:szCs w:val="16"/>
              </w:rPr>
              <w:t>2</w:t>
            </w:r>
            <w:r>
              <w:rPr>
                <w:sz w:val="16"/>
                <w:szCs w:val="16"/>
              </w:rPr>
              <w:t xml:space="preserve"> </w:t>
            </w:r>
            <w:r w:rsidR="00C81359">
              <w:rPr>
                <w:sz w:val="16"/>
                <w:szCs w:val="16"/>
              </w:rPr>
              <w:t>0</w:t>
            </w:r>
            <w:r>
              <w:rPr>
                <w:sz w:val="16"/>
                <w:szCs w:val="16"/>
              </w:rPr>
              <w:t>3</w:t>
            </w:r>
            <w:r w:rsidR="00C81359">
              <w:rPr>
                <w:sz w:val="16"/>
                <w:szCs w:val="16"/>
              </w:rPr>
              <w:t>0</w:t>
            </w:r>
          </w:p>
        </w:tc>
        <w:tc>
          <w:tcPr>
            <w:tcW w:w="810" w:type="dxa"/>
            <w:gridSpan w:val="2"/>
            <w:tcBorders>
              <w:bottom w:val="single" w:sz="6" w:space="0" w:color="auto"/>
            </w:tcBorders>
          </w:tcPr>
          <w:p w:rsidR="006247DF" w:rsidRPr="00E7637B" w:rsidRDefault="00FA0017" w:rsidP="00FA0017">
            <w:pPr>
              <w:spacing w:line="200" w:lineRule="exact"/>
              <w:jc w:val="right"/>
              <w:rPr>
                <w:sz w:val="16"/>
                <w:szCs w:val="16"/>
              </w:rPr>
            </w:pPr>
            <w:r>
              <w:rPr>
                <w:sz w:val="16"/>
                <w:szCs w:val="16"/>
              </w:rPr>
              <w:t>57</w:t>
            </w:r>
            <w:r w:rsidR="006247DF">
              <w:rPr>
                <w:sz w:val="16"/>
                <w:szCs w:val="16"/>
              </w:rPr>
              <w:t xml:space="preserve"> </w:t>
            </w:r>
            <w:r>
              <w:rPr>
                <w:sz w:val="16"/>
                <w:szCs w:val="16"/>
              </w:rPr>
              <w:t>341</w:t>
            </w:r>
          </w:p>
        </w:tc>
        <w:tc>
          <w:tcPr>
            <w:tcW w:w="810" w:type="dxa"/>
            <w:gridSpan w:val="2"/>
            <w:tcBorders>
              <w:bottom w:val="single" w:sz="6" w:space="0" w:color="auto"/>
            </w:tcBorders>
          </w:tcPr>
          <w:p w:rsidR="006247DF" w:rsidRPr="00E7637B" w:rsidRDefault="006247DF" w:rsidP="0004513D">
            <w:pPr>
              <w:spacing w:line="200" w:lineRule="exact"/>
              <w:jc w:val="right"/>
              <w:rPr>
                <w:sz w:val="16"/>
                <w:szCs w:val="16"/>
              </w:rPr>
            </w:pPr>
            <w:r>
              <w:rPr>
                <w:sz w:val="16"/>
                <w:szCs w:val="16"/>
              </w:rPr>
              <w:t>6</w:t>
            </w:r>
            <w:r w:rsidR="0004513D">
              <w:rPr>
                <w:sz w:val="16"/>
                <w:szCs w:val="16"/>
              </w:rPr>
              <w:t>2</w:t>
            </w:r>
            <w:r>
              <w:rPr>
                <w:sz w:val="16"/>
                <w:szCs w:val="16"/>
              </w:rPr>
              <w:t xml:space="preserve"> </w:t>
            </w:r>
            <w:r w:rsidR="0004513D">
              <w:rPr>
                <w:sz w:val="16"/>
                <w:szCs w:val="16"/>
              </w:rPr>
              <w:t>20</w:t>
            </w:r>
            <w:r>
              <w:rPr>
                <w:sz w:val="16"/>
                <w:szCs w:val="16"/>
              </w:rPr>
              <w:t>7</w:t>
            </w:r>
          </w:p>
        </w:tc>
        <w:tc>
          <w:tcPr>
            <w:tcW w:w="810" w:type="dxa"/>
            <w:gridSpan w:val="2"/>
            <w:tcBorders>
              <w:bottom w:val="single" w:sz="6" w:space="0" w:color="auto"/>
            </w:tcBorders>
          </w:tcPr>
          <w:p w:rsidR="006247DF" w:rsidRPr="00E7637B" w:rsidRDefault="0004513D" w:rsidP="0004513D">
            <w:pPr>
              <w:spacing w:line="200" w:lineRule="exact"/>
              <w:jc w:val="right"/>
              <w:rPr>
                <w:sz w:val="16"/>
                <w:szCs w:val="16"/>
              </w:rPr>
            </w:pPr>
            <w:r>
              <w:rPr>
                <w:sz w:val="16"/>
                <w:szCs w:val="16"/>
              </w:rPr>
              <w:t>65</w:t>
            </w:r>
            <w:r w:rsidR="006247DF" w:rsidRPr="00E7637B">
              <w:rPr>
                <w:sz w:val="16"/>
                <w:szCs w:val="16"/>
              </w:rPr>
              <w:t xml:space="preserve"> </w:t>
            </w:r>
            <w:r>
              <w:rPr>
                <w:sz w:val="16"/>
                <w:szCs w:val="16"/>
              </w:rPr>
              <w:t>777</w:t>
            </w:r>
          </w:p>
        </w:tc>
        <w:tc>
          <w:tcPr>
            <w:tcW w:w="811" w:type="dxa"/>
            <w:gridSpan w:val="3"/>
            <w:tcBorders>
              <w:bottom w:val="single" w:sz="6" w:space="0" w:color="auto"/>
            </w:tcBorders>
          </w:tcPr>
          <w:p w:rsidR="006247DF" w:rsidRPr="00E7637B" w:rsidRDefault="0004513D" w:rsidP="0004513D">
            <w:pPr>
              <w:spacing w:line="200" w:lineRule="exact"/>
              <w:jc w:val="right"/>
              <w:rPr>
                <w:sz w:val="16"/>
                <w:szCs w:val="16"/>
              </w:rPr>
            </w:pPr>
            <w:r>
              <w:rPr>
                <w:sz w:val="16"/>
                <w:szCs w:val="16"/>
              </w:rPr>
              <w:t>71</w:t>
            </w:r>
            <w:r w:rsidR="006247DF" w:rsidRPr="00E7637B">
              <w:rPr>
                <w:sz w:val="16"/>
                <w:szCs w:val="16"/>
              </w:rPr>
              <w:t xml:space="preserve"> </w:t>
            </w:r>
            <w:r>
              <w:rPr>
                <w:sz w:val="16"/>
                <w:szCs w:val="16"/>
              </w:rPr>
              <w:t>429</w:t>
            </w:r>
          </w:p>
        </w:tc>
      </w:tr>
      <w:tr w:rsidR="006247DF" w:rsidRPr="00E7637B" w:rsidTr="006247DF">
        <w:trPr>
          <w:gridAfter w:val="1"/>
          <w:wAfter w:w="24" w:type="dxa"/>
          <w:trHeight w:val="216"/>
        </w:trPr>
        <w:tc>
          <w:tcPr>
            <w:tcW w:w="253" w:type="dxa"/>
          </w:tcPr>
          <w:p w:rsidR="006247DF" w:rsidRPr="00E7637B" w:rsidRDefault="006247DF" w:rsidP="006247DF">
            <w:pPr>
              <w:spacing w:line="200" w:lineRule="exact"/>
              <w:jc w:val="right"/>
              <w:rPr>
                <w:sz w:val="16"/>
                <w:szCs w:val="16"/>
              </w:rPr>
            </w:pPr>
          </w:p>
        </w:tc>
        <w:tc>
          <w:tcPr>
            <w:tcW w:w="697" w:type="dxa"/>
            <w:gridSpan w:val="4"/>
          </w:tcPr>
          <w:p w:rsidR="006247DF" w:rsidRPr="00E7637B" w:rsidRDefault="006247DF" w:rsidP="006247DF">
            <w:pPr>
              <w:spacing w:line="200" w:lineRule="exact"/>
              <w:jc w:val="right"/>
              <w:rPr>
                <w:sz w:val="16"/>
                <w:szCs w:val="16"/>
              </w:rPr>
            </w:pPr>
          </w:p>
        </w:tc>
        <w:tc>
          <w:tcPr>
            <w:tcW w:w="724" w:type="dxa"/>
            <w:gridSpan w:val="2"/>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C81359">
            <w:pPr>
              <w:spacing w:line="200" w:lineRule="exact"/>
              <w:jc w:val="right"/>
              <w:rPr>
                <w:sz w:val="16"/>
                <w:szCs w:val="16"/>
              </w:rPr>
            </w:pPr>
            <w:r>
              <w:rPr>
                <w:sz w:val="16"/>
                <w:szCs w:val="16"/>
              </w:rPr>
              <w:t>5</w:t>
            </w:r>
            <w:r w:rsidR="00C81359">
              <w:rPr>
                <w:sz w:val="16"/>
                <w:szCs w:val="16"/>
              </w:rPr>
              <w:t>3</w:t>
            </w:r>
            <w:r>
              <w:rPr>
                <w:sz w:val="16"/>
                <w:szCs w:val="16"/>
              </w:rPr>
              <w:t xml:space="preserve"> </w:t>
            </w:r>
            <w:r w:rsidR="00C81359">
              <w:rPr>
                <w:sz w:val="16"/>
                <w:szCs w:val="16"/>
              </w:rPr>
              <w:t>0</w:t>
            </w:r>
            <w:r>
              <w:rPr>
                <w:sz w:val="16"/>
                <w:szCs w:val="16"/>
              </w:rPr>
              <w:t>3</w:t>
            </w:r>
            <w:r w:rsidR="00C81359">
              <w:rPr>
                <w:sz w:val="16"/>
                <w:szCs w:val="16"/>
              </w:rPr>
              <w:t>0</w:t>
            </w:r>
          </w:p>
        </w:tc>
        <w:tc>
          <w:tcPr>
            <w:tcW w:w="810" w:type="dxa"/>
            <w:gridSpan w:val="2"/>
          </w:tcPr>
          <w:p w:rsidR="006247DF" w:rsidRPr="00E7637B" w:rsidRDefault="00FA0017" w:rsidP="00FA0017">
            <w:pPr>
              <w:spacing w:line="200" w:lineRule="exact"/>
              <w:jc w:val="right"/>
              <w:rPr>
                <w:sz w:val="16"/>
                <w:szCs w:val="16"/>
              </w:rPr>
            </w:pPr>
            <w:r>
              <w:rPr>
                <w:sz w:val="16"/>
                <w:szCs w:val="16"/>
              </w:rPr>
              <w:t>58</w:t>
            </w:r>
            <w:r w:rsidR="006247DF">
              <w:rPr>
                <w:sz w:val="16"/>
                <w:szCs w:val="16"/>
              </w:rPr>
              <w:t xml:space="preserve"> </w:t>
            </w:r>
            <w:r>
              <w:rPr>
                <w:sz w:val="16"/>
                <w:szCs w:val="16"/>
              </w:rPr>
              <w:t>341</w:t>
            </w:r>
          </w:p>
        </w:tc>
        <w:tc>
          <w:tcPr>
            <w:tcW w:w="810" w:type="dxa"/>
            <w:gridSpan w:val="2"/>
          </w:tcPr>
          <w:p w:rsidR="006247DF" w:rsidRPr="00E7637B" w:rsidRDefault="006247DF" w:rsidP="0004513D">
            <w:pPr>
              <w:spacing w:line="200" w:lineRule="exact"/>
              <w:jc w:val="right"/>
              <w:rPr>
                <w:sz w:val="16"/>
                <w:szCs w:val="16"/>
              </w:rPr>
            </w:pPr>
            <w:r>
              <w:rPr>
                <w:sz w:val="16"/>
                <w:szCs w:val="16"/>
              </w:rPr>
              <w:t>6</w:t>
            </w:r>
            <w:r w:rsidR="0004513D">
              <w:rPr>
                <w:sz w:val="16"/>
                <w:szCs w:val="16"/>
              </w:rPr>
              <w:t>3</w:t>
            </w:r>
            <w:r>
              <w:rPr>
                <w:sz w:val="16"/>
                <w:szCs w:val="16"/>
              </w:rPr>
              <w:t xml:space="preserve"> </w:t>
            </w:r>
            <w:r w:rsidR="0004513D">
              <w:rPr>
                <w:sz w:val="16"/>
                <w:szCs w:val="16"/>
              </w:rPr>
              <w:t>20</w:t>
            </w:r>
            <w:r>
              <w:rPr>
                <w:sz w:val="16"/>
                <w:szCs w:val="16"/>
              </w:rPr>
              <w:t>7</w:t>
            </w:r>
          </w:p>
        </w:tc>
        <w:tc>
          <w:tcPr>
            <w:tcW w:w="810" w:type="dxa"/>
            <w:gridSpan w:val="2"/>
          </w:tcPr>
          <w:p w:rsidR="006247DF" w:rsidRPr="00E7637B" w:rsidRDefault="0004513D" w:rsidP="0004513D">
            <w:pPr>
              <w:spacing w:line="200" w:lineRule="exact"/>
              <w:jc w:val="right"/>
              <w:rPr>
                <w:sz w:val="16"/>
                <w:szCs w:val="16"/>
              </w:rPr>
            </w:pPr>
            <w:r>
              <w:rPr>
                <w:sz w:val="16"/>
                <w:szCs w:val="16"/>
              </w:rPr>
              <w:t>66</w:t>
            </w:r>
            <w:r w:rsidR="006247DF" w:rsidRPr="00E7637B">
              <w:rPr>
                <w:sz w:val="16"/>
                <w:szCs w:val="16"/>
              </w:rPr>
              <w:t xml:space="preserve"> </w:t>
            </w:r>
            <w:r>
              <w:rPr>
                <w:sz w:val="16"/>
                <w:szCs w:val="16"/>
              </w:rPr>
              <w:t>777</w:t>
            </w:r>
          </w:p>
        </w:tc>
        <w:tc>
          <w:tcPr>
            <w:tcW w:w="811" w:type="dxa"/>
            <w:gridSpan w:val="3"/>
          </w:tcPr>
          <w:p w:rsidR="006247DF" w:rsidRPr="00E7637B" w:rsidRDefault="0004513D" w:rsidP="0004513D">
            <w:pPr>
              <w:spacing w:line="200" w:lineRule="exact"/>
              <w:jc w:val="right"/>
              <w:rPr>
                <w:sz w:val="16"/>
                <w:szCs w:val="16"/>
              </w:rPr>
            </w:pPr>
            <w:r>
              <w:rPr>
                <w:sz w:val="16"/>
                <w:szCs w:val="16"/>
              </w:rPr>
              <w:t>72</w:t>
            </w:r>
            <w:r w:rsidR="006247DF" w:rsidRPr="00E7637B">
              <w:rPr>
                <w:sz w:val="16"/>
                <w:szCs w:val="16"/>
              </w:rPr>
              <w:t xml:space="preserve"> </w:t>
            </w:r>
            <w:r>
              <w:rPr>
                <w:sz w:val="16"/>
                <w:szCs w:val="16"/>
              </w:rPr>
              <w:t>429</w:t>
            </w:r>
          </w:p>
        </w:tc>
      </w:tr>
      <w:tr w:rsidR="006247DF" w:rsidRPr="00E7637B" w:rsidTr="006247DF">
        <w:trPr>
          <w:gridAfter w:val="1"/>
          <w:wAfter w:w="24" w:type="dxa"/>
          <w:trHeight w:val="216"/>
        </w:trPr>
        <w:tc>
          <w:tcPr>
            <w:tcW w:w="253" w:type="dxa"/>
          </w:tcPr>
          <w:p w:rsidR="006247DF" w:rsidRPr="00E7637B" w:rsidRDefault="006247DF" w:rsidP="006247DF">
            <w:pPr>
              <w:spacing w:line="200" w:lineRule="exact"/>
              <w:jc w:val="right"/>
              <w:rPr>
                <w:sz w:val="16"/>
                <w:szCs w:val="16"/>
              </w:rPr>
            </w:pPr>
          </w:p>
        </w:tc>
        <w:tc>
          <w:tcPr>
            <w:tcW w:w="697" w:type="dxa"/>
            <w:gridSpan w:val="4"/>
          </w:tcPr>
          <w:p w:rsidR="006247DF" w:rsidRPr="00E7637B" w:rsidRDefault="006247DF" w:rsidP="006247DF">
            <w:pPr>
              <w:spacing w:line="200" w:lineRule="exact"/>
              <w:jc w:val="right"/>
              <w:rPr>
                <w:sz w:val="16"/>
                <w:szCs w:val="16"/>
              </w:rPr>
            </w:pPr>
          </w:p>
        </w:tc>
        <w:tc>
          <w:tcPr>
            <w:tcW w:w="724" w:type="dxa"/>
            <w:gridSpan w:val="2"/>
          </w:tcPr>
          <w:p w:rsidR="006247DF" w:rsidRPr="00E7637B" w:rsidRDefault="006247DF" w:rsidP="006247DF">
            <w:pPr>
              <w:spacing w:line="200" w:lineRule="exact"/>
              <w:jc w:val="right"/>
              <w:rPr>
                <w:sz w:val="16"/>
                <w:szCs w:val="16"/>
              </w:rPr>
            </w:pP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0" w:type="dxa"/>
            <w:gridSpan w:val="2"/>
          </w:tcPr>
          <w:p w:rsidR="006247DF" w:rsidRPr="00E7637B" w:rsidRDefault="006247DF" w:rsidP="006247DF">
            <w:pPr>
              <w:spacing w:line="200" w:lineRule="exact"/>
              <w:jc w:val="right"/>
              <w:rPr>
                <w:sz w:val="16"/>
                <w:szCs w:val="16"/>
              </w:rPr>
            </w:pPr>
          </w:p>
        </w:tc>
        <w:tc>
          <w:tcPr>
            <w:tcW w:w="811" w:type="dxa"/>
            <w:gridSpan w:val="3"/>
          </w:tcPr>
          <w:p w:rsidR="006247DF" w:rsidRPr="00E7637B" w:rsidRDefault="006247DF" w:rsidP="006247DF">
            <w:pPr>
              <w:spacing w:line="200" w:lineRule="exact"/>
              <w:jc w:val="right"/>
              <w:rPr>
                <w:sz w:val="16"/>
                <w:szCs w:val="16"/>
              </w:rPr>
            </w:pPr>
          </w:p>
        </w:tc>
      </w:tr>
      <w:tr w:rsidR="006247DF" w:rsidRPr="00E7637B" w:rsidTr="006247DF">
        <w:trPr>
          <w:gridAfter w:val="1"/>
          <w:wAfter w:w="24" w:type="dxa"/>
          <w:trHeight w:val="216"/>
        </w:trPr>
        <w:tc>
          <w:tcPr>
            <w:tcW w:w="1674" w:type="dxa"/>
            <w:gridSpan w:val="7"/>
          </w:tcPr>
          <w:p w:rsidR="006247DF" w:rsidRPr="00E7637B" w:rsidRDefault="006247DF" w:rsidP="006247DF">
            <w:pPr>
              <w:spacing w:line="200" w:lineRule="exact"/>
              <w:jc w:val="left"/>
              <w:rPr>
                <w:sz w:val="16"/>
                <w:szCs w:val="16"/>
              </w:rPr>
            </w:pPr>
            <w:r w:rsidRPr="00E7637B">
              <w:rPr>
                <w:b/>
                <w:spacing w:val="-2"/>
                <w:sz w:val="16"/>
                <w:szCs w:val="16"/>
              </w:rPr>
              <w:t>Årets resultat</w:t>
            </w:r>
          </w:p>
        </w:tc>
        <w:tc>
          <w:tcPr>
            <w:tcW w:w="418" w:type="dxa"/>
            <w:gridSpan w:val="2"/>
          </w:tcPr>
          <w:p w:rsidR="006247DF" w:rsidRPr="00E7637B" w:rsidRDefault="006247DF" w:rsidP="006247DF">
            <w:pPr>
              <w:spacing w:line="200" w:lineRule="exact"/>
              <w:jc w:val="right"/>
              <w:rPr>
                <w:sz w:val="16"/>
                <w:szCs w:val="16"/>
              </w:rPr>
            </w:pPr>
          </w:p>
        </w:tc>
        <w:tc>
          <w:tcPr>
            <w:tcW w:w="125" w:type="dxa"/>
            <w:gridSpan w:val="2"/>
          </w:tcPr>
          <w:p w:rsidR="006247DF" w:rsidRPr="00E7637B" w:rsidRDefault="006247DF" w:rsidP="006247DF">
            <w:pPr>
              <w:spacing w:line="200" w:lineRule="exact"/>
              <w:jc w:val="right"/>
              <w:rPr>
                <w:sz w:val="16"/>
                <w:szCs w:val="16"/>
              </w:rPr>
            </w:pPr>
          </w:p>
        </w:tc>
        <w:tc>
          <w:tcPr>
            <w:tcW w:w="812" w:type="dxa"/>
            <w:gridSpan w:val="2"/>
          </w:tcPr>
          <w:p w:rsidR="006247DF" w:rsidRPr="00E7637B" w:rsidRDefault="00C81359" w:rsidP="00C81359">
            <w:pPr>
              <w:spacing w:line="200" w:lineRule="exact"/>
              <w:jc w:val="right"/>
              <w:rPr>
                <w:sz w:val="16"/>
                <w:szCs w:val="16"/>
              </w:rPr>
            </w:pPr>
            <w:r>
              <w:rPr>
                <w:sz w:val="16"/>
                <w:szCs w:val="16"/>
              </w:rPr>
              <w:t>3 267</w:t>
            </w:r>
          </w:p>
        </w:tc>
        <w:tc>
          <w:tcPr>
            <w:tcW w:w="810" w:type="dxa"/>
            <w:gridSpan w:val="2"/>
          </w:tcPr>
          <w:p w:rsidR="006247DF" w:rsidRPr="00E7637B" w:rsidRDefault="00FA0017" w:rsidP="00FA0017">
            <w:pPr>
              <w:spacing w:line="200" w:lineRule="exact"/>
              <w:jc w:val="right"/>
              <w:rPr>
                <w:sz w:val="16"/>
                <w:szCs w:val="16"/>
              </w:rPr>
            </w:pPr>
            <w:r w:rsidRPr="00E7637B">
              <w:rPr>
                <w:sz w:val="16"/>
                <w:szCs w:val="16"/>
              </w:rPr>
              <w:t>–</w:t>
            </w:r>
            <w:r>
              <w:rPr>
                <w:sz w:val="16"/>
                <w:szCs w:val="16"/>
              </w:rPr>
              <w:t>2</w:t>
            </w:r>
            <w:r w:rsidR="006247DF">
              <w:rPr>
                <w:sz w:val="16"/>
                <w:szCs w:val="16"/>
              </w:rPr>
              <w:t xml:space="preserve"> </w:t>
            </w:r>
            <w:r>
              <w:rPr>
                <w:sz w:val="16"/>
                <w:szCs w:val="16"/>
              </w:rPr>
              <w:t>011</w:t>
            </w:r>
          </w:p>
        </w:tc>
        <w:tc>
          <w:tcPr>
            <w:tcW w:w="810" w:type="dxa"/>
            <w:gridSpan w:val="2"/>
          </w:tcPr>
          <w:p w:rsidR="006247DF" w:rsidRPr="00E7637B" w:rsidRDefault="0004513D" w:rsidP="0004513D">
            <w:pPr>
              <w:spacing w:line="200" w:lineRule="exact"/>
              <w:jc w:val="right"/>
              <w:rPr>
                <w:sz w:val="16"/>
                <w:szCs w:val="16"/>
              </w:rPr>
            </w:pPr>
            <w:r>
              <w:rPr>
                <w:sz w:val="16"/>
                <w:szCs w:val="16"/>
              </w:rPr>
              <w:t>1</w:t>
            </w:r>
            <w:r w:rsidR="006247DF">
              <w:rPr>
                <w:sz w:val="16"/>
                <w:szCs w:val="16"/>
              </w:rPr>
              <w:t xml:space="preserve"> 93</w:t>
            </w:r>
            <w:r>
              <w:rPr>
                <w:sz w:val="16"/>
                <w:szCs w:val="16"/>
              </w:rPr>
              <w:t>4</w:t>
            </w:r>
          </w:p>
        </w:tc>
        <w:tc>
          <w:tcPr>
            <w:tcW w:w="810" w:type="dxa"/>
            <w:gridSpan w:val="2"/>
          </w:tcPr>
          <w:p w:rsidR="006247DF" w:rsidRPr="00E7637B" w:rsidRDefault="0004513D" w:rsidP="0004513D">
            <w:pPr>
              <w:spacing w:line="200" w:lineRule="exact"/>
              <w:jc w:val="right"/>
              <w:rPr>
                <w:sz w:val="16"/>
                <w:szCs w:val="16"/>
              </w:rPr>
            </w:pPr>
            <w:r>
              <w:rPr>
                <w:sz w:val="16"/>
                <w:szCs w:val="16"/>
              </w:rPr>
              <w:t>3 930</w:t>
            </w:r>
          </w:p>
        </w:tc>
        <w:tc>
          <w:tcPr>
            <w:tcW w:w="811" w:type="dxa"/>
            <w:gridSpan w:val="3"/>
          </w:tcPr>
          <w:p w:rsidR="006247DF" w:rsidRPr="00E7637B" w:rsidRDefault="0004513D" w:rsidP="0004513D">
            <w:pPr>
              <w:spacing w:line="200" w:lineRule="exact"/>
              <w:jc w:val="right"/>
              <w:rPr>
                <w:sz w:val="16"/>
                <w:szCs w:val="16"/>
              </w:rPr>
            </w:pPr>
            <w:r>
              <w:rPr>
                <w:sz w:val="16"/>
                <w:szCs w:val="16"/>
              </w:rPr>
              <w:t>548</w:t>
            </w:r>
          </w:p>
        </w:tc>
      </w:tr>
      <w:tr w:rsidR="006247DF" w:rsidRPr="00E7637B" w:rsidTr="006247DF">
        <w:trPr>
          <w:gridAfter w:val="1"/>
          <w:wAfter w:w="24" w:type="dxa"/>
        </w:trPr>
        <w:tc>
          <w:tcPr>
            <w:tcW w:w="253" w:type="dxa"/>
          </w:tcPr>
          <w:p w:rsidR="006247DF" w:rsidRPr="00E7637B" w:rsidRDefault="006247DF" w:rsidP="006247DF">
            <w:pPr>
              <w:spacing w:before="0" w:line="200" w:lineRule="exact"/>
              <w:jc w:val="right"/>
              <w:rPr>
                <w:sz w:val="16"/>
                <w:szCs w:val="16"/>
              </w:rPr>
            </w:pPr>
          </w:p>
        </w:tc>
        <w:tc>
          <w:tcPr>
            <w:tcW w:w="697" w:type="dxa"/>
            <w:gridSpan w:val="4"/>
          </w:tcPr>
          <w:p w:rsidR="006247DF" w:rsidRPr="00E7637B" w:rsidRDefault="006247DF" w:rsidP="006247DF">
            <w:pPr>
              <w:spacing w:before="0" w:line="200" w:lineRule="exact"/>
              <w:jc w:val="right"/>
              <w:rPr>
                <w:sz w:val="16"/>
                <w:szCs w:val="16"/>
              </w:rPr>
            </w:pPr>
          </w:p>
        </w:tc>
        <w:tc>
          <w:tcPr>
            <w:tcW w:w="724" w:type="dxa"/>
            <w:gridSpan w:val="2"/>
          </w:tcPr>
          <w:p w:rsidR="006247DF" w:rsidRPr="00E7637B" w:rsidRDefault="006247DF" w:rsidP="006247DF">
            <w:pPr>
              <w:spacing w:before="0" w:line="200" w:lineRule="exact"/>
              <w:jc w:val="right"/>
              <w:rPr>
                <w:sz w:val="16"/>
                <w:szCs w:val="16"/>
              </w:rPr>
            </w:pPr>
          </w:p>
        </w:tc>
        <w:tc>
          <w:tcPr>
            <w:tcW w:w="418" w:type="dxa"/>
            <w:gridSpan w:val="2"/>
          </w:tcPr>
          <w:p w:rsidR="006247DF" w:rsidRPr="00E7637B" w:rsidRDefault="006247DF" w:rsidP="006247DF">
            <w:pPr>
              <w:spacing w:before="0" w:line="200" w:lineRule="exact"/>
              <w:jc w:val="right"/>
              <w:rPr>
                <w:sz w:val="16"/>
                <w:szCs w:val="16"/>
              </w:rPr>
            </w:pPr>
          </w:p>
        </w:tc>
        <w:tc>
          <w:tcPr>
            <w:tcW w:w="125" w:type="dxa"/>
            <w:gridSpan w:val="2"/>
          </w:tcPr>
          <w:p w:rsidR="006247DF" w:rsidRPr="00E7637B" w:rsidRDefault="006247DF" w:rsidP="006247DF">
            <w:pPr>
              <w:spacing w:before="0" w:line="200" w:lineRule="exact"/>
              <w:jc w:val="right"/>
              <w:rPr>
                <w:sz w:val="16"/>
                <w:szCs w:val="16"/>
              </w:rPr>
            </w:pPr>
          </w:p>
        </w:tc>
        <w:tc>
          <w:tcPr>
            <w:tcW w:w="812"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0" w:type="dxa"/>
            <w:gridSpan w:val="2"/>
          </w:tcPr>
          <w:p w:rsidR="006247DF" w:rsidRPr="00E7637B" w:rsidRDefault="006247DF" w:rsidP="006247DF">
            <w:pPr>
              <w:spacing w:before="0" w:line="200" w:lineRule="exact"/>
              <w:jc w:val="right"/>
              <w:rPr>
                <w:sz w:val="16"/>
                <w:szCs w:val="16"/>
              </w:rPr>
            </w:pPr>
          </w:p>
        </w:tc>
        <w:tc>
          <w:tcPr>
            <w:tcW w:w="811" w:type="dxa"/>
            <w:gridSpan w:val="3"/>
          </w:tcPr>
          <w:p w:rsidR="006247DF" w:rsidRPr="00E7637B" w:rsidRDefault="006247DF" w:rsidP="006247DF">
            <w:pPr>
              <w:spacing w:before="0" w:line="200" w:lineRule="exact"/>
              <w:jc w:val="right"/>
              <w:rPr>
                <w:sz w:val="16"/>
                <w:szCs w:val="16"/>
              </w:rPr>
            </w:pPr>
          </w:p>
        </w:tc>
      </w:tr>
      <w:tr w:rsidR="006247DF" w:rsidRPr="00E7637B" w:rsidTr="006247DF">
        <w:trPr>
          <w:gridAfter w:val="1"/>
          <w:wAfter w:w="24" w:type="dxa"/>
        </w:trPr>
        <w:tc>
          <w:tcPr>
            <w:tcW w:w="2092" w:type="dxa"/>
            <w:gridSpan w:val="9"/>
            <w:vAlign w:val="bottom"/>
          </w:tcPr>
          <w:p w:rsidR="006247DF" w:rsidRPr="00E7637B" w:rsidRDefault="006247DF" w:rsidP="006247DF">
            <w:pPr>
              <w:spacing w:line="200" w:lineRule="exact"/>
              <w:jc w:val="left"/>
              <w:rPr>
                <w:b/>
                <w:sz w:val="16"/>
                <w:szCs w:val="16"/>
              </w:rPr>
            </w:pPr>
            <w:r w:rsidRPr="00E7637B">
              <w:rPr>
                <w:b/>
                <w:sz w:val="16"/>
                <w:szCs w:val="16"/>
              </w:rPr>
              <w:t>SUMMA SKULDER OCH EGET KAPITAL</w:t>
            </w:r>
          </w:p>
        </w:tc>
        <w:tc>
          <w:tcPr>
            <w:tcW w:w="125" w:type="dxa"/>
            <w:gridSpan w:val="2"/>
            <w:vAlign w:val="bottom"/>
          </w:tcPr>
          <w:p w:rsidR="006247DF" w:rsidRPr="00E7637B" w:rsidRDefault="006247DF" w:rsidP="006247DF">
            <w:pPr>
              <w:spacing w:line="200" w:lineRule="exact"/>
              <w:jc w:val="right"/>
              <w:rPr>
                <w:sz w:val="16"/>
                <w:szCs w:val="16"/>
              </w:rPr>
            </w:pPr>
          </w:p>
        </w:tc>
        <w:tc>
          <w:tcPr>
            <w:tcW w:w="812" w:type="dxa"/>
            <w:gridSpan w:val="2"/>
            <w:vAlign w:val="bottom"/>
          </w:tcPr>
          <w:p w:rsidR="006247DF" w:rsidRPr="00E7637B" w:rsidRDefault="00C81359" w:rsidP="00C81359">
            <w:pPr>
              <w:spacing w:line="200" w:lineRule="exact"/>
              <w:jc w:val="right"/>
              <w:rPr>
                <w:b/>
                <w:sz w:val="16"/>
                <w:szCs w:val="16"/>
              </w:rPr>
            </w:pPr>
            <w:r>
              <w:rPr>
                <w:b/>
                <w:sz w:val="16"/>
                <w:szCs w:val="16"/>
              </w:rPr>
              <w:t>502</w:t>
            </w:r>
            <w:r w:rsidR="006247DF">
              <w:rPr>
                <w:b/>
                <w:sz w:val="16"/>
                <w:szCs w:val="16"/>
              </w:rPr>
              <w:t xml:space="preserve"> </w:t>
            </w:r>
            <w:r>
              <w:rPr>
                <w:b/>
                <w:sz w:val="16"/>
                <w:szCs w:val="16"/>
              </w:rPr>
              <w:t>401</w:t>
            </w:r>
          </w:p>
        </w:tc>
        <w:tc>
          <w:tcPr>
            <w:tcW w:w="810" w:type="dxa"/>
            <w:gridSpan w:val="2"/>
            <w:vAlign w:val="bottom"/>
          </w:tcPr>
          <w:p w:rsidR="006247DF" w:rsidRPr="00E7637B" w:rsidRDefault="00FA0017" w:rsidP="00FA0017">
            <w:pPr>
              <w:spacing w:line="200" w:lineRule="exact"/>
              <w:jc w:val="right"/>
              <w:rPr>
                <w:b/>
                <w:sz w:val="16"/>
                <w:szCs w:val="16"/>
              </w:rPr>
            </w:pPr>
            <w:r>
              <w:rPr>
                <w:b/>
                <w:sz w:val="16"/>
                <w:szCs w:val="16"/>
              </w:rPr>
              <w:t>4</w:t>
            </w:r>
            <w:r w:rsidR="006247DF">
              <w:rPr>
                <w:b/>
                <w:sz w:val="16"/>
                <w:szCs w:val="16"/>
              </w:rPr>
              <w:t>3</w:t>
            </w:r>
            <w:r>
              <w:rPr>
                <w:b/>
                <w:sz w:val="16"/>
                <w:szCs w:val="16"/>
              </w:rPr>
              <w:t>1</w:t>
            </w:r>
            <w:r w:rsidR="006247DF">
              <w:rPr>
                <w:b/>
                <w:sz w:val="16"/>
                <w:szCs w:val="16"/>
              </w:rPr>
              <w:t xml:space="preserve"> </w:t>
            </w:r>
            <w:r>
              <w:rPr>
                <w:b/>
                <w:sz w:val="16"/>
                <w:szCs w:val="16"/>
              </w:rPr>
              <w:t>627</w:t>
            </w:r>
          </w:p>
        </w:tc>
        <w:tc>
          <w:tcPr>
            <w:tcW w:w="810" w:type="dxa"/>
            <w:gridSpan w:val="2"/>
            <w:vAlign w:val="bottom"/>
          </w:tcPr>
          <w:p w:rsidR="006247DF" w:rsidRPr="00E7637B" w:rsidRDefault="006247DF" w:rsidP="0004513D">
            <w:pPr>
              <w:spacing w:line="200" w:lineRule="exact"/>
              <w:jc w:val="right"/>
              <w:rPr>
                <w:b/>
                <w:sz w:val="16"/>
                <w:szCs w:val="16"/>
              </w:rPr>
            </w:pPr>
            <w:r>
              <w:rPr>
                <w:b/>
                <w:sz w:val="16"/>
                <w:szCs w:val="16"/>
              </w:rPr>
              <w:t>34</w:t>
            </w:r>
            <w:r w:rsidR="0004513D">
              <w:rPr>
                <w:b/>
                <w:sz w:val="16"/>
                <w:szCs w:val="16"/>
              </w:rPr>
              <w:t>5</w:t>
            </w:r>
            <w:r>
              <w:rPr>
                <w:b/>
                <w:sz w:val="16"/>
                <w:szCs w:val="16"/>
              </w:rPr>
              <w:t xml:space="preserve"> </w:t>
            </w:r>
            <w:r w:rsidR="0004513D">
              <w:rPr>
                <w:b/>
                <w:sz w:val="16"/>
                <w:szCs w:val="16"/>
              </w:rPr>
              <w:t>73</w:t>
            </w:r>
            <w:r>
              <w:rPr>
                <w:b/>
                <w:sz w:val="16"/>
                <w:szCs w:val="16"/>
              </w:rPr>
              <w:t>9</w:t>
            </w:r>
          </w:p>
        </w:tc>
        <w:tc>
          <w:tcPr>
            <w:tcW w:w="810" w:type="dxa"/>
            <w:gridSpan w:val="2"/>
            <w:vAlign w:val="bottom"/>
          </w:tcPr>
          <w:p w:rsidR="006247DF" w:rsidRPr="00E7637B" w:rsidRDefault="006247DF" w:rsidP="0004513D">
            <w:pPr>
              <w:spacing w:line="200" w:lineRule="exact"/>
              <w:jc w:val="right"/>
              <w:rPr>
                <w:b/>
                <w:sz w:val="16"/>
                <w:szCs w:val="16"/>
              </w:rPr>
            </w:pPr>
            <w:r w:rsidRPr="00E7637B">
              <w:rPr>
                <w:b/>
                <w:sz w:val="16"/>
                <w:szCs w:val="16"/>
              </w:rPr>
              <w:t>3</w:t>
            </w:r>
            <w:r w:rsidR="0004513D">
              <w:rPr>
                <w:b/>
                <w:sz w:val="16"/>
                <w:szCs w:val="16"/>
              </w:rPr>
              <w:t>47</w:t>
            </w:r>
            <w:r w:rsidRPr="00E7637B">
              <w:rPr>
                <w:b/>
                <w:sz w:val="16"/>
                <w:szCs w:val="16"/>
              </w:rPr>
              <w:t xml:space="preserve"> 9</w:t>
            </w:r>
            <w:r w:rsidR="0004513D">
              <w:rPr>
                <w:b/>
                <w:sz w:val="16"/>
                <w:szCs w:val="16"/>
              </w:rPr>
              <w:t>17</w:t>
            </w:r>
          </w:p>
        </w:tc>
        <w:tc>
          <w:tcPr>
            <w:tcW w:w="811" w:type="dxa"/>
            <w:gridSpan w:val="3"/>
            <w:vAlign w:val="bottom"/>
          </w:tcPr>
          <w:p w:rsidR="006247DF" w:rsidRPr="00E7637B" w:rsidRDefault="0004513D" w:rsidP="0004513D">
            <w:pPr>
              <w:spacing w:line="200" w:lineRule="exact"/>
              <w:jc w:val="right"/>
              <w:rPr>
                <w:b/>
                <w:sz w:val="16"/>
                <w:szCs w:val="16"/>
              </w:rPr>
            </w:pPr>
            <w:r>
              <w:rPr>
                <w:b/>
                <w:sz w:val="16"/>
                <w:szCs w:val="16"/>
              </w:rPr>
              <w:t>326</w:t>
            </w:r>
            <w:r w:rsidR="006247DF" w:rsidRPr="00E7637B">
              <w:rPr>
                <w:b/>
                <w:sz w:val="16"/>
                <w:szCs w:val="16"/>
              </w:rPr>
              <w:t xml:space="preserve"> </w:t>
            </w:r>
            <w:r>
              <w:rPr>
                <w:b/>
                <w:sz w:val="16"/>
                <w:szCs w:val="16"/>
              </w:rPr>
              <w:t>926</w:t>
            </w:r>
          </w:p>
        </w:tc>
      </w:tr>
      <w:tr w:rsidR="006247DF" w:rsidRPr="00E7637B" w:rsidTr="006247DF">
        <w:trPr>
          <w:trHeight w:val="228"/>
        </w:trPr>
        <w:tc>
          <w:tcPr>
            <w:tcW w:w="278" w:type="dxa"/>
            <w:gridSpan w:val="2"/>
            <w:tcBorders>
              <w:top w:val="single" w:sz="4" w:space="0" w:color="auto"/>
            </w:tcBorders>
          </w:tcPr>
          <w:p w:rsidR="006247DF" w:rsidRPr="00E7637B" w:rsidRDefault="006247DF" w:rsidP="006247DF">
            <w:pPr>
              <w:spacing w:line="200" w:lineRule="exact"/>
              <w:rPr>
                <w:sz w:val="16"/>
                <w:szCs w:val="16"/>
              </w:rPr>
            </w:pPr>
          </w:p>
        </w:tc>
        <w:tc>
          <w:tcPr>
            <w:tcW w:w="630" w:type="dxa"/>
            <w:gridSpan w:val="2"/>
            <w:tcBorders>
              <w:top w:val="single" w:sz="4" w:space="0" w:color="auto"/>
            </w:tcBorders>
          </w:tcPr>
          <w:p w:rsidR="006247DF" w:rsidRPr="00E7637B" w:rsidRDefault="006247DF" w:rsidP="006247DF">
            <w:pPr>
              <w:spacing w:line="200" w:lineRule="exact"/>
              <w:rPr>
                <w:sz w:val="16"/>
                <w:szCs w:val="16"/>
              </w:rPr>
            </w:pPr>
          </w:p>
        </w:tc>
        <w:tc>
          <w:tcPr>
            <w:tcW w:w="791" w:type="dxa"/>
            <w:gridSpan w:val="4"/>
            <w:tcBorders>
              <w:top w:val="single" w:sz="4" w:space="0" w:color="auto"/>
            </w:tcBorders>
          </w:tcPr>
          <w:p w:rsidR="006247DF" w:rsidRPr="00E7637B" w:rsidRDefault="006247DF" w:rsidP="006247DF">
            <w:pPr>
              <w:spacing w:line="200" w:lineRule="exact"/>
              <w:rPr>
                <w:sz w:val="16"/>
                <w:szCs w:val="16"/>
              </w:rPr>
            </w:pPr>
          </w:p>
        </w:tc>
        <w:tc>
          <w:tcPr>
            <w:tcW w:w="421" w:type="dxa"/>
            <w:gridSpan w:val="2"/>
            <w:tcBorders>
              <w:top w:val="single" w:sz="4" w:space="0" w:color="auto"/>
            </w:tcBorders>
          </w:tcPr>
          <w:p w:rsidR="006247DF" w:rsidRPr="00E7637B" w:rsidRDefault="006247DF" w:rsidP="006247DF">
            <w:pPr>
              <w:spacing w:line="200" w:lineRule="exact"/>
              <w:rPr>
                <w:sz w:val="16"/>
                <w:szCs w:val="16"/>
              </w:rPr>
            </w:pPr>
          </w:p>
        </w:tc>
        <w:tc>
          <w:tcPr>
            <w:tcW w:w="123" w:type="dxa"/>
            <w:gridSpan w:val="2"/>
            <w:tcBorders>
              <w:top w:val="single" w:sz="4" w:space="0" w:color="auto"/>
            </w:tcBorders>
          </w:tcPr>
          <w:p w:rsidR="006247DF" w:rsidRPr="00E7637B" w:rsidRDefault="006247DF" w:rsidP="006247DF">
            <w:pPr>
              <w:spacing w:line="200" w:lineRule="exact"/>
              <w:rPr>
                <w:sz w:val="16"/>
                <w:szCs w:val="16"/>
              </w:rPr>
            </w:pPr>
          </w:p>
        </w:tc>
        <w:tc>
          <w:tcPr>
            <w:tcW w:w="810" w:type="dxa"/>
            <w:gridSpan w:val="2"/>
            <w:tcBorders>
              <w:top w:val="single" w:sz="4" w:space="0" w:color="auto"/>
            </w:tcBorders>
          </w:tcPr>
          <w:p w:rsidR="006247DF" w:rsidRPr="00E7637B" w:rsidRDefault="006247DF" w:rsidP="006247DF">
            <w:pPr>
              <w:spacing w:line="200" w:lineRule="exact"/>
              <w:rPr>
                <w:sz w:val="16"/>
                <w:szCs w:val="16"/>
              </w:rPr>
            </w:pPr>
          </w:p>
        </w:tc>
        <w:tc>
          <w:tcPr>
            <w:tcW w:w="810" w:type="dxa"/>
            <w:gridSpan w:val="2"/>
            <w:tcBorders>
              <w:top w:val="single" w:sz="4" w:space="0" w:color="auto"/>
            </w:tcBorders>
          </w:tcPr>
          <w:p w:rsidR="006247DF" w:rsidRPr="00E7637B" w:rsidRDefault="006247DF" w:rsidP="006247DF">
            <w:pPr>
              <w:spacing w:line="200" w:lineRule="exact"/>
              <w:rPr>
                <w:sz w:val="16"/>
                <w:szCs w:val="16"/>
              </w:rPr>
            </w:pPr>
          </w:p>
        </w:tc>
        <w:tc>
          <w:tcPr>
            <w:tcW w:w="810" w:type="dxa"/>
            <w:gridSpan w:val="2"/>
            <w:tcBorders>
              <w:top w:val="single" w:sz="4" w:space="0" w:color="auto"/>
            </w:tcBorders>
          </w:tcPr>
          <w:p w:rsidR="006247DF" w:rsidRPr="00E7637B" w:rsidRDefault="006247DF" w:rsidP="006247DF">
            <w:pPr>
              <w:spacing w:line="200" w:lineRule="exact"/>
              <w:rPr>
                <w:sz w:val="16"/>
                <w:szCs w:val="16"/>
              </w:rPr>
            </w:pPr>
          </w:p>
        </w:tc>
        <w:tc>
          <w:tcPr>
            <w:tcW w:w="810" w:type="dxa"/>
            <w:gridSpan w:val="2"/>
            <w:tcBorders>
              <w:top w:val="single" w:sz="4" w:space="0" w:color="auto"/>
            </w:tcBorders>
          </w:tcPr>
          <w:p w:rsidR="006247DF" w:rsidRPr="00E7637B" w:rsidRDefault="006247DF" w:rsidP="006247DF">
            <w:pPr>
              <w:spacing w:line="200" w:lineRule="exact"/>
              <w:rPr>
                <w:sz w:val="16"/>
                <w:szCs w:val="16"/>
              </w:rPr>
            </w:pPr>
          </w:p>
        </w:tc>
        <w:tc>
          <w:tcPr>
            <w:tcW w:w="811" w:type="dxa"/>
            <w:gridSpan w:val="3"/>
            <w:tcBorders>
              <w:top w:val="single" w:sz="4" w:space="0" w:color="auto"/>
            </w:tcBorders>
          </w:tcPr>
          <w:p w:rsidR="006247DF" w:rsidRPr="00E7637B" w:rsidRDefault="006247DF" w:rsidP="006247DF">
            <w:pPr>
              <w:spacing w:line="200" w:lineRule="exact"/>
              <w:rPr>
                <w:sz w:val="16"/>
                <w:szCs w:val="16"/>
              </w:rPr>
            </w:pPr>
          </w:p>
        </w:tc>
      </w:tr>
    </w:tbl>
    <w:p w:rsidR="006247DF" w:rsidRDefault="006247DF" w:rsidP="006247DF">
      <w:pPr>
        <w:tabs>
          <w:tab w:val="left" w:pos="3060"/>
        </w:tabs>
        <w:spacing w:line="200" w:lineRule="exact"/>
        <w:rPr>
          <w:rFonts w:ascii="Syntax" w:hAnsi="Syntax"/>
          <w:sz w:val="20"/>
        </w:rPr>
      </w:pPr>
    </w:p>
    <w:p w:rsidR="006247DF" w:rsidRPr="00A177CF" w:rsidRDefault="006247DF" w:rsidP="006247DF">
      <w:pPr>
        <w:pStyle w:val="Normaltindrag"/>
      </w:pPr>
    </w:p>
    <w:tbl>
      <w:tblPr>
        <w:tblW w:w="6267" w:type="dxa"/>
        <w:tblLayout w:type="fixed"/>
        <w:tblCellMar>
          <w:left w:w="30" w:type="dxa"/>
          <w:right w:w="30" w:type="dxa"/>
        </w:tblCellMar>
        <w:tblLook w:val="0000" w:firstRow="0" w:lastRow="0" w:firstColumn="0" w:lastColumn="0" w:noHBand="0" w:noVBand="0"/>
      </w:tblPr>
      <w:tblGrid>
        <w:gridCol w:w="254"/>
        <w:gridCol w:w="632"/>
        <w:gridCol w:w="988"/>
        <w:gridCol w:w="123"/>
        <w:gridCol w:w="222"/>
        <w:gridCol w:w="788"/>
        <w:gridCol w:w="815"/>
        <w:gridCol w:w="815"/>
        <w:gridCol w:w="815"/>
        <w:gridCol w:w="815"/>
      </w:tblGrid>
      <w:tr w:rsidR="006247DF" w:rsidRPr="00E7637B" w:rsidTr="006247DF">
        <w:trPr>
          <w:trHeight w:val="308"/>
        </w:trPr>
        <w:tc>
          <w:tcPr>
            <w:tcW w:w="3822" w:type="dxa"/>
            <w:gridSpan w:val="7"/>
          </w:tcPr>
          <w:p w:rsidR="006247DF" w:rsidRPr="00E7637B" w:rsidRDefault="006247DF" w:rsidP="006247DF">
            <w:pPr>
              <w:spacing w:line="200" w:lineRule="exact"/>
              <w:rPr>
                <w:sz w:val="16"/>
                <w:szCs w:val="16"/>
              </w:rPr>
            </w:pPr>
            <w:r w:rsidRPr="00E7637B">
              <w:rPr>
                <w:b/>
                <w:bCs/>
                <w:szCs w:val="19"/>
              </w:rPr>
              <w:t xml:space="preserve">Resultaträkning </w:t>
            </w: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rPr>
                <w:sz w:val="16"/>
                <w:szCs w:val="16"/>
              </w:rPr>
            </w:pPr>
          </w:p>
        </w:tc>
        <w:tc>
          <w:tcPr>
            <w:tcW w:w="815" w:type="dxa"/>
          </w:tcPr>
          <w:p w:rsidR="006247DF" w:rsidRPr="00E7637B" w:rsidRDefault="006247DF" w:rsidP="006247DF">
            <w:pPr>
              <w:spacing w:line="200" w:lineRule="exact"/>
              <w:rPr>
                <w:sz w:val="16"/>
                <w:szCs w:val="16"/>
              </w:rPr>
            </w:pPr>
          </w:p>
        </w:tc>
      </w:tr>
      <w:tr w:rsidR="006247DF" w:rsidRPr="00E7637B" w:rsidTr="006247DF">
        <w:trPr>
          <w:trHeight w:val="216"/>
        </w:trPr>
        <w:tc>
          <w:tcPr>
            <w:tcW w:w="1874" w:type="dxa"/>
            <w:gridSpan w:val="3"/>
            <w:tcBorders>
              <w:bottom w:val="single" w:sz="4" w:space="0" w:color="auto"/>
            </w:tcBorders>
          </w:tcPr>
          <w:p w:rsidR="006247DF" w:rsidRPr="00E7637B" w:rsidRDefault="006247DF" w:rsidP="006247DF">
            <w:pPr>
              <w:spacing w:line="200" w:lineRule="exact"/>
              <w:rPr>
                <w:sz w:val="16"/>
                <w:szCs w:val="16"/>
              </w:rPr>
            </w:pPr>
            <w:r w:rsidRPr="00E7637B">
              <w:rPr>
                <w:bCs/>
                <w:i/>
                <w:szCs w:val="19"/>
              </w:rPr>
              <w:t>Miljoner kronor</w:t>
            </w:r>
          </w:p>
        </w:tc>
        <w:tc>
          <w:tcPr>
            <w:tcW w:w="123" w:type="dxa"/>
            <w:tcBorders>
              <w:bottom w:val="single" w:sz="4" w:space="0" w:color="auto"/>
            </w:tcBorders>
          </w:tcPr>
          <w:p w:rsidR="006247DF" w:rsidRPr="00E7637B" w:rsidRDefault="006247DF" w:rsidP="006247DF">
            <w:pPr>
              <w:spacing w:line="200" w:lineRule="exact"/>
              <w:rPr>
                <w:sz w:val="16"/>
                <w:szCs w:val="16"/>
              </w:rPr>
            </w:pPr>
          </w:p>
        </w:tc>
        <w:tc>
          <w:tcPr>
            <w:tcW w:w="222" w:type="dxa"/>
            <w:tcBorders>
              <w:bottom w:val="single" w:sz="4" w:space="0" w:color="auto"/>
            </w:tcBorders>
          </w:tcPr>
          <w:p w:rsidR="006247DF" w:rsidRPr="00E7637B" w:rsidRDefault="006247DF" w:rsidP="006247DF">
            <w:pPr>
              <w:spacing w:line="200" w:lineRule="exact"/>
              <w:rPr>
                <w:sz w:val="16"/>
                <w:szCs w:val="16"/>
              </w:rPr>
            </w:pPr>
          </w:p>
        </w:tc>
        <w:tc>
          <w:tcPr>
            <w:tcW w:w="788" w:type="dxa"/>
            <w:tcBorders>
              <w:bottom w:val="single" w:sz="4" w:space="0" w:color="auto"/>
            </w:tcBorders>
          </w:tcPr>
          <w:p w:rsidR="006247DF" w:rsidRPr="00E7637B" w:rsidRDefault="006247DF" w:rsidP="00C81359">
            <w:pPr>
              <w:spacing w:line="200" w:lineRule="exact"/>
              <w:jc w:val="right"/>
              <w:rPr>
                <w:b/>
                <w:sz w:val="16"/>
                <w:szCs w:val="16"/>
              </w:rPr>
            </w:pPr>
            <w:r>
              <w:rPr>
                <w:b/>
                <w:sz w:val="16"/>
                <w:szCs w:val="16"/>
              </w:rPr>
              <w:t>201</w:t>
            </w:r>
            <w:r w:rsidR="00C81359">
              <w:rPr>
                <w:b/>
                <w:sz w:val="16"/>
                <w:szCs w:val="16"/>
              </w:rPr>
              <w:t>4</w:t>
            </w:r>
          </w:p>
        </w:tc>
        <w:tc>
          <w:tcPr>
            <w:tcW w:w="815" w:type="dxa"/>
            <w:tcBorders>
              <w:bottom w:val="single" w:sz="4" w:space="0" w:color="auto"/>
            </w:tcBorders>
          </w:tcPr>
          <w:p w:rsidR="006247DF" w:rsidRPr="00E7637B" w:rsidRDefault="006247DF" w:rsidP="00FA0017">
            <w:pPr>
              <w:spacing w:line="200" w:lineRule="exact"/>
              <w:jc w:val="right"/>
              <w:rPr>
                <w:b/>
                <w:sz w:val="16"/>
                <w:szCs w:val="16"/>
              </w:rPr>
            </w:pPr>
            <w:r>
              <w:rPr>
                <w:b/>
                <w:sz w:val="16"/>
                <w:szCs w:val="16"/>
              </w:rPr>
              <w:t>201</w:t>
            </w:r>
            <w:r w:rsidR="00FA0017">
              <w:rPr>
                <w:b/>
                <w:sz w:val="16"/>
                <w:szCs w:val="16"/>
              </w:rPr>
              <w:t>3</w:t>
            </w:r>
          </w:p>
        </w:tc>
        <w:tc>
          <w:tcPr>
            <w:tcW w:w="815" w:type="dxa"/>
            <w:tcBorders>
              <w:bottom w:val="single" w:sz="4" w:space="0" w:color="auto"/>
            </w:tcBorders>
          </w:tcPr>
          <w:p w:rsidR="006247DF" w:rsidRPr="00E7637B" w:rsidRDefault="006247DF" w:rsidP="0004513D">
            <w:pPr>
              <w:spacing w:line="200" w:lineRule="exact"/>
              <w:jc w:val="right"/>
              <w:rPr>
                <w:b/>
                <w:sz w:val="16"/>
                <w:szCs w:val="16"/>
              </w:rPr>
            </w:pPr>
            <w:r>
              <w:rPr>
                <w:b/>
                <w:sz w:val="16"/>
                <w:szCs w:val="16"/>
              </w:rPr>
              <w:t>201</w:t>
            </w:r>
            <w:r w:rsidR="0004513D">
              <w:rPr>
                <w:b/>
                <w:sz w:val="16"/>
                <w:szCs w:val="16"/>
              </w:rPr>
              <w:t>2</w:t>
            </w:r>
          </w:p>
        </w:tc>
        <w:tc>
          <w:tcPr>
            <w:tcW w:w="815" w:type="dxa"/>
            <w:tcBorders>
              <w:bottom w:val="single" w:sz="4" w:space="0" w:color="auto"/>
            </w:tcBorders>
          </w:tcPr>
          <w:p w:rsidR="006247DF" w:rsidRPr="00E7637B" w:rsidRDefault="006247DF" w:rsidP="0004513D">
            <w:pPr>
              <w:spacing w:line="200" w:lineRule="exact"/>
              <w:jc w:val="right"/>
              <w:rPr>
                <w:b/>
                <w:sz w:val="16"/>
                <w:szCs w:val="16"/>
              </w:rPr>
            </w:pPr>
            <w:r w:rsidRPr="00E7637B">
              <w:rPr>
                <w:b/>
                <w:sz w:val="16"/>
                <w:szCs w:val="16"/>
              </w:rPr>
              <w:t>20</w:t>
            </w:r>
            <w:r>
              <w:rPr>
                <w:b/>
                <w:sz w:val="16"/>
                <w:szCs w:val="16"/>
              </w:rPr>
              <w:t>1</w:t>
            </w:r>
            <w:r w:rsidR="0004513D">
              <w:rPr>
                <w:b/>
                <w:sz w:val="16"/>
                <w:szCs w:val="16"/>
              </w:rPr>
              <w:t>1</w:t>
            </w:r>
          </w:p>
        </w:tc>
        <w:tc>
          <w:tcPr>
            <w:tcW w:w="815" w:type="dxa"/>
            <w:tcBorders>
              <w:bottom w:val="single" w:sz="4" w:space="0" w:color="auto"/>
            </w:tcBorders>
          </w:tcPr>
          <w:p w:rsidR="006247DF" w:rsidRPr="00E7637B" w:rsidRDefault="006247DF" w:rsidP="0004513D">
            <w:pPr>
              <w:spacing w:line="200" w:lineRule="exact"/>
              <w:jc w:val="right"/>
              <w:rPr>
                <w:b/>
                <w:sz w:val="16"/>
                <w:szCs w:val="16"/>
              </w:rPr>
            </w:pPr>
            <w:r w:rsidRPr="00E7637B">
              <w:rPr>
                <w:b/>
                <w:sz w:val="16"/>
                <w:szCs w:val="16"/>
              </w:rPr>
              <w:t>20</w:t>
            </w:r>
            <w:r w:rsidR="0004513D">
              <w:rPr>
                <w:b/>
                <w:sz w:val="16"/>
                <w:szCs w:val="16"/>
              </w:rPr>
              <w:t>1</w:t>
            </w:r>
            <w:r w:rsidRPr="00E7637B">
              <w:rPr>
                <w:b/>
                <w:sz w:val="16"/>
                <w:szCs w:val="16"/>
              </w:rPr>
              <w:t>0</w:t>
            </w:r>
          </w:p>
        </w:tc>
      </w:tr>
      <w:tr w:rsidR="006247DF" w:rsidRPr="00E7637B" w:rsidTr="006247DF">
        <w:trPr>
          <w:trHeight w:val="216"/>
        </w:trPr>
        <w:tc>
          <w:tcPr>
            <w:tcW w:w="254" w:type="dxa"/>
            <w:tcBorders>
              <w:top w:val="single" w:sz="4" w:space="0" w:color="auto"/>
            </w:tcBorders>
          </w:tcPr>
          <w:p w:rsidR="006247DF" w:rsidRPr="00E7637B" w:rsidRDefault="006247DF" w:rsidP="006247DF">
            <w:pPr>
              <w:spacing w:line="200" w:lineRule="exact"/>
              <w:rPr>
                <w:sz w:val="16"/>
                <w:szCs w:val="16"/>
              </w:rPr>
            </w:pPr>
          </w:p>
        </w:tc>
        <w:tc>
          <w:tcPr>
            <w:tcW w:w="632" w:type="dxa"/>
            <w:tcBorders>
              <w:top w:val="single" w:sz="4" w:space="0" w:color="auto"/>
            </w:tcBorders>
          </w:tcPr>
          <w:p w:rsidR="006247DF" w:rsidRPr="00E7637B" w:rsidRDefault="006247DF" w:rsidP="006247DF">
            <w:pPr>
              <w:spacing w:line="200" w:lineRule="exact"/>
              <w:rPr>
                <w:sz w:val="16"/>
                <w:szCs w:val="16"/>
              </w:rPr>
            </w:pPr>
          </w:p>
        </w:tc>
        <w:tc>
          <w:tcPr>
            <w:tcW w:w="988" w:type="dxa"/>
            <w:tcBorders>
              <w:top w:val="single" w:sz="4" w:space="0" w:color="auto"/>
            </w:tcBorders>
          </w:tcPr>
          <w:p w:rsidR="006247DF" w:rsidRPr="00E7637B" w:rsidRDefault="006247DF" w:rsidP="006247DF">
            <w:pPr>
              <w:spacing w:line="200" w:lineRule="exact"/>
              <w:rPr>
                <w:sz w:val="16"/>
                <w:szCs w:val="16"/>
              </w:rPr>
            </w:pPr>
          </w:p>
        </w:tc>
        <w:tc>
          <w:tcPr>
            <w:tcW w:w="123" w:type="dxa"/>
            <w:tcBorders>
              <w:top w:val="single" w:sz="4" w:space="0" w:color="auto"/>
            </w:tcBorders>
          </w:tcPr>
          <w:p w:rsidR="006247DF" w:rsidRPr="00E7637B" w:rsidRDefault="006247DF" w:rsidP="006247DF">
            <w:pPr>
              <w:spacing w:line="200" w:lineRule="exact"/>
              <w:rPr>
                <w:sz w:val="16"/>
                <w:szCs w:val="16"/>
              </w:rPr>
            </w:pPr>
          </w:p>
        </w:tc>
        <w:tc>
          <w:tcPr>
            <w:tcW w:w="222" w:type="dxa"/>
            <w:tcBorders>
              <w:top w:val="single" w:sz="4" w:space="0" w:color="auto"/>
            </w:tcBorders>
          </w:tcPr>
          <w:p w:rsidR="006247DF" w:rsidRPr="00E7637B" w:rsidRDefault="006247DF" w:rsidP="006247DF">
            <w:pPr>
              <w:spacing w:line="200" w:lineRule="exact"/>
              <w:rPr>
                <w:sz w:val="16"/>
                <w:szCs w:val="16"/>
              </w:rPr>
            </w:pPr>
          </w:p>
        </w:tc>
        <w:tc>
          <w:tcPr>
            <w:tcW w:w="788" w:type="dxa"/>
            <w:tcBorders>
              <w:top w:val="single" w:sz="4" w:space="0" w:color="auto"/>
            </w:tcBorders>
          </w:tcPr>
          <w:p w:rsidR="006247DF" w:rsidRPr="00E7637B" w:rsidRDefault="006247DF" w:rsidP="006247DF">
            <w:pPr>
              <w:spacing w:line="200" w:lineRule="exact"/>
              <w:jc w:val="right"/>
              <w:rPr>
                <w:sz w:val="16"/>
                <w:szCs w:val="16"/>
              </w:rPr>
            </w:pPr>
          </w:p>
        </w:tc>
        <w:tc>
          <w:tcPr>
            <w:tcW w:w="815" w:type="dxa"/>
            <w:tcBorders>
              <w:top w:val="single" w:sz="4" w:space="0" w:color="auto"/>
            </w:tcBorders>
          </w:tcPr>
          <w:p w:rsidR="006247DF" w:rsidRPr="00E7637B" w:rsidRDefault="006247DF" w:rsidP="006247DF">
            <w:pPr>
              <w:spacing w:line="200" w:lineRule="exact"/>
              <w:jc w:val="right"/>
              <w:rPr>
                <w:sz w:val="16"/>
                <w:szCs w:val="16"/>
              </w:rPr>
            </w:pPr>
          </w:p>
        </w:tc>
        <w:tc>
          <w:tcPr>
            <w:tcW w:w="815" w:type="dxa"/>
            <w:tcBorders>
              <w:top w:val="single" w:sz="4" w:space="0" w:color="auto"/>
            </w:tcBorders>
          </w:tcPr>
          <w:p w:rsidR="006247DF" w:rsidRPr="00E7637B" w:rsidRDefault="006247DF" w:rsidP="006247DF">
            <w:pPr>
              <w:spacing w:line="200" w:lineRule="exact"/>
              <w:jc w:val="right"/>
              <w:rPr>
                <w:sz w:val="16"/>
                <w:szCs w:val="16"/>
              </w:rPr>
            </w:pPr>
          </w:p>
        </w:tc>
        <w:tc>
          <w:tcPr>
            <w:tcW w:w="815" w:type="dxa"/>
            <w:tcBorders>
              <w:top w:val="single" w:sz="4" w:space="0" w:color="auto"/>
            </w:tcBorders>
          </w:tcPr>
          <w:p w:rsidR="006247DF" w:rsidRPr="00E7637B" w:rsidRDefault="006247DF" w:rsidP="006247DF">
            <w:pPr>
              <w:spacing w:line="200" w:lineRule="exact"/>
              <w:jc w:val="right"/>
              <w:rPr>
                <w:sz w:val="16"/>
                <w:szCs w:val="16"/>
              </w:rPr>
            </w:pPr>
          </w:p>
        </w:tc>
        <w:tc>
          <w:tcPr>
            <w:tcW w:w="815" w:type="dxa"/>
            <w:tcBorders>
              <w:top w:val="single" w:sz="4" w:space="0" w:color="auto"/>
            </w:tcBorders>
          </w:tcPr>
          <w:p w:rsidR="006247DF" w:rsidRPr="00E7637B" w:rsidRDefault="006247DF" w:rsidP="006247DF">
            <w:pPr>
              <w:spacing w:line="200" w:lineRule="exact"/>
              <w:rPr>
                <w:sz w:val="16"/>
                <w:szCs w:val="16"/>
              </w:rPr>
            </w:pPr>
          </w:p>
        </w:tc>
      </w:tr>
      <w:tr w:rsidR="006247DF" w:rsidRPr="00E7637B" w:rsidTr="006247DF">
        <w:trPr>
          <w:trHeight w:val="216"/>
        </w:trPr>
        <w:tc>
          <w:tcPr>
            <w:tcW w:w="1874" w:type="dxa"/>
            <w:gridSpan w:val="3"/>
          </w:tcPr>
          <w:p w:rsidR="006247DF" w:rsidRPr="00E7637B" w:rsidRDefault="006247DF" w:rsidP="006247DF">
            <w:pPr>
              <w:spacing w:line="200" w:lineRule="exact"/>
              <w:rPr>
                <w:sz w:val="16"/>
                <w:szCs w:val="16"/>
              </w:rPr>
            </w:pPr>
            <w:r w:rsidRPr="00E7637B">
              <w:rPr>
                <w:sz w:val="16"/>
                <w:szCs w:val="16"/>
              </w:rPr>
              <w:t>Ränteintäkter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E7637B" w:rsidRDefault="006247DF" w:rsidP="00C81359">
            <w:pPr>
              <w:spacing w:line="200" w:lineRule="exact"/>
              <w:jc w:val="right"/>
              <w:rPr>
                <w:sz w:val="16"/>
                <w:szCs w:val="16"/>
              </w:rPr>
            </w:pPr>
            <w:r>
              <w:rPr>
                <w:sz w:val="16"/>
                <w:szCs w:val="16"/>
              </w:rPr>
              <w:t>4 1</w:t>
            </w:r>
            <w:r w:rsidR="00C81359">
              <w:rPr>
                <w:sz w:val="16"/>
                <w:szCs w:val="16"/>
              </w:rPr>
              <w:t>9</w:t>
            </w:r>
            <w:r>
              <w:rPr>
                <w:sz w:val="16"/>
                <w:szCs w:val="16"/>
              </w:rPr>
              <w:t>3</w:t>
            </w:r>
          </w:p>
        </w:tc>
        <w:tc>
          <w:tcPr>
            <w:tcW w:w="815" w:type="dxa"/>
          </w:tcPr>
          <w:p w:rsidR="006247DF" w:rsidRPr="00E7637B" w:rsidRDefault="006247DF" w:rsidP="00FA0017">
            <w:pPr>
              <w:spacing w:line="200" w:lineRule="exact"/>
              <w:jc w:val="right"/>
              <w:rPr>
                <w:sz w:val="16"/>
                <w:szCs w:val="16"/>
              </w:rPr>
            </w:pPr>
            <w:r>
              <w:rPr>
                <w:sz w:val="16"/>
                <w:szCs w:val="16"/>
              </w:rPr>
              <w:t xml:space="preserve">4 </w:t>
            </w:r>
            <w:r w:rsidR="00FA0017">
              <w:rPr>
                <w:sz w:val="16"/>
                <w:szCs w:val="16"/>
              </w:rPr>
              <w:t>113</w:t>
            </w:r>
          </w:p>
        </w:tc>
        <w:tc>
          <w:tcPr>
            <w:tcW w:w="815" w:type="dxa"/>
          </w:tcPr>
          <w:p w:rsidR="006247DF" w:rsidRPr="00E7637B" w:rsidRDefault="0004513D" w:rsidP="0004513D">
            <w:pPr>
              <w:spacing w:line="200" w:lineRule="exact"/>
              <w:jc w:val="right"/>
              <w:rPr>
                <w:sz w:val="16"/>
                <w:szCs w:val="16"/>
              </w:rPr>
            </w:pPr>
            <w:r>
              <w:rPr>
                <w:sz w:val="16"/>
                <w:szCs w:val="16"/>
              </w:rPr>
              <w:t>4</w:t>
            </w:r>
            <w:r w:rsidR="006247DF">
              <w:rPr>
                <w:sz w:val="16"/>
                <w:szCs w:val="16"/>
              </w:rPr>
              <w:t xml:space="preserve"> </w:t>
            </w:r>
            <w:r>
              <w:rPr>
                <w:sz w:val="16"/>
                <w:szCs w:val="16"/>
              </w:rPr>
              <w:t>280</w:t>
            </w:r>
          </w:p>
        </w:tc>
        <w:tc>
          <w:tcPr>
            <w:tcW w:w="815" w:type="dxa"/>
          </w:tcPr>
          <w:p w:rsidR="006247DF" w:rsidRPr="00E7637B" w:rsidRDefault="0004513D" w:rsidP="0004513D">
            <w:pPr>
              <w:spacing w:line="200" w:lineRule="exact"/>
              <w:jc w:val="right"/>
              <w:rPr>
                <w:sz w:val="16"/>
                <w:szCs w:val="16"/>
              </w:rPr>
            </w:pPr>
            <w:r>
              <w:rPr>
                <w:sz w:val="16"/>
                <w:szCs w:val="16"/>
              </w:rPr>
              <w:t>5</w:t>
            </w:r>
            <w:r w:rsidR="006247DF" w:rsidRPr="00E7637B">
              <w:rPr>
                <w:sz w:val="16"/>
                <w:szCs w:val="16"/>
              </w:rPr>
              <w:t xml:space="preserve"> </w:t>
            </w:r>
            <w:r>
              <w:rPr>
                <w:sz w:val="16"/>
                <w:szCs w:val="16"/>
              </w:rPr>
              <w:t>493</w:t>
            </w:r>
          </w:p>
        </w:tc>
        <w:tc>
          <w:tcPr>
            <w:tcW w:w="815" w:type="dxa"/>
          </w:tcPr>
          <w:p w:rsidR="006247DF" w:rsidRPr="00E7637B" w:rsidRDefault="0004513D" w:rsidP="0004513D">
            <w:pPr>
              <w:spacing w:line="200" w:lineRule="exact"/>
              <w:jc w:val="right"/>
              <w:rPr>
                <w:sz w:val="16"/>
                <w:szCs w:val="16"/>
              </w:rPr>
            </w:pPr>
            <w:r>
              <w:rPr>
                <w:sz w:val="16"/>
                <w:szCs w:val="16"/>
              </w:rPr>
              <w:t>7</w:t>
            </w:r>
            <w:r w:rsidR="006247DF" w:rsidRPr="00E7637B">
              <w:rPr>
                <w:sz w:val="16"/>
                <w:szCs w:val="16"/>
              </w:rPr>
              <w:t xml:space="preserve"> </w:t>
            </w:r>
            <w:r>
              <w:rPr>
                <w:sz w:val="16"/>
                <w:szCs w:val="16"/>
              </w:rPr>
              <w:t>717</w:t>
            </w:r>
          </w:p>
        </w:tc>
      </w:tr>
      <w:tr w:rsidR="006247DF" w:rsidRPr="00E7637B" w:rsidTr="006247DF">
        <w:trPr>
          <w:trHeight w:val="216"/>
        </w:trPr>
        <w:tc>
          <w:tcPr>
            <w:tcW w:w="1874" w:type="dxa"/>
            <w:gridSpan w:val="3"/>
          </w:tcPr>
          <w:p w:rsidR="006247DF" w:rsidRPr="00E7637B" w:rsidRDefault="006247DF" w:rsidP="006247DF">
            <w:pPr>
              <w:spacing w:line="200" w:lineRule="exact"/>
              <w:rPr>
                <w:sz w:val="16"/>
                <w:szCs w:val="16"/>
              </w:rPr>
            </w:pPr>
            <w:r w:rsidRPr="00E7637B">
              <w:rPr>
                <w:sz w:val="16"/>
                <w:szCs w:val="16"/>
              </w:rPr>
              <w:t>Räntekostnader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 xml:space="preserve">1 </w:t>
            </w:r>
            <w:r w:rsidR="00C81359">
              <w:rPr>
                <w:sz w:val="16"/>
                <w:szCs w:val="16"/>
              </w:rPr>
              <w:t>761</w:t>
            </w:r>
          </w:p>
        </w:tc>
        <w:tc>
          <w:tcPr>
            <w:tcW w:w="815" w:type="dxa"/>
          </w:tcPr>
          <w:p w:rsidR="006247DF" w:rsidRPr="00262BC2" w:rsidRDefault="006247DF" w:rsidP="00FA0017">
            <w:pPr>
              <w:spacing w:line="200" w:lineRule="exact"/>
              <w:jc w:val="right"/>
              <w:rPr>
                <w:sz w:val="16"/>
                <w:szCs w:val="16"/>
              </w:rPr>
            </w:pPr>
            <w:r w:rsidRPr="00E7637B">
              <w:rPr>
                <w:sz w:val="16"/>
                <w:szCs w:val="16"/>
              </w:rPr>
              <w:t>–</w:t>
            </w:r>
            <w:r>
              <w:rPr>
                <w:sz w:val="16"/>
                <w:szCs w:val="16"/>
              </w:rPr>
              <w:t>1</w:t>
            </w:r>
            <w:r w:rsidR="0004513D">
              <w:rPr>
                <w:sz w:val="16"/>
                <w:szCs w:val="16"/>
              </w:rPr>
              <w:t xml:space="preserve"> </w:t>
            </w:r>
            <w:r w:rsidR="00FA0017">
              <w:rPr>
                <w:sz w:val="16"/>
                <w:szCs w:val="16"/>
              </w:rPr>
              <w:t>684</w:t>
            </w:r>
          </w:p>
        </w:tc>
        <w:tc>
          <w:tcPr>
            <w:tcW w:w="815" w:type="dxa"/>
          </w:tcPr>
          <w:p w:rsidR="006247DF" w:rsidRPr="00262BC2" w:rsidRDefault="006247DF" w:rsidP="0004513D">
            <w:pPr>
              <w:spacing w:line="200" w:lineRule="exact"/>
              <w:jc w:val="right"/>
              <w:rPr>
                <w:sz w:val="16"/>
                <w:szCs w:val="16"/>
              </w:rPr>
            </w:pPr>
            <w:r w:rsidRPr="00E7637B">
              <w:rPr>
                <w:sz w:val="16"/>
                <w:szCs w:val="16"/>
              </w:rPr>
              <w:t>–</w:t>
            </w:r>
            <w:r>
              <w:rPr>
                <w:sz w:val="16"/>
                <w:szCs w:val="16"/>
              </w:rPr>
              <w:t xml:space="preserve">1 </w:t>
            </w:r>
            <w:r w:rsidR="0004513D">
              <w:rPr>
                <w:sz w:val="16"/>
                <w:szCs w:val="16"/>
              </w:rPr>
              <w:t>196</w:t>
            </w:r>
          </w:p>
        </w:tc>
        <w:tc>
          <w:tcPr>
            <w:tcW w:w="815" w:type="dxa"/>
          </w:tcPr>
          <w:p w:rsidR="006247DF" w:rsidRPr="00262BC2" w:rsidRDefault="006247DF" w:rsidP="0004513D">
            <w:pPr>
              <w:spacing w:line="200" w:lineRule="exact"/>
              <w:jc w:val="right"/>
              <w:rPr>
                <w:sz w:val="16"/>
                <w:szCs w:val="16"/>
              </w:rPr>
            </w:pPr>
            <w:r>
              <w:rPr>
                <w:sz w:val="16"/>
                <w:szCs w:val="16"/>
              </w:rPr>
              <w:t>–</w:t>
            </w:r>
            <w:r w:rsidR="0004513D">
              <w:rPr>
                <w:sz w:val="16"/>
                <w:szCs w:val="16"/>
              </w:rPr>
              <w:t>1</w:t>
            </w:r>
            <w:r w:rsidRPr="00262BC2">
              <w:rPr>
                <w:sz w:val="16"/>
                <w:szCs w:val="16"/>
              </w:rPr>
              <w:t xml:space="preserve"> </w:t>
            </w:r>
            <w:r w:rsidR="0004513D">
              <w:rPr>
                <w:sz w:val="16"/>
                <w:szCs w:val="16"/>
              </w:rPr>
              <w:t>359</w:t>
            </w:r>
          </w:p>
        </w:tc>
        <w:tc>
          <w:tcPr>
            <w:tcW w:w="815" w:type="dxa"/>
          </w:tcPr>
          <w:p w:rsidR="006247DF" w:rsidRPr="00E7637B" w:rsidRDefault="006247DF" w:rsidP="0004513D">
            <w:pPr>
              <w:spacing w:line="200" w:lineRule="exact"/>
              <w:jc w:val="right"/>
              <w:rPr>
                <w:sz w:val="16"/>
                <w:szCs w:val="16"/>
              </w:rPr>
            </w:pPr>
            <w:r w:rsidRPr="00E7637B">
              <w:rPr>
                <w:sz w:val="16"/>
                <w:szCs w:val="16"/>
              </w:rPr>
              <w:t xml:space="preserve">–2 </w:t>
            </w:r>
            <w:r w:rsidR="0004513D">
              <w:rPr>
                <w:sz w:val="16"/>
                <w:szCs w:val="16"/>
              </w:rPr>
              <w:t>135</w:t>
            </w:r>
          </w:p>
        </w:tc>
      </w:tr>
      <w:tr w:rsidR="006247DF" w:rsidRPr="00E7637B" w:rsidTr="006247DF">
        <w:trPr>
          <w:trHeight w:val="216"/>
        </w:trPr>
        <w:tc>
          <w:tcPr>
            <w:tcW w:w="1874" w:type="dxa"/>
            <w:gridSpan w:val="3"/>
            <w:vAlign w:val="bottom"/>
          </w:tcPr>
          <w:p w:rsidR="006247DF" w:rsidRPr="00E7637B" w:rsidRDefault="006247DF" w:rsidP="006247DF">
            <w:pPr>
              <w:spacing w:line="200" w:lineRule="exact"/>
              <w:jc w:val="left"/>
              <w:rPr>
                <w:sz w:val="16"/>
                <w:szCs w:val="16"/>
              </w:rPr>
            </w:pPr>
            <w:r w:rsidRPr="00E7637B">
              <w:rPr>
                <w:sz w:val="16"/>
                <w:szCs w:val="16"/>
              </w:rPr>
              <w:t>Nettoresultat av finansiella transaktioner</w:t>
            </w:r>
            <w:r>
              <w:rPr>
                <w:sz w:val="16"/>
                <w:szCs w:val="16"/>
              </w:rPr>
              <w:t xml:space="preserve"> och nedskri</w:t>
            </w:r>
            <w:r>
              <w:rPr>
                <w:sz w:val="16"/>
                <w:szCs w:val="16"/>
              </w:rPr>
              <w:t>v</w:t>
            </w:r>
            <w:r>
              <w:rPr>
                <w:sz w:val="16"/>
                <w:szCs w:val="16"/>
              </w:rPr>
              <w:t>ningar</w:t>
            </w:r>
          </w:p>
        </w:tc>
        <w:tc>
          <w:tcPr>
            <w:tcW w:w="123" w:type="dxa"/>
            <w:vAlign w:val="bottom"/>
          </w:tcPr>
          <w:p w:rsidR="006247DF" w:rsidRPr="00E7637B" w:rsidRDefault="006247DF" w:rsidP="006247DF">
            <w:pPr>
              <w:spacing w:line="200" w:lineRule="exact"/>
              <w:rPr>
                <w:sz w:val="16"/>
                <w:szCs w:val="16"/>
              </w:rPr>
            </w:pPr>
          </w:p>
        </w:tc>
        <w:tc>
          <w:tcPr>
            <w:tcW w:w="222" w:type="dxa"/>
            <w:vAlign w:val="bottom"/>
          </w:tcPr>
          <w:p w:rsidR="006247DF" w:rsidRPr="00E7637B" w:rsidRDefault="006247DF" w:rsidP="006247DF">
            <w:pPr>
              <w:spacing w:line="200" w:lineRule="exact"/>
              <w:rPr>
                <w:sz w:val="16"/>
                <w:szCs w:val="16"/>
              </w:rPr>
            </w:pPr>
          </w:p>
        </w:tc>
        <w:tc>
          <w:tcPr>
            <w:tcW w:w="788" w:type="dxa"/>
            <w:vAlign w:val="bottom"/>
          </w:tcPr>
          <w:p w:rsidR="006247DF" w:rsidRPr="00262BC2" w:rsidRDefault="00C81359" w:rsidP="00C81359">
            <w:pPr>
              <w:spacing w:line="200" w:lineRule="exact"/>
              <w:jc w:val="right"/>
              <w:rPr>
                <w:sz w:val="16"/>
                <w:szCs w:val="16"/>
              </w:rPr>
            </w:pPr>
            <w:r>
              <w:rPr>
                <w:sz w:val="16"/>
                <w:szCs w:val="16"/>
              </w:rPr>
              <w:t>1</w:t>
            </w:r>
            <w:r w:rsidR="006247DF">
              <w:rPr>
                <w:sz w:val="16"/>
                <w:szCs w:val="16"/>
              </w:rPr>
              <w:t xml:space="preserve"> </w:t>
            </w:r>
            <w:r>
              <w:rPr>
                <w:sz w:val="16"/>
                <w:szCs w:val="16"/>
              </w:rPr>
              <w:t>631</w:t>
            </w:r>
          </w:p>
        </w:tc>
        <w:tc>
          <w:tcPr>
            <w:tcW w:w="815" w:type="dxa"/>
            <w:vAlign w:val="bottom"/>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3 784</w:t>
            </w:r>
          </w:p>
        </w:tc>
        <w:tc>
          <w:tcPr>
            <w:tcW w:w="815" w:type="dxa"/>
            <w:vAlign w:val="bottom"/>
          </w:tcPr>
          <w:p w:rsidR="006247DF" w:rsidRPr="00262BC2" w:rsidRDefault="0004513D" w:rsidP="0004513D">
            <w:pPr>
              <w:spacing w:line="200" w:lineRule="exact"/>
              <w:jc w:val="right"/>
              <w:rPr>
                <w:sz w:val="16"/>
                <w:szCs w:val="16"/>
              </w:rPr>
            </w:pPr>
            <w:r w:rsidRPr="00E7637B">
              <w:rPr>
                <w:sz w:val="16"/>
                <w:szCs w:val="16"/>
              </w:rPr>
              <w:t>–</w:t>
            </w:r>
            <w:r>
              <w:rPr>
                <w:sz w:val="16"/>
                <w:szCs w:val="16"/>
              </w:rPr>
              <w:t>603</w:t>
            </w:r>
          </w:p>
        </w:tc>
        <w:tc>
          <w:tcPr>
            <w:tcW w:w="815" w:type="dxa"/>
            <w:vAlign w:val="bottom"/>
          </w:tcPr>
          <w:p w:rsidR="006247DF" w:rsidRPr="00262BC2" w:rsidRDefault="0004513D" w:rsidP="0004513D">
            <w:pPr>
              <w:spacing w:line="200" w:lineRule="exact"/>
              <w:jc w:val="right"/>
              <w:rPr>
                <w:sz w:val="16"/>
                <w:szCs w:val="16"/>
              </w:rPr>
            </w:pPr>
            <w:r>
              <w:rPr>
                <w:sz w:val="16"/>
                <w:szCs w:val="16"/>
              </w:rPr>
              <w:t>209</w:t>
            </w:r>
          </w:p>
        </w:tc>
        <w:tc>
          <w:tcPr>
            <w:tcW w:w="815" w:type="dxa"/>
            <w:vAlign w:val="bottom"/>
          </w:tcPr>
          <w:p w:rsidR="006247DF" w:rsidRPr="00E7637B" w:rsidRDefault="0004513D" w:rsidP="0004513D">
            <w:pPr>
              <w:spacing w:line="200" w:lineRule="exact"/>
              <w:jc w:val="right"/>
              <w:rPr>
                <w:sz w:val="16"/>
                <w:szCs w:val="16"/>
              </w:rPr>
            </w:pPr>
            <w:r>
              <w:rPr>
                <w:sz w:val="16"/>
                <w:szCs w:val="16"/>
              </w:rPr>
              <w:t>–5</w:t>
            </w:r>
            <w:r w:rsidR="006247DF" w:rsidRPr="00E7637B">
              <w:rPr>
                <w:sz w:val="16"/>
                <w:szCs w:val="16"/>
              </w:rPr>
              <w:t xml:space="preserve"> </w:t>
            </w:r>
            <w:r>
              <w:rPr>
                <w:sz w:val="16"/>
                <w:szCs w:val="16"/>
              </w:rPr>
              <w:t>123</w:t>
            </w:r>
          </w:p>
        </w:tc>
      </w:tr>
      <w:tr w:rsidR="006247DF" w:rsidRPr="00E7637B" w:rsidTr="006247DF">
        <w:trPr>
          <w:trHeight w:val="216"/>
        </w:trPr>
        <w:tc>
          <w:tcPr>
            <w:tcW w:w="2219" w:type="dxa"/>
            <w:gridSpan w:val="5"/>
            <w:vAlign w:val="bottom"/>
          </w:tcPr>
          <w:p w:rsidR="006247DF" w:rsidRPr="00E7637B" w:rsidRDefault="006247DF" w:rsidP="006247DF">
            <w:pPr>
              <w:spacing w:line="200" w:lineRule="exact"/>
              <w:rPr>
                <w:sz w:val="16"/>
                <w:szCs w:val="16"/>
              </w:rPr>
            </w:pPr>
            <w:r w:rsidRPr="00E7637B">
              <w:rPr>
                <w:sz w:val="16"/>
                <w:szCs w:val="16"/>
              </w:rPr>
              <w:t>Avgifts- och provisionsintäkter</w:t>
            </w:r>
          </w:p>
        </w:tc>
        <w:tc>
          <w:tcPr>
            <w:tcW w:w="788" w:type="dxa"/>
            <w:vAlign w:val="bottom"/>
          </w:tcPr>
          <w:p w:rsidR="006247DF" w:rsidRPr="00E7637B" w:rsidRDefault="006247DF" w:rsidP="00C81359">
            <w:pPr>
              <w:spacing w:line="200" w:lineRule="exact"/>
              <w:jc w:val="right"/>
              <w:rPr>
                <w:sz w:val="16"/>
                <w:szCs w:val="16"/>
              </w:rPr>
            </w:pPr>
            <w:r>
              <w:rPr>
                <w:sz w:val="16"/>
                <w:szCs w:val="16"/>
              </w:rPr>
              <w:t>6</w:t>
            </w:r>
            <w:r w:rsidR="00C81359">
              <w:rPr>
                <w:sz w:val="16"/>
                <w:szCs w:val="16"/>
              </w:rPr>
              <w:t>4</w:t>
            </w:r>
          </w:p>
        </w:tc>
        <w:tc>
          <w:tcPr>
            <w:tcW w:w="815" w:type="dxa"/>
            <w:vAlign w:val="bottom"/>
          </w:tcPr>
          <w:p w:rsidR="006247DF" w:rsidRPr="00E7637B" w:rsidRDefault="00C81359" w:rsidP="00C81359">
            <w:pPr>
              <w:spacing w:line="200" w:lineRule="exact"/>
              <w:jc w:val="right"/>
              <w:rPr>
                <w:sz w:val="16"/>
                <w:szCs w:val="16"/>
              </w:rPr>
            </w:pPr>
            <w:r>
              <w:rPr>
                <w:sz w:val="16"/>
                <w:szCs w:val="16"/>
              </w:rPr>
              <w:t>65</w:t>
            </w:r>
          </w:p>
        </w:tc>
        <w:tc>
          <w:tcPr>
            <w:tcW w:w="815" w:type="dxa"/>
            <w:vAlign w:val="bottom"/>
          </w:tcPr>
          <w:p w:rsidR="006247DF" w:rsidRPr="00E7637B" w:rsidRDefault="006247DF" w:rsidP="00914E9B">
            <w:pPr>
              <w:spacing w:line="200" w:lineRule="exact"/>
              <w:jc w:val="right"/>
              <w:rPr>
                <w:sz w:val="16"/>
                <w:szCs w:val="16"/>
              </w:rPr>
            </w:pPr>
            <w:r>
              <w:rPr>
                <w:sz w:val="16"/>
                <w:szCs w:val="16"/>
              </w:rPr>
              <w:t>7</w:t>
            </w:r>
            <w:r w:rsidR="00914E9B">
              <w:rPr>
                <w:sz w:val="16"/>
                <w:szCs w:val="16"/>
              </w:rPr>
              <w:t>1</w:t>
            </w:r>
          </w:p>
        </w:tc>
        <w:tc>
          <w:tcPr>
            <w:tcW w:w="815" w:type="dxa"/>
            <w:vAlign w:val="bottom"/>
          </w:tcPr>
          <w:p w:rsidR="006247DF" w:rsidRPr="00E7637B" w:rsidRDefault="0004513D" w:rsidP="0004513D">
            <w:pPr>
              <w:spacing w:line="200" w:lineRule="exact"/>
              <w:jc w:val="right"/>
              <w:rPr>
                <w:sz w:val="16"/>
                <w:szCs w:val="16"/>
              </w:rPr>
            </w:pPr>
            <w:r>
              <w:rPr>
                <w:sz w:val="16"/>
                <w:szCs w:val="16"/>
              </w:rPr>
              <w:t>70</w:t>
            </w:r>
          </w:p>
        </w:tc>
        <w:tc>
          <w:tcPr>
            <w:tcW w:w="815" w:type="dxa"/>
            <w:vAlign w:val="bottom"/>
          </w:tcPr>
          <w:p w:rsidR="006247DF" w:rsidRPr="00E7637B" w:rsidRDefault="0004513D" w:rsidP="0004513D">
            <w:pPr>
              <w:spacing w:line="200" w:lineRule="exact"/>
              <w:jc w:val="right"/>
              <w:rPr>
                <w:sz w:val="16"/>
                <w:szCs w:val="16"/>
              </w:rPr>
            </w:pPr>
            <w:r>
              <w:rPr>
                <w:sz w:val="16"/>
                <w:szCs w:val="16"/>
              </w:rPr>
              <w:t>67</w:t>
            </w:r>
          </w:p>
        </w:tc>
      </w:tr>
      <w:tr w:rsidR="006247DF" w:rsidRPr="00E7637B" w:rsidTr="006247DF">
        <w:trPr>
          <w:trHeight w:val="216"/>
        </w:trPr>
        <w:tc>
          <w:tcPr>
            <w:tcW w:w="2219" w:type="dxa"/>
            <w:gridSpan w:val="5"/>
          </w:tcPr>
          <w:p w:rsidR="006247DF" w:rsidRPr="00E7637B" w:rsidRDefault="006247DF" w:rsidP="006247DF">
            <w:pPr>
              <w:spacing w:line="200" w:lineRule="exact"/>
              <w:jc w:val="left"/>
              <w:rPr>
                <w:spacing w:val="-2"/>
                <w:sz w:val="16"/>
                <w:szCs w:val="16"/>
              </w:rPr>
            </w:pPr>
            <w:r w:rsidRPr="00E7637B">
              <w:rPr>
                <w:spacing w:val="-2"/>
                <w:sz w:val="16"/>
                <w:szCs w:val="16"/>
              </w:rPr>
              <w:t>Avgifts- och provisionskostnader</w:t>
            </w:r>
          </w:p>
        </w:tc>
        <w:tc>
          <w:tcPr>
            <w:tcW w:w="788"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1</w:t>
            </w:r>
            <w:r w:rsidR="00C81359">
              <w:rPr>
                <w:sz w:val="16"/>
                <w:szCs w:val="16"/>
              </w:rPr>
              <w:t>5</w:t>
            </w:r>
          </w:p>
        </w:tc>
        <w:tc>
          <w:tcPr>
            <w:tcW w:w="815" w:type="dxa"/>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12</w:t>
            </w:r>
          </w:p>
        </w:tc>
        <w:tc>
          <w:tcPr>
            <w:tcW w:w="815" w:type="dxa"/>
          </w:tcPr>
          <w:p w:rsidR="006247DF" w:rsidRPr="00262BC2" w:rsidRDefault="006247DF" w:rsidP="006247DF">
            <w:pPr>
              <w:spacing w:line="200" w:lineRule="exact"/>
              <w:jc w:val="right"/>
              <w:rPr>
                <w:sz w:val="16"/>
                <w:szCs w:val="16"/>
              </w:rPr>
            </w:pPr>
            <w:r w:rsidRPr="00E7637B">
              <w:rPr>
                <w:sz w:val="16"/>
                <w:szCs w:val="16"/>
              </w:rPr>
              <w:t>–</w:t>
            </w:r>
            <w:r>
              <w:rPr>
                <w:sz w:val="16"/>
                <w:szCs w:val="16"/>
              </w:rPr>
              <w:t>8</w:t>
            </w:r>
          </w:p>
        </w:tc>
        <w:tc>
          <w:tcPr>
            <w:tcW w:w="815" w:type="dxa"/>
          </w:tcPr>
          <w:p w:rsidR="006247DF" w:rsidRPr="00262BC2" w:rsidRDefault="006247DF" w:rsidP="0004513D">
            <w:pPr>
              <w:spacing w:line="200" w:lineRule="exact"/>
              <w:jc w:val="right"/>
              <w:rPr>
                <w:sz w:val="16"/>
                <w:szCs w:val="16"/>
              </w:rPr>
            </w:pPr>
            <w:r>
              <w:rPr>
                <w:sz w:val="16"/>
                <w:szCs w:val="16"/>
              </w:rPr>
              <w:t>–</w:t>
            </w:r>
            <w:r w:rsidR="0004513D">
              <w:rPr>
                <w:sz w:val="16"/>
                <w:szCs w:val="16"/>
              </w:rPr>
              <w:t>8</w:t>
            </w:r>
          </w:p>
        </w:tc>
        <w:tc>
          <w:tcPr>
            <w:tcW w:w="815" w:type="dxa"/>
          </w:tcPr>
          <w:p w:rsidR="006247DF" w:rsidRPr="00E7637B" w:rsidRDefault="006247DF" w:rsidP="0004513D">
            <w:pPr>
              <w:spacing w:line="200" w:lineRule="exact"/>
              <w:jc w:val="right"/>
              <w:rPr>
                <w:sz w:val="16"/>
                <w:szCs w:val="16"/>
              </w:rPr>
            </w:pPr>
            <w:r w:rsidRPr="00E7637B">
              <w:rPr>
                <w:sz w:val="16"/>
                <w:szCs w:val="16"/>
              </w:rPr>
              <w:t>–</w:t>
            </w:r>
            <w:r w:rsidR="0004513D">
              <w:rPr>
                <w:sz w:val="16"/>
                <w:szCs w:val="16"/>
              </w:rPr>
              <w:t>11</w:t>
            </w:r>
          </w:p>
        </w:tc>
      </w:tr>
      <w:tr w:rsidR="006247DF" w:rsidRPr="00E7637B" w:rsidTr="006247DF">
        <w:trPr>
          <w:trHeight w:val="216"/>
        </w:trPr>
        <w:tc>
          <w:tcPr>
            <w:tcW w:w="1874" w:type="dxa"/>
            <w:gridSpan w:val="3"/>
          </w:tcPr>
          <w:p w:rsidR="006247DF" w:rsidRPr="00E7637B" w:rsidRDefault="006247DF" w:rsidP="006247DF">
            <w:pPr>
              <w:spacing w:line="200" w:lineRule="exact"/>
              <w:rPr>
                <w:sz w:val="16"/>
                <w:szCs w:val="16"/>
              </w:rPr>
            </w:pPr>
            <w:r w:rsidRPr="00E7637B">
              <w:rPr>
                <w:sz w:val="16"/>
                <w:szCs w:val="16"/>
              </w:rPr>
              <w:t>Erhållna utdelningar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E7637B" w:rsidRDefault="00C81359" w:rsidP="00C81359">
            <w:pPr>
              <w:spacing w:line="200" w:lineRule="exact"/>
              <w:jc w:val="right"/>
              <w:rPr>
                <w:sz w:val="16"/>
                <w:szCs w:val="16"/>
              </w:rPr>
            </w:pPr>
            <w:r>
              <w:rPr>
                <w:sz w:val="16"/>
                <w:szCs w:val="16"/>
              </w:rPr>
              <w:t>39</w:t>
            </w:r>
          </w:p>
        </w:tc>
        <w:tc>
          <w:tcPr>
            <w:tcW w:w="815" w:type="dxa"/>
          </w:tcPr>
          <w:p w:rsidR="006247DF" w:rsidRPr="00E7637B" w:rsidRDefault="006247DF" w:rsidP="00C81359">
            <w:pPr>
              <w:spacing w:line="200" w:lineRule="exact"/>
              <w:jc w:val="right"/>
              <w:rPr>
                <w:sz w:val="16"/>
                <w:szCs w:val="16"/>
              </w:rPr>
            </w:pPr>
            <w:r>
              <w:rPr>
                <w:sz w:val="16"/>
                <w:szCs w:val="16"/>
              </w:rPr>
              <w:t>5</w:t>
            </w:r>
            <w:r w:rsidR="00C81359">
              <w:rPr>
                <w:sz w:val="16"/>
                <w:szCs w:val="16"/>
              </w:rPr>
              <w:t>5</w:t>
            </w:r>
          </w:p>
        </w:tc>
        <w:tc>
          <w:tcPr>
            <w:tcW w:w="815" w:type="dxa"/>
          </w:tcPr>
          <w:p w:rsidR="006247DF" w:rsidRPr="00E7637B" w:rsidRDefault="006247DF" w:rsidP="00914E9B">
            <w:pPr>
              <w:spacing w:line="200" w:lineRule="exact"/>
              <w:jc w:val="right"/>
              <w:rPr>
                <w:sz w:val="16"/>
                <w:szCs w:val="16"/>
              </w:rPr>
            </w:pPr>
            <w:r>
              <w:rPr>
                <w:sz w:val="16"/>
                <w:szCs w:val="16"/>
              </w:rPr>
              <w:t>5</w:t>
            </w:r>
            <w:r w:rsidR="00914E9B">
              <w:rPr>
                <w:sz w:val="16"/>
                <w:szCs w:val="16"/>
              </w:rPr>
              <w:t>6</w:t>
            </w:r>
          </w:p>
        </w:tc>
        <w:tc>
          <w:tcPr>
            <w:tcW w:w="815" w:type="dxa"/>
          </w:tcPr>
          <w:p w:rsidR="006247DF" w:rsidRPr="00E7637B" w:rsidRDefault="0004513D" w:rsidP="0004513D">
            <w:pPr>
              <w:spacing w:line="200" w:lineRule="exact"/>
              <w:jc w:val="right"/>
              <w:rPr>
                <w:sz w:val="16"/>
                <w:szCs w:val="16"/>
              </w:rPr>
            </w:pPr>
            <w:r>
              <w:rPr>
                <w:sz w:val="16"/>
                <w:szCs w:val="16"/>
              </w:rPr>
              <w:t>5</w:t>
            </w:r>
            <w:r w:rsidR="006247DF" w:rsidRPr="00E7637B">
              <w:rPr>
                <w:sz w:val="16"/>
                <w:szCs w:val="16"/>
              </w:rPr>
              <w:t>1</w:t>
            </w:r>
          </w:p>
        </w:tc>
        <w:tc>
          <w:tcPr>
            <w:tcW w:w="815" w:type="dxa"/>
          </w:tcPr>
          <w:p w:rsidR="006247DF" w:rsidRPr="00E7637B" w:rsidRDefault="0004513D" w:rsidP="0004513D">
            <w:pPr>
              <w:spacing w:line="200" w:lineRule="exact"/>
              <w:jc w:val="right"/>
              <w:rPr>
                <w:sz w:val="16"/>
                <w:szCs w:val="16"/>
              </w:rPr>
            </w:pPr>
            <w:r>
              <w:rPr>
                <w:sz w:val="16"/>
                <w:szCs w:val="16"/>
              </w:rPr>
              <w:t>134</w:t>
            </w:r>
          </w:p>
        </w:tc>
      </w:tr>
      <w:tr w:rsidR="006247DF" w:rsidRPr="00E7637B" w:rsidTr="006247DF">
        <w:trPr>
          <w:trHeight w:val="216"/>
        </w:trPr>
        <w:tc>
          <w:tcPr>
            <w:tcW w:w="1874" w:type="dxa"/>
            <w:gridSpan w:val="3"/>
          </w:tcPr>
          <w:p w:rsidR="006247DF" w:rsidRPr="00E7637B" w:rsidRDefault="006247DF" w:rsidP="006247DF">
            <w:pPr>
              <w:spacing w:line="200" w:lineRule="exact"/>
              <w:rPr>
                <w:sz w:val="16"/>
                <w:szCs w:val="16"/>
              </w:rPr>
            </w:pPr>
            <w:r w:rsidRPr="00E7637B">
              <w:rPr>
                <w:sz w:val="16"/>
                <w:szCs w:val="16"/>
              </w:rPr>
              <w:t>Övriga intäkter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Borders>
              <w:bottom w:val="single" w:sz="6" w:space="0" w:color="auto"/>
            </w:tcBorders>
          </w:tcPr>
          <w:p w:rsidR="006247DF" w:rsidRPr="00E7637B" w:rsidRDefault="00C81359" w:rsidP="00C81359">
            <w:pPr>
              <w:spacing w:line="200" w:lineRule="exact"/>
              <w:jc w:val="right"/>
              <w:rPr>
                <w:sz w:val="16"/>
                <w:szCs w:val="16"/>
              </w:rPr>
            </w:pPr>
            <w:r>
              <w:rPr>
                <w:sz w:val="16"/>
                <w:szCs w:val="16"/>
              </w:rPr>
              <w:t>33</w:t>
            </w:r>
          </w:p>
        </w:tc>
        <w:tc>
          <w:tcPr>
            <w:tcW w:w="815" w:type="dxa"/>
            <w:tcBorders>
              <w:bottom w:val="single" w:sz="6" w:space="0" w:color="auto"/>
            </w:tcBorders>
          </w:tcPr>
          <w:p w:rsidR="006247DF" w:rsidRPr="00E7637B" w:rsidRDefault="00C81359" w:rsidP="00C81359">
            <w:pPr>
              <w:spacing w:line="200" w:lineRule="exact"/>
              <w:jc w:val="right"/>
              <w:rPr>
                <w:sz w:val="16"/>
                <w:szCs w:val="16"/>
              </w:rPr>
            </w:pPr>
            <w:r>
              <w:rPr>
                <w:sz w:val="16"/>
                <w:szCs w:val="16"/>
              </w:rPr>
              <w:t>26</w:t>
            </w:r>
          </w:p>
        </w:tc>
        <w:tc>
          <w:tcPr>
            <w:tcW w:w="815" w:type="dxa"/>
            <w:tcBorders>
              <w:bottom w:val="single" w:sz="6" w:space="0" w:color="auto"/>
            </w:tcBorders>
          </w:tcPr>
          <w:p w:rsidR="006247DF" w:rsidRPr="00E7637B" w:rsidRDefault="00914E9B" w:rsidP="00914E9B">
            <w:pPr>
              <w:spacing w:line="200" w:lineRule="exact"/>
              <w:jc w:val="right"/>
              <w:rPr>
                <w:sz w:val="16"/>
                <w:szCs w:val="16"/>
              </w:rPr>
            </w:pPr>
            <w:r>
              <w:rPr>
                <w:sz w:val="16"/>
                <w:szCs w:val="16"/>
              </w:rPr>
              <w:t>34</w:t>
            </w:r>
          </w:p>
        </w:tc>
        <w:tc>
          <w:tcPr>
            <w:tcW w:w="815" w:type="dxa"/>
            <w:tcBorders>
              <w:bottom w:val="single" w:sz="6" w:space="0" w:color="auto"/>
            </w:tcBorders>
          </w:tcPr>
          <w:p w:rsidR="006247DF" w:rsidRPr="00E7637B" w:rsidRDefault="0004513D" w:rsidP="0004513D">
            <w:pPr>
              <w:spacing w:line="200" w:lineRule="exact"/>
              <w:jc w:val="right"/>
              <w:rPr>
                <w:sz w:val="16"/>
                <w:szCs w:val="16"/>
              </w:rPr>
            </w:pPr>
            <w:r>
              <w:rPr>
                <w:sz w:val="16"/>
                <w:szCs w:val="16"/>
              </w:rPr>
              <w:t>1</w:t>
            </w:r>
            <w:r w:rsidR="006247DF" w:rsidRPr="00E7637B">
              <w:rPr>
                <w:sz w:val="16"/>
                <w:szCs w:val="16"/>
              </w:rPr>
              <w:t>6</w:t>
            </w:r>
            <w:r>
              <w:rPr>
                <w:sz w:val="16"/>
                <w:szCs w:val="16"/>
              </w:rPr>
              <w:t>8</w:t>
            </w:r>
          </w:p>
        </w:tc>
        <w:tc>
          <w:tcPr>
            <w:tcW w:w="815" w:type="dxa"/>
            <w:tcBorders>
              <w:bottom w:val="single" w:sz="6" w:space="0" w:color="auto"/>
            </w:tcBorders>
          </w:tcPr>
          <w:p w:rsidR="006247DF" w:rsidRPr="00E7637B" w:rsidRDefault="0004513D" w:rsidP="0004513D">
            <w:pPr>
              <w:spacing w:line="200" w:lineRule="exact"/>
              <w:jc w:val="right"/>
              <w:rPr>
                <w:sz w:val="16"/>
                <w:szCs w:val="16"/>
              </w:rPr>
            </w:pPr>
            <w:r>
              <w:rPr>
                <w:sz w:val="16"/>
                <w:szCs w:val="16"/>
              </w:rPr>
              <w:t>603</w:t>
            </w:r>
          </w:p>
        </w:tc>
      </w:tr>
      <w:tr w:rsidR="006247DF" w:rsidRPr="00E7637B" w:rsidTr="006247DF">
        <w:trPr>
          <w:trHeight w:val="216"/>
        </w:trPr>
        <w:tc>
          <w:tcPr>
            <w:tcW w:w="1874" w:type="dxa"/>
            <w:gridSpan w:val="3"/>
          </w:tcPr>
          <w:p w:rsidR="006247DF" w:rsidRPr="00E7637B" w:rsidRDefault="006247DF" w:rsidP="006247DF">
            <w:pPr>
              <w:spacing w:line="200" w:lineRule="exact"/>
              <w:rPr>
                <w:b/>
                <w:sz w:val="16"/>
                <w:szCs w:val="16"/>
              </w:rPr>
            </w:pPr>
            <w:r w:rsidRPr="00E7637B">
              <w:rPr>
                <w:b/>
                <w:sz w:val="16"/>
                <w:szCs w:val="16"/>
              </w:rPr>
              <w:t>Summa nettointäkter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E7637B" w:rsidRDefault="00C81359" w:rsidP="00C81359">
            <w:pPr>
              <w:spacing w:line="200" w:lineRule="exact"/>
              <w:jc w:val="right"/>
              <w:rPr>
                <w:sz w:val="16"/>
                <w:szCs w:val="16"/>
              </w:rPr>
            </w:pPr>
            <w:r>
              <w:rPr>
                <w:sz w:val="16"/>
                <w:szCs w:val="16"/>
              </w:rPr>
              <w:t>4</w:t>
            </w:r>
            <w:r w:rsidR="006247DF">
              <w:rPr>
                <w:sz w:val="16"/>
                <w:szCs w:val="16"/>
              </w:rPr>
              <w:t xml:space="preserve"> </w:t>
            </w:r>
            <w:r>
              <w:rPr>
                <w:sz w:val="16"/>
                <w:szCs w:val="16"/>
              </w:rPr>
              <w:t>184</w:t>
            </w:r>
          </w:p>
        </w:tc>
        <w:tc>
          <w:tcPr>
            <w:tcW w:w="815" w:type="dxa"/>
          </w:tcPr>
          <w:p w:rsidR="006247DF" w:rsidRPr="00E7637B" w:rsidRDefault="00C81359" w:rsidP="00C81359">
            <w:pPr>
              <w:spacing w:line="200" w:lineRule="exact"/>
              <w:jc w:val="right"/>
              <w:rPr>
                <w:sz w:val="16"/>
                <w:szCs w:val="16"/>
              </w:rPr>
            </w:pPr>
            <w:r w:rsidRPr="00E7637B">
              <w:rPr>
                <w:sz w:val="16"/>
                <w:szCs w:val="16"/>
              </w:rPr>
              <w:t>–</w:t>
            </w:r>
            <w:r>
              <w:rPr>
                <w:sz w:val="16"/>
                <w:szCs w:val="16"/>
              </w:rPr>
              <w:t>1</w:t>
            </w:r>
            <w:r w:rsidR="006247DF">
              <w:rPr>
                <w:sz w:val="16"/>
                <w:szCs w:val="16"/>
              </w:rPr>
              <w:t xml:space="preserve"> </w:t>
            </w:r>
            <w:r>
              <w:rPr>
                <w:sz w:val="16"/>
                <w:szCs w:val="16"/>
              </w:rPr>
              <w:t>221</w:t>
            </w:r>
          </w:p>
        </w:tc>
        <w:tc>
          <w:tcPr>
            <w:tcW w:w="815" w:type="dxa"/>
          </w:tcPr>
          <w:p w:rsidR="006247DF" w:rsidRPr="00E7637B" w:rsidRDefault="00914E9B" w:rsidP="00914E9B">
            <w:pPr>
              <w:spacing w:line="200" w:lineRule="exact"/>
              <w:jc w:val="right"/>
              <w:rPr>
                <w:sz w:val="16"/>
                <w:szCs w:val="16"/>
              </w:rPr>
            </w:pPr>
            <w:r>
              <w:rPr>
                <w:sz w:val="16"/>
                <w:szCs w:val="16"/>
              </w:rPr>
              <w:t>2</w:t>
            </w:r>
            <w:r w:rsidR="006247DF">
              <w:rPr>
                <w:sz w:val="16"/>
                <w:szCs w:val="16"/>
              </w:rPr>
              <w:t xml:space="preserve"> </w:t>
            </w:r>
            <w:r>
              <w:rPr>
                <w:sz w:val="16"/>
                <w:szCs w:val="16"/>
              </w:rPr>
              <w:t>634</w:t>
            </w:r>
          </w:p>
        </w:tc>
        <w:tc>
          <w:tcPr>
            <w:tcW w:w="815" w:type="dxa"/>
          </w:tcPr>
          <w:p w:rsidR="006247DF" w:rsidRPr="00E7637B" w:rsidRDefault="0004513D" w:rsidP="0004513D">
            <w:pPr>
              <w:spacing w:line="200" w:lineRule="exact"/>
              <w:jc w:val="right"/>
              <w:rPr>
                <w:sz w:val="16"/>
                <w:szCs w:val="16"/>
              </w:rPr>
            </w:pPr>
            <w:r>
              <w:rPr>
                <w:sz w:val="16"/>
                <w:szCs w:val="16"/>
              </w:rPr>
              <w:t>4</w:t>
            </w:r>
            <w:r w:rsidR="006247DF" w:rsidRPr="00E7637B">
              <w:rPr>
                <w:sz w:val="16"/>
                <w:szCs w:val="16"/>
              </w:rPr>
              <w:t xml:space="preserve"> </w:t>
            </w:r>
            <w:r>
              <w:rPr>
                <w:sz w:val="16"/>
                <w:szCs w:val="16"/>
              </w:rPr>
              <w:t>624</w:t>
            </w:r>
          </w:p>
        </w:tc>
        <w:tc>
          <w:tcPr>
            <w:tcW w:w="815" w:type="dxa"/>
          </w:tcPr>
          <w:p w:rsidR="006247DF" w:rsidRPr="00E7637B" w:rsidRDefault="006247DF" w:rsidP="0004513D">
            <w:pPr>
              <w:spacing w:line="200" w:lineRule="exact"/>
              <w:jc w:val="right"/>
              <w:rPr>
                <w:sz w:val="16"/>
                <w:szCs w:val="16"/>
              </w:rPr>
            </w:pPr>
            <w:r w:rsidRPr="00E7637B">
              <w:rPr>
                <w:sz w:val="16"/>
                <w:szCs w:val="16"/>
              </w:rPr>
              <w:t xml:space="preserve">1 </w:t>
            </w:r>
            <w:r w:rsidR="0004513D">
              <w:rPr>
                <w:sz w:val="16"/>
                <w:szCs w:val="16"/>
              </w:rPr>
              <w:t>252</w:t>
            </w:r>
          </w:p>
        </w:tc>
      </w:tr>
      <w:tr w:rsidR="006247DF" w:rsidRPr="00E7637B" w:rsidTr="006247DF">
        <w:trPr>
          <w:trHeight w:val="216"/>
        </w:trPr>
        <w:tc>
          <w:tcPr>
            <w:tcW w:w="254" w:type="dxa"/>
          </w:tcPr>
          <w:p w:rsidR="006247DF" w:rsidRPr="00E7637B" w:rsidRDefault="006247DF" w:rsidP="006247DF">
            <w:pPr>
              <w:spacing w:line="200" w:lineRule="exact"/>
              <w:rPr>
                <w:sz w:val="16"/>
                <w:szCs w:val="16"/>
              </w:rPr>
            </w:pPr>
          </w:p>
        </w:tc>
        <w:tc>
          <w:tcPr>
            <w:tcW w:w="632" w:type="dxa"/>
          </w:tcPr>
          <w:p w:rsidR="006247DF" w:rsidRPr="00E7637B" w:rsidRDefault="006247DF" w:rsidP="006247DF">
            <w:pPr>
              <w:spacing w:line="200" w:lineRule="exact"/>
              <w:rPr>
                <w:sz w:val="16"/>
                <w:szCs w:val="16"/>
              </w:rPr>
            </w:pPr>
          </w:p>
        </w:tc>
        <w:tc>
          <w:tcPr>
            <w:tcW w:w="988" w:type="dxa"/>
          </w:tcPr>
          <w:p w:rsidR="006247DF" w:rsidRPr="00E7637B" w:rsidRDefault="006247DF" w:rsidP="006247DF">
            <w:pPr>
              <w:spacing w:line="200" w:lineRule="exact"/>
              <w:rPr>
                <w:sz w:val="16"/>
                <w:szCs w:val="16"/>
              </w:rPr>
            </w:pP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r>
      <w:tr w:rsidR="006247DF" w:rsidRPr="00E7637B" w:rsidTr="006247DF">
        <w:trPr>
          <w:trHeight w:val="216"/>
        </w:trPr>
        <w:tc>
          <w:tcPr>
            <w:tcW w:w="1874" w:type="dxa"/>
            <w:gridSpan w:val="3"/>
          </w:tcPr>
          <w:p w:rsidR="006247DF" w:rsidRPr="00E7637B" w:rsidRDefault="006247DF" w:rsidP="006247DF">
            <w:pPr>
              <w:spacing w:line="200" w:lineRule="exact"/>
              <w:rPr>
                <w:sz w:val="16"/>
                <w:szCs w:val="16"/>
              </w:rPr>
            </w:pPr>
            <w:r w:rsidRPr="00E7637B">
              <w:rPr>
                <w:sz w:val="16"/>
                <w:szCs w:val="16"/>
              </w:rPr>
              <w:t>Personalkostnader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3</w:t>
            </w:r>
            <w:r w:rsidR="00C81359">
              <w:rPr>
                <w:sz w:val="16"/>
                <w:szCs w:val="16"/>
              </w:rPr>
              <w:t>61</w:t>
            </w:r>
          </w:p>
        </w:tc>
        <w:tc>
          <w:tcPr>
            <w:tcW w:w="815"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3</w:t>
            </w:r>
            <w:r w:rsidR="00C81359">
              <w:rPr>
                <w:sz w:val="16"/>
                <w:szCs w:val="16"/>
              </w:rPr>
              <w:t>75</w:t>
            </w:r>
          </w:p>
        </w:tc>
        <w:tc>
          <w:tcPr>
            <w:tcW w:w="815" w:type="dxa"/>
          </w:tcPr>
          <w:p w:rsidR="006247DF" w:rsidRPr="00262BC2" w:rsidRDefault="006247DF" w:rsidP="00914E9B">
            <w:pPr>
              <w:spacing w:line="200" w:lineRule="exact"/>
              <w:jc w:val="right"/>
              <w:rPr>
                <w:sz w:val="16"/>
                <w:szCs w:val="16"/>
              </w:rPr>
            </w:pPr>
            <w:r w:rsidRPr="00E7637B">
              <w:rPr>
                <w:sz w:val="16"/>
                <w:szCs w:val="16"/>
              </w:rPr>
              <w:t>–</w:t>
            </w:r>
            <w:r>
              <w:rPr>
                <w:sz w:val="16"/>
                <w:szCs w:val="16"/>
              </w:rPr>
              <w:t>3</w:t>
            </w:r>
            <w:r w:rsidR="00914E9B">
              <w:rPr>
                <w:sz w:val="16"/>
                <w:szCs w:val="16"/>
              </w:rPr>
              <w:t>66</w:t>
            </w:r>
          </w:p>
        </w:tc>
        <w:tc>
          <w:tcPr>
            <w:tcW w:w="815" w:type="dxa"/>
          </w:tcPr>
          <w:p w:rsidR="006247DF" w:rsidRPr="00262BC2" w:rsidRDefault="006247DF" w:rsidP="0004513D">
            <w:pPr>
              <w:spacing w:line="200" w:lineRule="exact"/>
              <w:jc w:val="right"/>
              <w:rPr>
                <w:sz w:val="16"/>
                <w:szCs w:val="16"/>
              </w:rPr>
            </w:pPr>
            <w:r>
              <w:rPr>
                <w:sz w:val="16"/>
                <w:szCs w:val="16"/>
              </w:rPr>
              <w:t>–</w:t>
            </w:r>
            <w:r w:rsidRPr="00262BC2">
              <w:rPr>
                <w:sz w:val="16"/>
                <w:szCs w:val="16"/>
              </w:rPr>
              <w:t>3</w:t>
            </w:r>
            <w:r w:rsidR="0004513D">
              <w:rPr>
                <w:sz w:val="16"/>
                <w:szCs w:val="16"/>
              </w:rPr>
              <w:t>72</w:t>
            </w:r>
          </w:p>
        </w:tc>
        <w:tc>
          <w:tcPr>
            <w:tcW w:w="815" w:type="dxa"/>
          </w:tcPr>
          <w:p w:rsidR="006247DF" w:rsidRPr="00E7637B" w:rsidRDefault="006247DF" w:rsidP="0004513D">
            <w:pPr>
              <w:spacing w:line="200" w:lineRule="exact"/>
              <w:jc w:val="right"/>
              <w:rPr>
                <w:sz w:val="16"/>
                <w:szCs w:val="16"/>
              </w:rPr>
            </w:pPr>
            <w:r w:rsidRPr="00E7637B">
              <w:rPr>
                <w:sz w:val="16"/>
                <w:szCs w:val="16"/>
              </w:rPr>
              <w:t>–34</w:t>
            </w:r>
            <w:r w:rsidR="0004513D">
              <w:rPr>
                <w:sz w:val="16"/>
                <w:szCs w:val="16"/>
              </w:rPr>
              <w:t>5</w:t>
            </w:r>
          </w:p>
        </w:tc>
      </w:tr>
      <w:tr w:rsidR="006247DF" w:rsidRPr="00E7637B" w:rsidTr="006247DF">
        <w:trPr>
          <w:trHeight w:val="216"/>
        </w:trPr>
        <w:tc>
          <w:tcPr>
            <w:tcW w:w="1997" w:type="dxa"/>
            <w:gridSpan w:val="4"/>
          </w:tcPr>
          <w:p w:rsidR="006247DF" w:rsidRPr="00E7637B" w:rsidRDefault="006247DF" w:rsidP="006247DF">
            <w:pPr>
              <w:spacing w:line="200" w:lineRule="exact"/>
              <w:rPr>
                <w:sz w:val="16"/>
                <w:szCs w:val="16"/>
              </w:rPr>
            </w:pPr>
            <w:r w:rsidRPr="00E7637B">
              <w:rPr>
                <w:sz w:val="16"/>
                <w:szCs w:val="16"/>
              </w:rPr>
              <w:t>Administrationskostnader</w:t>
            </w:r>
          </w:p>
        </w:tc>
        <w:tc>
          <w:tcPr>
            <w:tcW w:w="222" w:type="dxa"/>
          </w:tcPr>
          <w:p w:rsidR="006247DF" w:rsidRPr="00E7637B" w:rsidRDefault="006247DF" w:rsidP="006247DF">
            <w:pPr>
              <w:spacing w:line="200" w:lineRule="exact"/>
              <w:rPr>
                <w:sz w:val="16"/>
                <w:szCs w:val="16"/>
              </w:rPr>
            </w:pPr>
          </w:p>
        </w:tc>
        <w:tc>
          <w:tcPr>
            <w:tcW w:w="788"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3</w:t>
            </w:r>
            <w:r w:rsidR="00C81359">
              <w:rPr>
                <w:sz w:val="16"/>
                <w:szCs w:val="16"/>
              </w:rPr>
              <w:t>22</w:t>
            </w:r>
          </w:p>
        </w:tc>
        <w:tc>
          <w:tcPr>
            <w:tcW w:w="815" w:type="dxa"/>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316</w:t>
            </w:r>
          </w:p>
        </w:tc>
        <w:tc>
          <w:tcPr>
            <w:tcW w:w="815" w:type="dxa"/>
          </w:tcPr>
          <w:p w:rsidR="006247DF" w:rsidRPr="00262BC2" w:rsidRDefault="006247DF" w:rsidP="00914E9B">
            <w:pPr>
              <w:spacing w:line="200" w:lineRule="exact"/>
              <w:jc w:val="right"/>
              <w:rPr>
                <w:sz w:val="16"/>
                <w:szCs w:val="16"/>
              </w:rPr>
            </w:pPr>
            <w:r w:rsidRPr="00E7637B">
              <w:rPr>
                <w:sz w:val="16"/>
                <w:szCs w:val="16"/>
              </w:rPr>
              <w:t>–</w:t>
            </w:r>
            <w:r>
              <w:rPr>
                <w:sz w:val="16"/>
                <w:szCs w:val="16"/>
              </w:rPr>
              <w:t>26</w:t>
            </w:r>
            <w:r w:rsidR="00914E9B">
              <w:rPr>
                <w:sz w:val="16"/>
                <w:szCs w:val="16"/>
              </w:rPr>
              <w:t>9</w:t>
            </w:r>
          </w:p>
        </w:tc>
        <w:tc>
          <w:tcPr>
            <w:tcW w:w="815" w:type="dxa"/>
          </w:tcPr>
          <w:p w:rsidR="006247DF" w:rsidRPr="00262BC2" w:rsidRDefault="006247DF" w:rsidP="0004513D">
            <w:pPr>
              <w:spacing w:line="200" w:lineRule="exact"/>
              <w:jc w:val="right"/>
              <w:rPr>
                <w:sz w:val="16"/>
                <w:szCs w:val="16"/>
              </w:rPr>
            </w:pPr>
            <w:r>
              <w:rPr>
                <w:sz w:val="16"/>
                <w:szCs w:val="16"/>
              </w:rPr>
              <w:t>–</w:t>
            </w:r>
            <w:r w:rsidRPr="00262BC2">
              <w:rPr>
                <w:sz w:val="16"/>
                <w:szCs w:val="16"/>
              </w:rPr>
              <w:t>2</w:t>
            </w:r>
            <w:r w:rsidR="0004513D">
              <w:rPr>
                <w:sz w:val="16"/>
                <w:szCs w:val="16"/>
              </w:rPr>
              <w:t>61</w:t>
            </w:r>
          </w:p>
        </w:tc>
        <w:tc>
          <w:tcPr>
            <w:tcW w:w="815" w:type="dxa"/>
          </w:tcPr>
          <w:p w:rsidR="006247DF" w:rsidRPr="00E7637B" w:rsidRDefault="006247DF" w:rsidP="0004513D">
            <w:pPr>
              <w:spacing w:line="200" w:lineRule="exact"/>
              <w:jc w:val="right"/>
              <w:rPr>
                <w:sz w:val="16"/>
                <w:szCs w:val="16"/>
              </w:rPr>
            </w:pPr>
            <w:r w:rsidRPr="00E7637B">
              <w:rPr>
                <w:sz w:val="16"/>
                <w:szCs w:val="16"/>
              </w:rPr>
              <w:t>–2</w:t>
            </w:r>
            <w:r w:rsidR="0004513D">
              <w:rPr>
                <w:sz w:val="16"/>
                <w:szCs w:val="16"/>
              </w:rPr>
              <w:t>40</w:t>
            </w:r>
          </w:p>
        </w:tc>
      </w:tr>
      <w:tr w:rsidR="006247DF" w:rsidRPr="00E7637B" w:rsidTr="006247DF">
        <w:trPr>
          <w:trHeight w:val="216"/>
        </w:trPr>
        <w:tc>
          <w:tcPr>
            <w:tcW w:w="3007" w:type="dxa"/>
            <w:gridSpan w:val="6"/>
            <w:vAlign w:val="bottom"/>
          </w:tcPr>
          <w:p w:rsidR="006247DF" w:rsidRPr="00262BC2" w:rsidRDefault="006247DF" w:rsidP="00C81359">
            <w:pPr>
              <w:tabs>
                <w:tab w:val="left" w:pos="2977"/>
              </w:tabs>
              <w:spacing w:line="200" w:lineRule="exact"/>
              <w:ind w:right="-3"/>
              <w:jc w:val="left"/>
              <w:rPr>
                <w:sz w:val="16"/>
                <w:szCs w:val="16"/>
              </w:rPr>
            </w:pPr>
            <w:r w:rsidRPr="00E7637B">
              <w:rPr>
                <w:sz w:val="16"/>
                <w:szCs w:val="16"/>
              </w:rPr>
              <w:t xml:space="preserve">Avskrivningar av </w:t>
            </w:r>
            <w:r>
              <w:rPr>
                <w:sz w:val="16"/>
                <w:szCs w:val="16"/>
              </w:rPr>
              <w:br/>
            </w:r>
            <w:r w:rsidRPr="00E7637B">
              <w:rPr>
                <w:sz w:val="16"/>
                <w:szCs w:val="16"/>
              </w:rPr>
              <w:t xml:space="preserve">materiella och immateriella </w:t>
            </w:r>
            <w:r>
              <w:rPr>
                <w:sz w:val="16"/>
                <w:szCs w:val="16"/>
              </w:rPr>
              <w:br/>
            </w:r>
            <w:r w:rsidRPr="00E7637B">
              <w:rPr>
                <w:sz w:val="16"/>
                <w:szCs w:val="16"/>
              </w:rPr>
              <w:t>anläggnings</w:t>
            </w:r>
            <w:r w:rsidRPr="00262BC2">
              <w:rPr>
                <w:sz w:val="16"/>
                <w:szCs w:val="16"/>
              </w:rPr>
              <w:t xml:space="preserve">tillgångar  </w:t>
            </w:r>
            <w:r>
              <w:rPr>
                <w:sz w:val="16"/>
                <w:szCs w:val="16"/>
              </w:rPr>
              <w:t xml:space="preserve">              </w:t>
            </w:r>
            <w:r w:rsidRPr="00262BC2">
              <w:rPr>
                <w:sz w:val="16"/>
                <w:szCs w:val="16"/>
              </w:rPr>
              <w:t xml:space="preserve">    </w:t>
            </w:r>
            <w:r>
              <w:rPr>
                <w:sz w:val="16"/>
                <w:szCs w:val="16"/>
              </w:rPr>
              <w:t xml:space="preserve"> </w:t>
            </w:r>
            <w:r w:rsidRPr="00262BC2">
              <w:rPr>
                <w:sz w:val="16"/>
                <w:szCs w:val="16"/>
              </w:rPr>
              <w:t xml:space="preserve">   </w:t>
            </w:r>
            <w:r>
              <w:rPr>
                <w:sz w:val="16"/>
                <w:szCs w:val="16"/>
              </w:rPr>
              <w:t xml:space="preserve"> </w:t>
            </w:r>
            <w:r w:rsidRPr="00262BC2">
              <w:rPr>
                <w:sz w:val="16"/>
                <w:szCs w:val="16"/>
              </w:rPr>
              <w:t xml:space="preserve">        </w:t>
            </w:r>
            <w:r w:rsidRPr="00E7637B">
              <w:rPr>
                <w:sz w:val="16"/>
                <w:szCs w:val="16"/>
              </w:rPr>
              <w:t>–</w:t>
            </w:r>
            <w:r w:rsidR="00C81359">
              <w:rPr>
                <w:sz w:val="16"/>
                <w:szCs w:val="16"/>
              </w:rPr>
              <w:t>62</w:t>
            </w:r>
          </w:p>
        </w:tc>
        <w:tc>
          <w:tcPr>
            <w:tcW w:w="815" w:type="dxa"/>
            <w:vAlign w:val="bottom"/>
          </w:tcPr>
          <w:p w:rsidR="006247DF" w:rsidRPr="00E7637B" w:rsidRDefault="006247DF" w:rsidP="00C81359">
            <w:pPr>
              <w:spacing w:line="200" w:lineRule="exact"/>
              <w:jc w:val="right"/>
              <w:rPr>
                <w:sz w:val="16"/>
                <w:szCs w:val="16"/>
              </w:rPr>
            </w:pPr>
            <w:r>
              <w:rPr>
                <w:sz w:val="16"/>
                <w:szCs w:val="16"/>
              </w:rPr>
              <w:t>–4</w:t>
            </w:r>
            <w:r w:rsidR="00C81359">
              <w:rPr>
                <w:sz w:val="16"/>
                <w:szCs w:val="16"/>
              </w:rPr>
              <w:t>8</w:t>
            </w:r>
          </w:p>
        </w:tc>
        <w:tc>
          <w:tcPr>
            <w:tcW w:w="815" w:type="dxa"/>
            <w:vAlign w:val="bottom"/>
          </w:tcPr>
          <w:p w:rsidR="006247DF" w:rsidRPr="00E7637B" w:rsidRDefault="006247DF" w:rsidP="00914E9B">
            <w:pPr>
              <w:spacing w:line="200" w:lineRule="exact"/>
              <w:jc w:val="right"/>
              <w:rPr>
                <w:sz w:val="16"/>
                <w:szCs w:val="16"/>
              </w:rPr>
            </w:pPr>
            <w:r w:rsidRPr="00E7637B">
              <w:rPr>
                <w:sz w:val="16"/>
                <w:szCs w:val="16"/>
              </w:rPr>
              <w:t>–</w:t>
            </w:r>
            <w:r w:rsidR="00914E9B">
              <w:rPr>
                <w:sz w:val="16"/>
                <w:szCs w:val="16"/>
              </w:rPr>
              <w:t>47</w:t>
            </w:r>
          </w:p>
        </w:tc>
        <w:tc>
          <w:tcPr>
            <w:tcW w:w="815" w:type="dxa"/>
            <w:vAlign w:val="bottom"/>
          </w:tcPr>
          <w:p w:rsidR="006247DF" w:rsidRPr="00E7637B" w:rsidRDefault="006247DF" w:rsidP="0004513D">
            <w:pPr>
              <w:spacing w:line="200" w:lineRule="exact"/>
              <w:jc w:val="right"/>
              <w:rPr>
                <w:sz w:val="16"/>
                <w:szCs w:val="16"/>
              </w:rPr>
            </w:pPr>
            <w:r w:rsidRPr="00E7637B">
              <w:rPr>
                <w:sz w:val="16"/>
                <w:szCs w:val="16"/>
              </w:rPr>
              <w:t>–</w:t>
            </w:r>
            <w:r w:rsidR="0004513D">
              <w:rPr>
                <w:sz w:val="16"/>
                <w:szCs w:val="16"/>
              </w:rPr>
              <w:t>51</w:t>
            </w:r>
          </w:p>
        </w:tc>
        <w:tc>
          <w:tcPr>
            <w:tcW w:w="815" w:type="dxa"/>
            <w:vAlign w:val="bottom"/>
          </w:tcPr>
          <w:p w:rsidR="006247DF" w:rsidRPr="00E7637B" w:rsidRDefault="006247DF" w:rsidP="0004513D">
            <w:pPr>
              <w:spacing w:line="200" w:lineRule="exact"/>
              <w:jc w:val="right"/>
              <w:rPr>
                <w:sz w:val="16"/>
                <w:szCs w:val="16"/>
              </w:rPr>
            </w:pPr>
            <w:r w:rsidRPr="00E7637B">
              <w:rPr>
                <w:sz w:val="16"/>
                <w:szCs w:val="16"/>
              </w:rPr>
              <w:t>–</w:t>
            </w:r>
            <w:r w:rsidR="0004513D">
              <w:rPr>
                <w:sz w:val="16"/>
                <w:szCs w:val="16"/>
              </w:rPr>
              <w:t>63</w:t>
            </w:r>
          </w:p>
        </w:tc>
      </w:tr>
      <w:tr w:rsidR="006247DF" w:rsidRPr="00E7637B" w:rsidTr="006247DF">
        <w:trPr>
          <w:trHeight w:val="216"/>
        </w:trPr>
        <w:tc>
          <w:tcPr>
            <w:tcW w:w="1997" w:type="dxa"/>
            <w:gridSpan w:val="4"/>
          </w:tcPr>
          <w:p w:rsidR="006247DF" w:rsidRPr="00E7637B" w:rsidRDefault="006247DF" w:rsidP="006247DF">
            <w:pPr>
              <w:spacing w:line="200" w:lineRule="exact"/>
              <w:rPr>
                <w:sz w:val="16"/>
                <w:szCs w:val="16"/>
              </w:rPr>
            </w:pPr>
            <w:r w:rsidRPr="00E7637B">
              <w:rPr>
                <w:sz w:val="16"/>
                <w:szCs w:val="16"/>
              </w:rPr>
              <w:t>Sedel- och myntkostnader</w:t>
            </w:r>
          </w:p>
        </w:tc>
        <w:tc>
          <w:tcPr>
            <w:tcW w:w="222" w:type="dxa"/>
          </w:tcPr>
          <w:p w:rsidR="006247DF" w:rsidRPr="00E7637B" w:rsidRDefault="006247DF" w:rsidP="006247DF">
            <w:pPr>
              <w:spacing w:line="200" w:lineRule="exact"/>
              <w:rPr>
                <w:sz w:val="16"/>
                <w:szCs w:val="16"/>
              </w:rPr>
            </w:pPr>
          </w:p>
        </w:tc>
        <w:tc>
          <w:tcPr>
            <w:tcW w:w="788" w:type="dxa"/>
            <w:tcBorders>
              <w:bottom w:val="single" w:sz="6" w:space="0" w:color="auto"/>
            </w:tcBorders>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172</w:t>
            </w:r>
          </w:p>
        </w:tc>
        <w:tc>
          <w:tcPr>
            <w:tcW w:w="815" w:type="dxa"/>
            <w:tcBorders>
              <w:bottom w:val="single" w:sz="6" w:space="0" w:color="auto"/>
            </w:tcBorders>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5</w:t>
            </w:r>
            <w:r>
              <w:rPr>
                <w:sz w:val="16"/>
                <w:szCs w:val="16"/>
              </w:rPr>
              <w:t>1</w:t>
            </w:r>
          </w:p>
        </w:tc>
        <w:tc>
          <w:tcPr>
            <w:tcW w:w="815" w:type="dxa"/>
            <w:tcBorders>
              <w:bottom w:val="single" w:sz="6" w:space="0" w:color="auto"/>
            </w:tcBorders>
          </w:tcPr>
          <w:p w:rsidR="006247DF" w:rsidRPr="00262BC2" w:rsidRDefault="006247DF" w:rsidP="00914E9B">
            <w:pPr>
              <w:spacing w:line="200" w:lineRule="exact"/>
              <w:jc w:val="right"/>
              <w:rPr>
                <w:sz w:val="16"/>
                <w:szCs w:val="16"/>
              </w:rPr>
            </w:pPr>
            <w:r>
              <w:rPr>
                <w:sz w:val="16"/>
                <w:szCs w:val="16"/>
              </w:rPr>
              <w:t>–1</w:t>
            </w:r>
            <w:r w:rsidR="00914E9B">
              <w:rPr>
                <w:sz w:val="16"/>
                <w:szCs w:val="16"/>
              </w:rPr>
              <w:t>8</w:t>
            </w:r>
          </w:p>
        </w:tc>
        <w:tc>
          <w:tcPr>
            <w:tcW w:w="815" w:type="dxa"/>
            <w:tcBorders>
              <w:bottom w:val="single" w:sz="6" w:space="0" w:color="auto"/>
            </w:tcBorders>
          </w:tcPr>
          <w:p w:rsidR="006247DF" w:rsidRPr="00E7637B" w:rsidRDefault="006247DF" w:rsidP="0004513D">
            <w:pPr>
              <w:spacing w:line="200" w:lineRule="exact"/>
              <w:jc w:val="right"/>
              <w:rPr>
                <w:sz w:val="16"/>
                <w:szCs w:val="16"/>
              </w:rPr>
            </w:pPr>
            <w:r w:rsidRPr="00E7637B">
              <w:rPr>
                <w:sz w:val="16"/>
                <w:szCs w:val="16"/>
              </w:rPr>
              <w:t>–</w:t>
            </w:r>
            <w:r w:rsidR="0004513D">
              <w:rPr>
                <w:sz w:val="16"/>
                <w:szCs w:val="16"/>
              </w:rPr>
              <w:t>10</w:t>
            </w:r>
          </w:p>
        </w:tc>
        <w:tc>
          <w:tcPr>
            <w:tcW w:w="815" w:type="dxa"/>
            <w:tcBorders>
              <w:bottom w:val="single" w:sz="6" w:space="0" w:color="auto"/>
            </w:tcBorders>
          </w:tcPr>
          <w:p w:rsidR="006247DF" w:rsidRPr="00E7637B" w:rsidRDefault="006247DF" w:rsidP="0004513D">
            <w:pPr>
              <w:spacing w:line="200" w:lineRule="exact"/>
              <w:jc w:val="right"/>
              <w:rPr>
                <w:sz w:val="16"/>
                <w:szCs w:val="16"/>
              </w:rPr>
            </w:pPr>
            <w:r w:rsidRPr="00E7637B">
              <w:rPr>
                <w:sz w:val="16"/>
                <w:szCs w:val="16"/>
              </w:rPr>
              <w:t xml:space="preserve"> –</w:t>
            </w:r>
            <w:r w:rsidR="0004513D">
              <w:rPr>
                <w:sz w:val="16"/>
                <w:szCs w:val="16"/>
              </w:rPr>
              <w:t>56</w:t>
            </w:r>
          </w:p>
        </w:tc>
      </w:tr>
      <w:tr w:rsidR="006247DF" w:rsidRPr="00E7637B" w:rsidTr="006247DF">
        <w:trPr>
          <w:trHeight w:val="216"/>
        </w:trPr>
        <w:tc>
          <w:tcPr>
            <w:tcW w:w="1874" w:type="dxa"/>
            <w:gridSpan w:val="3"/>
          </w:tcPr>
          <w:p w:rsidR="006247DF" w:rsidRPr="00E7637B" w:rsidRDefault="006247DF" w:rsidP="006247DF">
            <w:pPr>
              <w:spacing w:line="200" w:lineRule="exact"/>
              <w:rPr>
                <w:b/>
                <w:sz w:val="16"/>
                <w:szCs w:val="16"/>
              </w:rPr>
            </w:pPr>
            <w:r w:rsidRPr="00E7637B">
              <w:rPr>
                <w:b/>
                <w:sz w:val="16"/>
                <w:szCs w:val="16"/>
              </w:rPr>
              <w:t>Summa kostnader</w:t>
            </w: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rPr>
                <w:sz w:val="16"/>
                <w:szCs w:val="16"/>
              </w:rPr>
            </w:pPr>
          </w:p>
        </w:tc>
        <w:tc>
          <w:tcPr>
            <w:tcW w:w="788" w:type="dxa"/>
          </w:tcPr>
          <w:p w:rsidR="006247DF" w:rsidRPr="00262BC2" w:rsidRDefault="006247DF" w:rsidP="00C81359">
            <w:pPr>
              <w:spacing w:line="200" w:lineRule="exact"/>
              <w:jc w:val="right"/>
              <w:rPr>
                <w:sz w:val="16"/>
                <w:szCs w:val="16"/>
              </w:rPr>
            </w:pPr>
            <w:r w:rsidRPr="00E7637B">
              <w:rPr>
                <w:sz w:val="16"/>
                <w:szCs w:val="16"/>
              </w:rPr>
              <w:t>–</w:t>
            </w:r>
            <w:r w:rsidR="00C81359">
              <w:rPr>
                <w:sz w:val="16"/>
                <w:szCs w:val="16"/>
              </w:rPr>
              <w:t>91</w:t>
            </w:r>
            <w:r>
              <w:rPr>
                <w:sz w:val="16"/>
                <w:szCs w:val="16"/>
              </w:rPr>
              <w:t>7</w:t>
            </w:r>
          </w:p>
        </w:tc>
        <w:tc>
          <w:tcPr>
            <w:tcW w:w="815" w:type="dxa"/>
          </w:tcPr>
          <w:p w:rsidR="006247DF" w:rsidRPr="00262BC2" w:rsidRDefault="006247DF" w:rsidP="00C81359">
            <w:pPr>
              <w:spacing w:line="200" w:lineRule="exact"/>
              <w:jc w:val="right"/>
              <w:rPr>
                <w:sz w:val="16"/>
                <w:szCs w:val="16"/>
              </w:rPr>
            </w:pPr>
            <w:r w:rsidRPr="00E7637B">
              <w:rPr>
                <w:sz w:val="16"/>
                <w:szCs w:val="16"/>
              </w:rPr>
              <w:t>–</w:t>
            </w:r>
            <w:r>
              <w:rPr>
                <w:sz w:val="16"/>
                <w:szCs w:val="16"/>
              </w:rPr>
              <w:t>7</w:t>
            </w:r>
            <w:r w:rsidR="00C81359">
              <w:rPr>
                <w:sz w:val="16"/>
                <w:szCs w:val="16"/>
              </w:rPr>
              <w:t>9</w:t>
            </w:r>
            <w:r>
              <w:rPr>
                <w:sz w:val="16"/>
                <w:szCs w:val="16"/>
              </w:rPr>
              <w:t>0</w:t>
            </w:r>
          </w:p>
        </w:tc>
        <w:tc>
          <w:tcPr>
            <w:tcW w:w="815" w:type="dxa"/>
          </w:tcPr>
          <w:p w:rsidR="006247DF" w:rsidRPr="00262BC2" w:rsidRDefault="006247DF" w:rsidP="00914E9B">
            <w:pPr>
              <w:spacing w:line="200" w:lineRule="exact"/>
              <w:jc w:val="right"/>
              <w:rPr>
                <w:sz w:val="16"/>
                <w:szCs w:val="16"/>
              </w:rPr>
            </w:pPr>
            <w:r w:rsidRPr="00E7637B">
              <w:rPr>
                <w:sz w:val="16"/>
                <w:szCs w:val="16"/>
              </w:rPr>
              <w:t>–</w:t>
            </w:r>
            <w:r w:rsidR="00914E9B">
              <w:rPr>
                <w:sz w:val="16"/>
                <w:szCs w:val="16"/>
              </w:rPr>
              <w:t>700</w:t>
            </w:r>
          </w:p>
        </w:tc>
        <w:tc>
          <w:tcPr>
            <w:tcW w:w="815" w:type="dxa"/>
          </w:tcPr>
          <w:p w:rsidR="006247DF" w:rsidRPr="00262BC2" w:rsidRDefault="006247DF" w:rsidP="0004513D">
            <w:pPr>
              <w:spacing w:line="200" w:lineRule="exact"/>
              <w:jc w:val="right"/>
              <w:rPr>
                <w:sz w:val="16"/>
                <w:szCs w:val="16"/>
              </w:rPr>
            </w:pPr>
            <w:r>
              <w:rPr>
                <w:sz w:val="16"/>
                <w:szCs w:val="16"/>
              </w:rPr>
              <w:t>–</w:t>
            </w:r>
            <w:r w:rsidR="0004513D">
              <w:rPr>
                <w:sz w:val="16"/>
                <w:szCs w:val="16"/>
              </w:rPr>
              <w:t>694</w:t>
            </w:r>
          </w:p>
        </w:tc>
        <w:tc>
          <w:tcPr>
            <w:tcW w:w="815" w:type="dxa"/>
          </w:tcPr>
          <w:p w:rsidR="006247DF" w:rsidRPr="00E7637B" w:rsidRDefault="006247DF" w:rsidP="0004513D">
            <w:pPr>
              <w:spacing w:line="200" w:lineRule="exact"/>
              <w:jc w:val="right"/>
              <w:rPr>
                <w:sz w:val="16"/>
                <w:szCs w:val="16"/>
              </w:rPr>
            </w:pPr>
            <w:r w:rsidRPr="00E7637B">
              <w:rPr>
                <w:sz w:val="16"/>
                <w:szCs w:val="16"/>
              </w:rPr>
              <w:t>–7</w:t>
            </w:r>
            <w:r w:rsidR="0004513D">
              <w:rPr>
                <w:sz w:val="16"/>
                <w:szCs w:val="16"/>
              </w:rPr>
              <w:t>04</w:t>
            </w:r>
          </w:p>
        </w:tc>
      </w:tr>
      <w:tr w:rsidR="006247DF" w:rsidRPr="00E7637B" w:rsidTr="006247DF">
        <w:trPr>
          <w:trHeight w:val="216"/>
        </w:trPr>
        <w:tc>
          <w:tcPr>
            <w:tcW w:w="254" w:type="dxa"/>
          </w:tcPr>
          <w:p w:rsidR="006247DF" w:rsidRPr="00E7637B" w:rsidRDefault="006247DF" w:rsidP="006247DF">
            <w:pPr>
              <w:spacing w:line="200" w:lineRule="exact"/>
              <w:rPr>
                <w:sz w:val="16"/>
                <w:szCs w:val="16"/>
              </w:rPr>
            </w:pPr>
          </w:p>
        </w:tc>
        <w:tc>
          <w:tcPr>
            <w:tcW w:w="632" w:type="dxa"/>
          </w:tcPr>
          <w:p w:rsidR="006247DF" w:rsidRPr="00E7637B" w:rsidRDefault="006247DF" w:rsidP="006247DF">
            <w:pPr>
              <w:spacing w:line="200" w:lineRule="exact"/>
              <w:rPr>
                <w:sz w:val="16"/>
                <w:szCs w:val="16"/>
              </w:rPr>
            </w:pPr>
          </w:p>
        </w:tc>
        <w:tc>
          <w:tcPr>
            <w:tcW w:w="988" w:type="dxa"/>
          </w:tcPr>
          <w:p w:rsidR="006247DF" w:rsidRPr="00E7637B" w:rsidRDefault="006247DF" w:rsidP="006247DF">
            <w:pPr>
              <w:spacing w:line="200" w:lineRule="exact"/>
              <w:rPr>
                <w:sz w:val="16"/>
                <w:szCs w:val="16"/>
              </w:rPr>
            </w:pPr>
          </w:p>
        </w:tc>
        <w:tc>
          <w:tcPr>
            <w:tcW w:w="123" w:type="dxa"/>
          </w:tcPr>
          <w:p w:rsidR="006247DF" w:rsidRPr="00E7637B" w:rsidRDefault="006247DF" w:rsidP="006247DF">
            <w:pPr>
              <w:spacing w:line="200" w:lineRule="exact"/>
              <w:rPr>
                <w:sz w:val="16"/>
                <w:szCs w:val="16"/>
              </w:rPr>
            </w:pPr>
          </w:p>
        </w:tc>
        <w:tc>
          <w:tcPr>
            <w:tcW w:w="222" w:type="dxa"/>
          </w:tcPr>
          <w:p w:rsidR="006247DF" w:rsidRPr="00E7637B" w:rsidRDefault="006247DF" w:rsidP="006247DF">
            <w:pPr>
              <w:spacing w:line="200" w:lineRule="exact"/>
              <w:jc w:val="right"/>
              <w:rPr>
                <w:sz w:val="16"/>
                <w:szCs w:val="16"/>
              </w:rPr>
            </w:pPr>
          </w:p>
        </w:tc>
        <w:tc>
          <w:tcPr>
            <w:tcW w:w="788"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c>
          <w:tcPr>
            <w:tcW w:w="815" w:type="dxa"/>
          </w:tcPr>
          <w:p w:rsidR="006247DF" w:rsidRPr="00E7637B" w:rsidRDefault="006247DF" w:rsidP="006247DF">
            <w:pPr>
              <w:spacing w:line="200" w:lineRule="exact"/>
              <w:jc w:val="right"/>
              <w:rPr>
                <w:sz w:val="16"/>
                <w:szCs w:val="16"/>
              </w:rPr>
            </w:pPr>
          </w:p>
        </w:tc>
      </w:tr>
      <w:tr w:rsidR="006247DF" w:rsidRPr="002E6636" w:rsidTr="006247DF">
        <w:trPr>
          <w:trHeight w:val="213"/>
        </w:trPr>
        <w:tc>
          <w:tcPr>
            <w:tcW w:w="1874" w:type="dxa"/>
            <w:gridSpan w:val="3"/>
            <w:tcBorders>
              <w:bottom w:val="single" w:sz="4" w:space="0" w:color="auto"/>
            </w:tcBorders>
          </w:tcPr>
          <w:p w:rsidR="006247DF" w:rsidRPr="00E7637B" w:rsidRDefault="006247DF" w:rsidP="006247DF">
            <w:pPr>
              <w:spacing w:line="200" w:lineRule="exact"/>
              <w:rPr>
                <w:b/>
                <w:sz w:val="16"/>
                <w:szCs w:val="16"/>
              </w:rPr>
            </w:pPr>
            <w:r w:rsidRPr="00E7637B">
              <w:rPr>
                <w:b/>
                <w:sz w:val="16"/>
                <w:szCs w:val="16"/>
              </w:rPr>
              <w:t>Årets resultat</w:t>
            </w:r>
          </w:p>
        </w:tc>
        <w:tc>
          <w:tcPr>
            <w:tcW w:w="123" w:type="dxa"/>
            <w:tcBorders>
              <w:bottom w:val="single" w:sz="4" w:space="0" w:color="auto"/>
            </w:tcBorders>
          </w:tcPr>
          <w:p w:rsidR="006247DF" w:rsidRPr="00E7637B" w:rsidRDefault="006247DF" w:rsidP="006247DF">
            <w:pPr>
              <w:spacing w:line="200" w:lineRule="exact"/>
              <w:rPr>
                <w:sz w:val="16"/>
                <w:szCs w:val="16"/>
              </w:rPr>
            </w:pPr>
          </w:p>
        </w:tc>
        <w:tc>
          <w:tcPr>
            <w:tcW w:w="222" w:type="dxa"/>
            <w:tcBorders>
              <w:bottom w:val="single" w:sz="4" w:space="0" w:color="auto"/>
            </w:tcBorders>
          </w:tcPr>
          <w:p w:rsidR="006247DF" w:rsidRPr="00E7637B" w:rsidRDefault="006247DF" w:rsidP="006247DF">
            <w:pPr>
              <w:spacing w:line="200" w:lineRule="exact"/>
              <w:rPr>
                <w:sz w:val="16"/>
                <w:szCs w:val="16"/>
              </w:rPr>
            </w:pPr>
          </w:p>
        </w:tc>
        <w:tc>
          <w:tcPr>
            <w:tcW w:w="788" w:type="dxa"/>
            <w:tcBorders>
              <w:bottom w:val="single" w:sz="4" w:space="0" w:color="auto"/>
            </w:tcBorders>
          </w:tcPr>
          <w:p w:rsidR="006247DF" w:rsidRPr="00D750B2" w:rsidRDefault="00C81359" w:rsidP="00C81359">
            <w:pPr>
              <w:spacing w:line="200" w:lineRule="exact"/>
              <w:jc w:val="right"/>
              <w:rPr>
                <w:b/>
                <w:sz w:val="16"/>
                <w:szCs w:val="16"/>
              </w:rPr>
            </w:pPr>
            <w:r>
              <w:rPr>
                <w:b/>
                <w:sz w:val="16"/>
                <w:szCs w:val="16"/>
              </w:rPr>
              <w:t>3</w:t>
            </w:r>
            <w:r w:rsidR="006247DF" w:rsidRPr="00D750B2">
              <w:rPr>
                <w:b/>
                <w:sz w:val="16"/>
                <w:szCs w:val="16"/>
              </w:rPr>
              <w:t xml:space="preserve"> </w:t>
            </w:r>
            <w:r>
              <w:rPr>
                <w:b/>
                <w:sz w:val="16"/>
                <w:szCs w:val="16"/>
              </w:rPr>
              <w:t>267</w:t>
            </w:r>
          </w:p>
        </w:tc>
        <w:tc>
          <w:tcPr>
            <w:tcW w:w="815" w:type="dxa"/>
            <w:tcBorders>
              <w:bottom w:val="single" w:sz="4" w:space="0" w:color="auto"/>
            </w:tcBorders>
          </w:tcPr>
          <w:p w:rsidR="006247DF" w:rsidRPr="00E7637B" w:rsidRDefault="00C81359" w:rsidP="00C81359">
            <w:pPr>
              <w:spacing w:line="200" w:lineRule="exact"/>
              <w:jc w:val="right"/>
              <w:rPr>
                <w:b/>
                <w:sz w:val="16"/>
                <w:szCs w:val="16"/>
              </w:rPr>
            </w:pPr>
            <w:r w:rsidRPr="00D750B2">
              <w:rPr>
                <w:b/>
                <w:sz w:val="16"/>
                <w:szCs w:val="16"/>
              </w:rPr>
              <w:t>–</w:t>
            </w:r>
            <w:r>
              <w:rPr>
                <w:b/>
                <w:sz w:val="16"/>
                <w:szCs w:val="16"/>
              </w:rPr>
              <w:t>2</w:t>
            </w:r>
            <w:r w:rsidR="006247DF">
              <w:rPr>
                <w:b/>
                <w:sz w:val="16"/>
                <w:szCs w:val="16"/>
              </w:rPr>
              <w:t xml:space="preserve"> </w:t>
            </w:r>
            <w:r>
              <w:rPr>
                <w:b/>
                <w:sz w:val="16"/>
                <w:szCs w:val="16"/>
              </w:rPr>
              <w:t>011</w:t>
            </w:r>
          </w:p>
        </w:tc>
        <w:tc>
          <w:tcPr>
            <w:tcW w:w="815" w:type="dxa"/>
            <w:tcBorders>
              <w:bottom w:val="single" w:sz="4" w:space="0" w:color="auto"/>
            </w:tcBorders>
          </w:tcPr>
          <w:p w:rsidR="006247DF" w:rsidRPr="00E7637B" w:rsidRDefault="00914E9B" w:rsidP="00914E9B">
            <w:pPr>
              <w:spacing w:line="200" w:lineRule="exact"/>
              <w:jc w:val="right"/>
              <w:rPr>
                <w:b/>
                <w:sz w:val="16"/>
                <w:szCs w:val="16"/>
              </w:rPr>
            </w:pPr>
            <w:r>
              <w:rPr>
                <w:b/>
                <w:sz w:val="16"/>
                <w:szCs w:val="16"/>
              </w:rPr>
              <w:t>1</w:t>
            </w:r>
            <w:r w:rsidR="006247DF">
              <w:rPr>
                <w:b/>
                <w:sz w:val="16"/>
                <w:szCs w:val="16"/>
              </w:rPr>
              <w:t xml:space="preserve"> 93</w:t>
            </w:r>
            <w:r>
              <w:rPr>
                <w:b/>
                <w:sz w:val="16"/>
                <w:szCs w:val="16"/>
              </w:rPr>
              <w:t>4</w:t>
            </w:r>
          </w:p>
        </w:tc>
        <w:tc>
          <w:tcPr>
            <w:tcW w:w="815" w:type="dxa"/>
            <w:tcBorders>
              <w:bottom w:val="single" w:sz="4" w:space="0" w:color="auto"/>
            </w:tcBorders>
          </w:tcPr>
          <w:p w:rsidR="006247DF" w:rsidRPr="00E7637B" w:rsidRDefault="0004513D" w:rsidP="0004513D">
            <w:pPr>
              <w:spacing w:line="200" w:lineRule="exact"/>
              <w:jc w:val="right"/>
              <w:rPr>
                <w:b/>
                <w:sz w:val="16"/>
                <w:szCs w:val="16"/>
              </w:rPr>
            </w:pPr>
            <w:r>
              <w:rPr>
                <w:b/>
                <w:sz w:val="16"/>
                <w:szCs w:val="16"/>
              </w:rPr>
              <w:t>3 930</w:t>
            </w:r>
          </w:p>
        </w:tc>
        <w:tc>
          <w:tcPr>
            <w:tcW w:w="815" w:type="dxa"/>
            <w:tcBorders>
              <w:bottom w:val="single" w:sz="4" w:space="0" w:color="auto"/>
            </w:tcBorders>
          </w:tcPr>
          <w:p w:rsidR="006247DF" w:rsidRPr="00E7637B" w:rsidRDefault="0004513D" w:rsidP="0004513D">
            <w:pPr>
              <w:spacing w:line="200" w:lineRule="exact"/>
              <w:jc w:val="right"/>
              <w:rPr>
                <w:b/>
                <w:sz w:val="16"/>
                <w:szCs w:val="16"/>
              </w:rPr>
            </w:pPr>
            <w:r>
              <w:rPr>
                <w:b/>
                <w:sz w:val="16"/>
                <w:szCs w:val="16"/>
              </w:rPr>
              <w:t>548</w:t>
            </w:r>
          </w:p>
        </w:tc>
      </w:tr>
    </w:tbl>
    <w:p w:rsidR="006247DF" w:rsidRPr="005B06A0" w:rsidRDefault="006247DF" w:rsidP="006247DF">
      <w:pPr>
        <w:pStyle w:val="Rubrik1"/>
      </w:pPr>
    </w:p>
    <w:p w:rsidR="00BA7A27" w:rsidRDefault="00BA7A27" w:rsidP="00BA7A27"/>
    <w:p w:rsidR="00BA7A27" w:rsidRDefault="00BA7A27" w:rsidP="00BA7A27">
      <w:pPr>
        <w:pStyle w:val="Normaltindrag"/>
        <w:sectPr w:rsidR="00BA7A27">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F14A01" w:rsidRDefault="00212C6E" w:rsidP="00212C6E">
      <w:pPr>
        <w:pStyle w:val="Rubrik1"/>
      </w:pPr>
      <w:bookmarkStart w:id="65" w:name="_Toc408946430"/>
      <w:r>
        <w:t>INTERN STYRNING OCH KONTROLL</w:t>
      </w:r>
      <w:bookmarkEnd w:id="65"/>
    </w:p>
    <w:p w:rsidR="00CD1620" w:rsidRPr="00D04680" w:rsidRDefault="00CD1620" w:rsidP="00CD1620">
      <w:r w:rsidRPr="00D04680">
        <w:t xml:space="preserve">Direktionen ansvarar för verksamheten och ska se till att den bedrivs effektivt och enligt gällande rätt, att den redovisas på ett tillförlitligt och rättvisande sätt </w:t>
      </w:r>
      <w:r w:rsidR="009E109B">
        <w:t>och</w:t>
      </w:r>
      <w:r w:rsidR="003F78EA">
        <w:t xml:space="preserve"> att Riksbanken </w:t>
      </w:r>
      <w:r w:rsidR="00A60167">
        <w:t>hushålla</w:t>
      </w:r>
      <w:r w:rsidR="00A60167" w:rsidRPr="00D04680">
        <w:t xml:space="preserve">r </w:t>
      </w:r>
      <w:r w:rsidRPr="00D04680">
        <w:t>väl med statens medel. Detta regleras i 9 kap. 1 § riksbankslagen. Direktionen ska se till att kraven uppfylls med rimlig säkerhet genom att säkerställa att det vid Riksbanken finns en process för intern styrning och kontroll där momenten riskanalys, kontrollå</w:t>
      </w:r>
      <w:r w:rsidRPr="00D04680">
        <w:t>t</w:t>
      </w:r>
      <w:r w:rsidRPr="00D04680">
        <w:t>gärder, uppföljning och dokumentation ingår. Direktionen ska</w:t>
      </w:r>
      <w:r w:rsidR="00A60167">
        <w:t xml:space="preserve"> </w:t>
      </w:r>
      <w:r w:rsidR="00A60167" w:rsidRPr="00D04680">
        <w:t>lämna en b</w:t>
      </w:r>
      <w:r w:rsidR="00A60167" w:rsidRPr="00D04680">
        <w:t>e</w:t>
      </w:r>
      <w:r w:rsidR="00A60167" w:rsidRPr="00D04680">
        <w:t>dömning</w:t>
      </w:r>
      <w:r w:rsidRPr="00D04680">
        <w:t xml:space="preserve"> </w:t>
      </w:r>
      <w:r w:rsidR="009E109B" w:rsidRPr="00D04680">
        <w:t xml:space="preserve">i årsredovisningen </w:t>
      </w:r>
      <w:r w:rsidRPr="00D04680">
        <w:t>av om den interna styrnin</w:t>
      </w:r>
      <w:r w:rsidRPr="00D04680">
        <w:t>g</w:t>
      </w:r>
      <w:r w:rsidRPr="00D04680">
        <w:t xml:space="preserve">en och kontrollen är betryggande. Detta regleras i 10 kap. 3 § riksbankslagen. </w:t>
      </w:r>
    </w:p>
    <w:p w:rsidR="00CD1620" w:rsidRPr="00D04680" w:rsidRDefault="00CD1620" w:rsidP="00CD1620">
      <w:pPr>
        <w:pStyle w:val="R2"/>
      </w:pPr>
      <w:r w:rsidRPr="00D04680">
        <w:t>Direktionens bedömning av Riksbankens interna styrning och kontroll</w:t>
      </w:r>
    </w:p>
    <w:p w:rsidR="00CD1620" w:rsidRDefault="00CD1620" w:rsidP="007A632D">
      <w:pPr>
        <w:suppressAutoHyphens/>
      </w:pPr>
      <w:r w:rsidRPr="009A67F1">
        <w:t>Direktionen har utvärderat den interna styr</w:t>
      </w:r>
      <w:r>
        <w:t>ningen och kontrollen under 2014</w:t>
      </w:r>
      <w:r w:rsidRPr="009A67F1">
        <w:t xml:space="preserve"> </w:t>
      </w:r>
      <w:r w:rsidR="008D0F4B">
        <w:t>utifrån</w:t>
      </w:r>
      <w:r w:rsidR="008D0F4B" w:rsidRPr="009A67F1">
        <w:t xml:space="preserve"> </w:t>
      </w:r>
      <w:r w:rsidRPr="009A67F1">
        <w:t>de krav som ställs i riksbankslagen och gör bedömningen att den interna styrningen och kontrollen är betryggande.</w:t>
      </w:r>
      <w:r w:rsidR="00487656">
        <w:t xml:space="preserve"> </w:t>
      </w:r>
    </w:p>
    <w:p w:rsidR="00A40736" w:rsidRDefault="00A40736" w:rsidP="00A40736"/>
    <w:tbl>
      <w:tblPr>
        <w:tblW w:w="6250" w:type="dxa"/>
        <w:tblLook w:val="04A0" w:firstRow="1" w:lastRow="0" w:firstColumn="1" w:lastColumn="0" w:noHBand="0" w:noVBand="1"/>
      </w:tblPr>
      <w:tblGrid>
        <w:gridCol w:w="2031"/>
        <w:gridCol w:w="2188"/>
        <w:gridCol w:w="2031"/>
      </w:tblGrid>
      <w:tr w:rsidR="00487656" w:rsidTr="00487656">
        <w:tc>
          <w:tcPr>
            <w:tcW w:w="6250" w:type="dxa"/>
            <w:gridSpan w:val="3"/>
          </w:tcPr>
          <w:p w:rsidR="00487656" w:rsidRDefault="00487656" w:rsidP="00487656">
            <w:r>
              <w:t>Stockholm den 5 februari 2015</w:t>
            </w: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rsidP="00487656">
            <w:pPr>
              <w:pStyle w:val="Normaltindrag"/>
              <w:ind w:firstLine="0"/>
              <w:jc w:val="left"/>
            </w:pPr>
            <w:r>
              <w:t xml:space="preserve">Stefan Ingves </w:t>
            </w:r>
          </w:p>
          <w:p w:rsidR="00487656" w:rsidRDefault="00487656" w:rsidP="00487656">
            <w:pPr>
              <w:pStyle w:val="Normaltindrag"/>
              <w:ind w:firstLine="0"/>
              <w:jc w:val="left"/>
            </w:pPr>
            <w:r>
              <w:t>Riksbankschef</w:t>
            </w:r>
          </w:p>
        </w:tc>
        <w:tc>
          <w:tcPr>
            <w:tcW w:w="2188" w:type="dxa"/>
          </w:tcPr>
          <w:p w:rsidR="00487656" w:rsidRDefault="00487656" w:rsidP="00487656">
            <w:pPr>
              <w:pStyle w:val="Normaltindrag"/>
              <w:ind w:firstLine="0"/>
              <w:jc w:val="left"/>
            </w:pPr>
            <w:r>
              <w:t>Kerstin af Jochnick</w:t>
            </w:r>
          </w:p>
          <w:p w:rsidR="00487656" w:rsidRDefault="00487656" w:rsidP="00487656">
            <w:pPr>
              <w:pStyle w:val="Normaltindrag"/>
              <w:ind w:firstLine="0"/>
              <w:jc w:val="left"/>
            </w:pPr>
            <w:r>
              <w:t>Förste vice riksbankschef</w:t>
            </w:r>
          </w:p>
        </w:tc>
        <w:tc>
          <w:tcPr>
            <w:tcW w:w="2031" w:type="dxa"/>
          </w:tcPr>
          <w:p w:rsidR="00487656" w:rsidRPr="00C34DDA" w:rsidRDefault="00C34DDA">
            <w:pPr>
              <w:pStyle w:val="Normaltindrag"/>
              <w:jc w:val="left"/>
            </w:pPr>
            <w:r w:rsidRPr="00C34DDA">
              <w:t>Martin Flodén</w:t>
            </w:r>
          </w:p>
          <w:p w:rsidR="00487656" w:rsidRDefault="00487656">
            <w:pPr>
              <w:pStyle w:val="Normaltindrag"/>
              <w:jc w:val="left"/>
            </w:pPr>
            <w:r w:rsidRPr="00C34DDA">
              <w:t>Vice riksbankschef</w:t>
            </w: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pPr>
              <w:pStyle w:val="Normaltindrag"/>
            </w:pPr>
          </w:p>
        </w:tc>
        <w:tc>
          <w:tcPr>
            <w:tcW w:w="2188" w:type="dxa"/>
          </w:tcPr>
          <w:p w:rsidR="00487656" w:rsidRDefault="00487656">
            <w:pPr>
              <w:pStyle w:val="Normaltindrag"/>
            </w:pPr>
          </w:p>
        </w:tc>
        <w:tc>
          <w:tcPr>
            <w:tcW w:w="2031" w:type="dxa"/>
          </w:tcPr>
          <w:p w:rsidR="00487656" w:rsidRDefault="00487656">
            <w:pPr>
              <w:pStyle w:val="Normaltindrag"/>
            </w:pPr>
          </w:p>
        </w:tc>
      </w:tr>
      <w:tr w:rsidR="00487656" w:rsidTr="00487656">
        <w:tc>
          <w:tcPr>
            <w:tcW w:w="2031" w:type="dxa"/>
          </w:tcPr>
          <w:p w:rsidR="00487656" w:rsidRDefault="00487656" w:rsidP="00487656">
            <w:pPr>
              <w:pStyle w:val="Normaltindrag"/>
              <w:ind w:firstLine="0"/>
              <w:jc w:val="left"/>
            </w:pPr>
            <w:r>
              <w:t xml:space="preserve">Per Jansson   </w:t>
            </w:r>
            <w:r>
              <w:br/>
              <w:t>Vice riksbankschef</w:t>
            </w:r>
          </w:p>
        </w:tc>
        <w:tc>
          <w:tcPr>
            <w:tcW w:w="2188" w:type="dxa"/>
          </w:tcPr>
          <w:p w:rsidR="00487656" w:rsidRDefault="00C34DDA" w:rsidP="00487656">
            <w:pPr>
              <w:pStyle w:val="Normaltindrag"/>
              <w:ind w:firstLine="0"/>
              <w:jc w:val="left"/>
            </w:pPr>
            <w:r>
              <w:t>Henry Ohlsson</w:t>
            </w:r>
            <w:r w:rsidR="00487656">
              <w:br/>
              <w:t>Vice riksbankschef</w:t>
            </w:r>
          </w:p>
        </w:tc>
        <w:tc>
          <w:tcPr>
            <w:tcW w:w="2031" w:type="dxa"/>
          </w:tcPr>
          <w:p w:rsidR="00487656" w:rsidRDefault="00487656" w:rsidP="00487656">
            <w:pPr>
              <w:pStyle w:val="Normaltindrag"/>
              <w:ind w:firstLine="0"/>
              <w:jc w:val="left"/>
            </w:pPr>
            <w:r>
              <w:t xml:space="preserve">Cecilia Skingsley     </w:t>
            </w:r>
            <w:r>
              <w:br/>
              <w:t>Vice riksbankschef</w:t>
            </w:r>
          </w:p>
        </w:tc>
      </w:tr>
    </w:tbl>
    <w:p w:rsidR="003524A9" w:rsidRPr="003524A9" w:rsidRDefault="003524A9" w:rsidP="003524A9"/>
    <w:p w:rsidR="00212C6E" w:rsidRPr="00212C6E" w:rsidRDefault="00212C6E" w:rsidP="00212C6E"/>
    <w:p w:rsidR="00F14A01" w:rsidRDefault="00F14A01" w:rsidP="00F14A01">
      <w:pPr>
        <w:sectPr w:rsidR="00F14A01" w:rsidSect="00F14A01">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7" w:left="1304" w:header="340" w:footer="227" w:gutter="0"/>
          <w:cols w:space="720"/>
          <w:titlePg/>
          <w:docGrid w:linePitch="258"/>
        </w:sectPr>
      </w:pPr>
    </w:p>
    <w:p w:rsidR="00BA7A27" w:rsidRDefault="00E047A3" w:rsidP="00212C6E">
      <w:pPr>
        <w:pStyle w:val="Rubrik1"/>
      </w:pPr>
      <w:bookmarkStart w:id="66" w:name="_Toc408946431"/>
      <w:r>
        <w:t>BILAGOR</w:t>
      </w:r>
      <w:bookmarkEnd w:id="66"/>
    </w:p>
    <w:p w:rsidR="00321B38" w:rsidRDefault="00321B38" w:rsidP="00541258">
      <w:pPr>
        <w:pStyle w:val="Rubrik1"/>
        <w:numPr>
          <w:ilvl w:val="0"/>
          <w:numId w:val="61"/>
        </w:numPr>
      </w:pPr>
      <w:bookmarkStart w:id="67" w:name="_Toc408946432"/>
      <w:bookmarkStart w:id="68" w:name="_Toc336353424"/>
      <w:r>
        <w:t>Riksbankens avdelningar och deras uppgifter</w:t>
      </w:r>
      <w:bookmarkEnd w:id="67"/>
    </w:p>
    <w:p w:rsidR="00321B38" w:rsidRPr="000C37CF" w:rsidRDefault="00321B38" w:rsidP="00E11A05">
      <w:pPr>
        <w:pStyle w:val="R4"/>
        <w:rPr>
          <w:b/>
          <w:i w:val="0"/>
        </w:rPr>
      </w:pPr>
      <w:r w:rsidRPr="000C37CF">
        <w:t>Avdelningen för betalningssystem och kontanter</w:t>
      </w:r>
    </w:p>
    <w:p w:rsidR="00321B38" w:rsidRPr="006C705C" w:rsidRDefault="00321B38" w:rsidP="00321B38">
      <w:pPr>
        <w:spacing w:before="0"/>
      </w:pPr>
      <w:r w:rsidRPr="006C705C">
        <w:t>A</w:t>
      </w:r>
      <w:r>
        <w:t>vdelningen för betalningssystem och kontanter ansvarar för kontantför</w:t>
      </w:r>
      <w:r w:rsidR="007A632D">
        <w:softHyphen/>
      </w:r>
      <w:r>
        <w:t>sör</w:t>
      </w:r>
      <w:r>
        <w:t>j</w:t>
      </w:r>
      <w:r w:rsidR="00827BEF">
        <w:t>ning</w:t>
      </w:r>
      <w:r>
        <w:t xml:space="preserve">en, betalningssystemet RIX och samordning av krisberedskapen i det centrala betalningssystemet. </w:t>
      </w:r>
    </w:p>
    <w:p w:rsidR="00321B38" w:rsidRDefault="00321B38" w:rsidP="00E11A05">
      <w:pPr>
        <w:spacing w:before="30"/>
      </w:pPr>
      <w:r>
        <w:t xml:space="preserve">Tillförordnad avdelningschef från </w:t>
      </w:r>
      <w:r w:rsidR="005851FA">
        <w:t xml:space="preserve">och med den </w:t>
      </w:r>
      <w:r>
        <w:t>1 mars 2014</w:t>
      </w:r>
      <w:r w:rsidR="000868AB">
        <w:t xml:space="preserve"> till och med den 6 april 2014</w:t>
      </w:r>
      <w:r>
        <w:t>: Christina Wejshammar</w:t>
      </w:r>
    </w:p>
    <w:p w:rsidR="00321B38" w:rsidRPr="00904341" w:rsidRDefault="00321B38" w:rsidP="00E11A05">
      <w:pPr>
        <w:spacing w:before="30"/>
      </w:pPr>
      <w:r>
        <w:t xml:space="preserve">Avdelningschef från och med den </w:t>
      </w:r>
      <w:r w:rsidRPr="00904341">
        <w:t>7 april 2014: Christina Wejshammar</w:t>
      </w:r>
    </w:p>
    <w:p w:rsidR="00321B38" w:rsidRPr="00904341" w:rsidRDefault="00321B38" w:rsidP="00321B38">
      <w:pPr>
        <w:spacing w:before="30"/>
      </w:pPr>
      <w:r w:rsidRPr="00904341">
        <w:t xml:space="preserve">Antal årsarbetskrafter </w:t>
      </w:r>
      <w:r w:rsidR="00C56A40" w:rsidRPr="00904341">
        <w:t xml:space="preserve">(antal anställda) </w:t>
      </w:r>
      <w:r w:rsidRPr="00904341">
        <w:t xml:space="preserve">vid årets slut: </w:t>
      </w:r>
      <w:r w:rsidR="00C56A40" w:rsidRPr="00904341">
        <w:t>30 (32)</w:t>
      </w:r>
    </w:p>
    <w:p w:rsidR="00321B38" w:rsidRPr="00C06FC7" w:rsidRDefault="00321B38" w:rsidP="00321B38">
      <w:pPr>
        <w:pStyle w:val="R4"/>
        <w:spacing w:before="120"/>
        <w:outlineLvl w:val="0"/>
      </w:pPr>
      <w:r w:rsidRPr="00C06FC7">
        <w:t>Avdelningen för finansiell stabilitet</w:t>
      </w:r>
    </w:p>
    <w:p w:rsidR="00321B38" w:rsidRPr="00844068" w:rsidRDefault="00321B38" w:rsidP="00321B38">
      <w:pPr>
        <w:spacing w:before="0"/>
      </w:pPr>
      <w:r w:rsidRPr="006542B5">
        <w:t>Avdelningen för finansiell stabilitet ansvarar för analysen av det finansiella systemets stabilitet och effektivitet</w:t>
      </w:r>
      <w:r w:rsidRPr="00A10192">
        <w:t>. Den lämnar underlag för de beslut som fattas för att klara uppdraget att främja ett säkert och effektivt betalnings</w:t>
      </w:r>
      <w:r w:rsidR="007A632D">
        <w:softHyphen/>
      </w:r>
      <w:r w:rsidRPr="00A10192">
        <w:t>v</w:t>
      </w:r>
      <w:r w:rsidRPr="00A10192">
        <w:t>ä</w:t>
      </w:r>
      <w:r w:rsidRPr="00844068">
        <w:t>sende. Avdelningen analyserar löpande risker och hot mot stabiliteten i det svenska finansiella systemet. Vidare samordnar avdelningen Riksbankens internatio</w:t>
      </w:r>
      <w:r w:rsidRPr="00844068">
        <w:softHyphen/>
        <w:t>nella arbete.</w:t>
      </w:r>
    </w:p>
    <w:p w:rsidR="00321B38" w:rsidRPr="00844068" w:rsidRDefault="00321B38" w:rsidP="00E11A05">
      <w:pPr>
        <w:spacing w:before="30"/>
      </w:pPr>
      <w:r w:rsidRPr="00844068">
        <w:t>Avdelningschef: Kasper Roszbach</w:t>
      </w:r>
    </w:p>
    <w:p w:rsidR="00321B38" w:rsidRPr="00904341" w:rsidRDefault="00321B38" w:rsidP="00321B38">
      <w:pPr>
        <w:spacing w:before="30"/>
      </w:pPr>
      <w:r w:rsidRPr="00844068">
        <w:t xml:space="preserve">Antal årsarbetskrafter </w:t>
      </w:r>
      <w:r w:rsidR="00C56A40" w:rsidRPr="00D456FD">
        <w:t xml:space="preserve">(antal anställda) </w:t>
      </w:r>
      <w:r w:rsidRPr="00D456FD">
        <w:t xml:space="preserve">vid årets slut: </w:t>
      </w:r>
      <w:r w:rsidR="00C56A40" w:rsidRPr="00904341">
        <w:t>63 (75)</w:t>
      </w:r>
    </w:p>
    <w:p w:rsidR="00321B38" w:rsidRPr="006542B5" w:rsidRDefault="00321B38" w:rsidP="00321B38">
      <w:pPr>
        <w:pStyle w:val="R4"/>
        <w:spacing w:before="120"/>
        <w:outlineLvl w:val="0"/>
      </w:pPr>
      <w:r w:rsidRPr="00C06FC7">
        <w:t>Avdelningen för marknader</w:t>
      </w:r>
    </w:p>
    <w:p w:rsidR="00321B38" w:rsidRPr="00D456FD" w:rsidRDefault="00321B38" w:rsidP="007A632D">
      <w:pPr>
        <w:suppressAutoHyphens/>
        <w:spacing w:before="0"/>
      </w:pPr>
      <w:r w:rsidRPr="006542B5">
        <w:t>Avdelningen för marknader</w:t>
      </w:r>
      <w:r w:rsidRPr="00A10192">
        <w:t xml:space="preserve"> förvaltar Riksbankens tillgångar i guld och ut</w:t>
      </w:r>
      <w:r w:rsidRPr="00844068">
        <w:t>ländsk valuta. Den administrerar och avvecklar transaktioner i förvaltningen av Riksbankens finansiella tillgångar samt utvärderar och mäter löpande resultat och risker inom denna förvaltning. Avdelningen genomför penning- och valutapolitiska transaktioner i enlighet med de penn</w:t>
      </w:r>
      <w:r w:rsidRPr="00D456FD">
        <w:t>ingpolitiska besluten. Dessutom ansvarar avdelningen för den löpande marknadsbevakningen.</w:t>
      </w:r>
    </w:p>
    <w:p w:rsidR="00321B38" w:rsidRPr="0015491F" w:rsidRDefault="00321B38" w:rsidP="00321B38">
      <w:pPr>
        <w:spacing w:before="30"/>
      </w:pPr>
      <w:r w:rsidRPr="002F3DB8">
        <w:t>Avdelningschef</w:t>
      </w:r>
      <w:r w:rsidRPr="0015491F">
        <w:t xml:space="preserve"> till och med den 28 februari 2014: Sophie Degenne</w:t>
      </w:r>
    </w:p>
    <w:p w:rsidR="00321B38" w:rsidRPr="00904341" w:rsidRDefault="00321B38" w:rsidP="00321B38">
      <w:pPr>
        <w:spacing w:before="30"/>
      </w:pPr>
      <w:r w:rsidRPr="0015491F">
        <w:t>Tillförordnad avdelningschef från och med den 1 mars 2014 till och med den 22 juni 2014: Sophie Degen</w:t>
      </w:r>
      <w:r w:rsidRPr="00140267">
        <w:t>ne</w:t>
      </w:r>
    </w:p>
    <w:p w:rsidR="00321B38" w:rsidRPr="00904341" w:rsidRDefault="00321B38" w:rsidP="00321B38">
      <w:pPr>
        <w:spacing w:before="30"/>
      </w:pPr>
      <w:r w:rsidRPr="00904341">
        <w:t xml:space="preserve">Avdelningschef från och med </w:t>
      </w:r>
      <w:r w:rsidR="005851FA" w:rsidRPr="00904341">
        <w:t xml:space="preserve">den </w:t>
      </w:r>
      <w:r w:rsidRPr="00904341">
        <w:t>23 juni 2014</w:t>
      </w:r>
      <w:r w:rsidRPr="00C06FC7">
        <w:t xml:space="preserve">: </w:t>
      </w:r>
      <w:r w:rsidRPr="006542B5">
        <w:t>Heidi Elmér</w:t>
      </w:r>
    </w:p>
    <w:p w:rsidR="00321B38" w:rsidRPr="00904341" w:rsidRDefault="00321B38" w:rsidP="00321B38">
      <w:pPr>
        <w:spacing w:before="30"/>
      </w:pPr>
      <w:r w:rsidRPr="00904341">
        <w:t xml:space="preserve">Antal årsarbetskrafter </w:t>
      </w:r>
      <w:r w:rsidR="00C56A40" w:rsidRPr="00904341">
        <w:t xml:space="preserve">(antal anställda) </w:t>
      </w:r>
      <w:r w:rsidRPr="00904341">
        <w:t xml:space="preserve">vid årets slut: </w:t>
      </w:r>
      <w:r w:rsidR="00C56A40" w:rsidRPr="00904341">
        <w:t>33 (33)</w:t>
      </w:r>
    </w:p>
    <w:p w:rsidR="00321B38" w:rsidRPr="00C06FC7" w:rsidRDefault="00321B38" w:rsidP="00321B38">
      <w:pPr>
        <w:pStyle w:val="R4"/>
        <w:spacing w:before="120"/>
        <w:outlineLvl w:val="0"/>
      </w:pPr>
      <w:r w:rsidRPr="00C06FC7">
        <w:t>Avdelningen för penningpolitik</w:t>
      </w:r>
    </w:p>
    <w:p w:rsidR="00321B38" w:rsidRPr="00844068" w:rsidRDefault="00321B38" w:rsidP="00321B38">
      <w:pPr>
        <w:spacing w:before="0"/>
      </w:pPr>
      <w:r w:rsidRPr="006542B5">
        <w:t>Avdelningen för penningpolitik ansvarar för den ekonomiska analys som ger underlag för de beslut som fattas för att uppfylla målet om ett fast pennin</w:t>
      </w:r>
      <w:r w:rsidRPr="006542B5">
        <w:t>g</w:t>
      </w:r>
      <w:r w:rsidRPr="00A10192">
        <w:t>värde. Avdelningen följer och analyserar konjunktur- och prisutvecklingen samt ansvarar för statistik över finansmarknaden och betalningsbalansen. Inom avdelningen finns även Riksbankens forskningsenh</w:t>
      </w:r>
      <w:r w:rsidRPr="00844068">
        <w:t>et.</w:t>
      </w:r>
    </w:p>
    <w:p w:rsidR="00321B38" w:rsidRPr="00844068" w:rsidRDefault="00321B38" w:rsidP="00321B38">
      <w:pPr>
        <w:spacing w:before="30"/>
      </w:pPr>
      <w:r w:rsidRPr="00844068">
        <w:t>Avdelningschef: Marianne Nessén</w:t>
      </w:r>
    </w:p>
    <w:p w:rsidR="00321B38" w:rsidRPr="00904341" w:rsidRDefault="00321B38" w:rsidP="00E0486E">
      <w:pPr>
        <w:suppressAutoHyphens/>
        <w:spacing w:before="30"/>
      </w:pPr>
      <w:r w:rsidRPr="00844068">
        <w:t>Tillförordnad avdelningschef från och med</w:t>
      </w:r>
      <w:r w:rsidR="00CB668C" w:rsidRPr="00844068">
        <w:t xml:space="preserve"> den</w:t>
      </w:r>
      <w:r w:rsidRPr="00844068">
        <w:t xml:space="preserve"> 28 augusti 2014</w:t>
      </w:r>
      <w:r w:rsidRPr="00904341">
        <w:t xml:space="preserve">: David Vestin  </w:t>
      </w:r>
    </w:p>
    <w:p w:rsidR="00321B38" w:rsidRPr="00904341" w:rsidRDefault="00321B38" w:rsidP="00321B38">
      <w:pPr>
        <w:spacing w:before="30"/>
      </w:pPr>
      <w:r w:rsidRPr="00904341">
        <w:t xml:space="preserve">Antal årsarbetskrafter </w:t>
      </w:r>
      <w:r w:rsidR="00C56A40" w:rsidRPr="00904341">
        <w:t xml:space="preserve">(antal anställda) </w:t>
      </w:r>
      <w:r w:rsidRPr="00904341">
        <w:t xml:space="preserve">vid årets slut: </w:t>
      </w:r>
      <w:r w:rsidR="00C56A40" w:rsidRPr="00904341">
        <w:t>84 (98)</w:t>
      </w:r>
    </w:p>
    <w:p w:rsidR="00321B38" w:rsidRPr="006542B5" w:rsidRDefault="00321B38" w:rsidP="00321B38">
      <w:pPr>
        <w:pStyle w:val="R4"/>
        <w:spacing w:before="120"/>
        <w:outlineLvl w:val="0"/>
      </w:pPr>
      <w:r w:rsidRPr="00C06FC7">
        <w:t>Avdelningen</w:t>
      </w:r>
      <w:r w:rsidRPr="006542B5">
        <w:t xml:space="preserve"> för verksamhetssupport </w:t>
      </w:r>
    </w:p>
    <w:p w:rsidR="00321B38" w:rsidRPr="00844068" w:rsidRDefault="000868AB" w:rsidP="007A632D">
      <w:pPr>
        <w:suppressAutoHyphens/>
        <w:spacing w:before="0"/>
      </w:pPr>
      <w:r w:rsidRPr="00A10192">
        <w:t xml:space="preserve">Avdelningen </w:t>
      </w:r>
      <w:r w:rsidR="00321B38" w:rsidRPr="00A10192">
        <w:t>för verksamhetssupport</w:t>
      </w:r>
      <w:r w:rsidR="00321B38" w:rsidRPr="00844068">
        <w:t xml:space="preserve"> ansvarar för Riksbankens arbete med it-stöd, personalutveckling och kompetensförsörjning, upphandlingsstöd, kontors- och fastighetsservice, transporter, säkerhet, underlag för budget, bokslut samt löneadministration.</w:t>
      </w:r>
    </w:p>
    <w:p w:rsidR="00321B38" w:rsidRPr="00904341" w:rsidRDefault="00321B38" w:rsidP="00321B38">
      <w:pPr>
        <w:spacing w:before="30"/>
      </w:pPr>
      <w:r w:rsidRPr="00844068">
        <w:t>Avdelningschef</w:t>
      </w:r>
      <w:r w:rsidR="000C37CF" w:rsidRPr="00844068">
        <w:t xml:space="preserve"> från och med den 1 mars 2014</w:t>
      </w:r>
      <w:r w:rsidRPr="00844068">
        <w:t>: Marianne Olsson</w:t>
      </w:r>
    </w:p>
    <w:p w:rsidR="00321B38" w:rsidRPr="00904341" w:rsidRDefault="00321B38" w:rsidP="00321B38">
      <w:pPr>
        <w:spacing w:before="30"/>
      </w:pPr>
      <w:r w:rsidRPr="00904341">
        <w:t xml:space="preserve">Antal årsarbetskrafter </w:t>
      </w:r>
      <w:r w:rsidR="00C56A40" w:rsidRPr="00904341">
        <w:t xml:space="preserve">(antal anställda) </w:t>
      </w:r>
      <w:r w:rsidRPr="00904341">
        <w:t xml:space="preserve">vid årets slut: </w:t>
      </w:r>
      <w:r w:rsidR="00C56A40" w:rsidRPr="00904341">
        <w:t>66 (69)</w:t>
      </w:r>
    </w:p>
    <w:p w:rsidR="00321B38" w:rsidRPr="00C06FC7" w:rsidRDefault="00321B38" w:rsidP="00321B38">
      <w:pPr>
        <w:pStyle w:val="R4"/>
        <w:spacing w:before="120"/>
        <w:outlineLvl w:val="0"/>
      </w:pPr>
      <w:r w:rsidRPr="00C06FC7">
        <w:t>Internrevisionsavdelningen</w:t>
      </w:r>
    </w:p>
    <w:p w:rsidR="00321B38" w:rsidRPr="00844068" w:rsidRDefault="00321B38" w:rsidP="00321B38">
      <w:pPr>
        <w:spacing w:before="0"/>
      </w:pPr>
      <w:r w:rsidRPr="006542B5">
        <w:t>Internrevisionsavdelningen granskar och bedömer om riskhanteringen och styrnings- och ledningsprocesserna är änd</w:t>
      </w:r>
      <w:r w:rsidRPr="00A10192">
        <w:t>amålsenliga med hänsyn till målen för Riksbankens verksamhet. Avdelningen medverkar även till att effektivi</w:t>
      </w:r>
      <w:r w:rsidR="00E0486E">
        <w:softHyphen/>
      </w:r>
      <w:r w:rsidRPr="00844068">
        <w:t>s</w:t>
      </w:r>
      <w:r w:rsidRPr="00844068">
        <w:t>e</w:t>
      </w:r>
      <w:r w:rsidRPr="00844068">
        <w:t>ra och förbättra dessa delar av verksamheten.</w:t>
      </w:r>
    </w:p>
    <w:p w:rsidR="00321B38" w:rsidRPr="00844068" w:rsidRDefault="00321B38" w:rsidP="00321B38">
      <w:pPr>
        <w:spacing w:before="30"/>
      </w:pPr>
      <w:r w:rsidRPr="00844068">
        <w:t>Avdelningschef: Patrick Bailey</w:t>
      </w:r>
    </w:p>
    <w:p w:rsidR="00321B38" w:rsidRPr="00904341" w:rsidRDefault="00321B38" w:rsidP="00321B38">
      <w:pPr>
        <w:spacing w:before="30"/>
      </w:pPr>
      <w:r w:rsidRPr="00844068">
        <w:t xml:space="preserve">Antal årsarbetskrafter </w:t>
      </w:r>
      <w:r w:rsidR="00856E25" w:rsidRPr="00844068">
        <w:t xml:space="preserve">(antal anställda) </w:t>
      </w:r>
      <w:r w:rsidRPr="00844068">
        <w:t xml:space="preserve">vid årets slut: </w:t>
      </w:r>
      <w:r w:rsidR="00856E25" w:rsidRPr="00904341">
        <w:t>5 (5)</w:t>
      </w:r>
    </w:p>
    <w:p w:rsidR="00321B38" w:rsidRPr="00C06FC7" w:rsidRDefault="00321B38" w:rsidP="00321B38">
      <w:pPr>
        <w:pStyle w:val="R4"/>
        <w:spacing w:before="120"/>
        <w:outlineLvl w:val="0"/>
      </w:pPr>
      <w:r w:rsidRPr="00C06FC7">
        <w:t xml:space="preserve">Stabsavdelningen </w:t>
      </w:r>
    </w:p>
    <w:p w:rsidR="00321B38" w:rsidRPr="00A10192" w:rsidRDefault="00321B38" w:rsidP="00321B38">
      <w:pPr>
        <w:spacing w:before="0"/>
      </w:pPr>
      <w:r w:rsidRPr="006542B5">
        <w:t>Stabsavdelningen samordnar den löpande verksamheten och stöder direk</w:t>
      </w:r>
      <w:r w:rsidR="0058061F">
        <w:softHyphen/>
        <w:t>tio</w:t>
      </w:r>
      <w:r w:rsidRPr="006542B5">
        <w:t>n</w:t>
      </w:r>
      <w:r w:rsidRPr="006542B5">
        <w:t>ens styrning och kontroll samt den strategiska utvecklingen av bankens verksamhet. Den är också kansli åt fullmäktige, direktionen och ledning</w:t>
      </w:r>
      <w:r w:rsidRPr="006542B5">
        <w:t>s</w:t>
      </w:r>
      <w:r w:rsidRPr="00A10192">
        <w:t xml:space="preserve">gruppen. Stabsavdelningen samordnar Riksbankens </w:t>
      </w:r>
      <w:r w:rsidR="00692D8F">
        <w:t>kommunikation</w:t>
      </w:r>
      <w:r w:rsidRPr="00A10192">
        <w:t>sarbete och arb</w:t>
      </w:r>
      <w:r w:rsidRPr="00A10192">
        <w:t>e</w:t>
      </w:r>
      <w:r w:rsidRPr="00A10192">
        <w:t>tet med operativa och finansiella risker. Inom avdelningen finns också funk</w:t>
      </w:r>
      <w:r w:rsidRPr="00A10192">
        <w:t>t</w:t>
      </w:r>
      <w:r w:rsidRPr="00A10192">
        <w:t>ioner för regeluppföljning, kontinuitetssamordning och juridiskt stöd.</w:t>
      </w:r>
    </w:p>
    <w:p w:rsidR="00321B38" w:rsidRPr="00844068" w:rsidRDefault="00321B38" w:rsidP="00321B38">
      <w:pPr>
        <w:spacing w:before="30"/>
      </w:pPr>
      <w:r w:rsidRPr="00844068">
        <w:t>Avdelningschef: Anders Vredin</w:t>
      </w:r>
    </w:p>
    <w:p w:rsidR="00321B38" w:rsidRPr="00904341" w:rsidRDefault="00321B38" w:rsidP="00321B38">
      <w:pPr>
        <w:spacing w:before="30"/>
      </w:pPr>
      <w:r w:rsidRPr="00844068">
        <w:t xml:space="preserve">Tillförordnad avdelningschef från och med </w:t>
      </w:r>
      <w:r w:rsidR="00827BEF" w:rsidRPr="00844068">
        <w:t xml:space="preserve">den </w:t>
      </w:r>
      <w:r w:rsidRPr="00844068">
        <w:t xml:space="preserve">1 september till och med den </w:t>
      </w:r>
      <w:r w:rsidR="00ED3369" w:rsidRPr="00844068">
        <w:t>30 novem</w:t>
      </w:r>
      <w:r w:rsidR="007555E1" w:rsidRPr="00844068">
        <w:t xml:space="preserve">ber </w:t>
      </w:r>
      <w:r w:rsidRPr="00844068">
        <w:t>201</w:t>
      </w:r>
      <w:r w:rsidR="007555E1" w:rsidRPr="00844068">
        <w:t>4</w:t>
      </w:r>
      <w:r w:rsidRPr="00844068">
        <w:t>: Eva Julin</w:t>
      </w:r>
    </w:p>
    <w:p w:rsidR="00321B38" w:rsidRDefault="00321B38" w:rsidP="00321B38">
      <w:pPr>
        <w:spacing w:before="30"/>
      </w:pPr>
      <w:r w:rsidRPr="00904341">
        <w:t xml:space="preserve">Antal årsarbetskrafter </w:t>
      </w:r>
      <w:r w:rsidR="00A35D66" w:rsidRPr="00904341">
        <w:t xml:space="preserve">(antal anställda) </w:t>
      </w:r>
      <w:r w:rsidRPr="00904341">
        <w:t xml:space="preserve">vid årets slut: </w:t>
      </w:r>
      <w:r w:rsidR="00A35D66" w:rsidRPr="00904341">
        <w:t>44 (48)</w:t>
      </w:r>
    </w:p>
    <w:p w:rsidR="00844068" w:rsidRPr="00AB68A1" w:rsidRDefault="00844068" w:rsidP="00844068">
      <w:bookmarkStart w:id="69" w:name="_Toc408946433"/>
    </w:p>
    <w:p w:rsidR="00844068" w:rsidRDefault="00844068" w:rsidP="00844068">
      <w:pPr>
        <w:pStyle w:val="Normaltindrag"/>
        <w:numPr>
          <w:ilvl w:val="0"/>
          <w:numId w:val="61"/>
        </w:numPr>
        <w:sectPr w:rsidR="00844068">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pPr>
    </w:p>
    <w:p w:rsidR="0050311F" w:rsidRDefault="0050311F" w:rsidP="006542B5">
      <w:pPr>
        <w:pStyle w:val="Rubrik1"/>
        <w:numPr>
          <w:ilvl w:val="0"/>
          <w:numId w:val="61"/>
        </w:numPr>
      </w:pPr>
      <w:r>
        <w:t>Riksbankens remissarbete</w:t>
      </w:r>
      <w:bookmarkEnd w:id="68"/>
      <w:bookmarkEnd w:id="69"/>
    </w:p>
    <w:p w:rsidR="0050311F" w:rsidRDefault="00AC2D80" w:rsidP="0050311F">
      <w:r>
        <w:t>Riksbanken besvarar årligen ett stort antal remisser. Avdelningscheferna ansvarar för att hantera remisserna inom respektive avdelnings ansvars</w:t>
      </w:r>
      <w:r w:rsidR="007A632D">
        <w:softHyphen/>
      </w:r>
      <w:r>
        <w:t>område. I avdelningschefens ansvar ingår att lämna underlag för bedömnin</w:t>
      </w:r>
      <w:r>
        <w:t>g</w:t>
      </w:r>
      <w:r>
        <w:t>en av om ett remissyttrande ska beslutas av direktionen eller avdelnings</w:t>
      </w:r>
      <w:r w:rsidR="007A632D">
        <w:softHyphen/>
      </w:r>
      <w:r>
        <w:t>ch</w:t>
      </w:r>
      <w:r>
        <w:t>e</w:t>
      </w:r>
      <w:r>
        <w:t>fen. Om yttrandet ska beslutas av direktionen ska avdelningschefen även lägga fram ett förslag till yttrande till direktionen. Ansvaret för övergripande samordning och administration kring remissarbetet ligger på stabsavdel</w:t>
      </w:r>
      <w:r w:rsidR="007A632D">
        <w:softHyphen/>
      </w:r>
      <w:r>
        <w:t>nin</w:t>
      </w:r>
      <w:r>
        <w:t>g</w:t>
      </w:r>
      <w:r>
        <w:t>en.</w:t>
      </w:r>
    </w:p>
    <w:p w:rsidR="00AC2D80" w:rsidRDefault="00820587" w:rsidP="00AC2D80">
      <w:pPr>
        <w:pStyle w:val="Normaltindrag"/>
      </w:pPr>
      <w:r>
        <w:t>De r</w:t>
      </w:r>
      <w:r w:rsidR="00D5173D">
        <w:t xml:space="preserve">emisser Riksbanken har hanterat under </w:t>
      </w:r>
      <w:r w:rsidR="00A65AFE">
        <w:t>2014</w:t>
      </w:r>
      <w:r w:rsidR="00D5173D">
        <w:t xml:space="preserve"> har </w:t>
      </w:r>
      <w:r w:rsidR="009C30B4">
        <w:t xml:space="preserve">bland annat </w:t>
      </w:r>
      <w:r w:rsidR="00D5173D">
        <w:t>rört fö</w:t>
      </w:r>
      <w:r w:rsidR="00D5173D">
        <w:t>r</w:t>
      </w:r>
      <w:r w:rsidR="00D5173D">
        <w:t xml:space="preserve">slag till åtgärder för att stärka stabiliteten i det finansiella systemet och tillsyn på det finansiella området. Flera remisser har även handlat om </w:t>
      </w:r>
      <w:r w:rsidR="00422007">
        <w:t>än</w:t>
      </w:r>
      <w:r w:rsidR="00422007">
        <w:t>d</w:t>
      </w:r>
      <w:r w:rsidR="00422007">
        <w:t xml:space="preserve">ringar </w:t>
      </w:r>
      <w:r w:rsidR="00D5173D">
        <w:t>i Finansinspektionens regelverk</w:t>
      </w:r>
      <w:r w:rsidR="002421ED">
        <w:t xml:space="preserve"> liksom om statistik</w:t>
      </w:r>
      <w:r w:rsidR="00D5173D">
        <w:t>.</w:t>
      </w:r>
      <w:r w:rsidR="009C30B4">
        <w:t xml:space="preserve"> De flesta remi</w:t>
      </w:r>
      <w:r w:rsidR="009C30B4">
        <w:t>s</w:t>
      </w:r>
      <w:r w:rsidR="009C30B4">
        <w:t>ser</w:t>
      </w:r>
      <w:r w:rsidR="006507F0">
        <w:t>na</w:t>
      </w:r>
      <w:r w:rsidR="009C30B4">
        <w:t xml:space="preserve"> </w:t>
      </w:r>
      <w:r w:rsidR="00D41C31">
        <w:t>har besvarats</w:t>
      </w:r>
      <w:r w:rsidR="009C30B4">
        <w:t xml:space="preserve"> av </w:t>
      </w:r>
      <w:r w:rsidR="00D41C31">
        <w:t xml:space="preserve">de </w:t>
      </w:r>
      <w:r w:rsidR="00A65AFE">
        <w:t>berörd</w:t>
      </w:r>
      <w:r w:rsidR="00D41C31">
        <w:t>a</w:t>
      </w:r>
      <w:r w:rsidR="00A65AFE">
        <w:t xml:space="preserve"> </w:t>
      </w:r>
      <w:r w:rsidR="009C30B4">
        <w:t>avdelningsch</w:t>
      </w:r>
      <w:r w:rsidR="009C30B4">
        <w:t>e</w:t>
      </w:r>
      <w:r w:rsidR="009C30B4">
        <w:t>f</w:t>
      </w:r>
      <w:r w:rsidR="00D41C31">
        <w:t>erna</w:t>
      </w:r>
      <w:r w:rsidR="009C30B4">
        <w:t>.</w:t>
      </w:r>
    </w:p>
    <w:p w:rsidR="009C30B4" w:rsidRDefault="009C30B4" w:rsidP="00A65AFE">
      <w:pPr>
        <w:pStyle w:val="R3"/>
      </w:pPr>
      <w:r>
        <w:t>Direktionens remissyttranden</w:t>
      </w:r>
    </w:p>
    <w:p w:rsidR="009C30B4" w:rsidRDefault="009C30B4" w:rsidP="009C30B4">
      <w:r>
        <w:t xml:space="preserve">Direktionen har besvarat </w:t>
      </w:r>
      <w:r w:rsidRPr="007C052F">
        <w:t>fyra</w:t>
      </w:r>
      <w:r>
        <w:t xml:space="preserve"> remisser av särskild vikt inom Riksbankens verksamhetsområde.</w:t>
      </w:r>
    </w:p>
    <w:p w:rsidR="009C30B4" w:rsidRDefault="00D95A71" w:rsidP="003A7711">
      <w:pPr>
        <w:pStyle w:val="Normaltindrag"/>
        <w:suppressAutoHyphens/>
      </w:pPr>
      <w:r>
        <w:t xml:space="preserve">Riksbanken hade inget att </w:t>
      </w:r>
      <w:r w:rsidR="00D41C31">
        <w:t xml:space="preserve">invända </w:t>
      </w:r>
      <w:r>
        <w:t>mot förslagen i</w:t>
      </w:r>
      <w:r w:rsidR="009C30B4">
        <w:t xml:space="preserve"> betänkandet Översyn av statsskuldspoliti</w:t>
      </w:r>
      <w:r>
        <w:t>ken (SOU 2014:8).</w:t>
      </w:r>
      <w:r w:rsidR="009C30B4">
        <w:t xml:space="preserve"> </w:t>
      </w:r>
      <w:r>
        <w:t>Riksbanken framhöll dock att statens samlade möjligheter att avvärja störningar i likviditetsförsörjningen kan förbättras ytterligare genom att Riksbanken får rätt att låna statspapper av Rik</w:t>
      </w:r>
      <w:r>
        <w:t>s</w:t>
      </w:r>
      <w:r>
        <w:t>gälden på det sätt som föreslås av Finanskriskommittén (SOU 2013:6).</w:t>
      </w:r>
    </w:p>
    <w:p w:rsidR="00D95A71" w:rsidRDefault="006507F0" w:rsidP="00E0486E">
      <w:pPr>
        <w:pStyle w:val="Normaltindrag"/>
        <w:suppressAutoHyphens/>
      </w:pPr>
      <w:r>
        <w:t xml:space="preserve">I svaret på </w:t>
      </w:r>
      <w:r w:rsidR="00D95A71">
        <w:t xml:space="preserve">Finansinspektionens </w:t>
      </w:r>
      <w:r>
        <w:t>remiss</w:t>
      </w:r>
      <w:r w:rsidR="00D95A71">
        <w:t xml:space="preserve"> om förslag till </w:t>
      </w:r>
      <w:r>
        <w:t>föreskrifter om kontracykliskt buffertvärde välkomnade Riksbanken beslutet att aktivera den kontracykliska kapitalbufferten</w:t>
      </w:r>
      <w:r w:rsidR="00ED3369">
        <w:t>,</w:t>
      </w:r>
      <w:r>
        <w:t xml:space="preserve"> men ansåg att buffertvärdet borde fastställas till en högre procentsats än Finansinspektionens förslag.</w:t>
      </w:r>
    </w:p>
    <w:p w:rsidR="006507F0" w:rsidRPr="009C30B4" w:rsidRDefault="006507F0" w:rsidP="003A7711">
      <w:pPr>
        <w:pStyle w:val="Normaltindrag"/>
        <w:suppressAutoHyphens/>
      </w:pPr>
      <w:r>
        <w:t>Förslagen i Finansinspektionens remiss om kommande kapitalkrav på banker välkomnades i stort av Riksbanken.</w:t>
      </w:r>
    </w:p>
    <w:p w:rsidR="00D5173D" w:rsidRDefault="008E037E" w:rsidP="00692B2C">
      <w:pPr>
        <w:pStyle w:val="Normaltindrag"/>
        <w:suppressAutoHyphens/>
      </w:pPr>
      <w:r>
        <w:t xml:space="preserve">Även förslagen i Finanskriskommitténs </w:t>
      </w:r>
      <w:r w:rsidRPr="008E037E">
        <w:t>slutbetänkande</w:t>
      </w:r>
      <w:r w:rsidR="00D5173D" w:rsidRPr="008E037E">
        <w:t xml:space="preserve"> Resolution – en ny metod för att hantera banker i kris </w:t>
      </w:r>
      <w:r w:rsidR="002421ED" w:rsidRPr="008E037E">
        <w:t>(SOU 2014:52</w:t>
      </w:r>
      <w:r w:rsidR="006507F0" w:rsidRPr="008E037E">
        <w:t>)</w:t>
      </w:r>
      <w:r w:rsidRPr="008E037E">
        <w:t xml:space="preserve"> välkomnades av Riksbanken. Riksbanken delade i stort kommitténs bedömningar</w:t>
      </w:r>
      <w:r>
        <w:t xml:space="preserve"> men föreslog även några egna eller alternativa lösningar.</w:t>
      </w:r>
    </w:p>
    <w:p w:rsidR="001C456D" w:rsidRDefault="001C456D" w:rsidP="001C456D">
      <w:pPr>
        <w:pStyle w:val="Normaltindrag"/>
      </w:pPr>
    </w:p>
    <w:p w:rsidR="001C456D" w:rsidRDefault="001C456D" w:rsidP="001C456D">
      <w:pPr>
        <w:pStyle w:val="Normaltindrag"/>
      </w:pPr>
    </w:p>
    <w:p w:rsidR="00D5173D" w:rsidRPr="00AC2D80" w:rsidRDefault="00675CB7" w:rsidP="006507F0">
      <w:r>
        <w:t xml:space="preserve">Riksbanken har totalt under året besvarat 31 remisser. </w:t>
      </w:r>
      <w:r w:rsidR="00D5173D">
        <w:t>Samtliga remissyttra</w:t>
      </w:r>
      <w:r w:rsidR="00D5173D">
        <w:t>n</w:t>
      </w:r>
      <w:r w:rsidR="00D5173D">
        <w:t xml:space="preserve">den </w:t>
      </w:r>
      <w:r w:rsidR="00DA6CCD">
        <w:t xml:space="preserve">från Riksbanken </w:t>
      </w:r>
      <w:r w:rsidR="00D5173D">
        <w:t xml:space="preserve">finns publicerade på Riksbankens </w:t>
      </w:r>
      <w:r w:rsidR="008727C3">
        <w:t xml:space="preserve">webbplats </w:t>
      </w:r>
      <w:r w:rsidR="008727C3">
        <w:rPr>
          <w:szCs w:val="24"/>
        </w:rPr>
        <w:t>(</w:t>
      </w:r>
      <w:r w:rsidR="008727C3" w:rsidRPr="00FA7D46">
        <w:rPr>
          <w:color w:val="000000"/>
          <w:szCs w:val="24"/>
        </w:rPr>
        <w:t>www.riksbank.se</w:t>
      </w:r>
      <w:r w:rsidR="008727C3" w:rsidRPr="004D7650">
        <w:rPr>
          <w:szCs w:val="24"/>
        </w:rPr>
        <w:t>)</w:t>
      </w:r>
      <w:r w:rsidR="002421ED">
        <w:t>.</w:t>
      </w:r>
    </w:p>
    <w:p w:rsidR="0050311F" w:rsidRPr="00AB68A1" w:rsidRDefault="0050311F" w:rsidP="0050311F"/>
    <w:p w:rsidR="00212C6E" w:rsidRDefault="00212C6E" w:rsidP="0050311F">
      <w:pPr>
        <w:pStyle w:val="Normaltindrag"/>
        <w:ind w:firstLine="0"/>
        <w:sectPr w:rsidR="00212C6E">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8" w:left="1304" w:header="340" w:footer="227" w:gutter="0"/>
          <w:cols w:space="720"/>
          <w:titlePg/>
        </w:sectPr>
      </w:pPr>
    </w:p>
    <w:p w:rsidR="00212C6E" w:rsidRDefault="007B716F" w:rsidP="005B5BDB">
      <w:pPr>
        <w:pStyle w:val="Rubrik1"/>
        <w:numPr>
          <w:ilvl w:val="0"/>
          <w:numId w:val="61"/>
        </w:numPr>
      </w:pPr>
      <w:bookmarkStart w:id="70" w:name="_Toc408946434"/>
      <w:r>
        <w:t>Publikationer</w:t>
      </w:r>
      <w:bookmarkEnd w:id="70"/>
    </w:p>
    <w:p w:rsidR="00174E98" w:rsidRDefault="00174E98" w:rsidP="00174E98">
      <w:pPr>
        <w:rPr>
          <w:szCs w:val="24"/>
        </w:rPr>
      </w:pPr>
      <w:bookmarkStart w:id="71" w:name="_Toc378286260"/>
      <w:bookmarkEnd w:id="71"/>
      <w:r w:rsidRPr="009E7128">
        <w:rPr>
          <w:szCs w:val="24"/>
        </w:rPr>
        <w:t>Riksbanken g</w:t>
      </w:r>
      <w:r>
        <w:rPr>
          <w:szCs w:val="24"/>
        </w:rPr>
        <w:t>er varje år ut ett flertal publikationer, bland annat följande:</w:t>
      </w:r>
    </w:p>
    <w:p w:rsidR="00174E98" w:rsidRPr="009E7128" w:rsidRDefault="00174E98" w:rsidP="00174E98">
      <w:pPr>
        <w:pStyle w:val="R3"/>
      </w:pPr>
      <w:r w:rsidRPr="009E7128">
        <w:t>Penningpolitisk rapport</w:t>
      </w:r>
    </w:p>
    <w:p w:rsidR="00174E98" w:rsidRDefault="00174E98" w:rsidP="00174E98">
      <w:pPr>
        <w:rPr>
          <w:szCs w:val="24"/>
        </w:rPr>
      </w:pPr>
      <w:r>
        <w:rPr>
          <w:szCs w:val="24"/>
        </w:rPr>
        <w:t>Utkommer tre gånger per år och är underlag för penningpolitiska beslut. Genom att publicera rapporten gör Riksbanken sina bedömningar allmänt tillgängliga. På så sätt kan Riksbanken stimulera intresset och underlätta förståelsen av penningpolitiken.</w:t>
      </w:r>
    </w:p>
    <w:p w:rsidR="00174E98" w:rsidRPr="00FE7111" w:rsidRDefault="00174E98" w:rsidP="00174E98">
      <w:pPr>
        <w:pStyle w:val="R3"/>
      </w:pPr>
      <w:r w:rsidRPr="00FE7111">
        <w:t>Penningpolitisk uppföljning</w:t>
      </w:r>
    </w:p>
    <w:p w:rsidR="00174E98" w:rsidRPr="002E4060" w:rsidRDefault="00174E98" w:rsidP="00174E98">
      <w:pPr>
        <w:rPr>
          <w:szCs w:val="24"/>
        </w:rPr>
      </w:pPr>
      <w:r>
        <w:rPr>
          <w:szCs w:val="24"/>
        </w:rPr>
        <w:t xml:space="preserve">Utkommer tre gånger per år mellan två penningpolitiska rapporter. Innehåller </w:t>
      </w:r>
      <w:r w:rsidRPr="002E4060">
        <w:rPr>
          <w:szCs w:val="24"/>
        </w:rPr>
        <w:t xml:space="preserve">ett </w:t>
      </w:r>
      <w:r>
        <w:rPr>
          <w:szCs w:val="24"/>
        </w:rPr>
        <w:t>begränsat antal</w:t>
      </w:r>
      <w:r w:rsidRPr="002E4060">
        <w:rPr>
          <w:szCs w:val="24"/>
        </w:rPr>
        <w:t xml:space="preserve"> prognoser </w:t>
      </w:r>
      <w:r>
        <w:rPr>
          <w:szCs w:val="24"/>
        </w:rPr>
        <w:t>och</w:t>
      </w:r>
      <w:r w:rsidRPr="002E4060">
        <w:rPr>
          <w:szCs w:val="24"/>
        </w:rPr>
        <w:t xml:space="preserve"> sprid</w:t>
      </w:r>
      <w:r>
        <w:rPr>
          <w:szCs w:val="24"/>
        </w:rPr>
        <w:t>er</w:t>
      </w:r>
      <w:r w:rsidRPr="002E4060">
        <w:rPr>
          <w:szCs w:val="24"/>
        </w:rPr>
        <w:t xml:space="preserve"> kunskap om de bedömningar som Riksbanken gör</w:t>
      </w:r>
      <w:r>
        <w:rPr>
          <w:szCs w:val="24"/>
        </w:rPr>
        <w:t xml:space="preserve"> i samband med de penningpolitiska beslut som inte grundas på en penningpolitisk rapport.</w:t>
      </w:r>
    </w:p>
    <w:p w:rsidR="00174E98" w:rsidRPr="00FE7111" w:rsidRDefault="00174E98" w:rsidP="00174E98">
      <w:pPr>
        <w:pStyle w:val="R3"/>
      </w:pPr>
      <w:r>
        <w:t xml:space="preserve">Redogörelse för </w:t>
      </w:r>
      <w:r w:rsidRPr="00A72BB6">
        <w:t>penningpolitiken</w:t>
      </w:r>
    </w:p>
    <w:p w:rsidR="00174E98" w:rsidRDefault="00174E98" w:rsidP="00174E98">
      <w:pPr>
        <w:rPr>
          <w:szCs w:val="24"/>
        </w:rPr>
      </w:pPr>
      <w:r>
        <w:rPr>
          <w:szCs w:val="24"/>
        </w:rPr>
        <w:t xml:space="preserve">Årlig redogörelse för </w:t>
      </w:r>
      <w:r w:rsidRPr="00D97A26">
        <w:rPr>
          <w:szCs w:val="24"/>
        </w:rPr>
        <w:t>den penningpolitik</w:t>
      </w:r>
      <w:r>
        <w:rPr>
          <w:szCs w:val="24"/>
        </w:rPr>
        <w:t xml:space="preserve"> </w:t>
      </w:r>
      <w:r w:rsidRPr="00D97A26">
        <w:rPr>
          <w:szCs w:val="24"/>
        </w:rPr>
        <w:t xml:space="preserve">som Riksbanken </w:t>
      </w:r>
      <w:r>
        <w:rPr>
          <w:szCs w:val="24"/>
        </w:rPr>
        <w:t xml:space="preserve">har </w:t>
      </w:r>
      <w:r w:rsidRPr="00D97A26">
        <w:rPr>
          <w:szCs w:val="24"/>
        </w:rPr>
        <w:t>fört under de när</w:t>
      </w:r>
      <w:r>
        <w:rPr>
          <w:szCs w:val="24"/>
        </w:rPr>
        <w:softHyphen/>
      </w:r>
      <w:r w:rsidRPr="00D97A26">
        <w:rPr>
          <w:szCs w:val="24"/>
        </w:rPr>
        <w:t>mast föregående åren.</w:t>
      </w:r>
      <w:r>
        <w:rPr>
          <w:szCs w:val="24"/>
        </w:rPr>
        <w:t xml:space="preserve"> Innehåller uppgifter och bedömningar som är nö</w:t>
      </w:r>
      <w:r>
        <w:rPr>
          <w:szCs w:val="24"/>
        </w:rPr>
        <w:t>d</w:t>
      </w:r>
      <w:r>
        <w:rPr>
          <w:szCs w:val="24"/>
        </w:rPr>
        <w:t>vändiga för att riksdagen ska kunna utvärdera penningpolitiken. Denna publ</w:t>
      </w:r>
      <w:r>
        <w:rPr>
          <w:szCs w:val="24"/>
        </w:rPr>
        <w:t>i</w:t>
      </w:r>
      <w:r>
        <w:rPr>
          <w:szCs w:val="24"/>
        </w:rPr>
        <w:t>ka</w:t>
      </w:r>
      <w:r>
        <w:rPr>
          <w:szCs w:val="24"/>
        </w:rPr>
        <w:softHyphen/>
        <w:t>tion benämndes tidigare Underlag för utvärdering av penningpolitiken.</w:t>
      </w:r>
    </w:p>
    <w:p w:rsidR="00174E98" w:rsidRPr="009E7128" w:rsidRDefault="00174E98" w:rsidP="00174E98">
      <w:pPr>
        <w:pStyle w:val="R3"/>
      </w:pPr>
      <w:r w:rsidRPr="009E7128">
        <w:t>Finansiell stabilitet</w:t>
      </w:r>
    </w:p>
    <w:p w:rsidR="00174E98" w:rsidRDefault="00174E98" w:rsidP="00174E98">
      <w:pPr>
        <w:rPr>
          <w:szCs w:val="24"/>
        </w:rPr>
      </w:pPr>
      <w:r>
        <w:rPr>
          <w:szCs w:val="24"/>
        </w:rPr>
        <w:t>Utkommer två gånger per år. I rapporten presenterar Riksbanken sin bedö</w:t>
      </w:r>
      <w:r>
        <w:rPr>
          <w:szCs w:val="24"/>
        </w:rPr>
        <w:t>m</w:t>
      </w:r>
      <w:r>
        <w:rPr>
          <w:szCs w:val="24"/>
        </w:rPr>
        <w:t xml:space="preserve">ning av utvecklingen i det finansiella systemet, lyfter fram potentiella risker som kan äventyra den finansiella stabiliteten och ger rekommendationer om åtgärder för att minska riskerna. </w:t>
      </w:r>
    </w:p>
    <w:p w:rsidR="00174E98" w:rsidRPr="009E7128" w:rsidRDefault="00174E98" w:rsidP="00174E98">
      <w:pPr>
        <w:pStyle w:val="R3"/>
      </w:pPr>
      <w:r>
        <w:t>Finansiell infrastruktur</w:t>
      </w:r>
    </w:p>
    <w:p w:rsidR="00174E98" w:rsidRPr="00994BC1" w:rsidRDefault="00174E98" w:rsidP="00174E98">
      <w:pPr>
        <w:pStyle w:val="Normaltindrag"/>
        <w:ind w:firstLine="0"/>
      </w:pPr>
      <w:r>
        <w:rPr>
          <w:szCs w:val="24"/>
        </w:rPr>
        <w:t>Utkommer en gång per år. Innehåller Riksbankens bedömningar av stabilit</w:t>
      </w:r>
      <w:r>
        <w:rPr>
          <w:szCs w:val="24"/>
        </w:rPr>
        <w:t>e</w:t>
      </w:r>
      <w:r>
        <w:rPr>
          <w:szCs w:val="24"/>
        </w:rPr>
        <w:t xml:space="preserve">ten och effektiviteten i den finansiella infrastrukturen i Sverige. </w:t>
      </w:r>
    </w:p>
    <w:p w:rsidR="00174E98" w:rsidRDefault="00174E98" w:rsidP="00174E98">
      <w:pPr>
        <w:pStyle w:val="R3"/>
      </w:pPr>
      <w:r>
        <w:t>Den svenska finansmarknaden</w:t>
      </w:r>
    </w:p>
    <w:p w:rsidR="00174E98" w:rsidRPr="001E02C6" w:rsidRDefault="00174E98" w:rsidP="00174E98">
      <w:pPr>
        <w:rPr>
          <w:szCs w:val="24"/>
        </w:rPr>
      </w:pPr>
      <w:r>
        <w:rPr>
          <w:szCs w:val="24"/>
        </w:rPr>
        <w:t xml:space="preserve">Presenterar årligen </w:t>
      </w:r>
      <w:r w:rsidRPr="00BC6CA9">
        <w:rPr>
          <w:szCs w:val="24"/>
        </w:rPr>
        <w:t xml:space="preserve">grundläggande statistik </w:t>
      </w:r>
      <w:r>
        <w:rPr>
          <w:szCs w:val="24"/>
        </w:rPr>
        <w:t xml:space="preserve">om den </w:t>
      </w:r>
      <w:r w:rsidRPr="001E02C6">
        <w:rPr>
          <w:szCs w:val="24"/>
        </w:rPr>
        <w:t xml:space="preserve">finansiella sektorns </w:t>
      </w:r>
      <w:r>
        <w:rPr>
          <w:szCs w:val="24"/>
        </w:rPr>
        <w:t>olika</w:t>
      </w:r>
      <w:r w:rsidRPr="001E02C6">
        <w:rPr>
          <w:szCs w:val="24"/>
        </w:rPr>
        <w:t xml:space="preserve"> delar</w:t>
      </w:r>
      <w:r>
        <w:rPr>
          <w:szCs w:val="24"/>
        </w:rPr>
        <w:t xml:space="preserve"> och</w:t>
      </w:r>
      <w:r w:rsidRPr="00BC6CA9">
        <w:rPr>
          <w:szCs w:val="24"/>
        </w:rPr>
        <w:t xml:space="preserve"> ge</w:t>
      </w:r>
      <w:r>
        <w:rPr>
          <w:szCs w:val="24"/>
        </w:rPr>
        <w:t>r</w:t>
      </w:r>
      <w:r w:rsidRPr="00BC6CA9">
        <w:rPr>
          <w:szCs w:val="24"/>
        </w:rPr>
        <w:t xml:space="preserve"> pedagogiska förklaringar till hur </w:t>
      </w:r>
      <w:r>
        <w:rPr>
          <w:szCs w:val="24"/>
        </w:rPr>
        <w:t>dessa</w:t>
      </w:r>
      <w:r w:rsidRPr="00BC6CA9">
        <w:rPr>
          <w:szCs w:val="24"/>
        </w:rPr>
        <w:t xml:space="preserve"> marknader, in</w:t>
      </w:r>
      <w:r>
        <w:rPr>
          <w:szCs w:val="24"/>
        </w:rPr>
        <w:t>stitutioner och system fungerar.</w:t>
      </w:r>
      <w:r w:rsidRPr="00BC6CA9">
        <w:rPr>
          <w:szCs w:val="24"/>
        </w:rPr>
        <w:t xml:space="preserve"> </w:t>
      </w:r>
    </w:p>
    <w:p w:rsidR="00174E98" w:rsidRDefault="00174E98" w:rsidP="00174E98">
      <w:pPr>
        <w:pStyle w:val="R3"/>
      </w:pPr>
      <w:r>
        <w:t>Riksbanksstudier och ekonomiska kommentarer</w:t>
      </w:r>
    </w:p>
    <w:p w:rsidR="00174E98" w:rsidRPr="00D71C8B" w:rsidRDefault="00174E98" w:rsidP="00174E98">
      <w:pPr>
        <w:rPr>
          <w:szCs w:val="24"/>
        </w:rPr>
      </w:pPr>
      <w:r>
        <w:rPr>
          <w:szCs w:val="24"/>
        </w:rPr>
        <w:t xml:space="preserve">Omfattar längre </w:t>
      </w:r>
      <w:r w:rsidR="00827BEF">
        <w:rPr>
          <w:szCs w:val="24"/>
        </w:rPr>
        <w:t>och</w:t>
      </w:r>
      <w:r>
        <w:rPr>
          <w:szCs w:val="24"/>
        </w:rPr>
        <w:t xml:space="preserve"> kortare analyser och utredningar inom något av Riks</w:t>
      </w:r>
      <w:r w:rsidR="003A7711">
        <w:rPr>
          <w:szCs w:val="24"/>
        </w:rPr>
        <w:softHyphen/>
      </w:r>
      <w:r>
        <w:rPr>
          <w:szCs w:val="24"/>
        </w:rPr>
        <w:t>ba</w:t>
      </w:r>
      <w:r>
        <w:rPr>
          <w:szCs w:val="24"/>
        </w:rPr>
        <w:t>n</w:t>
      </w:r>
      <w:r>
        <w:rPr>
          <w:szCs w:val="24"/>
        </w:rPr>
        <w:t>kens verksamhetsområden. Publiceras löpande under året.</w:t>
      </w:r>
    </w:p>
    <w:p w:rsidR="00174E98" w:rsidRPr="009E7128" w:rsidRDefault="00174E98" w:rsidP="00174E98">
      <w:pPr>
        <w:pStyle w:val="R3"/>
      </w:pPr>
      <w:r>
        <w:t>Penning-</w:t>
      </w:r>
      <w:r w:rsidRPr="009E7128">
        <w:t xml:space="preserve"> och valutapolitik</w:t>
      </w:r>
    </w:p>
    <w:p w:rsidR="00174E98" w:rsidRPr="000464AD" w:rsidRDefault="00174E98" w:rsidP="00174E98">
      <w:pPr>
        <w:rPr>
          <w:szCs w:val="24"/>
        </w:rPr>
      </w:pPr>
      <w:r>
        <w:rPr>
          <w:szCs w:val="24"/>
        </w:rPr>
        <w:t>Utkommer två till fyra gånger per år och innehåller fördjupande artiklar med anknytning till Riksbankens verksamhetsområden.</w:t>
      </w:r>
      <w:r w:rsidRPr="000464AD">
        <w:rPr>
          <w:szCs w:val="24"/>
        </w:rPr>
        <w:t xml:space="preserve"> </w:t>
      </w:r>
    </w:p>
    <w:p w:rsidR="00174E98" w:rsidRPr="009E7128" w:rsidRDefault="00174E98" w:rsidP="00174E98">
      <w:pPr>
        <w:pStyle w:val="R3"/>
      </w:pPr>
      <w:r w:rsidRPr="009E7128">
        <w:t>Riksbankens årsredovisning</w:t>
      </w:r>
    </w:p>
    <w:p w:rsidR="00174E98" w:rsidRDefault="00174E98" w:rsidP="00174E98">
      <w:pPr>
        <w:rPr>
          <w:szCs w:val="24"/>
        </w:rPr>
      </w:pPr>
      <w:r>
        <w:rPr>
          <w:szCs w:val="24"/>
        </w:rPr>
        <w:t xml:space="preserve">Beskriver Riksbankens verksamhet under det gångna året. Innehåller också bokslutet för året. </w:t>
      </w:r>
    </w:p>
    <w:p w:rsidR="00174E98" w:rsidRPr="009E7128" w:rsidRDefault="00174E98" w:rsidP="00174E98">
      <w:pPr>
        <w:pStyle w:val="R3"/>
      </w:pPr>
      <w:r w:rsidRPr="009E7128">
        <w:t>Working Paper Series</w:t>
      </w:r>
    </w:p>
    <w:p w:rsidR="00174E98" w:rsidRDefault="00174E98" w:rsidP="00174E98">
      <w:pPr>
        <w:rPr>
          <w:szCs w:val="24"/>
        </w:rPr>
      </w:pPr>
      <w:r>
        <w:rPr>
          <w:szCs w:val="24"/>
        </w:rPr>
        <w:t xml:space="preserve">Presenterar </w:t>
      </w:r>
      <w:r w:rsidR="00913EC7">
        <w:rPr>
          <w:szCs w:val="24"/>
        </w:rPr>
        <w:t>forskning</w:t>
      </w:r>
      <w:r>
        <w:rPr>
          <w:szCs w:val="24"/>
        </w:rPr>
        <w:t xml:space="preserve"> som har anknytning till Riksbankens verksamhets</w:t>
      </w:r>
      <w:r w:rsidR="003A7711">
        <w:rPr>
          <w:szCs w:val="24"/>
        </w:rPr>
        <w:softHyphen/>
      </w:r>
      <w:r>
        <w:rPr>
          <w:szCs w:val="24"/>
        </w:rPr>
        <w:t>omr</w:t>
      </w:r>
      <w:r>
        <w:rPr>
          <w:szCs w:val="24"/>
        </w:rPr>
        <w:t>å</w:t>
      </w:r>
      <w:r>
        <w:rPr>
          <w:szCs w:val="24"/>
        </w:rPr>
        <w:t xml:space="preserve">den och som bedöms vara av intresse för externa läsare. </w:t>
      </w:r>
    </w:p>
    <w:p w:rsidR="00174E98" w:rsidRDefault="00174E98" w:rsidP="00174E98">
      <w:pPr>
        <w:pStyle w:val="R3"/>
      </w:pPr>
      <w:r w:rsidRPr="002A5286">
        <w:t xml:space="preserve">Publikationer från Europeiska centralbanken </w:t>
      </w:r>
      <w:r>
        <w:t>(</w:t>
      </w:r>
      <w:r w:rsidRPr="002A5286">
        <w:t>ECB</w:t>
      </w:r>
      <w:r>
        <w:t>)</w:t>
      </w:r>
    </w:p>
    <w:p w:rsidR="00174E98" w:rsidRDefault="00174E98" w:rsidP="00174E98">
      <w:r>
        <w:t>Omfattar svenska versioner av ECB:s månadsrapporter, årsrapporter och konvergensrapporter.</w:t>
      </w:r>
    </w:p>
    <w:p w:rsidR="00174E98" w:rsidRDefault="00174E98" w:rsidP="00174E98">
      <w:pPr>
        <w:pStyle w:val="Normaltindrag"/>
      </w:pPr>
    </w:p>
    <w:p w:rsidR="00174E98" w:rsidRDefault="00174E98" w:rsidP="00174E98">
      <w:pPr>
        <w:pStyle w:val="Normaltindrag"/>
      </w:pPr>
    </w:p>
    <w:p w:rsidR="00174E98" w:rsidRDefault="00174E98" w:rsidP="003A7711">
      <w:pPr>
        <w:suppressAutoHyphens/>
        <w:rPr>
          <w:szCs w:val="24"/>
        </w:rPr>
      </w:pPr>
      <w:r>
        <w:rPr>
          <w:szCs w:val="24"/>
        </w:rPr>
        <w:t>På webbplatsen (</w:t>
      </w:r>
      <w:r w:rsidRPr="00FA7D46">
        <w:rPr>
          <w:color w:val="000000"/>
          <w:szCs w:val="24"/>
        </w:rPr>
        <w:t>www.riksbank.se</w:t>
      </w:r>
      <w:r w:rsidRPr="004D7650">
        <w:rPr>
          <w:szCs w:val="24"/>
        </w:rPr>
        <w:t>) pre</w:t>
      </w:r>
      <w:r>
        <w:rPr>
          <w:szCs w:val="24"/>
        </w:rPr>
        <w:t xml:space="preserve">senteras Riksbankens samtliga publikationer i fulltext. Flertalet av dessa publiceras både på svenska och på </w:t>
      </w:r>
      <w:r w:rsidR="003A7711">
        <w:rPr>
          <w:szCs w:val="24"/>
        </w:rPr>
        <w:t>eng</w:t>
      </w:r>
      <w:r>
        <w:rPr>
          <w:szCs w:val="24"/>
        </w:rPr>
        <w:t>elska. Beställning görs enklast på webbplatsen. På webbplatsen publicerar Riksbanken också pressmeddelanden, tal, artiklar och protokoll från direk</w:t>
      </w:r>
      <w:r>
        <w:rPr>
          <w:szCs w:val="24"/>
        </w:rPr>
        <w:softHyphen/>
        <w:t>tionens och riksbanksfullmäktiges sammanträden. Från och med 2009 kan även resultaten av Riksbankens företagsintervjuer och riskenkäter laddas ned som separata publikationer i pdf-format.</w:t>
      </w:r>
    </w:p>
    <w:p w:rsidR="00174E98" w:rsidRDefault="00174E98" w:rsidP="00174E98">
      <w:pPr>
        <w:rPr>
          <w:szCs w:val="24"/>
        </w:rPr>
      </w:pPr>
    </w:p>
    <w:p w:rsidR="00174E98" w:rsidRDefault="00174E98" w:rsidP="00174E98">
      <w:pPr>
        <w:rPr>
          <w:szCs w:val="24"/>
        </w:rPr>
      </w:pPr>
    </w:p>
    <w:p w:rsidR="00174E98" w:rsidRDefault="00174E98" w:rsidP="00174E98">
      <w:pPr>
        <w:rPr>
          <w:i/>
          <w:szCs w:val="24"/>
        </w:rPr>
      </w:pPr>
      <w:r w:rsidRPr="009E7128">
        <w:rPr>
          <w:i/>
          <w:szCs w:val="24"/>
        </w:rPr>
        <w:t>Adress</w:t>
      </w:r>
    </w:p>
    <w:p w:rsidR="00174E98" w:rsidRDefault="00174E98" w:rsidP="00174E98">
      <w:pPr>
        <w:rPr>
          <w:szCs w:val="24"/>
        </w:rPr>
      </w:pPr>
      <w:r>
        <w:rPr>
          <w:szCs w:val="24"/>
        </w:rPr>
        <w:t>Sveriges riksbank</w:t>
      </w:r>
    </w:p>
    <w:p w:rsidR="00174E98" w:rsidRDefault="00174E98" w:rsidP="00174E98">
      <w:pPr>
        <w:rPr>
          <w:szCs w:val="24"/>
        </w:rPr>
      </w:pPr>
      <w:r>
        <w:rPr>
          <w:szCs w:val="24"/>
        </w:rPr>
        <w:t>103 37 Stockholm</w:t>
      </w:r>
    </w:p>
    <w:p w:rsidR="00174E98" w:rsidRDefault="00174E98" w:rsidP="00174E98">
      <w:pPr>
        <w:rPr>
          <w:szCs w:val="24"/>
        </w:rPr>
      </w:pPr>
      <w:r>
        <w:rPr>
          <w:szCs w:val="24"/>
        </w:rPr>
        <w:t>Telefon 08-787 00 00</w:t>
      </w:r>
    </w:p>
    <w:p w:rsidR="00174E98" w:rsidRPr="004B436D" w:rsidRDefault="00174E98" w:rsidP="00174E98">
      <w:r w:rsidRPr="00FA7D46">
        <w:rPr>
          <w:color w:val="000000"/>
          <w:szCs w:val="24"/>
        </w:rPr>
        <w:t>www.riksbank.se</w:t>
      </w:r>
    </w:p>
    <w:p w:rsidR="00174E98" w:rsidRDefault="00174E98" w:rsidP="00174E98"/>
    <w:p w:rsidR="00844068" w:rsidRPr="006004F5" w:rsidRDefault="00844068" w:rsidP="00844068"/>
    <w:p w:rsidR="00844068" w:rsidRPr="006C4B18" w:rsidRDefault="00844068" w:rsidP="00844068">
      <w:pPr>
        <w:pStyle w:val="Rubrik1"/>
        <w:sectPr w:rsidR="00844068" w:rsidRPr="006C4B18" w:rsidSect="002214F2">
          <w:headerReference w:type="even" r:id="rId110"/>
          <w:headerReference w:type="default" r:id="rId111"/>
          <w:footerReference w:type="even" r:id="rId112"/>
          <w:footerReference w:type="default" r:id="rId113"/>
          <w:headerReference w:type="first" r:id="rId114"/>
          <w:footerReference w:type="first" r:id="rId115"/>
          <w:pgSz w:w="11906" w:h="16838" w:code="9"/>
          <w:pgMar w:top="907" w:right="4649" w:bottom="4507" w:left="1304" w:header="340" w:footer="227" w:gutter="0"/>
          <w:cols w:space="720"/>
          <w:titlePg/>
          <w:docGrid w:linePitch="258"/>
        </w:sectPr>
      </w:pPr>
    </w:p>
    <w:p w:rsidR="002214F2" w:rsidRDefault="002214F2" w:rsidP="005B2D08">
      <w:pPr>
        <w:pStyle w:val="Rubrik1"/>
        <w:numPr>
          <w:ilvl w:val="0"/>
          <w:numId w:val="61"/>
        </w:numPr>
      </w:pPr>
      <w:bookmarkStart w:id="72" w:name="_Toc408946435"/>
      <w:r>
        <w:t>Sveriges riksbanks pris i ekonomisk vetenskap till Alfred Nobels minne 201</w:t>
      </w:r>
      <w:r w:rsidR="006004F5">
        <w:t>4</w:t>
      </w:r>
      <w:bookmarkEnd w:id="72"/>
    </w:p>
    <w:p w:rsidR="0003221F" w:rsidRDefault="0003221F" w:rsidP="003A7711">
      <w:pPr>
        <w:suppressAutoHyphens/>
        <w:rPr>
          <w:i/>
          <w:szCs w:val="24"/>
        </w:rPr>
      </w:pPr>
      <w:r w:rsidRPr="00543B8D">
        <w:rPr>
          <w:i/>
          <w:szCs w:val="24"/>
        </w:rPr>
        <w:t xml:space="preserve">Riksbankens pris i </w:t>
      </w:r>
      <w:r w:rsidR="000E34AB">
        <w:rPr>
          <w:i/>
          <w:szCs w:val="24"/>
        </w:rPr>
        <w:t>ekonomisk vetenskap till Alfred</w:t>
      </w:r>
      <w:r w:rsidRPr="00543B8D">
        <w:rPr>
          <w:i/>
          <w:szCs w:val="24"/>
        </w:rPr>
        <w:t xml:space="preserve"> Nobels minne 20</w:t>
      </w:r>
      <w:r w:rsidR="0030137E">
        <w:rPr>
          <w:i/>
          <w:szCs w:val="24"/>
        </w:rPr>
        <w:t>14</w:t>
      </w:r>
      <w:r w:rsidRPr="00543B8D">
        <w:rPr>
          <w:i/>
          <w:szCs w:val="24"/>
        </w:rPr>
        <w:t xml:space="preserve"> tilldelades </w:t>
      </w:r>
      <w:r w:rsidR="007D1383">
        <w:rPr>
          <w:i/>
          <w:szCs w:val="24"/>
        </w:rPr>
        <w:t>Jean Tirole för hans analys av marknadsmakt och reglering</w:t>
      </w:r>
      <w:r w:rsidRPr="00543B8D">
        <w:rPr>
          <w:i/>
          <w:szCs w:val="24"/>
        </w:rPr>
        <w:t>.</w:t>
      </w:r>
      <w:r w:rsidR="007D1383">
        <w:rPr>
          <w:i/>
          <w:szCs w:val="24"/>
        </w:rPr>
        <w:t xml:space="preserve"> </w:t>
      </w:r>
      <w:r w:rsidR="007D1383" w:rsidRPr="007D1383">
        <w:rPr>
          <w:i/>
          <w:szCs w:val="24"/>
        </w:rPr>
        <w:t>I många branscher har ett litet antal storföretag, eller ett enda monopolföretag, en helt dominerande ställning. Om de lämnas oreglerade ger sådana marknader ofta oönskade utfall för samhället. Det kan medföra att priserna blir högre än vad kostnaderna motiverar, eller att lågproduktiva företag överlever genom att hindra nya och mer produktiva företag att komma in på marknaden.</w:t>
      </w:r>
      <w:r w:rsidR="007D1383">
        <w:rPr>
          <w:i/>
          <w:szCs w:val="24"/>
        </w:rPr>
        <w:t xml:space="preserve"> </w:t>
      </w:r>
      <w:r w:rsidR="007D1383" w:rsidRPr="007D1383">
        <w:rPr>
          <w:i/>
          <w:szCs w:val="24"/>
        </w:rPr>
        <w:t>Tirole</w:t>
      </w:r>
      <w:r w:rsidR="001C456D">
        <w:rPr>
          <w:i/>
          <w:szCs w:val="24"/>
        </w:rPr>
        <w:t>s</w:t>
      </w:r>
      <w:r w:rsidR="007D1383" w:rsidRPr="007D1383">
        <w:rPr>
          <w:i/>
          <w:szCs w:val="24"/>
        </w:rPr>
        <w:t xml:space="preserve"> forsk</w:t>
      </w:r>
      <w:r w:rsidR="001C456D">
        <w:rPr>
          <w:i/>
          <w:szCs w:val="24"/>
        </w:rPr>
        <w:t>ning</w:t>
      </w:r>
      <w:r w:rsidR="007D1383" w:rsidRPr="007D1383">
        <w:rPr>
          <w:i/>
          <w:szCs w:val="24"/>
        </w:rPr>
        <w:t xml:space="preserve"> om sådana marknadsmiss</w:t>
      </w:r>
      <w:r w:rsidR="003A7711">
        <w:rPr>
          <w:i/>
          <w:szCs w:val="24"/>
        </w:rPr>
        <w:softHyphen/>
      </w:r>
      <w:r w:rsidR="007D1383" w:rsidRPr="007D1383">
        <w:rPr>
          <w:i/>
          <w:szCs w:val="24"/>
        </w:rPr>
        <w:t>lyckanden</w:t>
      </w:r>
      <w:r w:rsidR="001C456D">
        <w:rPr>
          <w:i/>
          <w:szCs w:val="24"/>
        </w:rPr>
        <w:t xml:space="preserve"> och</w:t>
      </w:r>
      <w:r w:rsidR="007D1383" w:rsidRPr="007D1383">
        <w:rPr>
          <w:i/>
          <w:szCs w:val="24"/>
        </w:rPr>
        <w:t xml:space="preserve"> analys av företag med marknadsmakt har skapat en samman</w:t>
      </w:r>
      <w:r w:rsidR="003A7711">
        <w:rPr>
          <w:i/>
          <w:szCs w:val="24"/>
        </w:rPr>
        <w:softHyphen/>
      </w:r>
      <w:r w:rsidR="007D1383" w:rsidRPr="007D1383">
        <w:rPr>
          <w:i/>
          <w:szCs w:val="24"/>
        </w:rPr>
        <w:t xml:space="preserve">hållen teori med tillämpning </w:t>
      </w:r>
      <w:r w:rsidR="00B103A1">
        <w:rPr>
          <w:i/>
          <w:szCs w:val="24"/>
        </w:rPr>
        <w:t>på</w:t>
      </w:r>
      <w:r w:rsidR="007D1383" w:rsidRPr="007D1383">
        <w:rPr>
          <w:i/>
          <w:szCs w:val="24"/>
        </w:rPr>
        <w:t xml:space="preserve"> cen</w:t>
      </w:r>
      <w:r w:rsidR="007D1383">
        <w:rPr>
          <w:i/>
          <w:szCs w:val="24"/>
        </w:rPr>
        <w:t>trala policyfrågor.</w:t>
      </w:r>
      <w:r w:rsidRPr="00543B8D">
        <w:rPr>
          <w:i/>
          <w:szCs w:val="24"/>
        </w:rPr>
        <w:t xml:space="preserve"> </w:t>
      </w:r>
    </w:p>
    <w:p w:rsidR="0003221F" w:rsidRPr="002134B6" w:rsidRDefault="0003221F" w:rsidP="0003221F">
      <w:pPr>
        <w:pStyle w:val="Normaltindrag"/>
      </w:pPr>
    </w:p>
    <w:p w:rsidR="001C456D" w:rsidRPr="00543B8D" w:rsidRDefault="001C456D" w:rsidP="003A7711">
      <w:pPr>
        <w:suppressAutoHyphens/>
        <w:rPr>
          <w:szCs w:val="24"/>
        </w:rPr>
      </w:pPr>
      <w:r w:rsidRPr="00543B8D">
        <w:rPr>
          <w:szCs w:val="24"/>
        </w:rPr>
        <w:t>Sveriges riksbanks pris i ekonomisk vetenskap instiftades i s</w:t>
      </w:r>
      <w:r>
        <w:rPr>
          <w:szCs w:val="24"/>
        </w:rPr>
        <w:t>amband med Riksbankens 300-</w:t>
      </w:r>
      <w:r w:rsidRPr="00543B8D">
        <w:rPr>
          <w:szCs w:val="24"/>
        </w:rPr>
        <w:t>årsjubileum 1968. Genom donationen förband sig Riksbanken att för all framtid varje år ge Nobelstiftelsen såväl prissumman som det belopp som behöv</w:t>
      </w:r>
      <w:r>
        <w:rPr>
          <w:szCs w:val="24"/>
        </w:rPr>
        <w:t>s</w:t>
      </w:r>
      <w:r w:rsidRPr="00543B8D">
        <w:rPr>
          <w:szCs w:val="24"/>
        </w:rPr>
        <w:t xml:space="preserve"> för att täcka stiftelsens kostnader för förvaltning. Reg</w:t>
      </w:r>
      <w:r w:rsidRPr="00543B8D">
        <w:rPr>
          <w:szCs w:val="24"/>
        </w:rPr>
        <w:t>e</w:t>
      </w:r>
      <w:r w:rsidRPr="00543B8D">
        <w:rPr>
          <w:szCs w:val="24"/>
        </w:rPr>
        <w:t xml:space="preserve">ringen har fastställt stadgarna för priset. </w:t>
      </w:r>
    </w:p>
    <w:p w:rsidR="001C456D" w:rsidRDefault="001C456D" w:rsidP="003A7711">
      <w:pPr>
        <w:pStyle w:val="Normaltindrag"/>
        <w:suppressAutoHyphens/>
      </w:pPr>
      <w:r w:rsidRPr="00693052">
        <w:t xml:space="preserve">Varje år delas priset i ekonomisk vetenskap ut till en eller flera personer som </w:t>
      </w:r>
      <w:r>
        <w:t xml:space="preserve">har </w:t>
      </w:r>
      <w:r w:rsidRPr="00693052">
        <w:t xml:space="preserve">utfört ett arbete av framstående betydelse inom ekonomisk vetenskap. Kungliga Vetenskapsakademien utser ekonomipristagare enligt samma principer som gäller för Nobelpriset. </w:t>
      </w:r>
      <w:r>
        <w:t xml:space="preserve">Prissumman är också densamma. Från och med </w:t>
      </w:r>
      <w:r w:rsidRPr="007E414A">
        <w:t>2012 uppgår prissumman till 8</w:t>
      </w:r>
      <w:r w:rsidRPr="00693052">
        <w:t xml:space="preserve"> miljoner svenska kronor</w:t>
      </w:r>
      <w:r>
        <w:t xml:space="preserve"> i enlighet med Nobelstiftelsens beslut att sänka prissumman för övriga Nobelpris. </w:t>
      </w:r>
      <w:r w:rsidRPr="00693052">
        <w:t>Pen</w:t>
      </w:r>
      <w:r w:rsidRPr="00693052">
        <w:t>g</w:t>
      </w:r>
      <w:r w:rsidRPr="00693052">
        <w:t xml:space="preserve">arna betalas ut av Riksbanken. Om det är flera pristagare delas prissumman lika mellan dem. </w:t>
      </w:r>
    </w:p>
    <w:p w:rsidR="001B4D67" w:rsidRPr="009F48D9" w:rsidRDefault="001B4D67" w:rsidP="003A7711">
      <w:pPr>
        <w:pStyle w:val="Normaltindrag"/>
        <w:suppressAutoHyphens/>
        <w:rPr>
          <w:lang w:val="fr-FR"/>
        </w:rPr>
      </w:pPr>
      <w:r>
        <w:t>Jean Tirole är född 1953 i Troyes, Frankrike</w:t>
      </w:r>
      <w:r w:rsidR="00DA42D2">
        <w:t xml:space="preserve"> (fransk medborgare)</w:t>
      </w:r>
      <w:r>
        <w:t>.</w:t>
      </w:r>
      <w:r w:rsidRPr="001B4D67">
        <w:t xml:space="preserve"> </w:t>
      </w:r>
      <w:r w:rsidR="00DA42D2">
        <w:rPr>
          <w:lang w:val="en-US"/>
        </w:rPr>
        <w:t>Fil.dr 198</w:t>
      </w:r>
      <w:r w:rsidR="00AD2FBF">
        <w:rPr>
          <w:lang w:val="en-US"/>
        </w:rPr>
        <w:t xml:space="preserve">1 </w:t>
      </w:r>
      <w:r w:rsidRPr="001B4D67">
        <w:rPr>
          <w:lang w:val="en-US"/>
        </w:rPr>
        <w:t xml:space="preserve">vid Massachusetts Institute of Technology, </w:t>
      </w:r>
      <w:smartTag w:uri="urn:schemas-microsoft-com:office:smarttags" w:element="place">
        <w:smartTag w:uri="urn:schemas-microsoft-com:office:smarttags" w:element="City">
          <w:r w:rsidRPr="001B4D67">
            <w:rPr>
              <w:lang w:val="en-US"/>
            </w:rPr>
            <w:t>Cambridge</w:t>
          </w:r>
        </w:smartTag>
        <w:r w:rsidRPr="001B4D67">
          <w:rPr>
            <w:lang w:val="en-US"/>
          </w:rPr>
          <w:t xml:space="preserve">, </w:t>
        </w:r>
        <w:smartTag w:uri="urn:schemas-microsoft-com:office:smarttags" w:element="State">
          <w:r w:rsidRPr="001B4D67">
            <w:rPr>
              <w:lang w:val="en-US"/>
            </w:rPr>
            <w:t>MA</w:t>
          </w:r>
        </w:smartTag>
        <w:r w:rsidRPr="001B4D67">
          <w:rPr>
            <w:lang w:val="en-US"/>
          </w:rPr>
          <w:t xml:space="preserve">, </w:t>
        </w:r>
        <w:smartTag w:uri="urn:schemas-microsoft-com:office:smarttags" w:element="country-region">
          <w:r w:rsidRPr="001B4D67">
            <w:rPr>
              <w:lang w:val="en-US"/>
            </w:rPr>
            <w:t>USA</w:t>
          </w:r>
        </w:smartTag>
      </w:smartTag>
      <w:r w:rsidRPr="001B4D67">
        <w:rPr>
          <w:lang w:val="en-US"/>
        </w:rPr>
        <w:t xml:space="preserve">. </w:t>
      </w:r>
      <w:r w:rsidR="00DF381F">
        <w:rPr>
          <w:lang w:val="en-US"/>
        </w:rPr>
        <w:t>Vetenskaplig ledare (</w:t>
      </w:r>
      <w:r w:rsidRPr="009F48D9">
        <w:rPr>
          <w:lang w:val="fr-FR"/>
        </w:rPr>
        <w:t>Scientific Director</w:t>
      </w:r>
      <w:r w:rsidR="00DF381F">
        <w:rPr>
          <w:lang w:val="fr-FR"/>
        </w:rPr>
        <w:t>)</w:t>
      </w:r>
      <w:r w:rsidRPr="009F48D9">
        <w:rPr>
          <w:lang w:val="fr-FR"/>
        </w:rPr>
        <w:t xml:space="preserve"> </w:t>
      </w:r>
      <w:r w:rsidR="00DF381F">
        <w:rPr>
          <w:lang w:val="fr-FR"/>
        </w:rPr>
        <w:t>för Institutet för industriell ekonomi</w:t>
      </w:r>
      <w:r w:rsidR="00DF381F" w:rsidRPr="009F48D9">
        <w:rPr>
          <w:lang w:val="fr-FR"/>
        </w:rPr>
        <w:t xml:space="preserve"> </w:t>
      </w:r>
      <w:r w:rsidR="00DF381F">
        <w:rPr>
          <w:lang w:val="fr-FR"/>
        </w:rPr>
        <w:t>(</w:t>
      </w:r>
      <w:r w:rsidRPr="009F48D9">
        <w:rPr>
          <w:lang w:val="fr-FR"/>
        </w:rPr>
        <w:t>Institut d'Économie Industrielle</w:t>
      </w:r>
      <w:r w:rsidR="00DF381F">
        <w:rPr>
          <w:lang w:val="fr-FR"/>
        </w:rPr>
        <w:t>), L’École d’économie de Toulouse (</w:t>
      </w:r>
      <w:r w:rsidRPr="009F48D9">
        <w:rPr>
          <w:lang w:val="fr-FR"/>
        </w:rPr>
        <w:t>Toulouse School of Economics</w:t>
      </w:r>
      <w:r w:rsidR="00DF381F">
        <w:rPr>
          <w:lang w:val="fr-FR"/>
        </w:rPr>
        <w:t>)</w:t>
      </w:r>
      <w:r w:rsidRPr="009F48D9">
        <w:rPr>
          <w:lang w:val="fr-FR"/>
        </w:rPr>
        <w:t>, Université Toulouse 1 Capitole,</w:t>
      </w:r>
      <w:r w:rsidR="00DA42D2" w:rsidRPr="009F48D9">
        <w:rPr>
          <w:lang w:val="fr-FR"/>
        </w:rPr>
        <w:t xml:space="preserve"> Frankrike.</w:t>
      </w:r>
      <w:r w:rsidRPr="009F48D9">
        <w:rPr>
          <w:lang w:val="fr-FR"/>
        </w:rPr>
        <w:t xml:space="preserve">  </w:t>
      </w:r>
    </w:p>
    <w:p w:rsidR="001B4D67" w:rsidRPr="009F48D9" w:rsidRDefault="001B4D67" w:rsidP="001B4D67">
      <w:pPr>
        <w:pStyle w:val="Normaltindrag"/>
        <w:rPr>
          <w:lang w:val="fr-FR"/>
        </w:rPr>
      </w:pPr>
    </w:p>
    <w:p w:rsidR="001B4D67" w:rsidRPr="009F48D9" w:rsidRDefault="001B4D67" w:rsidP="001B4D67">
      <w:pPr>
        <w:pStyle w:val="Normaltindrag"/>
        <w:rPr>
          <w:lang w:val="fr-FR"/>
        </w:rPr>
      </w:pPr>
    </w:p>
    <w:p w:rsidR="001B4D67" w:rsidRPr="00AC2D80" w:rsidRDefault="001B4D67" w:rsidP="001B4D67">
      <w:r>
        <w:t>Riksbankens pris i ekonomisk vetenskap till Alfred Nobels minne</w:t>
      </w:r>
      <w:r w:rsidR="008727C3">
        <w:t xml:space="preserve"> har delats ut varje år </w:t>
      </w:r>
      <w:r w:rsidR="00B103A1">
        <w:t>sedan</w:t>
      </w:r>
      <w:r w:rsidR="008727C3">
        <w:t xml:space="preserve"> 1969. Tidigare</w:t>
      </w:r>
      <w:r w:rsidR="00043B0D">
        <w:t xml:space="preserve"> pristagare</w:t>
      </w:r>
      <w:r>
        <w:t xml:space="preserve"> finns publicerade på Riksbankens </w:t>
      </w:r>
      <w:r w:rsidR="008727C3">
        <w:t xml:space="preserve">webbplats </w:t>
      </w:r>
      <w:r w:rsidR="008727C3">
        <w:rPr>
          <w:szCs w:val="24"/>
        </w:rPr>
        <w:t>(</w:t>
      </w:r>
      <w:r w:rsidR="008727C3" w:rsidRPr="00FA7D46">
        <w:rPr>
          <w:color w:val="000000"/>
          <w:szCs w:val="24"/>
        </w:rPr>
        <w:t>www.riksbank.se</w:t>
      </w:r>
      <w:r w:rsidR="008727C3" w:rsidRPr="004D7650">
        <w:rPr>
          <w:szCs w:val="24"/>
        </w:rPr>
        <w:t>)</w:t>
      </w:r>
      <w:r>
        <w:t>.</w:t>
      </w:r>
    </w:p>
    <w:p w:rsidR="001B4D67" w:rsidRDefault="001B4D67" w:rsidP="001C456D">
      <w:pPr>
        <w:pStyle w:val="Normaltindrag"/>
      </w:pPr>
    </w:p>
    <w:p w:rsidR="003524A9" w:rsidRPr="006004F5" w:rsidRDefault="003524A9" w:rsidP="003524A9"/>
    <w:p w:rsidR="003524A9" w:rsidRPr="006C4B18" w:rsidRDefault="003524A9" w:rsidP="006004F5">
      <w:pPr>
        <w:pStyle w:val="Rubrik1"/>
        <w:sectPr w:rsidR="003524A9" w:rsidRPr="006C4B18" w:rsidSect="002214F2">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7" w:left="1304" w:header="340" w:footer="227" w:gutter="0"/>
          <w:cols w:space="720"/>
          <w:titlePg/>
          <w:docGrid w:linePitch="258"/>
        </w:sectPr>
      </w:pPr>
    </w:p>
    <w:p w:rsidR="007B716F" w:rsidRPr="002214F2" w:rsidRDefault="002214F2" w:rsidP="005B2D08">
      <w:pPr>
        <w:pStyle w:val="Rubrik1"/>
        <w:numPr>
          <w:ilvl w:val="0"/>
          <w:numId w:val="61"/>
        </w:numPr>
      </w:pPr>
      <w:bookmarkStart w:id="73" w:name="_Toc408946436"/>
      <w:r>
        <w:t>Ordlista</w:t>
      </w:r>
      <w:bookmarkEnd w:id="73"/>
    </w:p>
    <w:p w:rsidR="001C487D" w:rsidRDefault="001C487D" w:rsidP="001C487D">
      <w:pPr>
        <w:pStyle w:val="Rubrik5"/>
        <w:spacing w:before="0"/>
        <w:rPr>
          <w:b/>
        </w:rPr>
      </w:pPr>
      <w:bookmarkStart w:id="74" w:name="Nästa_Reservation"/>
      <w:bookmarkEnd w:id="74"/>
      <w:r>
        <w:rPr>
          <w:b/>
        </w:rPr>
        <w:t>Asset-Backed Securities</w:t>
      </w:r>
    </w:p>
    <w:p w:rsidR="001C487D" w:rsidRPr="004342C5" w:rsidRDefault="001C487D" w:rsidP="004342C5">
      <w:pPr>
        <w:spacing w:before="20"/>
        <w:rPr>
          <w:sz w:val="18"/>
          <w:szCs w:val="18"/>
        </w:rPr>
      </w:pPr>
      <w:r w:rsidRPr="004342C5">
        <w:rPr>
          <w:sz w:val="18"/>
          <w:szCs w:val="18"/>
        </w:rPr>
        <w:t>Obligationer som har bakomliggande tillgångar, ofta i form av olika typer av lån</w:t>
      </w:r>
      <w:r w:rsidR="000C0B93" w:rsidRPr="004342C5">
        <w:rPr>
          <w:sz w:val="18"/>
          <w:szCs w:val="18"/>
        </w:rPr>
        <w:t xml:space="preserve">, till exempel bostadskrediter. </w:t>
      </w:r>
    </w:p>
    <w:p w:rsidR="001C487D" w:rsidRPr="00D306D0" w:rsidRDefault="001C487D" w:rsidP="001C487D">
      <w:pPr>
        <w:pStyle w:val="Rubrik5"/>
        <w:spacing w:before="120"/>
        <w:rPr>
          <w:b/>
        </w:rPr>
      </w:pPr>
      <w:r w:rsidRPr="00D306D0">
        <w:rPr>
          <w:b/>
        </w:rPr>
        <w:t>Avveckling</w:t>
      </w:r>
    </w:p>
    <w:p w:rsidR="001C487D" w:rsidRPr="00DB3AC5" w:rsidRDefault="001C487D" w:rsidP="001C487D">
      <w:pPr>
        <w:spacing w:before="20"/>
        <w:rPr>
          <w:b/>
          <w:sz w:val="18"/>
          <w:szCs w:val="18"/>
        </w:rPr>
      </w:pPr>
      <w:r>
        <w:rPr>
          <w:sz w:val="18"/>
          <w:szCs w:val="18"/>
        </w:rPr>
        <w:t>S</w:t>
      </w:r>
      <w:r w:rsidRPr="00DB3AC5">
        <w:rPr>
          <w:sz w:val="18"/>
          <w:szCs w:val="18"/>
        </w:rPr>
        <w:t>lutlig reglering av skulder när pengar eller värdepapper överförs från en part till en annan, oftast betalning från ett konto till ett annat konto.</w:t>
      </w:r>
      <w:r w:rsidRPr="00DB3AC5">
        <w:rPr>
          <w:b/>
          <w:sz w:val="18"/>
          <w:szCs w:val="18"/>
        </w:rPr>
        <w:t xml:space="preserve"> </w:t>
      </w:r>
    </w:p>
    <w:p w:rsidR="001C487D" w:rsidRDefault="001C487D" w:rsidP="001C487D">
      <w:pPr>
        <w:pStyle w:val="Rubrik5"/>
        <w:spacing w:before="120"/>
        <w:rPr>
          <w:b/>
        </w:rPr>
      </w:pPr>
      <w:r>
        <w:rPr>
          <w:b/>
        </w:rPr>
        <w:t>Basel III</w:t>
      </w:r>
    </w:p>
    <w:p w:rsidR="001C487D" w:rsidRPr="00DB3AC5" w:rsidRDefault="001C487D" w:rsidP="007E39E9">
      <w:pPr>
        <w:suppressAutoHyphens/>
        <w:spacing w:before="20"/>
        <w:rPr>
          <w:sz w:val="18"/>
          <w:szCs w:val="18"/>
        </w:rPr>
      </w:pPr>
      <w:r w:rsidRPr="00DB3AC5">
        <w:rPr>
          <w:sz w:val="18"/>
          <w:szCs w:val="18"/>
        </w:rPr>
        <w:t>Internationellt regelverk för finansiella institut som huvudsakligen reglerar bankernas kapitaltäckning, det vill säga hur mycket kapital en bank måste hålla i förhållande till den risk den tar, och deras sätt att hantera likviditet.</w:t>
      </w:r>
    </w:p>
    <w:p w:rsidR="001C487D" w:rsidRDefault="001C487D" w:rsidP="001C487D">
      <w:pPr>
        <w:pStyle w:val="Rubrik5"/>
        <w:spacing w:before="120"/>
        <w:rPr>
          <w:b/>
        </w:rPr>
      </w:pPr>
      <w:r w:rsidRPr="008A3B28">
        <w:rPr>
          <w:b/>
        </w:rPr>
        <w:t>Baselkommittén</w:t>
      </w:r>
    </w:p>
    <w:p w:rsidR="001C487D" w:rsidRPr="00DB3AC5" w:rsidRDefault="001C487D" w:rsidP="001C487D">
      <w:pPr>
        <w:spacing w:before="20"/>
        <w:rPr>
          <w:sz w:val="18"/>
          <w:szCs w:val="18"/>
        </w:rPr>
      </w:pPr>
      <w:r w:rsidRPr="00DB3AC5">
        <w:rPr>
          <w:sz w:val="18"/>
          <w:szCs w:val="18"/>
        </w:rPr>
        <w:t xml:space="preserve">Globalt forum för samarbete kring frågor om banktillsyn </w:t>
      </w:r>
      <w:r w:rsidR="00D90FF4">
        <w:rPr>
          <w:sz w:val="18"/>
          <w:szCs w:val="18"/>
        </w:rPr>
        <w:t>med</w:t>
      </w:r>
      <w:r w:rsidR="00D90FF4" w:rsidRPr="00DB3AC5">
        <w:rPr>
          <w:sz w:val="18"/>
          <w:szCs w:val="18"/>
        </w:rPr>
        <w:t xml:space="preserve"> </w:t>
      </w:r>
      <w:r w:rsidRPr="00DB3AC5">
        <w:rPr>
          <w:sz w:val="18"/>
          <w:szCs w:val="18"/>
        </w:rPr>
        <w:t xml:space="preserve">tillsynsmyndigheter och andra organ ansvariga för arbete med finansiell stabilitet. </w:t>
      </w:r>
    </w:p>
    <w:p w:rsidR="001C487D" w:rsidRPr="00D306D0" w:rsidRDefault="001C487D" w:rsidP="001C487D">
      <w:pPr>
        <w:pStyle w:val="Rubrik5"/>
        <w:spacing w:before="120"/>
        <w:rPr>
          <w:b/>
        </w:rPr>
      </w:pPr>
      <w:r w:rsidRPr="00D306D0">
        <w:rPr>
          <w:b/>
        </w:rPr>
        <w:t>Betalningsbalans</w:t>
      </w:r>
    </w:p>
    <w:p w:rsidR="001C487D" w:rsidRPr="00DB3AC5" w:rsidRDefault="001C487D" w:rsidP="001C487D">
      <w:pPr>
        <w:spacing w:before="20"/>
        <w:rPr>
          <w:sz w:val="18"/>
          <w:szCs w:val="18"/>
        </w:rPr>
      </w:pPr>
      <w:r w:rsidRPr="00DB3AC5">
        <w:rPr>
          <w:sz w:val="18"/>
          <w:szCs w:val="18"/>
        </w:rPr>
        <w:t xml:space="preserve">Sammanställning av ett lands ekonomiska transaktioner med utlandet. Består av bytesbalans, kapitalbalans och finansiell balans. Summan av transaktionerna med utlandet är alltid noll, det vill säga transaktionerna är i balans. </w:t>
      </w:r>
    </w:p>
    <w:p w:rsidR="001C487D" w:rsidRPr="00140267" w:rsidRDefault="001C487D" w:rsidP="001C487D">
      <w:pPr>
        <w:pStyle w:val="Rubrik5"/>
        <w:spacing w:before="120"/>
        <w:rPr>
          <w:b/>
        </w:rPr>
      </w:pPr>
      <w:r w:rsidRPr="00625F44">
        <w:rPr>
          <w:b/>
        </w:rPr>
        <w:t xml:space="preserve">BIS, </w:t>
      </w:r>
      <w:r w:rsidRPr="005B2D08">
        <w:rPr>
          <w:b/>
        </w:rPr>
        <w:t>Bank</w:t>
      </w:r>
      <w:r w:rsidRPr="00625F44">
        <w:rPr>
          <w:b/>
        </w:rPr>
        <w:t xml:space="preserve"> for International Settlements</w:t>
      </w:r>
    </w:p>
    <w:p w:rsidR="001C487D" w:rsidRPr="00DB3AC5" w:rsidRDefault="001C487D" w:rsidP="001C487D">
      <w:pPr>
        <w:spacing w:before="20"/>
        <w:rPr>
          <w:sz w:val="18"/>
          <w:szCs w:val="18"/>
        </w:rPr>
      </w:pPr>
      <w:r w:rsidRPr="00DB3AC5">
        <w:rPr>
          <w:sz w:val="18"/>
          <w:szCs w:val="18"/>
        </w:rPr>
        <w:t xml:space="preserve">Samarbetsorgan för centralbanker med säte i Basel. </w:t>
      </w:r>
    </w:p>
    <w:p w:rsidR="001C487D" w:rsidRPr="00D306D0" w:rsidRDefault="001C487D" w:rsidP="001C487D">
      <w:pPr>
        <w:pStyle w:val="Rubrik5"/>
        <w:spacing w:before="120"/>
        <w:rPr>
          <w:b/>
        </w:rPr>
      </w:pPr>
      <w:r w:rsidRPr="00D306D0">
        <w:rPr>
          <w:b/>
        </w:rPr>
        <w:t>BNP, bruttonationalprodukt</w:t>
      </w:r>
    </w:p>
    <w:p w:rsidR="001C487D" w:rsidRPr="00DB3AC5" w:rsidRDefault="001C487D" w:rsidP="001C487D">
      <w:pPr>
        <w:spacing w:before="20"/>
        <w:rPr>
          <w:sz w:val="18"/>
          <w:szCs w:val="18"/>
        </w:rPr>
      </w:pPr>
      <w:r w:rsidRPr="00DB3AC5">
        <w:rPr>
          <w:sz w:val="18"/>
          <w:szCs w:val="18"/>
        </w:rPr>
        <w:t>Värde av alla de varor och tjänster som produceras i ett land för att användas till konsumtion, export och investeringar under en period, vanligtvis ett år eller ett kvartal.</w:t>
      </w:r>
    </w:p>
    <w:p w:rsidR="001C487D" w:rsidRPr="00452BF0" w:rsidRDefault="001C487D" w:rsidP="001C487D">
      <w:pPr>
        <w:pStyle w:val="Rubrik5"/>
        <w:spacing w:before="120"/>
        <w:rPr>
          <w:b/>
        </w:rPr>
      </w:pPr>
      <w:r w:rsidRPr="00452BF0">
        <w:rPr>
          <w:b/>
        </w:rPr>
        <w:t>CEBS, Europeiska banktillsynskommitté</w:t>
      </w:r>
      <w:r>
        <w:rPr>
          <w:b/>
        </w:rPr>
        <w:t>n</w:t>
      </w:r>
    </w:p>
    <w:p w:rsidR="001C487D" w:rsidRDefault="001C487D" w:rsidP="001C487D">
      <w:pPr>
        <w:spacing w:before="20"/>
        <w:rPr>
          <w:sz w:val="18"/>
          <w:szCs w:val="18"/>
        </w:rPr>
      </w:pPr>
      <w:r w:rsidRPr="00DB3AC5">
        <w:rPr>
          <w:sz w:val="18"/>
          <w:szCs w:val="18"/>
        </w:rPr>
        <w:t xml:space="preserve">Oberoende organisation </w:t>
      </w:r>
      <w:r w:rsidR="003109B8">
        <w:rPr>
          <w:sz w:val="18"/>
          <w:szCs w:val="18"/>
        </w:rPr>
        <w:t xml:space="preserve">som </w:t>
      </w:r>
      <w:r w:rsidR="003109B8" w:rsidRPr="00DB3AC5">
        <w:rPr>
          <w:sz w:val="18"/>
          <w:szCs w:val="18"/>
        </w:rPr>
        <w:t xml:space="preserve">grundades 2004 </w:t>
      </w:r>
      <w:r w:rsidR="00FE6DDB">
        <w:rPr>
          <w:sz w:val="18"/>
          <w:szCs w:val="18"/>
        </w:rPr>
        <w:t xml:space="preserve">med </w:t>
      </w:r>
      <w:r w:rsidR="00FE6DDB" w:rsidRPr="00DB3AC5">
        <w:rPr>
          <w:sz w:val="18"/>
          <w:szCs w:val="18"/>
        </w:rPr>
        <w:t>representanter för tillsyns</w:t>
      </w:r>
      <w:r w:rsidR="007E39E9">
        <w:rPr>
          <w:sz w:val="18"/>
          <w:szCs w:val="18"/>
        </w:rPr>
        <w:softHyphen/>
      </w:r>
      <w:r w:rsidR="00FE6DDB" w:rsidRPr="00DB3AC5">
        <w:rPr>
          <w:sz w:val="18"/>
          <w:szCs w:val="18"/>
        </w:rPr>
        <w:t>myndigheter och centralbanker i EU</w:t>
      </w:r>
      <w:r w:rsidR="00FE6DDB">
        <w:rPr>
          <w:sz w:val="18"/>
          <w:szCs w:val="18"/>
        </w:rPr>
        <w:t xml:space="preserve">. </w:t>
      </w:r>
      <w:r w:rsidR="009A29D2">
        <w:rPr>
          <w:sz w:val="18"/>
          <w:szCs w:val="18"/>
        </w:rPr>
        <w:t>Den</w:t>
      </w:r>
      <w:r w:rsidR="00FE6DDB">
        <w:rPr>
          <w:sz w:val="18"/>
          <w:szCs w:val="18"/>
        </w:rPr>
        <w:t xml:space="preserve"> </w:t>
      </w:r>
      <w:r w:rsidRPr="00DB3AC5">
        <w:rPr>
          <w:sz w:val="18"/>
          <w:szCs w:val="18"/>
        </w:rPr>
        <w:t>ersattes 2009 av Europeiska bankmy</w:t>
      </w:r>
      <w:r w:rsidRPr="00DB3AC5">
        <w:rPr>
          <w:sz w:val="18"/>
          <w:szCs w:val="18"/>
        </w:rPr>
        <w:t>n</w:t>
      </w:r>
      <w:r w:rsidRPr="00DB3AC5">
        <w:rPr>
          <w:sz w:val="18"/>
          <w:szCs w:val="18"/>
        </w:rPr>
        <w:t>digheten (EBA).</w:t>
      </w:r>
    </w:p>
    <w:p w:rsidR="009B7C02" w:rsidRPr="00452BF0" w:rsidRDefault="009B7C02" w:rsidP="009B7C02">
      <w:pPr>
        <w:pStyle w:val="Rubrik5"/>
        <w:spacing w:before="120"/>
        <w:rPr>
          <w:b/>
        </w:rPr>
      </w:pPr>
      <w:r>
        <w:rPr>
          <w:b/>
        </w:rPr>
        <w:t>Clearinghus</w:t>
      </w:r>
    </w:p>
    <w:p w:rsidR="009B7C02" w:rsidRPr="009B7C02" w:rsidRDefault="009B7C02" w:rsidP="009B7C02">
      <w:pPr>
        <w:spacing w:before="20"/>
        <w:rPr>
          <w:sz w:val="18"/>
          <w:szCs w:val="18"/>
        </w:rPr>
      </w:pPr>
      <w:r>
        <w:rPr>
          <w:sz w:val="18"/>
          <w:szCs w:val="18"/>
        </w:rPr>
        <w:t>T</w:t>
      </w:r>
      <w:r w:rsidRPr="009B7C02">
        <w:rPr>
          <w:sz w:val="18"/>
          <w:szCs w:val="18"/>
        </w:rPr>
        <w:t>yp av bolag inom finanssektorn</w:t>
      </w:r>
      <w:r>
        <w:rPr>
          <w:sz w:val="18"/>
          <w:szCs w:val="18"/>
        </w:rPr>
        <w:t xml:space="preserve"> </w:t>
      </w:r>
      <w:r w:rsidRPr="009B7C02">
        <w:rPr>
          <w:sz w:val="18"/>
          <w:szCs w:val="18"/>
        </w:rPr>
        <w:t>som agerar neutral mellanhand vid finansiella överföringar</w:t>
      </w:r>
      <w:r>
        <w:rPr>
          <w:sz w:val="18"/>
          <w:szCs w:val="18"/>
        </w:rPr>
        <w:t xml:space="preserve"> och som</w:t>
      </w:r>
      <w:r w:rsidRPr="009B7C02">
        <w:rPr>
          <w:sz w:val="18"/>
          <w:szCs w:val="18"/>
        </w:rPr>
        <w:t xml:space="preserve"> registrerar transaktione</w:t>
      </w:r>
      <w:r>
        <w:rPr>
          <w:sz w:val="18"/>
          <w:szCs w:val="18"/>
        </w:rPr>
        <w:t>r</w:t>
      </w:r>
      <w:r w:rsidRPr="009B7C02">
        <w:rPr>
          <w:sz w:val="18"/>
          <w:szCs w:val="18"/>
        </w:rPr>
        <w:t xml:space="preserve"> i administrativ och juridisk mening </w:t>
      </w:r>
      <w:r>
        <w:rPr>
          <w:sz w:val="18"/>
          <w:szCs w:val="18"/>
        </w:rPr>
        <w:t>mot</w:t>
      </w:r>
      <w:r w:rsidRPr="009B7C02">
        <w:rPr>
          <w:sz w:val="18"/>
          <w:szCs w:val="18"/>
        </w:rPr>
        <w:t xml:space="preserve"> </w:t>
      </w:r>
      <w:r>
        <w:rPr>
          <w:sz w:val="18"/>
          <w:szCs w:val="18"/>
        </w:rPr>
        <w:t>betalning</w:t>
      </w:r>
      <w:r w:rsidRPr="009B7C02">
        <w:rPr>
          <w:sz w:val="18"/>
          <w:szCs w:val="18"/>
        </w:rPr>
        <w:t xml:space="preserve">. </w:t>
      </w:r>
    </w:p>
    <w:p w:rsidR="001C487D" w:rsidRPr="00D306D0" w:rsidRDefault="001C487D" w:rsidP="001C487D">
      <w:pPr>
        <w:pStyle w:val="Rubrik5"/>
        <w:spacing w:before="120"/>
        <w:rPr>
          <w:b/>
        </w:rPr>
      </w:pPr>
      <w:r w:rsidRPr="00D306D0">
        <w:rPr>
          <w:b/>
        </w:rPr>
        <w:t>Derivatinstrument</w:t>
      </w:r>
    </w:p>
    <w:p w:rsidR="001C487D" w:rsidRPr="00DB3AC5" w:rsidRDefault="001C487D" w:rsidP="001C487D">
      <w:pPr>
        <w:spacing w:before="20"/>
        <w:rPr>
          <w:sz w:val="18"/>
          <w:szCs w:val="18"/>
        </w:rPr>
      </w:pPr>
      <w:r w:rsidRPr="00DB3AC5">
        <w:rPr>
          <w:sz w:val="18"/>
          <w:szCs w:val="18"/>
        </w:rPr>
        <w:t>Finansiellt instrument som innebär överenskommelser om förpliktelser, rättigheter eller andra förutsättningar vid en given framtida tidpunkt. Värdet på ett derivat</w:t>
      </w:r>
      <w:r>
        <w:rPr>
          <w:sz w:val="18"/>
          <w:szCs w:val="18"/>
        </w:rPr>
        <w:softHyphen/>
      </w:r>
      <w:r w:rsidRPr="00DB3AC5">
        <w:rPr>
          <w:sz w:val="18"/>
          <w:szCs w:val="18"/>
        </w:rPr>
        <w:t>instrument är kopplat till en underliggande tillgång. De vanligaste derivatinstr</w:t>
      </w:r>
      <w:r w:rsidRPr="00DB3AC5">
        <w:rPr>
          <w:sz w:val="18"/>
          <w:szCs w:val="18"/>
        </w:rPr>
        <w:t>u</w:t>
      </w:r>
      <w:r w:rsidRPr="00DB3AC5">
        <w:rPr>
          <w:sz w:val="18"/>
          <w:szCs w:val="18"/>
        </w:rPr>
        <w:t>menten är optioner, terminer och swappar.</w:t>
      </w:r>
    </w:p>
    <w:p w:rsidR="001C487D" w:rsidRPr="00F47C80" w:rsidRDefault="001C487D" w:rsidP="001C487D">
      <w:pPr>
        <w:pStyle w:val="Rubrik5"/>
        <w:spacing w:before="120"/>
        <w:rPr>
          <w:b/>
        </w:rPr>
      </w:pPr>
      <w:r w:rsidRPr="00F47C80">
        <w:rPr>
          <w:b/>
        </w:rPr>
        <w:t xml:space="preserve">EBA, Europeiska bankmyndigheten </w:t>
      </w:r>
    </w:p>
    <w:p w:rsidR="001C487D" w:rsidRPr="001C651B" w:rsidRDefault="001C487D" w:rsidP="001C487D">
      <w:pPr>
        <w:spacing w:before="20"/>
        <w:rPr>
          <w:sz w:val="18"/>
          <w:szCs w:val="18"/>
        </w:rPr>
      </w:pPr>
      <w:r w:rsidRPr="001C651B">
        <w:rPr>
          <w:sz w:val="18"/>
          <w:szCs w:val="18"/>
        </w:rPr>
        <w:t>Myndighet som upprättar gemensamma reglerings- och tillsynsstandarder inom EU samt utför stresstester på europeiska banker.</w:t>
      </w:r>
    </w:p>
    <w:p w:rsidR="001C487D" w:rsidRPr="00D306D0" w:rsidRDefault="001C487D" w:rsidP="001C487D">
      <w:pPr>
        <w:pStyle w:val="Rubrik5"/>
        <w:spacing w:before="120"/>
        <w:rPr>
          <w:b/>
        </w:rPr>
      </w:pPr>
      <w:r w:rsidRPr="00D306D0">
        <w:rPr>
          <w:b/>
        </w:rPr>
        <w:t>ECB, Europeiska centralbanken</w:t>
      </w:r>
    </w:p>
    <w:p w:rsidR="001C487D" w:rsidRPr="00DB3AC5" w:rsidRDefault="001C487D" w:rsidP="001C487D">
      <w:pPr>
        <w:spacing w:before="20"/>
        <w:rPr>
          <w:sz w:val="18"/>
          <w:szCs w:val="18"/>
        </w:rPr>
      </w:pPr>
      <w:r w:rsidRPr="00DB3AC5">
        <w:rPr>
          <w:sz w:val="18"/>
          <w:szCs w:val="18"/>
        </w:rPr>
        <w:t xml:space="preserve">Gemensam centralbank för de medlemsländer i EU som har infört euron som valuta. Säte i Frankfurt. Bankens uppgifter anges </w:t>
      </w:r>
      <w:r w:rsidR="007D4C11">
        <w:rPr>
          <w:sz w:val="18"/>
          <w:szCs w:val="18"/>
        </w:rPr>
        <w:t>i en stadga som är en del av EU</w:t>
      </w:r>
      <w:r w:rsidR="007D4C11">
        <w:rPr>
          <w:sz w:val="18"/>
          <w:szCs w:val="18"/>
        </w:rPr>
        <w:noBreakHyphen/>
      </w:r>
      <w:r w:rsidRPr="00DB3AC5">
        <w:rPr>
          <w:sz w:val="18"/>
          <w:szCs w:val="18"/>
        </w:rPr>
        <w:t xml:space="preserve">fördraget. </w:t>
      </w:r>
    </w:p>
    <w:p w:rsidR="001C487D" w:rsidRPr="00D306D0" w:rsidRDefault="001C487D" w:rsidP="001C487D">
      <w:pPr>
        <w:pStyle w:val="Rubrik5"/>
        <w:spacing w:before="120"/>
        <w:rPr>
          <w:b/>
        </w:rPr>
      </w:pPr>
      <w:r w:rsidRPr="00D306D0">
        <w:rPr>
          <w:b/>
        </w:rPr>
        <w:t>ECB:s allmänna råd</w:t>
      </w:r>
    </w:p>
    <w:p w:rsidR="001C487D" w:rsidRPr="00DB3AC5" w:rsidRDefault="001C487D" w:rsidP="001C487D">
      <w:pPr>
        <w:spacing w:before="20"/>
        <w:rPr>
          <w:sz w:val="18"/>
          <w:szCs w:val="18"/>
        </w:rPr>
      </w:pPr>
      <w:r w:rsidRPr="00DB3AC5">
        <w:rPr>
          <w:sz w:val="18"/>
          <w:szCs w:val="18"/>
        </w:rPr>
        <w:t>Samrådsorgan inom ECBS där centralbankschefer i alla EU-länder samt ECB:s ordförande och vice ordförande ingår.</w:t>
      </w:r>
    </w:p>
    <w:p w:rsidR="001C487D" w:rsidRDefault="001C487D" w:rsidP="001C487D">
      <w:pPr>
        <w:pStyle w:val="Rubrik5"/>
        <w:spacing w:before="120"/>
        <w:rPr>
          <w:b/>
        </w:rPr>
      </w:pPr>
      <w:r>
        <w:rPr>
          <w:b/>
        </w:rPr>
        <w:t>ECBS, Europeiska centralbankssystemet</w:t>
      </w:r>
    </w:p>
    <w:p w:rsidR="001C487D" w:rsidRPr="00DB3AC5" w:rsidRDefault="001C487D" w:rsidP="001C487D">
      <w:pPr>
        <w:spacing w:before="20"/>
        <w:rPr>
          <w:sz w:val="18"/>
          <w:szCs w:val="18"/>
        </w:rPr>
      </w:pPr>
      <w:r w:rsidRPr="00DB3AC5">
        <w:rPr>
          <w:sz w:val="18"/>
          <w:szCs w:val="18"/>
        </w:rPr>
        <w:t>Forum för samarbete mellan ECB och de nationella centralbankerna i alla EU:s medlemsstater.</w:t>
      </w:r>
    </w:p>
    <w:p w:rsidR="001C487D" w:rsidRPr="00D306D0" w:rsidRDefault="001C487D" w:rsidP="001C487D">
      <w:pPr>
        <w:pStyle w:val="Rubrik5"/>
        <w:spacing w:before="120"/>
        <w:rPr>
          <w:b/>
        </w:rPr>
      </w:pPr>
      <w:r w:rsidRPr="00D306D0">
        <w:rPr>
          <w:b/>
        </w:rPr>
        <w:t>EFK, EU:s ekonomiska och finansiella kommitté</w:t>
      </w:r>
    </w:p>
    <w:p w:rsidR="001C487D" w:rsidRDefault="001C487D" w:rsidP="001C487D">
      <w:pPr>
        <w:spacing w:before="20"/>
        <w:rPr>
          <w:sz w:val="18"/>
          <w:szCs w:val="18"/>
        </w:rPr>
      </w:pPr>
      <w:r w:rsidRPr="00DB3AC5">
        <w:rPr>
          <w:sz w:val="18"/>
          <w:szCs w:val="18"/>
        </w:rPr>
        <w:t xml:space="preserve">Rådgivande organ till Ekofinrådet och Europeiska kommissionen. Följer bland annat den ekonomiska och finansiella utvecklingen i EU och euroområdet. </w:t>
      </w:r>
    </w:p>
    <w:p w:rsidR="001C487D" w:rsidRDefault="001C487D" w:rsidP="001C487D">
      <w:pPr>
        <w:pStyle w:val="Rubrik5"/>
        <w:spacing w:before="120"/>
        <w:rPr>
          <w:b/>
        </w:rPr>
      </w:pPr>
      <w:r w:rsidRPr="008A3B28">
        <w:rPr>
          <w:b/>
        </w:rPr>
        <w:t>ESRB, Europeiska systemrisknämnden</w:t>
      </w:r>
    </w:p>
    <w:p w:rsidR="001C487D" w:rsidRPr="00DB3AC5" w:rsidRDefault="001C487D" w:rsidP="001C487D">
      <w:pPr>
        <w:spacing w:before="20"/>
        <w:rPr>
          <w:sz w:val="18"/>
          <w:szCs w:val="18"/>
        </w:rPr>
      </w:pPr>
      <w:r w:rsidRPr="00DB3AC5">
        <w:rPr>
          <w:sz w:val="18"/>
          <w:szCs w:val="18"/>
        </w:rPr>
        <w:t xml:space="preserve">Oberoende EU-organ som ansvarar för makrotillsyn av det finansiella systemet inom unionen. </w:t>
      </w:r>
    </w:p>
    <w:p w:rsidR="001C487D" w:rsidRDefault="001C487D" w:rsidP="001C487D">
      <w:pPr>
        <w:pStyle w:val="Rubrik5"/>
        <w:spacing w:before="120"/>
        <w:rPr>
          <w:b/>
        </w:rPr>
      </w:pPr>
      <w:r>
        <w:rPr>
          <w:b/>
        </w:rPr>
        <w:t>Euroclear Sweden</w:t>
      </w:r>
    </w:p>
    <w:p w:rsidR="001C487D" w:rsidRDefault="001C487D" w:rsidP="001C487D">
      <w:pPr>
        <w:spacing w:before="20"/>
        <w:rPr>
          <w:sz w:val="18"/>
          <w:szCs w:val="18"/>
        </w:rPr>
      </w:pPr>
      <w:r>
        <w:rPr>
          <w:sz w:val="18"/>
          <w:szCs w:val="18"/>
        </w:rPr>
        <w:t>Dotterbolag till Euroclear</w:t>
      </w:r>
      <w:r w:rsidRPr="00DB3AC5">
        <w:rPr>
          <w:sz w:val="18"/>
          <w:szCs w:val="18"/>
        </w:rPr>
        <w:t xml:space="preserve"> som för register över de allra flesta aktier och ränte</w:t>
      </w:r>
      <w:r>
        <w:rPr>
          <w:sz w:val="18"/>
          <w:szCs w:val="18"/>
        </w:rPr>
        <w:t>-</w:t>
      </w:r>
      <w:r w:rsidRPr="00DB3AC5">
        <w:rPr>
          <w:sz w:val="18"/>
          <w:szCs w:val="18"/>
        </w:rPr>
        <w:t>bärande värdepapper som handlas på de svenska finansiella marknaderna. Utför också clearing och avveckling av transaktioner med svenska aktier och ränte</w:t>
      </w:r>
      <w:r>
        <w:rPr>
          <w:sz w:val="18"/>
          <w:szCs w:val="18"/>
        </w:rPr>
        <w:t>-</w:t>
      </w:r>
      <w:r w:rsidRPr="00DB3AC5">
        <w:rPr>
          <w:sz w:val="18"/>
          <w:szCs w:val="18"/>
        </w:rPr>
        <w:t>bärande papper.</w:t>
      </w:r>
    </w:p>
    <w:p w:rsidR="001C487D" w:rsidRDefault="001C487D" w:rsidP="00C43BCE">
      <w:pPr>
        <w:pStyle w:val="Rubrik5"/>
        <w:spacing w:before="120"/>
        <w:rPr>
          <w:b/>
        </w:rPr>
      </w:pPr>
      <w:r>
        <w:rPr>
          <w:b/>
        </w:rPr>
        <w:t>Extraordinära åtgärder</w:t>
      </w:r>
    </w:p>
    <w:p w:rsidR="001C487D" w:rsidRPr="00DE4A24" w:rsidRDefault="001C487D" w:rsidP="00DE4A24">
      <w:pPr>
        <w:spacing w:before="20"/>
        <w:rPr>
          <w:sz w:val="18"/>
          <w:szCs w:val="18"/>
        </w:rPr>
      </w:pPr>
      <w:r w:rsidRPr="00DE4A24">
        <w:rPr>
          <w:sz w:val="18"/>
          <w:szCs w:val="18"/>
        </w:rPr>
        <w:t>Åtgärder som Riksbanken vidtog under den finansiella krisen, exempelvis struk</w:t>
      </w:r>
      <w:r w:rsidR="00CA2630" w:rsidRPr="00DE4A24">
        <w:rPr>
          <w:sz w:val="18"/>
          <w:szCs w:val="18"/>
        </w:rPr>
        <w:softHyphen/>
      </w:r>
      <w:r w:rsidRPr="00DE4A24">
        <w:rPr>
          <w:sz w:val="18"/>
          <w:szCs w:val="18"/>
        </w:rPr>
        <w:t>turella transaktioner i svenska kronor, för att hjälpa bankerna att få til</w:t>
      </w:r>
      <w:r w:rsidRPr="00DE4A24">
        <w:rPr>
          <w:sz w:val="18"/>
          <w:szCs w:val="18"/>
        </w:rPr>
        <w:t>l</w:t>
      </w:r>
      <w:r w:rsidRPr="00DE4A24">
        <w:rPr>
          <w:sz w:val="18"/>
          <w:szCs w:val="18"/>
        </w:rPr>
        <w:t>gång till likviditet, underlätta penningmarknadens funk</w:t>
      </w:r>
      <w:r w:rsidR="007E39E9">
        <w:rPr>
          <w:sz w:val="18"/>
          <w:szCs w:val="18"/>
        </w:rPr>
        <w:t>tionssätt och förstärka penning</w:t>
      </w:r>
      <w:r w:rsidR="007E39E9">
        <w:rPr>
          <w:sz w:val="18"/>
          <w:szCs w:val="18"/>
        </w:rPr>
        <w:softHyphen/>
      </w:r>
      <w:r w:rsidRPr="00DE4A24">
        <w:rPr>
          <w:sz w:val="18"/>
          <w:szCs w:val="18"/>
        </w:rPr>
        <w:t>pol</w:t>
      </w:r>
      <w:r w:rsidRPr="00DE4A24">
        <w:rPr>
          <w:sz w:val="18"/>
          <w:szCs w:val="18"/>
        </w:rPr>
        <w:t>i</w:t>
      </w:r>
      <w:r w:rsidRPr="00DE4A24">
        <w:rPr>
          <w:sz w:val="18"/>
          <w:szCs w:val="18"/>
        </w:rPr>
        <w:t xml:space="preserve">tikens genomslag i ekonomin. </w:t>
      </w:r>
    </w:p>
    <w:p w:rsidR="001C487D" w:rsidRPr="00D306D0" w:rsidRDefault="001C487D" w:rsidP="00C43BCE">
      <w:pPr>
        <w:pStyle w:val="Rubrik5"/>
        <w:spacing w:before="120"/>
        <w:rPr>
          <w:b/>
        </w:rPr>
      </w:pPr>
      <w:r w:rsidRPr="00D306D0">
        <w:rPr>
          <w:b/>
        </w:rPr>
        <w:t>Finansiella marknader</w:t>
      </w:r>
    </w:p>
    <w:p w:rsidR="00C43BCE" w:rsidRDefault="001C487D" w:rsidP="00247EF2">
      <w:r w:rsidRPr="00CF7EA4">
        <w:rPr>
          <w:sz w:val="18"/>
          <w:szCs w:val="18"/>
        </w:rPr>
        <w:t>Samlingsnamn för de marknader där finansiella tillgångar köps och säljs. De fyra viktigaste marknaderna är valutamarknaden, räntemarknaden, aktiemar</w:t>
      </w:r>
      <w:r w:rsidRPr="00CF7EA4">
        <w:rPr>
          <w:sz w:val="18"/>
          <w:szCs w:val="18"/>
        </w:rPr>
        <w:t>k</w:t>
      </w:r>
      <w:r w:rsidRPr="00CF7EA4">
        <w:rPr>
          <w:sz w:val="18"/>
          <w:szCs w:val="18"/>
        </w:rPr>
        <w:t>naden och derivatmarknaden</w:t>
      </w:r>
      <w:r w:rsidRPr="00DB3AC5">
        <w:t>.</w:t>
      </w:r>
    </w:p>
    <w:p w:rsidR="001C487D" w:rsidRPr="00D306D0" w:rsidRDefault="001C487D" w:rsidP="001C487D">
      <w:pPr>
        <w:pStyle w:val="Rubrik5"/>
        <w:spacing w:before="120"/>
        <w:rPr>
          <w:b/>
        </w:rPr>
      </w:pPr>
      <w:r w:rsidRPr="00D306D0">
        <w:rPr>
          <w:b/>
        </w:rPr>
        <w:t>Finansinspektionen</w:t>
      </w:r>
    </w:p>
    <w:p w:rsidR="001C487D" w:rsidRPr="00DB3AC5" w:rsidRDefault="001C487D" w:rsidP="001C487D">
      <w:pPr>
        <w:spacing w:before="20"/>
        <w:rPr>
          <w:sz w:val="18"/>
          <w:szCs w:val="18"/>
        </w:rPr>
      </w:pPr>
      <w:r w:rsidRPr="00DB3AC5">
        <w:rPr>
          <w:sz w:val="18"/>
          <w:szCs w:val="18"/>
        </w:rPr>
        <w:t>Statlig myndighet med uppgift att övervaka verksamheten för banker, kreditmar</w:t>
      </w:r>
      <w:r w:rsidRPr="00DB3AC5">
        <w:rPr>
          <w:sz w:val="18"/>
          <w:szCs w:val="18"/>
        </w:rPr>
        <w:t>k</w:t>
      </w:r>
      <w:r w:rsidRPr="00DB3AC5">
        <w:rPr>
          <w:sz w:val="18"/>
          <w:szCs w:val="18"/>
        </w:rPr>
        <w:t>nadsbolag, värdepappersbolag, fondkommissionärer, fondbolag, börser, auktoris</w:t>
      </w:r>
      <w:r w:rsidRPr="00DB3AC5">
        <w:rPr>
          <w:sz w:val="18"/>
          <w:szCs w:val="18"/>
        </w:rPr>
        <w:t>e</w:t>
      </w:r>
      <w:r w:rsidRPr="00DB3AC5">
        <w:rPr>
          <w:sz w:val="18"/>
          <w:szCs w:val="18"/>
        </w:rPr>
        <w:t>rade marknadsplatser, clearingorganisationer</w:t>
      </w:r>
      <w:r>
        <w:rPr>
          <w:sz w:val="18"/>
          <w:szCs w:val="18"/>
        </w:rPr>
        <w:t>, försäkringsbolag</w:t>
      </w:r>
      <w:r w:rsidRPr="00DB3AC5">
        <w:rPr>
          <w:sz w:val="18"/>
          <w:szCs w:val="18"/>
        </w:rPr>
        <w:t xml:space="preserve"> och försäkring</w:t>
      </w:r>
      <w:r w:rsidRPr="00DB3AC5">
        <w:rPr>
          <w:sz w:val="18"/>
          <w:szCs w:val="18"/>
        </w:rPr>
        <w:t>s</w:t>
      </w:r>
      <w:r w:rsidRPr="00DB3AC5">
        <w:rPr>
          <w:sz w:val="18"/>
          <w:szCs w:val="18"/>
        </w:rPr>
        <w:t xml:space="preserve">förmedlare. </w:t>
      </w:r>
    </w:p>
    <w:p w:rsidR="001C487D" w:rsidRPr="00D306D0" w:rsidRDefault="001C487D" w:rsidP="001C487D">
      <w:pPr>
        <w:pStyle w:val="Rubrik5"/>
        <w:spacing w:before="120"/>
        <w:rPr>
          <w:b/>
        </w:rPr>
      </w:pPr>
      <w:r w:rsidRPr="00D306D0">
        <w:rPr>
          <w:b/>
        </w:rPr>
        <w:t>Finansutskottet</w:t>
      </w:r>
    </w:p>
    <w:p w:rsidR="001C487D" w:rsidRPr="00DB3AC5" w:rsidRDefault="001C487D" w:rsidP="007E39E9">
      <w:pPr>
        <w:suppressAutoHyphens/>
        <w:spacing w:before="20"/>
        <w:rPr>
          <w:sz w:val="18"/>
          <w:szCs w:val="18"/>
        </w:rPr>
      </w:pPr>
      <w:r w:rsidRPr="00DB3AC5">
        <w:rPr>
          <w:sz w:val="18"/>
          <w:szCs w:val="18"/>
        </w:rPr>
        <w:t>Riksdagsutskott som bereder ärenden i ekonomiska frågor, bland annat om Riksbankens verksamhet och om statsbudgeten.</w:t>
      </w:r>
    </w:p>
    <w:p w:rsidR="001C487D" w:rsidRDefault="001C487D" w:rsidP="001C487D">
      <w:pPr>
        <w:pStyle w:val="Rubrik5"/>
        <w:spacing w:before="120"/>
        <w:rPr>
          <w:b/>
        </w:rPr>
      </w:pPr>
      <w:r w:rsidRPr="00003342">
        <w:rPr>
          <w:b/>
        </w:rPr>
        <w:t>Finjuster</w:t>
      </w:r>
      <w:r>
        <w:rPr>
          <w:b/>
        </w:rPr>
        <w:t xml:space="preserve">ande transaktioner </w:t>
      </w:r>
    </w:p>
    <w:p w:rsidR="001C487D" w:rsidRPr="00DB3AC5" w:rsidRDefault="001C487D" w:rsidP="001C487D">
      <w:pPr>
        <w:spacing w:before="20"/>
        <w:rPr>
          <w:sz w:val="18"/>
          <w:szCs w:val="18"/>
        </w:rPr>
      </w:pPr>
      <w:r w:rsidRPr="00DB3AC5">
        <w:rPr>
          <w:sz w:val="18"/>
          <w:szCs w:val="18"/>
        </w:rPr>
        <w:t xml:space="preserve">Transaktioner som Riksbanken använder för att </w:t>
      </w:r>
      <w:r>
        <w:rPr>
          <w:sz w:val="18"/>
          <w:szCs w:val="18"/>
        </w:rPr>
        <w:t>utjämna svängningar i bank-systemets låne- eller placeringsbehov i Riksbanken</w:t>
      </w:r>
      <w:r w:rsidRPr="00DB3AC5">
        <w:rPr>
          <w:sz w:val="18"/>
          <w:szCs w:val="18"/>
        </w:rPr>
        <w:t>.</w:t>
      </w:r>
      <w:r>
        <w:rPr>
          <w:sz w:val="18"/>
          <w:szCs w:val="18"/>
        </w:rPr>
        <w:t xml:space="preserve"> </w:t>
      </w:r>
      <w:r w:rsidR="00696E74" w:rsidRPr="00CF7EA4">
        <w:rPr>
          <w:sz w:val="18"/>
          <w:szCs w:val="18"/>
        </w:rPr>
        <w:t xml:space="preserve">Denna inlåning sker i regel över natten. </w:t>
      </w:r>
      <w:r w:rsidR="00001E81">
        <w:rPr>
          <w:sz w:val="18"/>
          <w:szCs w:val="18"/>
        </w:rPr>
        <w:t>Sedan den</w:t>
      </w:r>
      <w:r w:rsidR="00442C12">
        <w:rPr>
          <w:sz w:val="18"/>
          <w:szCs w:val="18"/>
        </w:rPr>
        <w:t xml:space="preserve"> 27 oktober 2014 </w:t>
      </w:r>
      <w:r w:rsidR="00001E81">
        <w:rPr>
          <w:sz w:val="18"/>
          <w:szCs w:val="18"/>
        </w:rPr>
        <w:t>är</w:t>
      </w:r>
      <w:r w:rsidR="00442C12">
        <w:rPr>
          <w:sz w:val="18"/>
          <w:szCs w:val="18"/>
        </w:rPr>
        <w:t xml:space="preserve"> </w:t>
      </w:r>
      <w:r w:rsidR="00442C12" w:rsidRPr="00442C12">
        <w:rPr>
          <w:sz w:val="18"/>
          <w:szCs w:val="18"/>
        </w:rPr>
        <w:t>räntan noll</w:t>
      </w:r>
      <w:r w:rsidR="00442C12">
        <w:rPr>
          <w:sz w:val="18"/>
          <w:szCs w:val="18"/>
        </w:rPr>
        <w:t xml:space="preserve"> procent</w:t>
      </w:r>
      <w:r w:rsidR="00001E81">
        <w:rPr>
          <w:sz w:val="18"/>
          <w:szCs w:val="18"/>
        </w:rPr>
        <w:t xml:space="preserve"> vid finjusterande transaktioner</w:t>
      </w:r>
      <w:r w:rsidR="00442C12" w:rsidRPr="00442C12">
        <w:rPr>
          <w:sz w:val="18"/>
          <w:szCs w:val="18"/>
        </w:rPr>
        <w:t>.</w:t>
      </w:r>
    </w:p>
    <w:p w:rsidR="001C487D" w:rsidRDefault="001C487D" w:rsidP="001C487D">
      <w:pPr>
        <w:pStyle w:val="Rubrik5"/>
        <w:spacing w:before="120"/>
        <w:rPr>
          <w:b/>
        </w:rPr>
      </w:pPr>
      <w:r>
        <w:rPr>
          <w:b/>
        </w:rPr>
        <w:t>FSB, Rådet för finansiell stabilitet</w:t>
      </w:r>
    </w:p>
    <w:p w:rsidR="001C487D" w:rsidRPr="00DB3AC5" w:rsidRDefault="001C487D" w:rsidP="001C487D">
      <w:pPr>
        <w:spacing w:before="20"/>
        <w:rPr>
          <w:sz w:val="18"/>
          <w:szCs w:val="18"/>
        </w:rPr>
      </w:pPr>
      <w:r w:rsidRPr="00DB3AC5">
        <w:rPr>
          <w:sz w:val="18"/>
          <w:szCs w:val="18"/>
        </w:rPr>
        <w:t xml:space="preserve">Internationell </w:t>
      </w:r>
      <w:r>
        <w:rPr>
          <w:sz w:val="18"/>
          <w:szCs w:val="18"/>
        </w:rPr>
        <w:t>nämnd</w:t>
      </w:r>
      <w:r w:rsidRPr="00DB3AC5">
        <w:rPr>
          <w:sz w:val="18"/>
          <w:szCs w:val="18"/>
        </w:rPr>
        <w:t xml:space="preserve"> som samordnar arbete mellan nationella myndigheter och internationella regleringsorgan inom området finansiell stabilitet.</w:t>
      </w:r>
    </w:p>
    <w:p w:rsidR="001C487D" w:rsidRPr="00D306D0" w:rsidRDefault="001C487D" w:rsidP="00D61F8B">
      <w:pPr>
        <w:pStyle w:val="Rubrik5"/>
        <w:spacing w:before="120"/>
        <w:rPr>
          <w:b/>
        </w:rPr>
      </w:pPr>
      <w:r>
        <w:rPr>
          <w:b/>
        </w:rPr>
        <w:t>Guldpris</w:t>
      </w:r>
      <w:r w:rsidRPr="00D306D0">
        <w:rPr>
          <w:b/>
        </w:rPr>
        <w:t>risk</w:t>
      </w:r>
    </w:p>
    <w:p w:rsidR="001C487D" w:rsidRPr="00CF7EA4" w:rsidRDefault="001C487D" w:rsidP="00CF7EA4">
      <w:pPr>
        <w:spacing w:before="20"/>
        <w:rPr>
          <w:sz w:val="18"/>
          <w:szCs w:val="18"/>
        </w:rPr>
      </w:pPr>
      <w:r w:rsidRPr="00CF7EA4">
        <w:rPr>
          <w:sz w:val="18"/>
          <w:szCs w:val="18"/>
        </w:rPr>
        <w:t>Risken för att guldreservens marknadsvärde sjunker till följd av att priset på guld faller</w:t>
      </w:r>
      <w:r w:rsidR="00A43FA0">
        <w:rPr>
          <w:sz w:val="18"/>
          <w:szCs w:val="18"/>
        </w:rPr>
        <w:t>,</w:t>
      </w:r>
      <w:r w:rsidR="00A0111C" w:rsidRPr="00A0111C">
        <w:rPr>
          <w:sz w:val="18"/>
          <w:szCs w:val="18"/>
        </w:rPr>
        <w:t xml:space="preserve"> </w:t>
      </w:r>
      <w:r w:rsidR="00A0111C">
        <w:rPr>
          <w:sz w:val="18"/>
          <w:szCs w:val="18"/>
        </w:rPr>
        <w:t>se VaR</w:t>
      </w:r>
      <w:r w:rsidRPr="00CF7EA4">
        <w:rPr>
          <w:sz w:val="18"/>
          <w:szCs w:val="18"/>
        </w:rPr>
        <w:t>.</w:t>
      </w:r>
    </w:p>
    <w:p w:rsidR="001C487D" w:rsidRPr="00D306D0" w:rsidRDefault="001C487D" w:rsidP="001C487D">
      <w:pPr>
        <w:pStyle w:val="Rubrik5"/>
        <w:spacing w:before="120"/>
        <w:rPr>
          <w:b/>
        </w:rPr>
      </w:pPr>
      <w:r>
        <w:rPr>
          <w:b/>
        </w:rPr>
        <w:t>Huvudsakliga transaktioner</w:t>
      </w:r>
    </w:p>
    <w:p w:rsidR="001C487D" w:rsidRPr="00664A16" w:rsidRDefault="001C487D" w:rsidP="001C487D">
      <w:pPr>
        <w:spacing w:before="20"/>
        <w:rPr>
          <w:sz w:val="18"/>
          <w:szCs w:val="18"/>
        </w:rPr>
      </w:pPr>
      <w:r>
        <w:rPr>
          <w:sz w:val="18"/>
          <w:szCs w:val="18"/>
        </w:rPr>
        <w:t xml:space="preserve">Transaktioner </w:t>
      </w:r>
      <w:r w:rsidR="00C61D16">
        <w:rPr>
          <w:sz w:val="18"/>
          <w:szCs w:val="18"/>
        </w:rPr>
        <w:t xml:space="preserve">till reporäntan </w:t>
      </w:r>
      <w:r>
        <w:rPr>
          <w:sz w:val="18"/>
          <w:szCs w:val="18"/>
        </w:rPr>
        <w:t>som Riksbanken i normalfallet genomför varje vecka</w:t>
      </w:r>
      <w:r w:rsidRPr="00DB3AC5">
        <w:rPr>
          <w:sz w:val="18"/>
          <w:szCs w:val="18"/>
        </w:rPr>
        <w:t>.</w:t>
      </w:r>
      <w:r>
        <w:rPr>
          <w:sz w:val="18"/>
          <w:szCs w:val="18"/>
        </w:rPr>
        <w:t xml:space="preserve"> Om banksystemet har ett placeringsbehov </w:t>
      </w:r>
      <w:r w:rsidR="00942CF6">
        <w:rPr>
          <w:sz w:val="18"/>
          <w:szCs w:val="18"/>
        </w:rPr>
        <w:t xml:space="preserve">ger </w:t>
      </w:r>
      <w:r>
        <w:rPr>
          <w:sz w:val="18"/>
          <w:szCs w:val="18"/>
        </w:rPr>
        <w:t>Riksbanken</w:t>
      </w:r>
      <w:r w:rsidR="00942CF6">
        <w:rPr>
          <w:sz w:val="18"/>
          <w:szCs w:val="18"/>
        </w:rPr>
        <w:t xml:space="preserve"> ut</w:t>
      </w:r>
      <w:r>
        <w:rPr>
          <w:sz w:val="18"/>
          <w:szCs w:val="18"/>
        </w:rPr>
        <w:t xml:space="preserve"> riksbanks</w:t>
      </w:r>
      <w:r w:rsidR="007E39E9">
        <w:rPr>
          <w:sz w:val="18"/>
          <w:szCs w:val="18"/>
        </w:rPr>
        <w:softHyphen/>
      </w:r>
      <w:r>
        <w:rPr>
          <w:sz w:val="18"/>
          <w:szCs w:val="18"/>
        </w:rPr>
        <w:t xml:space="preserve">certifikat. Om banksystemet i stället har ett lånebehov </w:t>
      </w:r>
      <w:r w:rsidR="009C42B7">
        <w:rPr>
          <w:sz w:val="18"/>
          <w:szCs w:val="18"/>
        </w:rPr>
        <w:t>används</w:t>
      </w:r>
      <w:r>
        <w:rPr>
          <w:sz w:val="18"/>
          <w:szCs w:val="18"/>
        </w:rPr>
        <w:t xml:space="preserve"> pennin</w:t>
      </w:r>
      <w:r>
        <w:rPr>
          <w:sz w:val="18"/>
          <w:szCs w:val="18"/>
        </w:rPr>
        <w:t>g</w:t>
      </w:r>
      <w:r>
        <w:rPr>
          <w:sz w:val="18"/>
          <w:szCs w:val="18"/>
        </w:rPr>
        <w:t>politiska repor eller kredit (mot säkerhet).</w:t>
      </w:r>
    </w:p>
    <w:p w:rsidR="001C487D" w:rsidRPr="00D306D0" w:rsidRDefault="001C487D" w:rsidP="001C487D">
      <w:pPr>
        <w:pStyle w:val="Rubrik5"/>
        <w:spacing w:before="120"/>
        <w:rPr>
          <w:b/>
        </w:rPr>
      </w:pPr>
      <w:r w:rsidRPr="00D306D0">
        <w:rPr>
          <w:b/>
        </w:rPr>
        <w:t>IMF, Internationella valutafonden</w:t>
      </w:r>
    </w:p>
    <w:p w:rsidR="001C487D" w:rsidRPr="00DB3AC5" w:rsidRDefault="001C487D" w:rsidP="001C487D">
      <w:pPr>
        <w:spacing w:before="20"/>
        <w:rPr>
          <w:sz w:val="18"/>
          <w:szCs w:val="18"/>
        </w:rPr>
      </w:pPr>
      <w:r>
        <w:rPr>
          <w:sz w:val="18"/>
          <w:szCs w:val="18"/>
        </w:rPr>
        <w:t>Internationell organisation</w:t>
      </w:r>
      <w:r w:rsidRPr="00DB3AC5">
        <w:rPr>
          <w:sz w:val="18"/>
          <w:szCs w:val="18"/>
        </w:rPr>
        <w:t xml:space="preserve"> som verkar för att det globala finansiella systemet ska vara stabilt och att det inte ska uppstå internationella finansiella kriser. Övervakar och analyserar utvecklingen i de 18</w:t>
      </w:r>
      <w:r w:rsidR="005C2791">
        <w:rPr>
          <w:sz w:val="18"/>
          <w:szCs w:val="18"/>
        </w:rPr>
        <w:t>8</w:t>
      </w:r>
      <w:r w:rsidRPr="00DB3AC5">
        <w:rPr>
          <w:sz w:val="18"/>
          <w:szCs w:val="18"/>
        </w:rPr>
        <w:t xml:space="preserve"> medlemsländerna, ger teknisk assistans och lånar ut pengar till länder som genomför ekonomiska anpassningsprogram. </w:t>
      </w:r>
    </w:p>
    <w:p w:rsidR="001C487D" w:rsidRPr="00D306D0" w:rsidRDefault="001C487D" w:rsidP="001C487D">
      <w:pPr>
        <w:pStyle w:val="Rubrik5"/>
        <w:spacing w:before="120"/>
        <w:rPr>
          <w:b/>
        </w:rPr>
      </w:pPr>
      <w:r w:rsidRPr="00D306D0">
        <w:rPr>
          <w:b/>
        </w:rPr>
        <w:t>Inflation</w:t>
      </w:r>
    </w:p>
    <w:p w:rsidR="001C487D" w:rsidRPr="00DB3AC5" w:rsidRDefault="001C487D" w:rsidP="001C487D">
      <w:pPr>
        <w:spacing w:before="20"/>
        <w:rPr>
          <w:sz w:val="18"/>
          <w:szCs w:val="18"/>
        </w:rPr>
      </w:pPr>
      <w:r w:rsidRPr="00DB3AC5">
        <w:rPr>
          <w:sz w:val="18"/>
          <w:szCs w:val="18"/>
        </w:rPr>
        <w:t xml:space="preserve">Allmänna prisökningar som gör att pengarnas värde minskar, det vill säga att man kan köpa färre varor och tjänster för samma mängd pengar. </w:t>
      </w:r>
    </w:p>
    <w:p w:rsidR="001C487D" w:rsidRPr="00D306D0" w:rsidRDefault="001C487D" w:rsidP="001C487D">
      <w:pPr>
        <w:pStyle w:val="Rubrik5"/>
        <w:spacing w:before="120"/>
        <w:rPr>
          <w:b/>
        </w:rPr>
      </w:pPr>
      <w:r w:rsidRPr="00D306D0">
        <w:rPr>
          <w:b/>
        </w:rPr>
        <w:t>Inflationsmått</w:t>
      </w:r>
    </w:p>
    <w:p w:rsidR="001C487D" w:rsidRDefault="001C487D" w:rsidP="001C487D">
      <w:pPr>
        <w:rPr>
          <w:sz w:val="18"/>
          <w:szCs w:val="18"/>
        </w:rPr>
      </w:pPr>
      <w:r w:rsidRPr="00DB3AC5">
        <w:rPr>
          <w:sz w:val="18"/>
          <w:szCs w:val="18"/>
        </w:rPr>
        <w:t>Statistiskt mått på inflation</w:t>
      </w:r>
      <w:r w:rsidR="009C42B7">
        <w:rPr>
          <w:sz w:val="18"/>
          <w:szCs w:val="18"/>
        </w:rPr>
        <w:t xml:space="preserve"> såsom</w:t>
      </w:r>
      <w:r w:rsidRPr="00DB3AC5">
        <w:rPr>
          <w:sz w:val="18"/>
          <w:szCs w:val="18"/>
        </w:rPr>
        <w:t xml:space="preserve"> KPI eller KPIF.</w:t>
      </w:r>
    </w:p>
    <w:p w:rsidR="001C487D" w:rsidRPr="00D306D0" w:rsidRDefault="001C487D" w:rsidP="001C487D">
      <w:pPr>
        <w:pStyle w:val="Rubrik5"/>
        <w:spacing w:before="120"/>
        <w:rPr>
          <w:b/>
        </w:rPr>
      </w:pPr>
      <w:r>
        <w:rPr>
          <w:b/>
        </w:rPr>
        <w:t>Inlåningsfacilitet</w:t>
      </w:r>
    </w:p>
    <w:p w:rsidR="001C487D" w:rsidRPr="006846E9" w:rsidRDefault="001C487D" w:rsidP="001C487D">
      <w:pPr>
        <w:spacing w:before="20"/>
        <w:rPr>
          <w:sz w:val="18"/>
          <w:szCs w:val="18"/>
        </w:rPr>
      </w:pPr>
      <w:r w:rsidRPr="00DB3AC5">
        <w:rPr>
          <w:sz w:val="18"/>
          <w:szCs w:val="18"/>
        </w:rPr>
        <w:t xml:space="preserve">Se </w:t>
      </w:r>
      <w:r w:rsidR="00057A2D">
        <w:rPr>
          <w:sz w:val="18"/>
          <w:szCs w:val="18"/>
        </w:rPr>
        <w:t>S</w:t>
      </w:r>
      <w:r>
        <w:rPr>
          <w:sz w:val="18"/>
          <w:szCs w:val="18"/>
        </w:rPr>
        <w:t>tående faciliteter</w:t>
      </w:r>
      <w:r w:rsidRPr="00DB3AC5">
        <w:rPr>
          <w:sz w:val="18"/>
          <w:szCs w:val="18"/>
        </w:rPr>
        <w:t>.</w:t>
      </w:r>
    </w:p>
    <w:p w:rsidR="001C487D" w:rsidRPr="00D306D0" w:rsidRDefault="001C487D" w:rsidP="001C487D">
      <w:pPr>
        <w:pStyle w:val="Rubrik5"/>
        <w:spacing w:before="120"/>
        <w:rPr>
          <w:b/>
        </w:rPr>
      </w:pPr>
      <w:bookmarkStart w:id="75" w:name="Så_här_fungerar_Insättningsgarantin"/>
      <w:bookmarkEnd w:id="75"/>
      <w:r w:rsidRPr="00D306D0">
        <w:rPr>
          <w:b/>
        </w:rPr>
        <w:t xml:space="preserve">KPI, </w:t>
      </w:r>
      <w:r>
        <w:rPr>
          <w:b/>
        </w:rPr>
        <w:t>k</w:t>
      </w:r>
      <w:r w:rsidRPr="00D306D0">
        <w:rPr>
          <w:b/>
        </w:rPr>
        <w:t>onsumentprisindex</w:t>
      </w:r>
    </w:p>
    <w:p w:rsidR="001C487D" w:rsidRDefault="001C487D" w:rsidP="00A26C62">
      <w:pPr>
        <w:spacing w:before="20"/>
        <w:rPr>
          <w:sz w:val="18"/>
          <w:szCs w:val="18"/>
        </w:rPr>
      </w:pPr>
      <w:r w:rsidRPr="00DB3AC5">
        <w:rPr>
          <w:sz w:val="18"/>
          <w:szCs w:val="18"/>
        </w:rPr>
        <w:t xml:space="preserve">Statistiskt mått på prisnivån. Beräknas av Statistiska centralbyrån (SCB) varje månad. </w:t>
      </w:r>
    </w:p>
    <w:p w:rsidR="00F47EF7" w:rsidRDefault="00F47EF7" w:rsidP="00F47EF7">
      <w:pPr>
        <w:pStyle w:val="Rubrik5"/>
        <w:spacing w:before="120"/>
        <w:rPr>
          <w:b/>
        </w:rPr>
      </w:pPr>
      <w:r>
        <w:rPr>
          <w:b/>
        </w:rPr>
        <w:t>Kärnprimärkapital</w:t>
      </w:r>
    </w:p>
    <w:p w:rsidR="00F47EF7" w:rsidRPr="007E47B6" w:rsidRDefault="00AE2DD4" w:rsidP="007E47B6">
      <w:pPr>
        <w:spacing w:before="20"/>
        <w:rPr>
          <w:sz w:val="18"/>
          <w:szCs w:val="18"/>
        </w:rPr>
      </w:pPr>
      <w:r>
        <w:rPr>
          <w:sz w:val="18"/>
          <w:szCs w:val="18"/>
        </w:rPr>
        <w:t>Består av eget kapital, det vill säga</w:t>
      </w:r>
      <w:r w:rsidRPr="00AE2DD4">
        <w:rPr>
          <w:sz w:val="18"/>
          <w:szCs w:val="18"/>
        </w:rPr>
        <w:t xml:space="preserve"> aktiekapital och ackumulerade icke-utdelade vin</w:t>
      </w:r>
      <w:r w:rsidRPr="00AE2DD4">
        <w:rPr>
          <w:sz w:val="18"/>
          <w:szCs w:val="18"/>
        </w:rPr>
        <w:t>s</w:t>
      </w:r>
      <w:r w:rsidRPr="00AE2DD4">
        <w:rPr>
          <w:sz w:val="18"/>
          <w:szCs w:val="18"/>
        </w:rPr>
        <w:t>ter efter avdrag för vissa poster såsom goodwill och uppskjuten skattefordran. Det är det kapital som har högst kvalitet</w:t>
      </w:r>
      <w:r w:rsidR="00F47EF7" w:rsidRPr="007E47B6">
        <w:rPr>
          <w:sz w:val="18"/>
          <w:szCs w:val="18"/>
        </w:rPr>
        <w:t>.</w:t>
      </w:r>
      <w:r w:rsidR="001850FC">
        <w:rPr>
          <w:sz w:val="18"/>
          <w:szCs w:val="18"/>
        </w:rPr>
        <w:t xml:space="preserve"> </w:t>
      </w:r>
    </w:p>
    <w:p w:rsidR="001C487D" w:rsidRDefault="001C487D" w:rsidP="001C487D">
      <w:pPr>
        <w:pStyle w:val="Rubrik5"/>
        <w:spacing w:before="120"/>
        <w:rPr>
          <w:b/>
        </w:rPr>
      </w:pPr>
      <w:r>
        <w:rPr>
          <w:b/>
        </w:rPr>
        <w:t>LCR, Liquidity Coverage Ratio eller kortfristig likviditetskvot</w:t>
      </w:r>
    </w:p>
    <w:p w:rsidR="001C487D" w:rsidRPr="00DB3AC5" w:rsidRDefault="001C487D" w:rsidP="001C487D">
      <w:pPr>
        <w:spacing w:before="20"/>
        <w:rPr>
          <w:sz w:val="18"/>
          <w:szCs w:val="18"/>
        </w:rPr>
      </w:pPr>
      <w:r w:rsidRPr="00DB3AC5">
        <w:rPr>
          <w:sz w:val="18"/>
          <w:szCs w:val="18"/>
        </w:rPr>
        <w:t>Mått på en banks förmåga att hantera utflöde av likviditet under 30 dagar. LCR på 100 procent innebär något förenklat att en banks likviditetsreserv är tillräckligt stor för att banken ska kunna hantera ett oväntat likviditetsutflöde i 30 dagar utan att fallera.</w:t>
      </w:r>
    </w:p>
    <w:p w:rsidR="001C487D" w:rsidRPr="00D306D0" w:rsidRDefault="001C487D" w:rsidP="001C487D">
      <w:pPr>
        <w:pStyle w:val="Rubrik5"/>
        <w:spacing w:before="120"/>
        <w:rPr>
          <w:b/>
        </w:rPr>
      </w:pPr>
      <w:r w:rsidRPr="00D306D0">
        <w:rPr>
          <w:b/>
        </w:rPr>
        <w:t>Likviditet</w:t>
      </w:r>
    </w:p>
    <w:p w:rsidR="001C487D" w:rsidRPr="00DB3AC5" w:rsidRDefault="001C487D" w:rsidP="001C487D">
      <w:pPr>
        <w:spacing w:before="20"/>
        <w:rPr>
          <w:sz w:val="18"/>
          <w:szCs w:val="18"/>
        </w:rPr>
      </w:pPr>
      <w:r w:rsidRPr="00DB3AC5">
        <w:rPr>
          <w:sz w:val="18"/>
          <w:szCs w:val="18"/>
        </w:rPr>
        <w:t>Mått på ett företags eller en organisations betalningsförmåga på kort sikt. Kan även beskriva hur snabbt det är möjligt att omsätta en tillgång i pengar.</w:t>
      </w:r>
    </w:p>
    <w:p w:rsidR="001C487D" w:rsidRDefault="001C487D" w:rsidP="001C487D">
      <w:pPr>
        <w:pStyle w:val="Rubrik5"/>
        <w:spacing w:before="120"/>
        <w:rPr>
          <w:b/>
        </w:rPr>
      </w:pPr>
      <w:r>
        <w:rPr>
          <w:b/>
        </w:rPr>
        <w:t>Medieakademin</w:t>
      </w:r>
    </w:p>
    <w:p w:rsidR="001C487D" w:rsidRPr="00DB3AC5" w:rsidRDefault="001C487D" w:rsidP="001C487D">
      <w:pPr>
        <w:spacing w:before="20"/>
        <w:rPr>
          <w:sz w:val="18"/>
          <w:szCs w:val="18"/>
        </w:rPr>
      </w:pPr>
      <w:r w:rsidRPr="00DB3AC5">
        <w:rPr>
          <w:sz w:val="18"/>
          <w:szCs w:val="18"/>
        </w:rPr>
        <w:t xml:space="preserve">Samarbetsprojekt mellan Göteborgs-Posten, Göteborgs universitet, Forsman &amp; Bodenfors och TNS Gallup </w:t>
      </w:r>
      <w:r>
        <w:rPr>
          <w:sz w:val="18"/>
          <w:szCs w:val="18"/>
        </w:rPr>
        <w:t xml:space="preserve">(tidigare </w:t>
      </w:r>
      <w:r w:rsidRPr="00DB3AC5">
        <w:rPr>
          <w:sz w:val="18"/>
          <w:szCs w:val="18"/>
        </w:rPr>
        <w:t>NFO Infratest</w:t>
      </w:r>
      <w:r>
        <w:rPr>
          <w:sz w:val="18"/>
          <w:szCs w:val="18"/>
        </w:rPr>
        <w:t>)</w:t>
      </w:r>
      <w:r w:rsidR="00A26C62">
        <w:rPr>
          <w:sz w:val="18"/>
          <w:szCs w:val="18"/>
        </w:rPr>
        <w:t xml:space="preserve"> som </w:t>
      </w:r>
      <w:r w:rsidR="00A26C62" w:rsidRPr="00DB3AC5">
        <w:rPr>
          <w:sz w:val="18"/>
          <w:szCs w:val="18"/>
        </w:rPr>
        <w:t>undersök</w:t>
      </w:r>
      <w:r w:rsidR="00A26C62">
        <w:rPr>
          <w:sz w:val="18"/>
          <w:szCs w:val="18"/>
        </w:rPr>
        <w:t>er</w:t>
      </w:r>
      <w:r w:rsidR="00A26C62" w:rsidRPr="00DB3AC5">
        <w:rPr>
          <w:sz w:val="18"/>
          <w:szCs w:val="18"/>
        </w:rPr>
        <w:t xml:space="preserve"> </w:t>
      </w:r>
      <w:r w:rsidRPr="00DB3AC5">
        <w:rPr>
          <w:sz w:val="18"/>
          <w:szCs w:val="18"/>
        </w:rPr>
        <w:t>förtroendet för samhällsinstitutioner, enskilda företag och massmedier.</w:t>
      </w:r>
    </w:p>
    <w:p w:rsidR="001C487D" w:rsidRPr="00D306D0" w:rsidRDefault="001C487D" w:rsidP="001C487D">
      <w:pPr>
        <w:pStyle w:val="Rubrik5"/>
        <w:spacing w:before="120"/>
        <w:rPr>
          <w:b/>
        </w:rPr>
      </w:pPr>
      <w:r>
        <w:rPr>
          <w:b/>
        </w:rPr>
        <w:t>Modifierad d</w:t>
      </w:r>
      <w:r w:rsidRPr="00D306D0">
        <w:rPr>
          <w:b/>
        </w:rPr>
        <w:t>uration</w:t>
      </w:r>
    </w:p>
    <w:p w:rsidR="001C487D" w:rsidRPr="00DB3AC5" w:rsidRDefault="001C487D" w:rsidP="001C487D">
      <w:pPr>
        <w:spacing w:before="20"/>
        <w:rPr>
          <w:sz w:val="18"/>
          <w:szCs w:val="18"/>
        </w:rPr>
      </w:pPr>
      <w:r w:rsidRPr="00DB3AC5">
        <w:rPr>
          <w:sz w:val="18"/>
          <w:szCs w:val="18"/>
        </w:rPr>
        <w:t xml:space="preserve">Mått på hur känsligt värdet på ett räntebärande värdepapper är för förändringar i räntenivån. Anges som procentuell förändring av priset på värdepapperet om räntan stiger med 1 procentenhet. </w:t>
      </w:r>
    </w:p>
    <w:p w:rsidR="001C487D" w:rsidRDefault="001C487D" w:rsidP="001C487D">
      <w:pPr>
        <w:pStyle w:val="Rubrik5"/>
        <w:spacing w:before="120"/>
        <w:rPr>
          <w:b/>
        </w:rPr>
      </w:pPr>
      <w:r>
        <w:rPr>
          <w:b/>
        </w:rPr>
        <w:t>NSFR, Net Stable Funding Ratio eller strukturell likviditetskvot</w:t>
      </w:r>
    </w:p>
    <w:p w:rsidR="001C487D" w:rsidRPr="00DB3AC5" w:rsidRDefault="001C487D" w:rsidP="001C487D">
      <w:pPr>
        <w:spacing w:before="20"/>
        <w:rPr>
          <w:sz w:val="18"/>
          <w:szCs w:val="18"/>
        </w:rPr>
      </w:pPr>
      <w:r w:rsidRPr="00DB3AC5">
        <w:rPr>
          <w:sz w:val="18"/>
          <w:szCs w:val="18"/>
        </w:rPr>
        <w:t>Mått på hur mycket stabil finansiering en bank har i förhållande till sina illikvida tillgångar</w:t>
      </w:r>
      <w:r w:rsidR="007A7303">
        <w:rPr>
          <w:sz w:val="18"/>
          <w:szCs w:val="18"/>
        </w:rPr>
        <w:t xml:space="preserve"> under ett stressat scenario som pågår i ett år</w:t>
      </w:r>
      <w:r w:rsidRPr="00DB3AC5">
        <w:rPr>
          <w:sz w:val="18"/>
          <w:szCs w:val="18"/>
        </w:rPr>
        <w:t xml:space="preserve">. </w:t>
      </w:r>
    </w:p>
    <w:p w:rsidR="001C487D" w:rsidRDefault="001C487D" w:rsidP="001C487D">
      <w:pPr>
        <w:pStyle w:val="Rubrik5"/>
        <w:spacing w:before="120"/>
        <w:rPr>
          <w:b/>
        </w:rPr>
      </w:pPr>
      <w:r>
        <w:rPr>
          <w:b/>
        </w:rPr>
        <w:t>Obligation</w:t>
      </w:r>
    </w:p>
    <w:p w:rsidR="001C487D" w:rsidRPr="00DB3AC5" w:rsidRDefault="001C487D" w:rsidP="001C487D">
      <w:pPr>
        <w:spacing w:before="20"/>
        <w:rPr>
          <w:sz w:val="18"/>
          <w:szCs w:val="18"/>
        </w:rPr>
      </w:pPr>
      <w:r w:rsidRPr="00DB3AC5">
        <w:rPr>
          <w:sz w:val="18"/>
          <w:szCs w:val="18"/>
        </w:rPr>
        <w:t>Räntebärande löpande skuldförbindelse som kan ges ut av stat</w:t>
      </w:r>
      <w:r>
        <w:rPr>
          <w:sz w:val="18"/>
          <w:szCs w:val="18"/>
        </w:rPr>
        <w:t>en</w:t>
      </w:r>
      <w:r w:rsidRPr="00DB3AC5">
        <w:rPr>
          <w:sz w:val="18"/>
          <w:szCs w:val="18"/>
        </w:rPr>
        <w:t>, kommun</w:t>
      </w:r>
      <w:r>
        <w:rPr>
          <w:sz w:val="18"/>
          <w:szCs w:val="18"/>
        </w:rPr>
        <w:t>er</w:t>
      </w:r>
      <w:r w:rsidRPr="00DB3AC5">
        <w:rPr>
          <w:sz w:val="18"/>
          <w:szCs w:val="18"/>
        </w:rPr>
        <w:t xml:space="preserve">, kreditmarknadsbolag, hypoteksinstitut eller större företag. </w:t>
      </w:r>
      <w:r>
        <w:rPr>
          <w:sz w:val="18"/>
          <w:szCs w:val="18"/>
        </w:rPr>
        <w:t>En o</w:t>
      </w:r>
      <w:r w:rsidRPr="00DB3AC5">
        <w:rPr>
          <w:sz w:val="18"/>
          <w:szCs w:val="18"/>
        </w:rPr>
        <w:t xml:space="preserve">bligation har lång löptid, minst ett år. </w:t>
      </w:r>
    </w:p>
    <w:p w:rsidR="001C487D" w:rsidRPr="00D306D0" w:rsidRDefault="001C487D" w:rsidP="001C487D">
      <w:pPr>
        <w:pStyle w:val="Rubrik5"/>
        <w:spacing w:before="120"/>
        <w:rPr>
          <w:b/>
        </w:rPr>
      </w:pPr>
      <w:r w:rsidRPr="00D306D0">
        <w:rPr>
          <w:b/>
        </w:rPr>
        <w:t>Penningpolitik</w:t>
      </w:r>
    </w:p>
    <w:p w:rsidR="001C487D" w:rsidRPr="00DB3AC5" w:rsidRDefault="001C487D" w:rsidP="001C487D">
      <w:pPr>
        <w:spacing w:before="20"/>
        <w:rPr>
          <w:sz w:val="18"/>
          <w:szCs w:val="18"/>
        </w:rPr>
      </w:pPr>
      <w:r w:rsidRPr="00DB3AC5">
        <w:rPr>
          <w:sz w:val="18"/>
          <w:szCs w:val="18"/>
        </w:rPr>
        <w:t>Åtgärder som en centralbank vidtar för att upprätthålla prisstabilitet i ekonomin.</w:t>
      </w:r>
    </w:p>
    <w:p w:rsidR="00814770" w:rsidRPr="00D306D0" w:rsidRDefault="00814770" w:rsidP="00814770">
      <w:pPr>
        <w:pStyle w:val="Rubrik5"/>
        <w:spacing w:before="120"/>
        <w:rPr>
          <w:b/>
        </w:rPr>
      </w:pPr>
      <w:r>
        <w:rPr>
          <w:b/>
        </w:rPr>
        <w:t>Penningpolitisk repa</w:t>
      </w:r>
    </w:p>
    <w:p w:rsidR="00814770" w:rsidRPr="00DB3AC5" w:rsidRDefault="00F0207A" w:rsidP="00814770">
      <w:pPr>
        <w:spacing w:before="20"/>
        <w:rPr>
          <w:sz w:val="18"/>
          <w:szCs w:val="18"/>
        </w:rPr>
      </w:pPr>
      <w:r>
        <w:rPr>
          <w:sz w:val="18"/>
          <w:szCs w:val="18"/>
        </w:rPr>
        <w:t xml:space="preserve">Huvudsaklig transaktion där </w:t>
      </w:r>
      <w:r w:rsidR="00814770" w:rsidRPr="00814770">
        <w:rPr>
          <w:sz w:val="18"/>
          <w:szCs w:val="18"/>
        </w:rPr>
        <w:t>Riksbanken lånar ut pengar genom att köpa värd</w:t>
      </w:r>
      <w:r w:rsidR="00814770" w:rsidRPr="00814770">
        <w:rPr>
          <w:sz w:val="18"/>
          <w:szCs w:val="18"/>
        </w:rPr>
        <w:t>e</w:t>
      </w:r>
      <w:r w:rsidR="00814770" w:rsidRPr="00814770">
        <w:rPr>
          <w:sz w:val="18"/>
          <w:szCs w:val="18"/>
        </w:rPr>
        <w:t>papper av pe</w:t>
      </w:r>
      <w:r w:rsidR="00814770" w:rsidRPr="00814770">
        <w:rPr>
          <w:sz w:val="18"/>
          <w:szCs w:val="18"/>
        </w:rPr>
        <w:t>n</w:t>
      </w:r>
      <w:r w:rsidR="00814770" w:rsidRPr="00814770">
        <w:rPr>
          <w:sz w:val="18"/>
          <w:szCs w:val="18"/>
        </w:rPr>
        <w:t>ningpolitiska motparter. Samtidigt åtar sig Riksbanken att sälja tillbaka dessa värdepapper vid ett bestämt datum för ett något högre pris, där prisskilln</w:t>
      </w:r>
      <w:r w:rsidR="00814770" w:rsidRPr="00814770">
        <w:rPr>
          <w:sz w:val="18"/>
          <w:szCs w:val="18"/>
        </w:rPr>
        <w:t>a</w:t>
      </w:r>
      <w:r w:rsidR="00F26E66">
        <w:rPr>
          <w:sz w:val="18"/>
          <w:szCs w:val="18"/>
        </w:rPr>
        <w:t>den motsvarar repo</w:t>
      </w:r>
      <w:r w:rsidR="00814770" w:rsidRPr="00814770">
        <w:rPr>
          <w:sz w:val="18"/>
          <w:szCs w:val="18"/>
        </w:rPr>
        <w:t>räntan. Riksbanken får då tillbaka pengarna, och värdepapp</w:t>
      </w:r>
      <w:r w:rsidR="00814770" w:rsidRPr="00814770">
        <w:rPr>
          <w:sz w:val="18"/>
          <w:szCs w:val="18"/>
        </w:rPr>
        <w:t>e</w:t>
      </w:r>
      <w:r w:rsidR="00814770" w:rsidRPr="00814770">
        <w:rPr>
          <w:sz w:val="18"/>
          <w:szCs w:val="18"/>
        </w:rPr>
        <w:t xml:space="preserve">ret återgår till den ursprungliga ägaren. </w:t>
      </w:r>
    </w:p>
    <w:p w:rsidR="001C487D" w:rsidRDefault="001C487D" w:rsidP="001C487D">
      <w:pPr>
        <w:pStyle w:val="Rubrik5"/>
        <w:spacing w:before="120"/>
        <w:rPr>
          <w:b/>
        </w:rPr>
      </w:pPr>
      <w:r>
        <w:rPr>
          <w:b/>
        </w:rPr>
        <w:t>Penningpolitiska transaktioner</w:t>
      </w:r>
    </w:p>
    <w:p w:rsidR="001C487D" w:rsidRPr="00FC36A4" w:rsidRDefault="00E639D7" w:rsidP="001C487D">
      <w:pPr>
        <w:spacing w:before="20"/>
      </w:pPr>
      <w:r>
        <w:rPr>
          <w:sz w:val="18"/>
          <w:szCs w:val="18"/>
        </w:rPr>
        <w:t>De huvudsakliga, finjusterande och strukturella transaktioner samt stående facil</w:t>
      </w:r>
      <w:r>
        <w:rPr>
          <w:sz w:val="18"/>
          <w:szCs w:val="18"/>
        </w:rPr>
        <w:t>i</w:t>
      </w:r>
      <w:r>
        <w:rPr>
          <w:sz w:val="18"/>
          <w:szCs w:val="18"/>
        </w:rPr>
        <w:t xml:space="preserve">teter som </w:t>
      </w:r>
      <w:r w:rsidR="000D21DA">
        <w:rPr>
          <w:sz w:val="18"/>
          <w:szCs w:val="18"/>
        </w:rPr>
        <w:t xml:space="preserve">Riksbanken använder </w:t>
      </w:r>
      <w:r w:rsidR="001C487D">
        <w:rPr>
          <w:sz w:val="18"/>
          <w:szCs w:val="18"/>
        </w:rPr>
        <w:t>för att styra dagslåneräntan</w:t>
      </w:r>
      <w:r w:rsidR="00E42B3C">
        <w:rPr>
          <w:sz w:val="18"/>
          <w:szCs w:val="18"/>
        </w:rPr>
        <w:t>, den kortaste mar</w:t>
      </w:r>
      <w:r w:rsidR="00E42B3C">
        <w:rPr>
          <w:sz w:val="18"/>
          <w:szCs w:val="18"/>
        </w:rPr>
        <w:t>k</w:t>
      </w:r>
      <w:r w:rsidR="00E42B3C">
        <w:rPr>
          <w:sz w:val="18"/>
          <w:szCs w:val="18"/>
        </w:rPr>
        <w:t>nadsräntan på penningmarknaden</w:t>
      </w:r>
      <w:r w:rsidR="001C487D">
        <w:rPr>
          <w:sz w:val="18"/>
          <w:szCs w:val="18"/>
        </w:rPr>
        <w:t xml:space="preserve">. </w:t>
      </w:r>
    </w:p>
    <w:p w:rsidR="001C487D" w:rsidRPr="00D306D0" w:rsidRDefault="001C487D" w:rsidP="001C487D">
      <w:pPr>
        <w:pStyle w:val="Rubrik5"/>
        <w:spacing w:before="120"/>
        <w:rPr>
          <w:b/>
        </w:rPr>
      </w:pPr>
      <w:r w:rsidRPr="00D306D0">
        <w:rPr>
          <w:b/>
        </w:rPr>
        <w:t>Prisstabilitet</w:t>
      </w:r>
    </w:p>
    <w:p w:rsidR="001C487D" w:rsidRPr="007E47B6" w:rsidRDefault="001C487D" w:rsidP="007E47B6">
      <w:pPr>
        <w:spacing w:before="20"/>
        <w:rPr>
          <w:sz w:val="18"/>
          <w:szCs w:val="18"/>
        </w:rPr>
      </w:pPr>
      <w:r w:rsidRPr="007E47B6">
        <w:rPr>
          <w:sz w:val="18"/>
          <w:szCs w:val="18"/>
        </w:rPr>
        <w:t xml:space="preserve">Tillstånd där priserna på varor och tjänster ökar endast måttligt eller inte alls. </w:t>
      </w:r>
    </w:p>
    <w:p w:rsidR="001C487D" w:rsidRPr="00D306D0" w:rsidRDefault="001C487D" w:rsidP="001C487D">
      <w:pPr>
        <w:pStyle w:val="Rubrik5"/>
        <w:spacing w:before="120"/>
        <w:rPr>
          <w:b/>
        </w:rPr>
      </w:pPr>
      <w:r w:rsidRPr="00D306D0">
        <w:rPr>
          <w:b/>
        </w:rPr>
        <w:t>Reporänta</w:t>
      </w:r>
    </w:p>
    <w:p w:rsidR="001C487D" w:rsidRPr="00DB3AC5" w:rsidRDefault="001C487D" w:rsidP="001C487D">
      <w:pPr>
        <w:spacing w:before="20"/>
        <w:rPr>
          <w:sz w:val="18"/>
          <w:szCs w:val="18"/>
        </w:rPr>
      </w:pPr>
      <w:r w:rsidRPr="00DB3AC5">
        <w:rPr>
          <w:sz w:val="18"/>
          <w:szCs w:val="18"/>
        </w:rPr>
        <w:t>Riksbankens viktigaste styrränta</w:t>
      </w:r>
      <w:r w:rsidR="00D05557">
        <w:rPr>
          <w:sz w:val="18"/>
          <w:szCs w:val="18"/>
        </w:rPr>
        <w:t>, se H</w:t>
      </w:r>
      <w:r w:rsidR="00E42B3C">
        <w:rPr>
          <w:sz w:val="18"/>
          <w:szCs w:val="18"/>
        </w:rPr>
        <w:t>uvudsakliga transaktioner.</w:t>
      </w:r>
      <w:r w:rsidRPr="00DB3AC5">
        <w:rPr>
          <w:sz w:val="18"/>
          <w:szCs w:val="18"/>
        </w:rPr>
        <w:t xml:space="preserve"> </w:t>
      </w:r>
    </w:p>
    <w:p w:rsidR="001C487D" w:rsidRDefault="001C487D" w:rsidP="001C487D">
      <w:pPr>
        <w:pStyle w:val="Rubrik5"/>
        <w:spacing w:before="120"/>
        <w:rPr>
          <w:b/>
        </w:rPr>
      </w:pPr>
      <w:r>
        <w:rPr>
          <w:b/>
        </w:rPr>
        <w:t>Reporäntebana</w:t>
      </w:r>
    </w:p>
    <w:p w:rsidR="001C487D" w:rsidRPr="00DB3AC5" w:rsidRDefault="001C487D" w:rsidP="007E39E9">
      <w:pPr>
        <w:suppressAutoHyphens/>
        <w:spacing w:before="20"/>
      </w:pPr>
      <w:r>
        <w:rPr>
          <w:sz w:val="18"/>
          <w:szCs w:val="18"/>
        </w:rPr>
        <w:t>P</w:t>
      </w:r>
      <w:r w:rsidRPr="00D01740">
        <w:rPr>
          <w:sz w:val="18"/>
          <w:szCs w:val="18"/>
        </w:rPr>
        <w:t xml:space="preserve">rognos för reporäntan för </w:t>
      </w:r>
      <w:r>
        <w:rPr>
          <w:sz w:val="18"/>
          <w:szCs w:val="18"/>
        </w:rPr>
        <w:t>ett antal år framöver</w:t>
      </w:r>
      <w:r w:rsidRPr="00D01740">
        <w:rPr>
          <w:sz w:val="18"/>
          <w:szCs w:val="18"/>
        </w:rPr>
        <w:t xml:space="preserve"> som </w:t>
      </w:r>
      <w:r>
        <w:rPr>
          <w:sz w:val="18"/>
          <w:szCs w:val="18"/>
        </w:rPr>
        <w:t>beräknas leda</w:t>
      </w:r>
      <w:r w:rsidRPr="00D01740">
        <w:rPr>
          <w:sz w:val="18"/>
          <w:szCs w:val="18"/>
        </w:rPr>
        <w:t xml:space="preserve"> till att Riksbanken når inflationsmålet om 2 procent och bidrar till en allmänt god ekonomisk utveckling.</w:t>
      </w:r>
    </w:p>
    <w:p w:rsidR="001C487D" w:rsidRPr="00D306D0" w:rsidRDefault="001C487D" w:rsidP="001C487D">
      <w:pPr>
        <w:pStyle w:val="Rubrik5"/>
        <w:spacing w:before="120"/>
        <w:rPr>
          <w:b/>
        </w:rPr>
      </w:pPr>
      <w:r w:rsidRPr="00D306D0">
        <w:rPr>
          <w:b/>
        </w:rPr>
        <w:t>Riksbankscertifikat</w:t>
      </w:r>
    </w:p>
    <w:p w:rsidR="001C487D" w:rsidRPr="00856430" w:rsidRDefault="00F0207A" w:rsidP="001C487D">
      <w:pPr>
        <w:spacing w:before="20"/>
        <w:rPr>
          <w:sz w:val="18"/>
          <w:szCs w:val="18"/>
        </w:rPr>
      </w:pPr>
      <w:r>
        <w:rPr>
          <w:sz w:val="18"/>
          <w:szCs w:val="18"/>
        </w:rPr>
        <w:t>Huvudsaklig transaktion, s</w:t>
      </w:r>
      <w:r w:rsidR="00856430" w:rsidRPr="00856430">
        <w:rPr>
          <w:sz w:val="18"/>
          <w:szCs w:val="18"/>
        </w:rPr>
        <w:t>e avsnittet Balansräkning och res</w:t>
      </w:r>
      <w:r>
        <w:rPr>
          <w:sz w:val="18"/>
          <w:szCs w:val="18"/>
        </w:rPr>
        <w:t>ultaträkning,</w:t>
      </w:r>
      <w:r w:rsidR="00856430" w:rsidRPr="00856430">
        <w:rPr>
          <w:sz w:val="18"/>
          <w:szCs w:val="18"/>
        </w:rPr>
        <w:t xml:space="preserve"> not 16</w:t>
      </w:r>
      <w:r w:rsidR="001C487D" w:rsidRPr="00856430">
        <w:rPr>
          <w:sz w:val="18"/>
          <w:szCs w:val="18"/>
        </w:rPr>
        <w:t xml:space="preserve">. </w:t>
      </w:r>
    </w:p>
    <w:p w:rsidR="001C487D" w:rsidRDefault="001C487D" w:rsidP="001C487D">
      <w:pPr>
        <w:pStyle w:val="Rubrik5"/>
        <w:spacing w:before="120"/>
        <w:rPr>
          <w:b/>
        </w:rPr>
      </w:pPr>
      <w:r>
        <w:rPr>
          <w:b/>
        </w:rPr>
        <w:t>Räntenetto</w:t>
      </w:r>
    </w:p>
    <w:p w:rsidR="001C487D" w:rsidRPr="00DB3AC5" w:rsidRDefault="001C487D" w:rsidP="001C487D">
      <w:pPr>
        <w:spacing w:before="20"/>
        <w:rPr>
          <w:sz w:val="18"/>
          <w:szCs w:val="18"/>
        </w:rPr>
      </w:pPr>
      <w:r w:rsidRPr="00DB3AC5">
        <w:rPr>
          <w:sz w:val="18"/>
          <w:szCs w:val="18"/>
        </w:rPr>
        <w:t>Ränteintäkter från utlåning minus räntekostnader för upp- och inlåning.</w:t>
      </w:r>
    </w:p>
    <w:p w:rsidR="001C487D" w:rsidRPr="00D306D0" w:rsidRDefault="001C487D" w:rsidP="001C487D">
      <w:pPr>
        <w:pStyle w:val="Rubrik5"/>
        <w:spacing w:before="120"/>
        <w:rPr>
          <w:b/>
        </w:rPr>
      </w:pPr>
      <w:r w:rsidRPr="00D306D0">
        <w:rPr>
          <w:b/>
        </w:rPr>
        <w:t>Ränterisk</w:t>
      </w:r>
    </w:p>
    <w:p w:rsidR="001C487D" w:rsidRPr="00DB3AC5" w:rsidRDefault="001C487D" w:rsidP="001C487D">
      <w:pPr>
        <w:spacing w:before="20"/>
        <w:rPr>
          <w:sz w:val="18"/>
          <w:szCs w:val="18"/>
        </w:rPr>
      </w:pPr>
      <w:r w:rsidRPr="00DB3AC5">
        <w:rPr>
          <w:sz w:val="18"/>
          <w:szCs w:val="18"/>
        </w:rPr>
        <w:t>Risk</w:t>
      </w:r>
      <w:r>
        <w:rPr>
          <w:sz w:val="18"/>
          <w:szCs w:val="18"/>
        </w:rPr>
        <w:t>en</w:t>
      </w:r>
      <w:r w:rsidRPr="00DB3AC5">
        <w:rPr>
          <w:sz w:val="18"/>
          <w:szCs w:val="18"/>
        </w:rPr>
        <w:t xml:space="preserve"> för att värdet på ett räntebärande värdepapper sjunker till följd av att marknadsräntorna stiger</w:t>
      </w:r>
      <w:r w:rsidR="00A0111C">
        <w:rPr>
          <w:sz w:val="18"/>
          <w:szCs w:val="18"/>
        </w:rPr>
        <w:t>, se VaR</w:t>
      </w:r>
      <w:r w:rsidRPr="00DB3AC5">
        <w:rPr>
          <w:sz w:val="18"/>
          <w:szCs w:val="18"/>
        </w:rPr>
        <w:t xml:space="preserve">. </w:t>
      </w:r>
    </w:p>
    <w:p w:rsidR="001C487D" w:rsidRPr="00D306D0" w:rsidRDefault="001C487D" w:rsidP="001C487D">
      <w:pPr>
        <w:pStyle w:val="Rubrik5"/>
        <w:spacing w:before="120"/>
        <w:rPr>
          <w:b/>
        </w:rPr>
      </w:pPr>
      <w:r>
        <w:rPr>
          <w:b/>
        </w:rPr>
        <w:t>Ränte</w:t>
      </w:r>
      <w:r w:rsidRPr="00D306D0">
        <w:rPr>
          <w:b/>
        </w:rPr>
        <w:t>swap</w:t>
      </w:r>
    </w:p>
    <w:p w:rsidR="001C487D" w:rsidRPr="00DB3AC5" w:rsidRDefault="004342C5" w:rsidP="001C487D">
      <w:pPr>
        <w:spacing w:before="20"/>
        <w:rPr>
          <w:sz w:val="18"/>
          <w:szCs w:val="18"/>
        </w:rPr>
      </w:pPr>
      <w:r>
        <w:rPr>
          <w:sz w:val="18"/>
          <w:szCs w:val="18"/>
        </w:rPr>
        <w:t>Se S</w:t>
      </w:r>
      <w:r w:rsidR="001C487D" w:rsidRPr="00DB3AC5">
        <w:rPr>
          <w:sz w:val="18"/>
          <w:szCs w:val="18"/>
        </w:rPr>
        <w:t>wapavtal.</w:t>
      </w:r>
    </w:p>
    <w:p w:rsidR="001C487D" w:rsidRPr="00D306D0" w:rsidRDefault="001C487D" w:rsidP="001C487D">
      <w:pPr>
        <w:pStyle w:val="Rubrik5"/>
        <w:spacing w:before="120"/>
        <w:rPr>
          <w:b/>
        </w:rPr>
      </w:pPr>
      <w:r w:rsidRPr="00D306D0">
        <w:rPr>
          <w:b/>
        </w:rPr>
        <w:t>SCB, Statistiska centralbyrån</w:t>
      </w:r>
    </w:p>
    <w:p w:rsidR="001C487D" w:rsidRPr="00DB3AC5" w:rsidRDefault="001C487D" w:rsidP="001C487D">
      <w:pPr>
        <w:spacing w:before="20"/>
        <w:rPr>
          <w:sz w:val="18"/>
          <w:szCs w:val="18"/>
        </w:rPr>
      </w:pPr>
      <w:r w:rsidRPr="00DB3AC5">
        <w:rPr>
          <w:sz w:val="18"/>
          <w:szCs w:val="18"/>
        </w:rPr>
        <w:t>Central förvaltningsmyndighet för den officiella statistiken och för annan statlig statistik i Sverige.</w:t>
      </w:r>
    </w:p>
    <w:p w:rsidR="001C487D" w:rsidRDefault="001C487D" w:rsidP="001C487D">
      <w:pPr>
        <w:pStyle w:val="Rubrik5"/>
        <w:spacing w:before="120"/>
        <w:rPr>
          <w:b/>
        </w:rPr>
      </w:pPr>
      <w:r>
        <w:rPr>
          <w:b/>
        </w:rPr>
        <w:t>SDR, Special Drawing Rights eller särskilda dragningsrätter</w:t>
      </w:r>
    </w:p>
    <w:p w:rsidR="001C487D" w:rsidRPr="00DB3AC5" w:rsidRDefault="001C487D" w:rsidP="001C487D">
      <w:pPr>
        <w:spacing w:before="20"/>
        <w:rPr>
          <w:sz w:val="18"/>
          <w:szCs w:val="18"/>
        </w:rPr>
      </w:pPr>
      <w:r w:rsidRPr="00DB3AC5">
        <w:rPr>
          <w:sz w:val="18"/>
          <w:szCs w:val="18"/>
        </w:rPr>
        <w:t>Reservtillgång som skapats av IMF för tilldelning till medlemsländerna. Värdet på SDR beräknas som en korg av dollar, euro, yen och pund.</w:t>
      </w:r>
    </w:p>
    <w:p w:rsidR="001C487D" w:rsidRDefault="001C487D" w:rsidP="001C487D">
      <w:pPr>
        <w:pStyle w:val="Rubrik5"/>
        <w:spacing w:before="120"/>
        <w:rPr>
          <w:b/>
        </w:rPr>
      </w:pPr>
      <w:r>
        <w:rPr>
          <w:b/>
        </w:rPr>
        <w:t>Sharpekvot</w:t>
      </w:r>
    </w:p>
    <w:p w:rsidR="001C487D" w:rsidRPr="00DB3AC5" w:rsidRDefault="001C487D" w:rsidP="001C487D">
      <w:pPr>
        <w:spacing w:before="20"/>
        <w:rPr>
          <w:sz w:val="18"/>
          <w:szCs w:val="18"/>
        </w:rPr>
      </w:pPr>
      <w:r w:rsidRPr="00DB3AC5">
        <w:rPr>
          <w:sz w:val="18"/>
          <w:szCs w:val="18"/>
        </w:rPr>
        <w:t>Mått på en portföljs riskjusterade avkastning. Beräknas som portföljens avkas</w:t>
      </w:r>
      <w:r w:rsidRPr="00DB3AC5">
        <w:rPr>
          <w:sz w:val="18"/>
          <w:szCs w:val="18"/>
        </w:rPr>
        <w:t>t</w:t>
      </w:r>
      <w:r w:rsidRPr="00DB3AC5">
        <w:rPr>
          <w:sz w:val="18"/>
          <w:szCs w:val="18"/>
        </w:rPr>
        <w:t>ning utöver den riskfria räntan i relation till dess risk mätt som standardavvikelse.</w:t>
      </w:r>
    </w:p>
    <w:p w:rsidR="001C487D" w:rsidRPr="00D306D0" w:rsidRDefault="001C487D" w:rsidP="001C487D">
      <w:pPr>
        <w:pStyle w:val="Rubrik5"/>
        <w:spacing w:before="120"/>
        <w:rPr>
          <w:b/>
        </w:rPr>
      </w:pPr>
      <w:r w:rsidRPr="00D306D0">
        <w:rPr>
          <w:b/>
        </w:rPr>
        <w:t xml:space="preserve">SOM-institutet </w:t>
      </w:r>
    </w:p>
    <w:p w:rsidR="001C487D" w:rsidRPr="00DB3AC5" w:rsidRDefault="001C487D" w:rsidP="001C487D">
      <w:pPr>
        <w:spacing w:before="20"/>
        <w:rPr>
          <w:sz w:val="18"/>
          <w:szCs w:val="18"/>
        </w:rPr>
      </w:pPr>
      <w:r w:rsidRPr="00DB3AC5">
        <w:rPr>
          <w:sz w:val="18"/>
          <w:szCs w:val="18"/>
        </w:rPr>
        <w:t>Centrum för den undersöknings- och seminarieverksamhet som drivs gemensamt av Institutionen för journalistik</w:t>
      </w:r>
      <w:r>
        <w:rPr>
          <w:sz w:val="18"/>
          <w:szCs w:val="18"/>
        </w:rPr>
        <w:t>, medier</w:t>
      </w:r>
      <w:r w:rsidRPr="00DB3AC5">
        <w:rPr>
          <w:sz w:val="18"/>
          <w:szCs w:val="18"/>
        </w:rPr>
        <w:t xml:space="preserve"> och kommunikation (JMG), </w:t>
      </w:r>
      <w:r w:rsidR="000D21DA">
        <w:rPr>
          <w:sz w:val="18"/>
          <w:szCs w:val="18"/>
        </w:rPr>
        <w:t>s</w:t>
      </w:r>
      <w:r w:rsidRPr="00DB3AC5">
        <w:rPr>
          <w:sz w:val="18"/>
          <w:szCs w:val="18"/>
        </w:rPr>
        <w:t>tatsvete</w:t>
      </w:r>
      <w:r w:rsidRPr="00DB3AC5">
        <w:rPr>
          <w:sz w:val="18"/>
          <w:szCs w:val="18"/>
        </w:rPr>
        <w:t>n</w:t>
      </w:r>
      <w:r w:rsidRPr="00DB3AC5">
        <w:rPr>
          <w:sz w:val="18"/>
          <w:szCs w:val="18"/>
        </w:rPr>
        <w:t xml:space="preserve">skapliga institutionen samt </w:t>
      </w:r>
      <w:r w:rsidR="000D21DA">
        <w:rPr>
          <w:sz w:val="18"/>
          <w:szCs w:val="18"/>
        </w:rPr>
        <w:t>c</w:t>
      </w:r>
      <w:r w:rsidRPr="00DB3AC5">
        <w:rPr>
          <w:sz w:val="18"/>
          <w:szCs w:val="18"/>
        </w:rPr>
        <w:t>entrum för forskning om offentlig sektor (C</w:t>
      </w:r>
      <w:r>
        <w:rPr>
          <w:sz w:val="18"/>
          <w:szCs w:val="18"/>
        </w:rPr>
        <w:t>efos</w:t>
      </w:r>
      <w:r w:rsidRPr="00DB3AC5">
        <w:rPr>
          <w:sz w:val="18"/>
          <w:szCs w:val="18"/>
        </w:rPr>
        <w:t>) vid Göteborgs universitet.</w:t>
      </w:r>
    </w:p>
    <w:p w:rsidR="001C487D" w:rsidRPr="00DD2BC6" w:rsidRDefault="001C487D" w:rsidP="001C487D">
      <w:pPr>
        <w:pStyle w:val="Rubrik5"/>
        <w:spacing w:before="120"/>
        <w:rPr>
          <w:b/>
        </w:rPr>
      </w:pPr>
      <w:r w:rsidRPr="00DD2BC6">
        <w:rPr>
          <w:b/>
        </w:rPr>
        <w:t>SNS, Studieförbundet Näringsliv och Samhälle</w:t>
      </w:r>
    </w:p>
    <w:p w:rsidR="001C487D" w:rsidRPr="00DB3AC5" w:rsidRDefault="001C487D" w:rsidP="001C487D">
      <w:pPr>
        <w:spacing w:before="20"/>
        <w:rPr>
          <w:sz w:val="18"/>
          <w:szCs w:val="18"/>
        </w:rPr>
      </w:pPr>
      <w:r w:rsidRPr="00DB3AC5">
        <w:rPr>
          <w:sz w:val="18"/>
          <w:szCs w:val="18"/>
        </w:rPr>
        <w:t xml:space="preserve">Politiskt oberoende ideell förening bestående av opinionsbildare och beslutsfattare i privat och offentlig sektor. </w:t>
      </w:r>
    </w:p>
    <w:p w:rsidR="001C487D" w:rsidRPr="007C1A47" w:rsidRDefault="001C487D" w:rsidP="001C487D">
      <w:pPr>
        <w:pStyle w:val="Rubrik5"/>
        <w:spacing w:before="120"/>
        <w:rPr>
          <w:b/>
        </w:rPr>
      </w:pPr>
      <w:r w:rsidRPr="007C1A47">
        <w:rPr>
          <w:b/>
        </w:rPr>
        <w:t>Standardavvikelse</w:t>
      </w:r>
    </w:p>
    <w:p w:rsidR="001C487D" w:rsidRPr="00DB3AC5" w:rsidRDefault="001C487D" w:rsidP="001C487D">
      <w:pPr>
        <w:spacing w:before="20"/>
        <w:rPr>
          <w:sz w:val="18"/>
          <w:szCs w:val="18"/>
        </w:rPr>
      </w:pPr>
      <w:r w:rsidRPr="00DB3AC5">
        <w:rPr>
          <w:sz w:val="18"/>
          <w:szCs w:val="18"/>
        </w:rPr>
        <w:t>Statistiskt mått som beskriver hur mycket de olika värdena för en variabel</w:t>
      </w:r>
      <w:r>
        <w:t xml:space="preserve"> </w:t>
      </w:r>
      <w:r w:rsidRPr="00DB3AC5">
        <w:rPr>
          <w:sz w:val="18"/>
          <w:szCs w:val="18"/>
        </w:rPr>
        <w:t xml:space="preserve">avviker från medelvärdet. </w:t>
      </w:r>
    </w:p>
    <w:p w:rsidR="001C487D" w:rsidRDefault="001C487D" w:rsidP="001C487D">
      <w:pPr>
        <w:pStyle w:val="Rubrik5"/>
        <w:spacing w:before="120"/>
        <w:rPr>
          <w:b/>
        </w:rPr>
      </w:pPr>
      <w:r>
        <w:rPr>
          <w:b/>
        </w:rPr>
        <w:t>Stibor, Stockholm Interbank Offered Rate</w:t>
      </w:r>
    </w:p>
    <w:p w:rsidR="001C487D" w:rsidRPr="009E7E27" w:rsidRDefault="001C487D" w:rsidP="001C487D">
      <w:pPr>
        <w:spacing w:before="20"/>
        <w:rPr>
          <w:sz w:val="18"/>
          <w:szCs w:val="18"/>
        </w:rPr>
      </w:pPr>
      <w:r w:rsidRPr="009E7E27">
        <w:rPr>
          <w:sz w:val="18"/>
          <w:szCs w:val="18"/>
        </w:rPr>
        <w:t xml:space="preserve">Stibor </w:t>
      </w:r>
      <w:r w:rsidR="003000CF">
        <w:rPr>
          <w:sz w:val="18"/>
          <w:szCs w:val="18"/>
        </w:rPr>
        <w:t xml:space="preserve">är en referensränta </w:t>
      </w:r>
      <w:r w:rsidR="007378B7">
        <w:rPr>
          <w:sz w:val="18"/>
          <w:szCs w:val="18"/>
        </w:rPr>
        <w:t xml:space="preserve">som </w:t>
      </w:r>
      <w:r w:rsidR="007378B7" w:rsidRPr="009E7E27">
        <w:rPr>
          <w:sz w:val="18"/>
          <w:szCs w:val="18"/>
        </w:rPr>
        <w:t xml:space="preserve">bestäms dagligen för åtta olika löptider </w:t>
      </w:r>
      <w:r w:rsidR="007378B7">
        <w:rPr>
          <w:sz w:val="18"/>
          <w:szCs w:val="18"/>
        </w:rPr>
        <w:t xml:space="preserve">och </w:t>
      </w:r>
      <w:r w:rsidR="003000CF">
        <w:rPr>
          <w:sz w:val="18"/>
          <w:szCs w:val="18"/>
        </w:rPr>
        <w:t xml:space="preserve">som används vid prissättningen av olika finansiella </w:t>
      </w:r>
      <w:r w:rsidR="003000CF" w:rsidRPr="00EE1043">
        <w:rPr>
          <w:sz w:val="18"/>
          <w:szCs w:val="18"/>
        </w:rPr>
        <w:t>kontrakt i svenska kronor</w:t>
      </w:r>
      <w:r w:rsidR="007378B7">
        <w:rPr>
          <w:sz w:val="18"/>
          <w:szCs w:val="18"/>
        </w:rPr>
        <w:t>.</w:t>
      </w:r>
    </w:p>
    <w:p w:rsidR="001C487D" w:rsidRPr="00D306D0" w:rsidRDefault="001C487D" w:rsidP="001C487D">
      <w:pPr>
        <w:pStyle w:val="Rubrik5"/>
        <w:spacing w:before="120"/>
        <w:rPr>
          <w:b/>
        </w:rPr>
      </w:pPr>
      <w:r w:rsidRPr="00D306D0">
        <w:rPr>
          <w:b/>
        </w:rPr>
        <w:t>Stresstest</w:t>
      </w:r>
    </w:p>
    <w:p w:rsidR="001C487D" w:rsidRDefault="001C487D" w:rsidP="001C487D">
      <w:pPr>
        <w:spacing w:before="20"/>
        <w:rPr>
          <w:sz w:val="18"/>
          <w:szCs w:val="18"/>
        </w:rPr>
      </w:pPr>
      <w:r w:rsidRPr="00DB3AC5">
        <w:rPr>
          <w:sz w:val="18"/>
          <w:szCs w:val="18"/>
        </w:rPr>
        <w:t xml:space="preserve">Analys av olika scenarier för att bedöma vilken motståndskraft </w:t>
      </w:r>
      <w:r w:rsidR="000D21DA">
        <w:rPr>
          <w:sz w:val="18"/>
          <w:szCs w:val="18"/>
        </w:rPr>
        <w:t xml:space="preserve">exempelvis </w:t>
      </w:r>
      <w:r w:rsidRPr="00DB3AC5">
        <w:rPr>
          <w:sz w:val="18"/>
          <w:szCs w:val="18"/>
        </w:rPr>
        <w:t>ba</w:t>
      </w:r>
      <w:r w:rsidRPr="00DB3AC5">
        <w:rPr>
          <w:sz w:val="18"/>
          <w:szCs w:val="18"/>
        </w:rPr>
        <w:t>n</w:t>
      </w:r>
      <w:r w:rsidRPr="00DB3AC5">
        <w:rPr>
          <w:sz w:val="18"/>
          <w:szCs w:val="18"/>
        </w:rPr>
        <w:t>ker</w:t>
      </w:r>
      <w:r w:rsidR="004342C5">
        <w:rPr>
          <w:sz w:val="18"/>
          <w:szCs w:val="18"/>
        </w:rPr>
        <w:t xml:space="preserve"> </w:t>
      </w:r>
      <w:r w:rsidRPr="00DB3AC5">
        <w:rPr>
          <w:sz w:val="18"/>
          <w:szCs w:val="18"/>
        </w:rPr>
        <w:t>har mot</w:t>
      </w:r>
      <w:r w:rsidRPr="00DB3AC5" w:rsidDel="003B754C">
        <w:rPr>
          <w:sz w:val="18"/>
          <w:szCs w:val="18"/>
        </w:rPr>
        <w:t xml:space="preserve"> </w:t>
      </w:r>
      <w:r w:rsidRPr="00DB3AC5">
        <w:rPr>
          <w:sz w:val="18"/>
          <w:szCs w:val="18"/>
        </w:rPr>
        <w:t xml:space="preserve">oväntade och negativa händelser. </w:t>
      </w:r>
    </w:p>
    <w:p w:rsidR="001C487D" w:rsidRPr="00D306D0" w:rsidRDefault="001C487D" w:rsidP="001C487D">
      <w:pPr>
        <w:pStyle w:val="Rubrik5"/>
        <w:spacing w:before="120"/>
        <w:rPr>
          <w:b/>
        </w:rPr>
      </w:pPr>
      <w:r w:rsidRPr="00D306D0">
        <w:rPr>
          <w:b/>
        </w:rPr>
        <w:t>Styrräntor</w:t>
      </w:r>
    </w:p>
    <w:p w:rsidR="001C487D" w:rsidRDefault="001C487D" w:rsidP="001C487D">
      <w:pPr>
        <w:spacing w:before="20"/>
        <w:rPr>
          <w:sz w:val="18"/>
          <w:szCs w:val="18"/>
        </w:rPr>
      </w:pPr>
      <w:r w:rsidRPr="00DB3AC5">
        <w:rPr>
          <w:sz w:val="18"/>
          <w:szCs w:val="18"/>
        </w:rPr>
        <w:t>Räntor som en centralbank sätter i penningpolitiskt syfte.</w:t>
      </w:r>
    </w:p>
    <w:p w:rsidR="001C487D" w:rsidRPr="00D306D0" w:rsidRDefault="001C487D" w:rsidP="001C487D">
      <w:pPr>
        <w:pStyle w:val="Rubrik5"/>
        <w:spacing w:before="120"/>
        <w:rPr>
          <w:b/>
        </w:rPr>
      </w:pPr>
      <w:r w:rsidRPr="00D306D0">
        <w:rPr>
          <w:b/>
        </w:rPr>
        <w:t>St</w:t>
      </w:r>
      <w:r>
        <w:rPr>
          <w:b/>
        </w:rPr>
        <w:t>ående faciliteter</w:t>
      </w:r>
    </w:p>
    <w:p w:rsidR="001C487D" w:rsidRPr="00120E56" w:rsidRDefault="001C487D" w:rsidP="001C487D">
      <w:pPr>
        <w:spacing w:before="20"/>
        <w:rPr>
          <w:sz w:val="18"/>
          <w:szCs w:val="18"/>
        </w:rPr>
      </w:pPr>
      <w:r>
        <w:rPr>
          <w:sz w:val="18"/>
          <w:szCs w:val="18"/>
        </w:rPr>
        <w:t xml:space="preserve">Banker och vissa andra aktörer kan låna pengar av respektive placera pengar hos Riksbanken över natten till reporäntan </w:t>
      </w:r>
      <w:r w:rsidR="00AD2E65">
        <w:t>+/–</w:t>
      </w:r>
      <w:r>
        <w:rPr>
          <w:sz w:val="18"/>
          <w:szCs w:val="18"/>
        </w:rPr>
        <w:t xml:space="preserve"> 75 räntepunkter. Den ränta som mo</w:t>
      </w:r>
      <w:r>
        <w:rPr>
          <w:sz w:val="18"/>
          <w:szCs w:val="18"/>
        </w:rPr>
        <w:t>t</w:t>
      </w:r>
      <w:r>
        <w:rPr>
          <w:sz w:val="18"/>
          <w:szCs w:val="18"/>
        </w:rPr>
        <w:t>parten erhåller vid placering hos Riksbanken över natten är Riksbankens inl</w:t>
      </w:r>
      <w:r>
        <w:rPr>
          <w:sz w:val="18"/>
          <w:szCs w:val="18"/>
        </w:rPr>
        <w:t>å</w:t>
      </w:r>
      <w:r>
        <w:rPr>
          <w:sz w:val="18"/>
          <w:szCs w:val="18"/>
        </w:rPr>
        <w:t>ningsränta. På motsvarande sätt får motparten betala Riksbankens utlåningsränta om banken lånar medel av Riksbanken över natten</w:t>
      </w:r>
      <w:r w:rsidRPr="00DB3AC5">
        <w:rPr>
          <w:sz w:val="18"/>
          <w:szCs w:val="18"/>
        </w:rPr>
        <w:t>.</w:t>
      </w:r>
      <w:r>
        <w:rPr>
          <w:sz w:val="18"/>
          <w:szCs w:val="18"/>
        </w:rPr>
        <w:t xml:space="preserve"> </w:t>
      </w:r>
    </w:p>
    <w:p w:rsidR="001C487D" w:rsidRPr="00D306D0" w:rsidRDefault="001C487D" w:rsidP="001C487D">
      <w:pPr>
        <w:pStyle w:val="Rubrik5"/>
        <w:spacing w:before="120"/>
        <w:rPr>
          <w:b/>
        </w:rPr>
      </w:pPr>
      <w:r w:rsidRPr="00D306D0">
        <w:rPr>
          <w:b/>
        </w:rPr>
        <w:t>Swap</w:t>
      </w:r>
      <w:r>
        <w:rPr>
          <w:b/>
        </w:rPr>
        <w:t>avtal</w:t>
      </w:r>
    </w:p>
    <w:p w:rsidR="001C487D" w:rsidRPr="00DB3AC5" w:rsidRDefault="001C487D" w:rsidP="001C487D">
      <w:pPr>
        <w:rPr>
          <w:sz w:val="18"/>
          <w:szCs w:val="18"/>
        </w:rPr>
      </w:pPr>
      <w:r w:rsidRPr="00DB3AC5">
        <w:rPr>
          <w:sz w:val="18"/>
          <w:szCs w:val="18"/>
        </w:rPr>
        <w:t>Avtal som två parter ingår för att byta ut en valuta eller en ränta mot en annan valuta respektive ränta under en i förväg bestämd tidsperiod och i enlighet med vissa villkor.</w:t>
      </w:r>
    </w:p>
    <w:p w:rsidR="001C487D" w:rsidRPr="000A6C3B" w:rsidRDefault="001C487D" w:rsidP="001C487D">
      <w:pPr>
        <w:pStyle w:val="Rubrik5"/>
        <w:spacing w:before="120"/>
        <w:rPr>
          <w:b/>
        </w:rPr>
      </w:pPr>
      <w:r w:rsidRPr="000A6C3B">
        <w:rPr>
          <w:b/>
        </w:rPr>
        <w:t>Säkerställda obligationer</w:t>
      </w:r>
    </w:p>
    <w:p w:rsidR="001C487D" w:rsidRDefault="001C487D" w:rsidP="001C487D">
      <w:pPr>
        <w:rPr>
          <w:sz w:val="18"/>
          <w:szCs w:val="18"/>
        </w:rPr>
      </w:pPr>
      <w:r w:rsidRPr="000A6C3B">
        <w:rPr>
          <w:sz w:val="18"/>
          <w:szCs w:val="18"/>
        </w:rPr>
        <w:t xml:space="preserve">Obligationer där obligationsinnehavaren har säkerhet i vissa tillgångar. </w:t>
      </w:r>
    </w:p>
    <w:p w:rsidR="001C487D" w:rsidRPr="00D306D0" w:rsidRDefault="001C487D" w:rsidP="001C487D">
      <w:pPr>
        <w:pStyle w:val="Rubrik5"/>
        <w:spacing w:before="120"/>
        <w:rPr>
          <w:b/>
        </w:rPr>
      </w:pPr>
      <w:r>
        <w:rPr>
          <w:b/>
        </w:rPr>
        <w:t>Transmissionsmekanism</w:t>
      </w:r>
    </w:p>
    <w:p w:rsidR="001C487D" w:rsidRPr="007533C0" w:rsidRDefault="000E007C" w:rsidP="001C487D">
      <w:pPr>
        <w:spacing w:before="20"/>
        <w:rPr>
          <w:color w:val="000000"/>
          <w:sz w:val="18"/>
          <w:szCs w:val="18"/>
        </w:rPr>
      </w:pPr>
      <w:r>
        <w:rPr>
          <w:color w:val="000000"/>
          <w:sz w:val="18"/>
          <w:szCs w:val="18"/>
        </w:rPr>
        <w:t>De</w:t>
      </w:r>
      <w:r w:rsidR="001C487D" w:rsidRPr="007533C0">
        <w:rPr>
          <w:color w:val="000000"/>
          <w:sz w:val="18"/>
          <w:szCs w:val="18"/>
        </w:rPr>
        <w:t xml:space="preserve">n process genom vilken penningpolitiken påverkar inflationen och ekonomin i övrigt. </w:t>
      </w:r>
      <w:r>
        <w:rPr>
          <w:color w:val="000000"/>
          <w:sz w:val="18"/>
          <w:szCs w:val="18"/>
        </w:rPr>
        <w:t>Processen</w:t>
      </w:r>
      <w:r w:rsidR="001C487D" w:rsidRPr="007533C0">
        <w:rPr>
          <w:color w:val="000000"/>
          <w:sz w:val="18"/>
          <w:szCs w:val="18"/>
        </w:rPr>
        <w:t xml:space="preserve"> </w:t>
      </w:r>
      <w:r>
        <w:rPr>
          <w:color w:val="000000"/>
          <w:sz w:val="18"/>
          <w:szCs w:val="18"/>
        </w:rPr>
        <w:t>omfattar</w:t>
      </w:r>
      <w:r w:rsidR="001C487D" w:rsidRPr="007533C0">
        <w:rPr>
          <w:color w:val="000000"/>
          <w:sz w:val="18"/>
          <w:szCs w:val="18"/>
        </w:rPr>
        <w:t xml:space="preserve"> </w:t>
      </w:r>
      <w:r w:rsidR="00E639D7" w:rsidRPr="007533C0">
        <w:rPr>
          <w:color w:val="000000"/>
          <w:sz w:val="18"/>
          <w:szCs w:val="18"/>
        </w:rPr>
        <w:t>ränte</w:t>
      </w:r>
      <w:r w:rsidR="00E639D7">
        <w:rPr>
          <w:color w:val="000000"/>
          <w:sz w:val="18"/>
          <w:szCs w:val="18"/>
        </w:rPr>
        <w:t>-</w:t>
      </w:r>
      <w:r w:rsidR="001C487D" w:rsidRPr="007533C0">
        <w:rPr>
          <w:color w:val="000000"/>
          <w:sz w:val="18"/>
          <w:szCs w:val="18"/>
        </w:rPr>
        <w:t xml:space="preserve">, </w:t>
      </w:r>
      <w:r w:rsidR="00E639D7" w:rsidRPr="007533C0">
        <w:rPr>
          <w:color w:val="000000"/>
          <w:sz w:val="18"/>
          <w:szCs w:val="18"/>
        </w:rPr>
        <w:t>kredit</w:t>
      </w:r>
      <w:r w:rsidR="00E639D7">
        <w:rPr>
          <w:color w:val="000000"/>
          <w:sz w:val="18"/>
          <w:szCs w:val="18"/>
        </w:rPr>
        <w:t>-</w:t>
      </w:r>
      <w:r w:rsidR="00E639D7" w:rsidRPr="007533C0">
        <w:rPr>
          <w:color w:val="000000"/>
          <w:sz w:val="18"/>
          <w:szCs w:val="18"/>
        </w:rPr>
        <w:t xml:space="preserve"> </w:t>
      </w:r>
      <w:r w:rsidR="001C487D" w:rsidRPr="007533C0">
        <w:rPr>
          <w:color w:val="000000"/>
          <w:sz w:val="18"/>
          <w:szCs w:val="18"/>
        </w:rPr>
        <w:t>och växelkurskanalen.</w:t>
      </w:r>
    </w:p>
    <w:p w:rsidR="00B12A92" w:rsidRPr="00D306D0" w:rsidRDefault="00B12A92" w:rsidP="00B12A92">
      <w:pPr>
        <w:pStyle w:val="Rubrik5"/>
        <w:spacing w:before="120"/>
        <w:rPr>
          <w:b/>
        </w:rPr>
      </w:pPr>
      <w:r>
        <w:rPr>
          <w:b/>
        </w:rPr>
        <w:t>Utelöpande sedlar och mynt</w:t>
      </w:r>
    </w:p>
    <w:p w:rsidR="00B12A92" w:rsidRPr="00664A16" w:rsidRDefault="00934C6A" w:rsidP="00B12A92">
      <w:pPr>
        <w:spacing w:before="20"/>
        <w:rPr>
          <w:sz w:val="18"/>
          <w:szCs w:val="18"/>
        </w:rPr>
      </w:pPr>
      <w:r w:rsidRPr="00934C6A">
        <w:rPr>
          <w:sz w:val="18"/>
          <w:szCs w:val="18"/>
        </w:rPr>
        <w:t xml:space="preserve">Det totala belopp sedlar och mynt som faktiskt är i omlopp </w:t>
      </w:r>
      <w:r w:rsidR="00E626EC">
        <w:rPr>
          <w:sz w:val="18"/>
          <w:szCs w:val="18"/>
        </w:rPr>
        <w:t>i samhället utanför Riksbanken</w:t>
      </w:r>
      <w:r w:rsidRPr="00934C6A">
        <w:rPr>
          <w:sz w:val="18"/>
          <w:szCs w:val="18"/>
        </w:rPr>
        <w:t>. Om beloppet minskar innebär det att bankerna har lämnat in sedlar och mynt till Riksbanken och fått betalt för detta genom insättningar på deras konton i RIX. Skuldposten sedlar och mynt minskar därmed samtidigt som skul</w:t>
      </w:r>
      <w:r w:rsidRPr="00934C6A">
        <w:rPr>
          <w:sz w:val="18"/>
          <w:szCs w:val="18"/>
        </w:rPr>
        <w:t>d</w:t>
      </w:r>
      <w:r w:rsidRPr="00934C6A">
        <w:rPr>
          <w:sz w:val="18"/>
          <w:szCs w:val="18"/>
        </w:rPr>
        <w:t>posten i svenska kronor till Riksbankens motparter (inlåning via finjusterande transaktioner eller riksbankscertifikat) ökar i motsvarande mån.</w:t>
      </w:r>
    </w:p>
    <w:p w:rsidR="001C487D" w:rsidRPr="00D306D0" w:rsidRDefault="001C487D" w:rsidP="001C487D">
      <w:pPr>
        <w:pStyle w:val="Rubrik5"/>
        <w:spacing w:before="120"/>
        <w:rPr>
          <w:b/>
        </w:rPr>
      </w:pPr>
      <w:r>
        <w:rPr>
          <w:b/>
        </w:rPr>
        <w:t>Utlåningsfacilitet</w:t>
      </w:r>
    </w:p>
    <w:p w:rsidR="001C487D" w:rsidRPr="00664A16" w:rsidRDefault="001C487D" w:rsidP="001C487D">
      <w:pPr>
        <w:spacing w:before="20"/>
        <w:rPr>
          <w:sz w:val="18"/>
          <w:szCs w:val="18"/>
        </w:rPr>
      </w:pPr>
      <w:r w:rsidRPr="00DB3AC5">
        <w:rPr>
          <w:sz w:val="18"/>
          <w:szCs w:val="18"/>
        </w:rPr>
        <w:t xml:space="preserve">Se </w:t>
      </w:r>
      <w:r w:rsidR="004342C5">
        <w:rPr>
          <w:sz w:val="18"/>
          <w:szCs w:val="18"/>
        </w:rPr>
        <w:t>S</w:t>
      </w:r>
      <w:r>
        <w:rPr>
          <w:sz w:val="18"/>
          <w:szCs w:val="18"/>
        </w:rPr>
        <w:t>tående faciliteter</w:t>
      </w:r>
      <w:r w:rsidRPr="00DB3AC5">
        <w:rPr>
          <w:sz w:val="18"/>
          <w:szCs w:val="18"/>
        </w:rPr>
        <w:t>.</w:t>
      </w:r>
    </w:p>
    <w:p w:rsidR="001C487D" w:rsidRPr="00D407C7" w:rsidRDefault="001C487D" w:rsidP="001C487D">
      <w:pPr>
        <w:pStyle w:val="Rubrik5"/>
        <w:spacing w:before="120"/>
        <w:rPr>
          <w:b/>
        </w:rPr>
      </w:pPr>
      <w:r w:rsidRPr="00D407C7">
        <w:rPr>
          <w:b/>
        </w:rPr>
        <w:t xml:space="preserve">VaR, Value-at-Risk </w:t>
      </w:r>
    </w:p>
    <w:p w:rsidR="001C487D" w:rsidRPr="00DB3AC5" w:rsidRDefault="001C487D" w:rsidP="001C487D">
      <w:pPr>
        <w:spacing w:before="20"/>
        <w:rPr>
          <w:sz w:val="18"/>
          <w:szCs w:val="18"/>
        </w:rPr>
      </w:pPr>
      <w:r w:rsidRPr="00DB3AC5">
        <w:rPr>
          <w:sz w:val="18"/>
          <w:szCs w:val="18"/>
        </w:rPr>
        <w:t xml:space="preserve">Statistisk metod som beskriver den största potentiella förlust vid en investering som med </w:t>
      </w:r>
      <w:r>
        <w:rPr>
          <w:sz w:val="18"/>
          <w:szCs w:val="18"/>
        </w:rPr>
        <w:t xml:space="preserve">en </w:t>
      </w:r>
      <w:r w:rsidRPr="00DB3AC5">
        <w:rPr>
          <w:sz w:val="18"/>
          <w:szCs w:val="18"/>
        </w:rPr>
        <w:t xml:space="preserve">viss </w:t>
      </w:r>
      <w:r>
        <w:rPr>
          <w:sz w:val="18"/>
          <w:szCs w:val="18"/>
        </w:rPr>
        <w:t>statistisk säkerhet (konfidensnivå)</w:t>
      </w:r>
      <w:r w:rsidRPr="00DB3AC5">
        <w:rPr>
          <w:sz w:val="18"/>
          <w:szCs w:val="18"/>
        </w:rPr>
        <w:t xml:space="preserve"> kan uppstå under en bestämd tidsperiod. </w:t>
      </w:r>
      <w:r w:rsidR="00E22DC4">
        <w:rPr>
          <w:sz w:val="18"/>
          <w:szCs w:val="18"/>
        </w:rPr>
        <w:t>Metoden innebär att h</w:t>
      </w:r>
      <w:r w:rsidR="00E22DC4" w:rsidRPr="00E22DC4">
        <w:rPr>
          <w:sz w:val="18"/>
          <w:szCs w:val="18"/>
        </w:rPr>
        <w:t xml:space="preserve">istoriska data </w:t>
      </w:r>
      <w:r w:rsidR="00E22DC4">
        <w:rPr>
          <w:sz w:val="18"/>
          <w:szCs w:val="18"/>
        </w:rPr>
        <w:t xml:space="preserve">används </w:t>
      </w:r>
      <w:r w:rsidR="00E22DC4" w:rsidRPr="00E22DC4">
        <w:rPr>
          <w:sz w:val="18"/>
          <w:szCs w:val="18"/>
        </w:rPr>
        <w:t xml:space="preserve">för att </w:t>
      </w:r>
      <w:r w:rsidR="00E22DC4">
        <w:rPr>
          <w:sz w:val="18"/>
          <w:szCs w:val="18"/>
        </w:rPr>
        <w:t xml:space="preserve">ta fram ett mått på </w:t>
      </w:r>
      <w:r w:rsidRPr="00DB3AC5">
        <w:rPr>
          <w:sz w:val="18"/>
          <w:szCs w:val="18"/>
        </w:rPr>
        <w:t>risken i en specifik tillgång eller i en por</w:t>
      </w:r>
      <w:r w:rsidRPr="00DB3AC5">
        <w:rPr>
          <w:sz w:val="18"/>
          <w:szCs w:val="18"/>
        </w:rPr>
        <w:t>t</w:t>
      </w:r>
      <w:r w:rsidRPr="00DB3AC5">
        <w:rPr>
          <w:sz w:val="18"/>
          <w:szCs w:val="18"/>
        </w:rPr>
        <w:t>följ av till</w:t>
      </w:r>
      <w:r>
        <w:rPr>
          <w:sz w:val="18"/>
          <w:szCs w:val="18"/>
        </w:rPr>
        <w:t xml:space="preserve">gångar. </w:t>
      </w:r>
    </w:p>
    <w:p w:rsidR="001C487D" w:rsidRPr="00D306D0" w:rsidRDefault="001C487D" w:rsidP="001C487D">
      <w:pPr>
        <w:pStyle w:val="Rubrik5"/>
        <w:spacing w:before="120"/>
        <w:rPr>
          <w:b/>
        </w:rPr>
      </w:pPr>
      <w:r>
        <w:rPr>
          <w:b/>
        </w:rPr>
        <w:t>Valuta</w:t>
      </w:r>
      <w:r w:rsidRPr="00D306D0">
        <w:rPr>
          <w:b/>
        </w:rPr>
        <w:t>risk</w:t>
      </w:r>
    </w:p>
    <w:p w:rsidR="001C487D" w:rsidRPr="004342C5" w:rsidRDefault="001C487D" w:rsidP="004342C5">
      <w:pPr>
        <w:spacing w:before="20"/>
        <w:rPr>
          <w:sz w:val="18"/>
          <w:szCs w:val="18"/>
        </w:rPr>
      </w:pPr>
      <w:r w:rsidRPr="004342C5">
        <w:rPr>
          <w:sz w:val="18"/>
          <w:szCs w:val="18"/>
        </w:rPr>
        <w:t>Risken för att tillgångarnas marknadsvärde, mätt i svenska kronor, sjunker när den svenska kronan stärks mot de valutor som tillgångarna är investerade i</w:t>
      </w:r>
      <w:r w:rsidR="00A0111C">
        <w:rPr>
          <w:sz w:val="18"/>
          <w:szCs w:val="18"/>
        </w:rPr>
        <w:t>, se VaR</w:t>
      </w:r>
      <w:r w:rsidRPr="004342C5">
        <w:rPr>
          <w:sz w:val="18"/>
          <w:szCs w:val="18"/>
        </w:rPr>
        <w:t>.</w:t>
      </w:r>
    </w:p>
    <w:p w:rsidR="001C487D" w:rsidRPr="00D306D0" w:rsidRDefault="001C487D" w:rsidP="001C487D">
      <w:pPr>
        <w:pStyle w:val="Rubrik5"/>
        <w:spacing w:before="120"/>
        <w:rPr>
          <w:b/>
        </w:rPr>
      </w:pPr>
      <w:r w:rsidRPr="00D306D0">
        <w:rPr>
          <w:b/>
        </w:rPr>
        <w:t>Valutaswap</w:t>
      </w:r>
    </w:p>
    <w:p w:rsidR="002C4661" w:rsidRDefault="002C4661" w:rsidP="002C4661">
      <w:pPr>
        <w:pStyle w:val="Tryckort"/>
        <w:framePr w:wrap="around" w:hAnchor="page" w:x="1305" w:y="12788"/>
      </w:pPr>
      <w:r>
        <w:t>Elanders, Vällingby  2015</w:t>
      </w:r>
    </w:p>
    <w:p w:rsidR="007E098B" w:rsidRPr="002C4661" w:rsidRDefault="004342C5" w:rsidP="002C4661">
      <w:pPr>
        <w:spacing w:before="20"/>
        <w:rPr>
          <w:sz w:val="18"/>
          <w:szCs w:val="18"/>
        </w:rPr>
      </w:pPr>
      <w:r>
        <w:t>Se S</w:t>
      </w:r>
      <w:r w:rsidR="001C487D" w:rsidRPr="00DB3AC5">
        <w:t>wapavtal.</w:t>
      </w:r>
      <w:r w:rsidR="001C487D" w:rsidRPr="00D96DCB">
        <w:t xml:space="preserve"> </w:t>
      </w:r>
    </w:p>
    <w:sectPr w:rsidR="007E098B" w:rsidRPr="002C4661">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C5" w:rsidRDefault="001F6FC5">
      <w:r>
        <w:separator/>
      </w:r>
    </w:p>
  </w:endnote>
  <w:endnote w:type="continuationSeparator" w:id="0">
    <w:p w:rsidR="001F6FC5" w:rsidRDefault="001F6FC5">
      <w:r>
        <w:continuationSeparator/>
      </w:r>
    </w:p>
  </w:endnote>
  <w:endnote w:type="continuationNotice" w:id="1">
    <w:p w:rsidR="001F6FC5" w:rsidRDefault="001F6FC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ntax">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New Baskerville">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sidR="00A12E15">
      <w:rPr>
        <w:noProof/>
      </w:rPr>
      <w:t>2</w:t>
    </w:r>
    <w:r>
      <w:fldChar w:fldCharType="end"/>
    </w:r>
  </w:p>
  <w:p w:rsidR="001F6FC5" w:rsidRDefault="001F6FC5">
    <w:pPr>
      <w:pStyle w:val="Sidfo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12</w:t>
    </w:r>
    <w:r>
      <w:fldChar w:fldCharType="end"/>
    </w:r>
  </w:p>
  <w:p w:rsidR="001F6FC5" w:rsidRDefault="001F6FC5">
    <w:pPr>
      <w:pStyle w:val="Sidfo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13</w:t>
    </w:r>
    <w:r>
      <w:fldChar w:fldCharType="end"/>
    </w:r>
  </w:p>
  <w:p w:rsidR="001F6FC5" w:rsidRDefault="001F6FC5">
    <w:pPr>
      <w:pStyle w:val="Sidfo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9</w:instrText>
    </w:r>
    <w:r>
      <w:fldChar w:fldCharType="end"/>
    </w:r>
    <w:r>
      <w:instrText xml:space="preserve">/2 </w:instrText>
    </w:r>
    <w:r>
      <w:fldChar w:fldCharType="separate"/>
    </w:r>
    <w:r>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9</w:instrText>
    </w:r>
    <w:r>
      <w:fldChar w:fldCharType="end"/>
    </w:r>
    <w:r>
      <w:instrText xml:space="preserve">/2) </w:instrText>
    </w:r>
    <w:r>
      <w:fldChar w:fldCharType="separate"/>
    </w:r>
    <w:r>
      <w:rPr>
        <w:noProof/>
      </w:rPr>
      <w:instrText>4</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10</w:instrText>
    </w:r>
    <w:r>
      <w:fldChar w:fldCharType="end"/>
    </w:r>
  </w:p>
  <w:p w:rsidR="001F6FC5" w:rsidRDefault="001F6FC5">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9</w:instrText>
    </w:r>
    <w:r>
      <w:fldChar w:fldCharType="end"/>
    </w:r>
    <w:r>
      <w:instrText>"</w:instrText>
    </w:r>
    <w:r>
      <w:fldChar w:fldCharType="separate"/>
    </w:r>
    <w:r>
      <w:rPr>
        <w:noProof/>
      </w:rPr>
      <w:t>9</w:t>
    </w:r>
    <w:r>
      <w:fldChar w:fldCharType="end"/>
    </w:r>
  </w:p>
  <w:p w:rsidR="001F6FC5" w:rsidRDefault="001F6FC5">
    <w:pPr>
      <w:pStyle w:val="Sidfo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22</w:t>
    </w:r>
    <w:r>
      <w:fldChar w:fldCharType="end"/>
    </w:r>
  </w:p>
  <w:p w:rsidR="001F6FC5" w:rsidRDefault="001F6FC5">
    <w:pPr>
      <w:pStyle w:val="Sidfo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23</w:t>
    </w:r>
    <w:r>
      <w:fldChar w:fldCharType="end"/>
    </w:r>
  </w:p>
  <w:p w:rsidR="001F6FC5" w:rsidRDefault="001F6FC5">
    <w:pPr>
      <w:pStyle w:val="Sidfo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14</w:instrText>
    </w:r>
    <w:r>
      <w:fldChar w:fldCharType="end"/>
    </w:r>
    <w:r>
      <w:instrText xml:space="preserve">/2 </w:instrText>
    </w:r>
    <w:r>
      <w:fldChar w:fldCharType="separate"/>
    </w:r>
    <w:r>
      <w:rPr>
        <w:noProof/>
      </w:rPr>
      <w:instrText>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14</w:instrText>
    </w:r>
    <w:r>
      <w:fldChar w:fldCharType="end"/>
    </w:r>
    <w:r>
      <w:instrText xml:space="preserve">/2) </w:instrText>
    </w:r>
    <w:r>
      <w:fldChar w:fldCharType="separate"/>
    </w:r>
    <w:r>
      <w:rPr>
        <w:noProof/>
      </w:rPr>
      <w:instrText>7</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14</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58</w:instrText>
    </w:r>
    <w:r>
      <w:fldChar w:fldCharType="end"/>
    </w:r>
    <w:r>
      <w:instrText>"</w:instrText>
    </w:r>
    <w:r>
      <w:fldChar w:fldCharType="separate"/>
    </w:r>
    <w:r>
      <w:rPr>
        <w:noProof/>
      </w:rPr>
      <w:t>14</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40</w:t>
    </w:r>
    <w:r>
      <w:fldChar w:fldCharType="end"/>
    </w:r>
  </w:p>
  <w:p w:rsidR="001F6FC5" w:rsidRDefault="001F6FC5">
    <w:pPr>
      <w:pStyle w:val="Sidfo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39</w:t>
    </w:r>
    <w:r>
      <w:fldChar w:fldCharType="end"/>
    </w:r>
  </w:p>
  <w:p w:rsidR="001F6FC5" w:rsidRDefault="001F6FC5">
    <w:pPr>
      <w:pStyle w:val="Sidfo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24</w:instrText>
    </w:r>
    <w:r>
      <w:fldChar w:fldCharType="end"/>
    </w:r>
    <w:r>
      <w:instrText xml:space="preserve">/2 </w:instrText>
    </w:r>
    <w:r>
      <w:fldChar w:fldCharType="separate"/>
    </w:r>
    <w:r>
      <w:rPr>
        <w:noProof/>
      </w:rPr>
      <w:instrText>12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24</w:instrText>
    </w:r>
    <w:r>
      <w:fldChar w:fldCharType="end"/>
    </w:r>
    <w:r>
      <w:instrText xml:space="preserve">/2) </w:instrText>
    </w:r>
    <w:r>
      <w:fldChar w:fldCharType="separate"/>
    </w:r>
    <w:r>
      <w:rPr>
        <w:noProof/>
      </w:rPr>
      <w:instrText>12</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24</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25</w:instrText>
    </w:r>
    <w:r>
      <w:fldChar w:fldCharType="end"/>
    </w:r>
    <w:r>
      <w:instrText>"</w:instrText>
    </w:r>
    <w:r>
      <w:fldChar w:fldCharType="separate"/>
    </w:r>
    <w:r>
      <w:rPr>
        <w:noProof/>
      </w:rPr>
      <w:t>24</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fotV"/>
      <w:framePr w:w="8957" w:h="283" w:hRule="exact" w:hSpace="0" w:vSpace="0" w:wrap="around" w:xAlign="inside" w:y="13040" w:anchorLock="0"/>
    </w:pPr>
    <w:r>
      <w:fldChar w:fldCharType="begin"/>
    </w:r>
    <w:r>
      <w:instrText xml:space="preserve"> PAGE </w:instrText>
    </w:r>
    <w:r>
      <w:fldChar w:fldCharType="separate"/>
    </w:r>
    <w:r>
      <w:rPr>
        <w:noProof/>
      </w:rPr>
      <w:t>60</w:t>
    </w:r>
    <w:r>
      <w:fldChar w:fldCharType="end"/>
    </w:r>
  </w:p>
  <w:p w:rsidR="001F6FC5" w:rsidRDefault="001F6F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3</w:t>
    </w:r>
    <w:r>
      <w:fldChar w:fldCharType="end"/>
    </w:r>
  </w:p>
  <w:p w:rsidR="001F6FC5" w:rsidRDefault="001F6FC5">
    <w:pPr>
      <w:pStyle w:val="Sidfo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fotH"/>
      <w:framePr w:w="8957" w:h="283" w:hRule="exact" w:hSpace="0" w:vSpace="0" w:wrap="around" w:xAlign="inside" w:y="13040" w:anchorLock="0"/>
    </w:pPr>
    <w:r>
      <w:fldChar w:fldCharType="begin"/>
    </w:r>
    <w:r>
      <w:instrText xml:space="preserve"> PAGE </w:instrText>
    </w:r>
    <w:r>
      <w:fldChar w:fldCharType="separate"/>
    </w:r>
    <w:r>
      <w:rPr>
        <w:noProof/>
      </w:rPr>
      <w:t>59</w:t>
    </w:r>
    <w:r>
      <w:fldChar w:fldCharType="end"/>
    </w:r>
  </w:p>
  <w:p w:rsidR="001F6FC5" w:rsidRDefault="001F6FC5">
    <w:pPr>
      <w:pStyle w:val="Sidfo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41</w:instrText>
    </w:r>
    <w:r>
      <w:fldChar w:fldCharType="end"/>
    </w:r>
    <w:r>
      <w:instrText xml:space="preserve">/2 </w:instrText>
    </w:r>
    <w:r>
      <w:fldChar w:fldCharType="separate"/>
    </w:r>
    <w:r>
      <w:rPr>
        <w:noProof/>
      </w:rPr>
      <w:instrText>20,5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41</w:instrText>
    </w:r>
    <w:r>
      <w:fldChar w:fldCharType="end"/>
    </w:r>
    <w:r>
      <w:instrText xml:space="preserve">/2) </w:instrText>
    </w:r>
    <w:r>
      <w:fldChar w:fldCharType="separate"/>
    </w:r>
    <w:r>
      <w:rPr>
        <w:noProof/>
      </w:rPr>
      <w:instrText>20</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42</w:instrText>
    </w:r>
    <w:r>
      <w:fldChar w:fldCharType="end"/>
    </w:r>
  </w:p>
  <w:p w:rsidR="001F6FC5" w:rsidRDefault="001F6FC5" w:rsidP="00496CC8">
    <w:pPr>
      <w:pStyle w:val="SidfotH"/>
      <w:framePr w:w="8957" w:h="283" w:hRule="exact" w:hSpace="0" w:vSpace="0" w:wrap="around" w:xAlign="inside" w:y="13040" w:anchorLock="0"/>
    </w:pPr>
    <w:r>
      <w:instrText>""</w:instrText>
    </w:r>
    <w:r>
      <w:fldChar w:fldCharType="begin"/>
    </w:r>
    <w:r>
      <w:instrText xml:space="preserve"> PAGE </w:instrText>
    </w:r>
    <w:r>
      <w:fldChar w:fldCharType="separate"/>
    </w:r>
    <w:r>
      <w:rPr>
        <w:noProof/>
      </w:rPr>
      <w:instrText>41</w:instrText>
    </w:r>
    <w:r>
      <w:fldChar w:fldCharType="end"/>
    </w:r>
    <w:r>
      <w:instrText>"</w:instrText>
    </w:r>
    <w:r>
      <w:fldChar w:fldCharType="separate"/>
    </w:r>
    <w:r>
      <w:rPr>
        <w:noProof/>
      </w:rPr>
      <w:t>41</w:t>
    </w:r>
    <w:r>
      <w:fldChar w:fldCharType="end"/>
    </w:r>
  </w:p>
  <w:p w:rsidR="001F6FC5" w:rsidRDefault="001F6FC5">
    <w:pPr>
      <w:pStyle w:val="Sidfo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76</w:t>
    </w:r>
    <w:r>
      <w:fldChar w:fldCharType="end"/>
    </w:r>
  </w:p>
  <w:p w:rsidR="001F6FC5" w:rsidRDefault="001F6FC5">
    <w:pPr>
      <w:pStyle w:val="Sidfo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75</w:t>
    </w:r>
    <w:r>
      <w:fldChar w:fldCharType="end"/>
    </w:r>
  </w:p>
  <w:p w:rsidR="001F6FC5" w:rsidRDefault="001F6FC5">
    <w:pPr>
      <w:pStyle w:val="Sidfo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60</w:instrText>
    </w:r>
    <w:r>
      <w:fldChar w:fldCharType="end"/>
    </w:r>
  </w:p>
  <w:p w:rsidR="001F6FC5" w:rsidRDefault="001F6FC5">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61</w:instrText>
    </w:r>
    <w:r>
      <w:fldChar w:fldCharType="end"/>
    </w:r>
    <w:r>
      <w:instrText>"</w:instrText>
    </w:r>
    <w:r>
      <w:fldChar w:fldCharType="separate"/>
    </w:r>
    <w:r>
      <w:rPr>
        <w:noProof/>
      </w:rPr>
      <w:t>61</w:t>
    </w:r>
    <w:r>
      <w:fldChar w:fldCharType="end"/>
    </w:r>
  </w:p>
  <w:p w:rsidR="001F6FC5" w:rsidRDefault="001F6FC5">
    <w:pPr>
      <w:pStyle w:val="Sidfo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112</w:t>
    </w:r>
    <w:r>
      <w:fldChar w:fldCharType="end"/>
    </w:r>
  </w:p>
  <w:p w:rsidR="001F6FC5" w:rsidRDefault="001F6FC5">
    <w:pPr>
      <w:pStyle w:val="Sidfo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111</w:t>
    </w:r>
    <w:r>
      <w:fldChar w:fldCharType="end"/>
    </w:r>
  </w:p>
  <w:p w:rsidR="001F6FC5" w:rsidRDefault="001F6FC5">
    <w:pPr>
      <w:pStyle w:val="Sidfo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77</w:instrText>
    </w:r>
    <w:r>
      <w:fldChar w:fldCharType="end"/>
    </w:r>
    <w:r>
      <w:instrText xml:space="preserve">/2 </w:instrText>
    </w:r>
    <w:r>
      <w:fldChar w:fldCharType="separate"/>
    </w:r>
    <w:r>
      <w:rPr>
        <w:noProof/>
      </w:rPr>
      <w:instrText>38,5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77</w:instrText>
    </w:r>
    <w:r>
      <w:fldChar w:fldCharType="end"/>
    </w:r>
    <w:r>
      <w:instrText xml:space="preserve">/2) </w:instrText>
    </w:r>
    <w:r>
      <w:fldChar w:fldCharType="separate"/>
    </w:r>
    <w:r>
      <w:rPr>
        <w:noProof/>
      </w:rPr>
      <w:instrText>38</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76</w:instrText>
    </w:r>
    <w:r>
      <w:fldChar w:fldCharType="end"/>
    </w:r>
  </w:p>
  <w:p w:rsidR="001F6FC5" w:rsidRDefault="001F6FC5">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77</w:instrText>
    </w:r>
    <w:r>
      <w:fldChar w:fldCharType="end"/>
    </w:r>
    <w:r>
      <w:instrText>"</w:instrText>
    </w:r>
    <w:r>
      <w:fldChar w:fldCharType="separate"/>
    </w:r>
    <w:r>
      <w:rPr>
        <w:noProof/>
      </w:rPr>
      <w:t>77</w:t>
    </w:r>
    <w:r>
      <w:fldChar w:fldCharType="end"/>
    </w:r>
  </w:p>
  <w:p w:rsidR="001F6FC5" w:rsidRDefault="001F6FC5">
    <w:pPr>
      <w:pStyle w:val="Sidfo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fotV"/>
      <w:framePr w:w="8957" w:h="283" w:hRule="exact" w:hSpace="0" w:vSpace="0" w:wrap="around" w:xAlign="inside" w:y="13040" w:anchorLock="0"/>
    </w:pPr>
    <w:r>
      <w:fldChar w:fldCharType="begin"/>
    </w:r>
    <w:r>
      <w:instrText xml:space="preserve"> PAGE </w:instrText>
    </w:r>
    <w:r>
      <w:fldChar w:fldCharType="separate"/>
    </w:r>
    <w:r>
      <w:rPr>
        <w:noProof/>
      </w:rPr>
      <w:t>18</w:t>
    </w:r>
    <w:r>
      <w:fldChar w:fldCharType="end"/>
    </w:r>
  </w:p>
  <w:p w:rsidR="001F6FC5" w:rsidRDefault="001F6FC5">
    <w:pPr>
      <w:pStyle w:val="Sidfo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fotH"/>
      <w:framePr w:w="8957" w:h="283" w:hRule="exact" w:hSpace="0" w:vSpace="0" w:wrap="around" w:xAlign="inside" w:y="13040" w:anchorLock="0"/>
    </w:pPr>
    <w:r>
      <w:fldChar w:fldCharType="begin"/>
    </w:r>
    <w:r>
      <w:instrText xml:space="preserve"> PAGE </w:instrText>
    </w:r>
    <w:r>
      <w:fldChar w:fldCharType="separate"/>
    </w:r>
    <w:r>
      <w:rPr>
        <w:noProof/>
      </w:rPr>
      <w:t>21</w:t>
    </w:r>
    <w:r>
      <w:fldChar w:fldCharType="end"/>
    </w:r>
  </w:p>
  <w:p w:rsidR="001F6FC5" w:rsidRDefault="001F6FC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A12E15">
      <w:rPr>
        <w:noProof/>
      </w:rPr>
      <w:instrText>1</w:instrText>
    </w:r>
    <w:r>
      <w:fldChar w:fldCharType="end"/>
    </w:r>
    <w:r>
      <w:instrText xml:space="preserve">/2 </w:instrText>
    </w:r>
    <w:r>
      <w:fldChar w:fldCharType="separate"/>
    </w:r>
    <w:r w:rsidR="00A12E15">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A12E15">
      <w:rPr>
        <w:noProof/>
      </w:rPr>
      <w:instrText>1</w:instrText>
    </w:r>
    <w:r>
      <w:fldChar w:fldCharType="end"/>
    </w:r>
    <w:r>
      <w:instrText xml:space="preserve">/2) </w:instrText>
    </w:r>
    <w:r>
      <w:fldChar w:fldCharType="separate"/>
    </w:r>
    <w:r w:rsidR="00A12E15">
      <w:rPr>
        <w:noProof/>
      </w:rPr>
      <w:instrText>0</w:instrText>
    </w:r>
    <w:r>
      <w:fldChar w:fldCharType="end"/>
    </w:r>
    <w:r>
      <w:fldChar w:fldCharType="separate"/>
    </w:r>
    <w:r w:rsidR="00A12E15">
      <w:rPr>
        <w:noProof/>
      </w:rPr>
      <w:instrText>0,5</w:instrText>
    </w:r>
    <w:r>
      <w:fldChar w:fldCharType="end"/>
    </w:r>
    <w:r>
      <w:instrText xml:space="preserve"> = 0 "</w:instrText>
    </w:r>
    <w:r>
      <w:fldChar w:fldCharType="begin"/>
    </w:r>
    <w:r>
      <w:instrText xml:space="preserve"> PAGE </w:instrText>
    </w:r>
    <w:r>
      <w:fldChar w:fldCharType="separate"/>
    </w:r>
    <w:r>
      <w:rPr>
        <w:noProof/>
      </w:rPr>
      <w:instrText>14</w:instrText>
    </w:r>
    <w:r>
      <w:fldChar w:fldCharType="end"/>
    </w:r>
  </w:p>
  <w:p w:rsidR="001F6FC5" w:rsidRDefault="001F6FC5">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sidR="00A12E15">
      <w:rPr>
        <w:noProof/>
      </w:rPr>
      <w:instrText>1</w:instrText>
    </w:r>
    <w:r>
      <w:fldChar w:fldCharType="end"/>
    </w:r>
    <w:r>
      <w:instrText>"</w:instrText>
    </w:r>
    <w:r>
      <w:fldChar w:fldCharType="separate"/>
    </w:r>
    <w:r w:rsidR="00A12E15">
      <w:rPr>
        <w:noProof/>
      </w:rPr>
      <w:t>1</w:t>
    </w:r>
    <w:r>
      <w:fldChar w:fldCharType="end"/>
    </w:r>
  </w:p>
  <w:p w:rsidR="001F6FC5" w:rsidRDefault="001F6FC5">
    <w:pPr>
      <w:pStyle w:val="Sidfo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113</w:instrText>
    </w:r>
    <w:r>
      <w:fldChar w:fldCharType="end"/>
    </w:r>
    <w:r>
      <w:instrText xml:space="preserve">/2 </w:instrText>
    </w:r>
    <w:r>
      <w:fldChar w:fldCharType="separate"/>
    </w:r>
    <w:r>
      <w:rPr>
        <w:noProof/>
      </w:rPr>
      <w:instrText>56,5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113</w:instrText>
    </w:r>
    <w:r>
      <w:fldChar w:fldCharType="end"/>
    </w:r>
    <w:r>
      <w:instrText xml:space="preserve">/2) </w:instrText>
    </w:r>
    <w:r>
      <w:fldChar w:fldCharType="separate"/>
    </w:r>
    <w:r>
      <w:rPr>
        <w:noProof/>
      </w:rPr>
      <w:instrText>56</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112</w:instrText>
    </w:r>
    <w:r>
      <w:fldChar w:fldCharType="end"/>
    </w:r>
  </w:p>
  <w:p w:rsidR="001F6FC5" w:rsidRDefault="001F6FC5" w:rsidP="00F14A01">
    <w:pPr>
      <w:pStyle w:val="SidfotH"/>
      <w:framePr w:w="8957" w:h="283" w:hRule="exact" w:hSpace="0" w:vSpace="0" w:wrap="around" w:xAlign="inside" w:y="13040" w:anchorLock="0"/>
    </w:pPr>
    <w:r>
      <w:instrText>""</w:instrText>
    </w:r>
    <w:r>
      <w:fldChar w:fldCharType="begin"/>
    </w:r>
    <w:r>
      <w:instrText xml:space="preserve"> PAGE </w:instrText>
    </w:r>
    <w:r>
      <w:fldChar w:fldCharType="separate"/>
    </w:r>
    <w:r>
      <w:rPr>
        <w:noProof/>
      </w:rPr>
      <w:instrText>113</w:instrText>
    </w:r>
    <w:r>
      <w:fldChar w:fldCharType="end"/>
    </w:r>
    <w:r>
      <w:instrText>"</w:instrText>
    </w:r>
    <w:r>
      <w:fldChar w:fldCharType="separate"/>
    </w:r>
    <w:r>
      <w:rPr>
        <w:noProof/>
      </w:rPr>
      <w:t>113</w:t>
    </w:r>
    <w:r>
      <w:fldChar w:fldCharType="end"/>
    </w:r>
  </w:p>
  <w:p w:rsidR="001F6FC5" w:rsidRDefault="001F6FC5">
    <w:pPr>
      <w:pStyle w:val="Sidfo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114</w:t>
    </w:r>
    <w:r>
      <w:fldChar w:fldCharType="end"/>
    </w:r>
  </w:p>
  <w:p w:rsidR="001F6FC5" w:rsidRDefault="001F6FC5">
    <w:pPr>
      <w:pStyle w:val="Sidfo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115</w:t>
    </w:r>
    <w:r>
      <w:fldChar w:fldCharType="end"/>
    </w:r>
  </w:p>
  <w:p w:rsidR="001F6FC5" w:rsidRDefault="001F6FC5">
    <w:pPr>
      <w:pStyle w:val="Sidfo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114</w:instrText>
    </w:r>
    <w:r>
      <w:fldChar w:fldCharType="end"/>
    </w:r>
    <w:r>
      <w:instrText xml:space="preserve">/2 </w:instrText>
    </w:r>
    <w:r>
      <w:fldChar w:fldCharType="separate"/>
    </w:r>
    <w:r>
      <w:rPr>
        <w:noProof/>
      </w:rPr>
      <w:instrText>57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114</w:instrText>
    </w:r>
    <w:r>
      <w:fldChar w:fldCharType="end"/>
    </w:r>
    <w:r>
      <w:instrText xml:space="preserve">/2) </w:instrText>
    </w:r>
    <w:r>
      <w:fldChar w:fldCharType="separate"/>
    </w:r>
    <w:r>
      <w:rPr>
        <w:noProof/>
      </w:rPr>
      <w:instrText>57</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114</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113</w:instrText>
    </w:r>
    <w:r>
      <w:fldChar w:fldCharType="end"/>
    </w:r>
    <w:r>
      <w:instrText>"</w:instrText>
    </w:r>
    <w:r>
      <w:fldChar w:fldCharType="separate"/>
    </w:r>
    <w:r>
      <w:rPr>
        <w:noProof/>
      </w:rPr>
      <w:t>114</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122</w:t>
    </w:r>
    <w:r>
      <w:fldChar w:fldCharType="end"/>
    </w:r>
  </w:p>
  <w:p w:rsidR="001F6FC5" w:rsidRDefault="001F6FC5">
    <w:pPr>
      <w:pStyle w:val="Sidfo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121</w:t>
    </w:r>
    <w:r>
      <w:fldChar w:fldCharType="end"/>
    </w:r>
  </w:p>
  <w:p w:rsidR="001F6FC5" w:rsidRDefault="001F6FC5">
    <w:pPr>
      <w:pStyle w:val="Sidfo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116</w:instrText>
    </w:r>
    <w:r>
      <w:fldChar w:fldCharType="end"/>
    </w:r>
    <w:r>
      <w:instrText xml:space="preserve">/2 </w:instrText>
    </w:r>
    <w:r>
      <w:fldChar w:fldCharType="separate"/>
    </w:r>
    <w:r>
      <w:rPr>
        <w:noProof/>
      </w:rPr>
      <w:instrText>58</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116</w:instrText>
    </w:r>
    <w:r>
      <w:fldChar w:fldCharType="end"/>
    </w:r>
    <w:r>
      <w:instrText xml:space="preserve">/2) </w:instrText>
    </w:r>
    <w:r>
      <w:fldChar w:fldCharType="separate"/>
    </w:r>
    <w:r>
      <w:rPr>
        <w:noProof/>
      </w:rPr>
      <w:instrText>58</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116</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115</w:instrText>
    </w:r>
    <w:r>
      <w:fldChar w:fldCharType="end"/>
    </w:r>
    <w:r>
      <w:instrText>"</w:instrText>
    </w:r>
    <w:r>
      <w:fldChar w:fldCharType="separate"/>
    </w:r>
    <w:r>
      <w:rPr>
        <w:noProof/>
      </w:rPr>
      <w:t>116</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V"/>
      <w:framePr w:w="8957" w:h="283" w:hRule="exact" w:hSpace="0" w:vSpace="0" w:wrap="around" w:xAlign="inside" w:y="13040" w:anchorLock="0"/>
    </w:pPr>
    <w:r>
      <w:fldChar w:fldCharType="begin"/>
    </w:r>
    <w:r>
      <w:instrText xml:space="preserve"> PAGE </w:instrText>
    </w:r>
    <w:r>
      <w:fldChar w:fldCharType="separate"/>
    </w:r>
    <w:r>
      <w:rPr>
        <w:noProof/>
      </w:rPr>
      <w:t>118</w:t>
    </w:r>
    <w:r>
      <w:fldChar w:fldCharType="end"/>
    </w:r>
  </w:p>
  <w:p w:rsidR="001F6FC5" w:rsidRDefault="001F6FC5">
    <w:pPr>
      <w:pStyle w:val="Sidfo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H"/>
      <w:framePr w:w="8957" w:h="283" w:hRule="exact" w:hSpace="0" w:vSpace="0" w:wrap="around" w:xAlign="inside" w:y="13040" w:anchorLock="0"/>
    </w:pPr>
    <w:r>
      <w:fldChar w:fldCharType="begin"/>
    </w:r>
    <w:r>
      <w:instrText xml:space="preserve"> PAGE </w:instrText>
    </w:r>
    <w:r>
      <w:fldChar w:fldCharType="separate"/>
    </w:r>
    <w:r>
      <w:rPr>
        <w:noProof/>
      </w:rPr>
      <w:t>117</w:t>
    </w:r>
    <w:r>
      <w:fldChar w:fldCharType="end"/>
    </w:r>
  </w:p>
  <w:p w:rsidR="001F6FC5" w:rsidRDefault="001F6FC5">
    <w:pPr>
      <w:pStyle w:val="Sidfo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117</w:instrText>
    </w:r>
    <w:r>
      <w:fldChar w:fldCharType="end"/>
    </w:r>
    <w:r>
      <w:instrText xml:space="preserve">/2 </w:instrText>
    </w:r>
    <w:r>
      <w:fldChar w:fldCharType="separate"/>
    </w:r>
    <w:r>
      <w:rPr>
        <w:noProof/>
      </w:rPr>
      <w:instrText>58,5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117</w:instrText>
    </w:r>
    <w:r>
      <w:fldChar w:fldCharType="end"/>
    </w:r>
    <w:r>
      <w:instrText xml:space="preserve">/2) </w:instrText>
    </w:r>
    <w:r>
      <w:fldChar w:fldCharType="separate"/>
    </w:r>
    <w:r>
      <w:rPr>
        <w:noProof/>
      </w:rPr>
      <w:instrText>58</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116</w:instrText>
    </w:r>
    <w:r>
      <w:fldChar w:fldCharType="end"/>
    </w:r>
  </w:p>
  <w:p w:rsidR="001F6FC5" w:rsidRDefault="001F6FC5" w:rsidP="002214F2">
    <w:pPr>
      <w:pStyle w:val="SidfotH"/>
      <w:framePr w:w="8957" w:h="283" w:hRule="exact" w:hSpace="0" w:vSpace="0" w:wrap="around" w:xAlign="inside" w:y="13040" w:anchorLock="0"/>
    </w:pPr>
    <w:r>
      <w:instrText>""</w:instrText>
    </w:r>
    <w:r>
      <w:fldChar w:fldCharType="begin"/>
    </w:r>
    <w:r>
      <w:instrText xml:space="preserve"> PAGE </w:instrText>
    </w:r>
    <w:r>
      <w:fldChar w:fldCharType="separate"/>
    </w:r>
    <w:r>
      <w:rPr>
        <w:noProof/>
      </w:rPr>
      <w:instrText>117</w:instrText>
    </w:r>
    <w:r>
      <w:fldChar w:fldCharType="end"/>
    </w:r>
    <w:r>
      <w:instrText>"</w:instrText>
    </w:r>
    <w:r>
      <w:fldChar w:fldCharType="separate"/>
    </w:r>
    <w:r>
      <w:rPr>
        <w:noProof/>
      </w:rPr>
      <w:t>117</w:t>
    </w:r>
    <w:r>
      <w:fldChar w:fldCharType="end"/>
    </w:r>
  </w:p>
  <w:p w:rsidR="001F6FC5" w:rsidRDefault="001F6FC5">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6</w:t>
    </w:r>
    <w:r>
      <w:fldChar w:fldCharType="end"/>
    </w:r>
  </w:p>
  <w:p w:rsidR="001F6FC5" w:rsidRDefault="001F6FC5">
    <w:pPr>
      <w:pStyle w:val="Sidfo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V"/>
      <w:framePr w:w="8957" w:h="283" w:hRule="exact" w:hSpace="0" w:vSpace="0" w:wrap="around" w:xAlign="inside" w:y="13040" w:anchorLock="0"/>
    </w:pPr>
    <w:r>
      <w:fldChar w:fldCharType="begin"/>
    </w:r>
    <w:r>
      <w:instrText xml:space="preserve"> PAGE </w:instrText>
    </w:r>
    <w:r>
      <w:fldChar w:fldCharType="separate"/>
    </w:r>
    <w:r>
      <w:rPr>
        <w:noProof/>
      </w:rPr>
      <w:t>126</w:t>
    </w:r>
    <w:r>
      <w:fldChar w:fldCharType="end"/>
    </w:r>
  </w:p>
  <w:p w:rsidR="001F6FC5" w:rsidRDefault="001F6FC5">
    <w:pPr>
      <w:pStyle w:val="Sidfot"/>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H"/>
      <w:framePr w:w="8957" w:h="283" w:hRule="exact" w:hSpace="0" w:vSpace="0" w:wrap="around" w:xAlign="inside" w:y="13040" w:anchorLock="0"/>
    </w:pPr>
    <w:r>
      <w:fldChar w:fldCharType="begin"/>
    </w:r>
    <w:r>
      <w:instrText xml:space="preserve"> PAGE </w:instrText>
    </w:r>
    <w:r>
      <w:fldChar w:fldCharType="separate"/>
    </w:r>
    <w:r>
      <w:rPr>
        <w:noProof/>
      </w:rPr>
      <w:t>125</w:t>
    </w:r>
    <w:r>
      <w:fldChar w:fldCharType="end"/>
    </w:r>
  </w:p>
  <w:p w:rsidR="001F6FC5" w:rsidRDefault="001F6FC5">
    <w:pPr>
      <w:pStyle w:val="Sidfo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119</w:instrText>
    </w:r>
    <w:r>
      <w:fldChar w:fldCharType="end"/>
    </w:r>
    <w:r>
      <w:instrText xml:space="preserve">/2 </w:instrText>
    </w:r>
    <w:r>
      <w:fldChar w:fldCharType="separate"/>
    </w:r>
    <w:r>
      <w:rPr>
        <w:noProof/>
      </w:rPr>
      <w:instrText>59,5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119</w:instrText>
    </w:r>
    <w:r>
      <w:fldChar w:fldCharType="end"/>
    </w:r>
    <w:r>
      <w:instrText xml:space="preserve">/2) </w:instrText>
    </w:r>
    <w:r>
      <w:fldChar w:fldCharType="separate"/>
    </w:r>
    <w:r>
      <w:rPr>
        <w:noProof/>
      </w:rPr>
      <w:instrText>59</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118</w:instrText>
    </w:r>
    <w:r>
      <w:fldChar w:fldCharType="end"/>
    </w:r>
  </w:p>
  <w:p w:rsidR="001F6FC5" w:rsidRDefault="001F6FC5" w:rsidP="002214F2">
    <w:pPr>
      <w:pStyle w:val="SidfotH"/>
      <w:framePr w:w="8957" w:h="283" w:hRule="exact" w:hSpace="0" w:vSpace="0" w:wrap="around" w:xAlign="inside" w:y="13040" w:anchorLock="0"/>
    </w:pPr>
    <w:r>
      <w:instrText>""</w:instrText>
    </w:r>
    <w:r>
      <w:fldChar w:fldCharType="begin"/>
    </w:r>
    <w:r>
      <w:instrText xml:space="preserve"> PAGE </w:instrText>
    </w:r>
    <w:r>
      <w:fldChar w:fldCharType="separate"/>
    </w:r>
    <w:r>
      <w:rPr>
        <w:noProof/>
      </w:rPr>
      <w:instrText>119</w:instrText>
    </w:r>
    <w:r>
      <w:fldChar w:fldCharType="end"/>
    </w:r>
    <w:r>
      <w:instrText>"</w:instrText>
    </w:r>
    <w:r>
      <w:fldChar w:fldCharType="separate"/>
    </w:r>
    <w:r>
      <w:rPr>
        <w:noProof/>
      </w:rPr>
      <w:t>119</w:t>
    </w:r>
    <w:r>
      <w:fldChar w:fldCharType="end"/>
    </w:r>
  </w:p>
  <w:p w:rsidR="001F6FC5" w:rsidRDefault="001F6FC5">
    <w:pPr>
      <w:pStyle w:val="Sidfot"/>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124</w:t>
    </w:r>
    <w:r>
      <w:fldChar w:fldCharType="end"/>
    </w:r>
  </w:p>
  <w:p w:rsidR="001F6FC5" w:rsidRDefault="001F6FC5">
    <w:pPr>
      <w:pStyle w:val="Sidfo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sidR="00EA0137">
      <w:rPr>
        <w:noProof/>
      </w:rPr>
      <w:t>125</w:t>
    </w:r>
    <w:r>
      <w:fldChar w:fldCharType="end"/>
    </w:r>
  </w:p>
  <w:p w:rsidR="001F6FC5" w:rsidRDefault="001F6FC5">
    <w:pPr>
      <w:pStyle w:val="Sidfo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120</w:instrText>
    </w:r>
    <w:r>
      <w:fldChar w:fldCharType="end"/>
    </w:r>
    <w:r>
      <w:instrText xml:space="preserve">/2 </w:instrText>
    </w:r>
    <w:r>
      <w:fldChar w:fldCharType="separate"/>
    </w:r>
    <w:r>
      <w:rPr>
        <w:noProof/>
      </w:rPr>
      <w:instrText>60</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120</w:instrText>
    </w:r>
    <w:r>
      <w:fldChar w:fldCharType="end"/>
    </w:r>
    <w:r>
      <w:instrText xml:space="preserve">/2) </w:instrText>
    </w:r>
    <w:r>
      <w:fldChar w:fldCharType="separate"/>
    </w:r>
    <w:r>
      <w:rPr>
        <w:noProof/>
      </w:rPr>
      <w:instrText>60</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120</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119</w:instrText>
    </w:r>
    <w:r>
      <w:fldChar w:fldCharType="end"/>
    </w:r>
    <w:r>
      <w:instrText>"</w:instrText>
    </w:r>
    <w:r>
      <w:fldChar w:fldCharType="separate"/>
    </w:r>
    <w:r>
      <w:rPr>
        <w:noProof/>
      </w:rPr>
      <w:t>120</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3</w:t>
    </w:r>
    <w:r>
      <w:fldChar w:fldCharType="end"/>
    </w:r>
  </w:p>
  <w:p w:rsidR="001F6FC5" w:rsidRDefault="001F6FC5">
    <w:pPr>
      <w:pStyle w:val="Sidfo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w:instrText>
    </w:r>
    <w:r>
      <w:fldChar w:fldCharType="end"/>
    </w:r>
    <w:r>
      <w:fldChar w:fldCharType="separate"/>
    </w:r>
    <w:r>
      <w:rPr>
        <w:noProof/>
      </w:rPr>
      <w:instrText>0,5</w:instrText>
    </w:r>
    <w:r>
      <w:fldChar w:fldCharType="end"/>
    </w:r>
    <w:r>
      <w:instrText xml:space="preserve"> = 0 "</w:instrText>
    </w:r>
    <w:r>
      <w:fldChar w:fldCharType="begin"/>
    </w:r>
    <w:r>
      <w:instrText xml:space="preserve"> PAGE </w:instrText>
    </w:r>
    <w:r>
      <w:fldChar w:fldCharType="separate"/>
    </w:r>
    <w:r>
      <w:rPr>
        <w:noProof/>
      </w:rPr>
      <w:instrText>6</w:instrText>
    </w:r>
    <w:r>
      <w:fldChar w:fldCharType="end"/>
    </w:r>
  </w:p>
  <w:p w:rsidR="001F6FC5" w:rsidRDefault="001F6FC5">
    <w:pPr>
      <w:pStyle w:val="SidfotH"/>
      <w:framePr w:w="8732" w:h="284" w:hRule="exact" w:hSpace="0" w:vSpace="0" w:wrap="around" w:xAlign="inside" w:y="13042" w:anchorLock="0"/>
    </w:pPr>
    <w:r>
      <w:instrText>""</w:instrText>
    </w:r>
    <w:r>
      <w:fldChar w:fldCharType="begin"/>
    </w:r>
    <w:r>
      <w:instrText xml:space="preserve"> PAGE </w:instrText>
    </w:r>
    <w:r>
      <w:fldChar w:fldCharType="separate"/>
    </w:r>
    <w:r>
      <w:rPr>
        <w:noProof/>
      </w:rPr>
      <w:instrText>5</w:instrText>
    </w:r>
    <w:r>
      <w:fldChar w:fldCharType="end"/>
    </w:r>
    <w:r>
      <w:instrText>"</w:instrText>
    </w:r>
    <w:r>
      <w:fldChar w:fldCharType="separate"/>
    </w:r>
    <w:r>
      <w:rPr>
        <w:noProof/>
      </w:rPr>
      <w:t>5</w:t>
    </w:r>
    <w:r>
      <w:fldChar w:fldCharType="end"/>
    </w:r>
  </w:p>
  <w:p w:rsidR="001F6FC5" w:rsidRDefault="001F6FC5">
    <w:pPr>
      <w:pStyle w:val="Sidfo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PAGE </w:instrText>
    </w:r>
    <w:r>
      <w:fldChar w:fldCharType="separate"/>
    </w:r>
    <w:r>
      <w:rPr>
        <w:noProof/>
      </w:rPr>
      <w:t>8</w:t>
    </w:r>
    <w:r>
      <w:fldChar w:fldCharType="end"/>
    </w:r>
  </w:p>
  <w:p w:rsidR="001F6FC5" w:rsidRDefault="001F6FC5">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H"/>
      <w:framePr w:w="8732" w:h="284" w:hRule="exact" w:hSpace="0" w:vSpace="0" w:wrap="around" w:xAlign="inside" w:y="13042" w:anchorLock="0"/>
    </w:pPr>
    <w:r>
      <w:fldChar w:fldCharType="begin"/>
    </w:r>
    <w:r>
      <w:instrText xml:space="preserve"> PAGE </w:instrText>
    </w:r>
    <w:r>
      <w:fldChar w:fldCharType="separate"/>
    </w:r>
    <w:r>
      <w:rPr>
        <w:noProof/>
      </w:rPr>
      <w:t>7</w:t>
    </w:r>
    <w:r>
      <w:fldChar w:fldCharType="end"/>
    </w:r>
  </w:p>
  <w:p w:rsidR="001F6FC5" w:rsidRDefault="001F6FC5">
    <w:pPr>
      <w:pStyle w:val="Sidfo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fldChar w:fldCharType="separate"/>
    </w:r>
    <w:r>
      <w:rPr>
        <w:noProof/>
      </w:rPr>
      <w:instrText>0</w:instrText>
    </w:r>
    <w:r>
      <w:fldChar w:fldCharType="end"/>
    </w:r>
    <w:r>
      <w:instrText xml:space="preserve"> = 0 "</w:instrText>
    </w:r>
    <w:r>
      <w:fldChar w:fldCharType="begin"/>
    </w:r>
    <w:r>
      <w:instrText xml:space="preserve"> PAGE </w:instrText>
    </w:r>
    <w:r>
      <w:fldChar w:fldCharType="separate"/>
    </w:r>
    <w:r>
      <w:rPr>
        <w:noProof/>
      </w:rPr>
      <w:instrText>6</w:instrText>
    </w:r>
    <w:r>
      <w:fldChar w:fldCharType="end"/>
    </w:r>
  </w:p>
  <w:p w:rsidR="001F6FC5" w:rsidRDefault="001F6FC5">
    <w:pPr>
      <w:pStyle w:val="SidfotV"/>
      <w:framePr w:w="8732" w:h="284" w:hRule="exact" w:hSpace="0" w:vSpace="0" w:wrap="around" w:xAlign="inside" w:y="13042" w:anchorLock="0"/>
      <w:rPr>
        <w:noProof/>
      </w:rPr>
    </w:pPr>
    <w:r>
      <w:instrText>""</w:instrText>
    </w:r>
    <w:r>
      <w:fldChar w:fldCharType="begin"/>
    </w:r>
    <w:r>
      <w:instrText xml:space="preserve"> PAGE </w:instrText>
    </w:r>
    <w:r>
      <w:fldChar w:fldCharType="separate"/>
    </w:r>
    <w:r>
      <w:rPr>
        <w:noProof/>
      </w:rPr>
      <w:instrText>7</w:instrText>
    </w:r>
    <w:r>
      <w:fldChar w:fldCharType="end"/>
    </w:r>
    <w:r>
      <w:instrText>"</w:instrText>
    </w:r>
    <w:r>
      <w:fldChar w:fldCharType="separate"/>
    </w:r>
    <w:r>
      <w:rPr>
        <w:noProof/>
      </w:rPr>
      <w:t>6</w:t>
    </w:r>
  </w:p>
  <w:p w:rsidR="001F6FC5" w:rsidRDefault="001F6FC5">
    <w:pPr>
      <w:pStyle w:val="SidfotH"/>
      <w:framePr w:w="8732" w:h="284" w:hRule="exact" w:hSpace="0" w:vSpace="0" w:wrap="around" w:xAlign="inside" w:y="13042" w:anchorLock="0"/>
    </w:pPr>
    <w:r>
      <w:fldChar w:fldCharType="end"/>
    </w:r>
  </w:p>
  <w:p w:rsidR="001F6FC5" w:rsidRDefault="001F6FC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C5" w:rsidRDefault="001F6FC5">
      <w:r>
        <w:separator/>
      </w:r>
    </w:p>
  </w:footnote>
  <w:footnote w:type="continuationSeparator" w:id="0">
    <w:p w:rsidR="001F6FC5" w:rsidRDefault="001F6FC5">
      <w:r>
        <w:continuationSeparator/>
      </w:r>
    </w:p>
  </w:footnote>
  <w:footnote w:type="continuationNotice" w:id="1">
    <w:p w:rsidR="001F6FC5" w:rsidRDefault="001F6FC5">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A12E15">
      <w:rPr>
        <w:rStyle w:val="SidhuvudRubrikReferens"/>
        <w:noProof/>
      </w:rPr>
      <w:t>Sammanfattning</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uppgifter och roll</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uppgifter och roll</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9</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9</w:instrText>
    </w:r>
    <w:r>
      <w:fldChar w:fldCharType="end"/>
    </w:r>
    <w:r>
      <w:instrText xml:space="preserve">/2 </w:instrText>
    </w:r>
    <w:r>
      <w:fldChar w:fldCharType="separate"/>
    </w:r>
    <w:r>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9</w:instrText>
    </w:r>
    <w:r>
      <w:fldChar w:fldCharType="end"/>
    </w:r>
    <w:r>
      <w:instrText xml:space="preserve">/2) </w:instrText>
    </w:r>
    <w:r>
      <w:fldChar w:fldCharType="separate"/>
    </w:r>
    <w:r>
      <w:rPr>
        <w:noProof/>
      </w:rPr>
      <w:instrText>4</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pPr>
      <w:pStyle w:val="SidhuvudKantUdda"/>
      <w:framePr w:w="8732" w:h="567" w:hRule="exact" w:vSpace="0" w:wrap="around" w:vAnchor="page" w:y="341" w:anchorLock="0"/>
    </w:pPr>
    <w:r>
      <w:fldChar w:fldCharType="end"/>
    </w:r>
  </w:p>
  <w:p w:rsidR="001F6FC5" w:rsidRDefault="001F6FC5">
    <w:pPr>
      <w:pStyle w:val="Sidhuvu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Organisation och styrning</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Organisation och styrning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14</w:instrText>
    </w:r>
    <w:r>
      <w:fldChar w:fldCharType="end"/>
    </w:r>
    <w:r>
      <w:instrText xml:space="preserve">/2 </w:instrText>
    </w:r>
    <w:r>
      <w:fldChar w:fldCharType="separate"/>
    </w:r>
    <w:r>
      <w:rPr>
        <w:noProof/>
      </w:rPr>
      <w:instrText>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14</w:instrText>
    </w:r>
    <w:r>
      <w:fldChar w:fldCharType="end"/>
    </w:r>
    <w:r>
      <w:instrText xml:space="preserve">/2) </w:instrText>
    </w:r>
    <w:r>
      <w:fldChar w:fldCharType="separate"/>
    </w:r>
    <w:r>
      <w:rPr>
        <w:noProof/>
      </w:rPr>
      <w:instrText>7</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pPr>
      <w:pStyle w:val="SidhuvudKantJmn"/>
      <w:framePr w:w="8732" w:h="567" w:hRule="exact" w:vSpace="0" w:wrap="around" w:vAnchor="page" w:y="341" w:anchorLock="0"/>
      <w:rPr>
        <w:noProof/>
      </w:rPr>
    </w:pPr>
  </w:p>
  <w:p w:rsidR="001F6FC5" w:rsidRDefault="001F6FC5">
    <w:pPr>
      <w:pStyle w:val="SidhuvudKantJmn"/>
      <w:framePr w:w="8732"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pPr>
      <w:pStyle w:val="SidhuvudKantJmn"/>
      <w:framePr w:w="8732" w:h="567" w:hRule="exact" w:vSpace="0" w:wrap="around" w:vAnchor="page" w:y="341" w:anchorLock="0"/>
      <w:rPr>
        <w:noProof/>
      </w:rPr>
    </w:pPr>
  </w:p>
  <w:p w:rsidR="001F6FC5" w:rsidRDefault="001F6FC5">
    <w:pPr>
      <w:pStyle w:val="SidhuvudKantUdda"/>
      <w:framePr w:w="8732"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Ett fast penningvärde – prisstabilitet</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Ett fast penningvärde – prisstabilitet</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24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24</w:instrText>
    </w:r>
    <w:r>
      <w:fldChar w:fldCharType="end"/>
    </w:r>
    <w:r>
      <w:instrText xml:space="preserve">/2 </w:instrText>
    </w:r>
    <w:r>
      <w:fldChar w:fldCharType="separate"/>
    </w:r>
    <w:r>
      <w:rPr>
        <w:noProof/>
      </w:rPr>
      <w:instrText>12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24</w:instrText>
    </w:r>
    <w:r>
      <w:fldChar w:fldCharType="end"/>
    </w:r>
    <w:r>
      <w:instrText xml:space="preserve">/2) </w:instrText>
    </w:r>
    <w:r>
      <w:fldChar w:fldCharType="separate"/>
    </w:r>
    <w:r>
      <w:rPr>
        <w:noProof/>
      </w:rPr>
      <w:instrText>12</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pPr>
      <w:pStyle w:val="SidhuvudKantJmn"/>
      <w:framePr w:w="8732" w:h="567" w:hRule="exact" w:vSpace="0" w:wrap="around" w:vAnchor="page" w:y="341" w:anchorLock="0"/>
      <w:rPr>
        <w:noProof/>
      </w:rPr>
    </w:pPr>
  </w:p>
  <w:p w:rsidR="001F6FC5" w:rsidRDefault="001F6FC5">
    <w:pPr>
      <w:pStyle w:val="SidhuvudKantJmn"/>
      <w:framePr w:w="8732"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pPr>
      <w:pStyle w:val="SidhuvudKantJmn"/>
      <w:framePr w:w="8732" w:h="567" w:hRule="exact" w:vSpace="0" w:wrap="around" w:vAnchor="page" w:y="341" w:anchorLock="0"/>
      <w:rPr>
        <w:noProof/>
      </w:rPr>
    </w:pPr>
  </w:p>
  <w:p w:rsidR="001F6FC5" w:rsidRDefault="001F6FC5">
    <w:pPr>
      <w:pStyle w:val="SidhuvudKantUdda"/>
      <w:framePr w:w="8732"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Ett säkert och effektivt betalningsväsende</w:t>
    </w:r>
    <w:r>
      <w:rPr>
        <w:rStyle w:val="SidhuvudRubrikReferens"/>
      </w:rPr>
      <w:fldChar w:fldCharType="end"/>
    </w:r>
  </w:p>
  <w:p w:rsidR="001F6FC5" w:rsidRDefault="001F6FC5" w:rsidP="00496CC8">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Ett säkert och effektivt betalningsväsende</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rsidP="00496CC8">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496CC8">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41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41</w:instrText>
    </w:r>
    <w:r>
      <w:fldChar w:fldCharType="end"/>
    </w:r>
    <w:r>
      <w:instrText xml:space="preserve">/2 </w:instrText>
    </w:r>
    <w:r>
      <w:fldChar w:fldCharType="separate"/>
    </w:r>
    <w:r>
      <w:rPr>
        <w:noProof/>
      </w:rPr>
      <w:instrText>20,5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41</w:instrText>
    </w:r>
    <w:r>
      <w:fldChar w:fldCharType="end"/>
    </w:r>
    <w:r>
      <w:instrText xml:space="preserve">/2) </w:instrText>
    </w:r>
    <w:r>
      <w:fldChar w:fldCharType="separate"/>
    </w:r>
    <w:r>
      <w:rPr>
        <w:noProof/>
      </w:rPr>
      <w:instrText>20</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496CC8">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496CC8">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496CC8">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rsidP="00496CC8">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rsidP="00496CC8">
    <w:pPr>
      <w:pStyle w:val="SidhuvudKantUdda"/>
      <w:framePr w:w="8731" w:h="567" w:hRule="exact" w:vSpace="0" w:wrap="around" w:vAnchor="page" w:y="341" w:anchorLock="0"/>
    </w:pPr>
    <w:r>
      <w:fldChar w:fldCharType="end"/>
    </w:r>
  </w:p>
  <w:p w:rsidR="001F6FC5" w:rsidRDefault="001F6FC5">
    <w:pPr>
      <w:pStyle w:val="Sidhuvud"/>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Tillgångsförvaltning</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Tillgångsförvaltning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61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pPr>
      <w:pStyle w:val="SidhuvudKantUdda"/>
      <w:framePr w:w="8732" w:h="567" w:hRule="exact" w:vSpace="0" w:wrap="around" w:vAnchor="page" w:y="341" w:anchorLock="0"/>
    </w:pPr>
    <w:r>
      <w:fldChar w:fldCharType="end"/>
    </w:r>
  </w:p>
  <w:p w:rsidR="001F6FC5" w:rsidRDefault="001F6FC5">
    <w:pPr>
      <w:pStyle w:val="Sidhuvud"/>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Femårsöversikt</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D456FD">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77</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77</w:instrText>
    </w:r>
    <w:r>
      <w:fldChar w:fldCharType="end"/>
    </w:r>
    <w:r>
      <w:instrText xml:space="preserve">/2 </w:instrText>
    </w:r>
    <w:r>
      <w:fldChar w:fldCharType="separate"/>
    </w:r>
    <w:r>
      <w:rPr>
        <w:noProof/>
      </w:rPr>
      <w:instrText>38,5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77</w:instrText>
    </w:r>
    <w:r>
      <w:fldChar w:fldCharType="end"/>
    </w:r>
    <w:r>
      <w:instrText xml:space="preserve">/2) </w:instrText>
    </w:r>
    <w:r>
      <w:fldChar w:fldCharType="separate"/>
    </w:r>
    <w:r>
      <w:rPr>
        <w:noProof/>
      </w:rPr>
      <w:instrText>38</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D456FD">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D456FD">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D456FD">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rsidP="00D456FD">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rsidP="00D456FD">
    <w:pPr>
      <w:pStyle w:val="SidhuvudKantUdda"/>
      <w:framePr w:w="8731" w:h="567" w:hRule="exact" w:vSpace="0" w:wrap="around" w:vAnchor="page" w:y="341" w:anchorLock="0"/>
    </w:pPr>
    <w:r>
      <w:fldChar w:fldCharType="end"/>
    </w:r>
  </w:p>
  <w:p w:rsidR="001F6FC5" w:rsidRPr="00D456FD" w:rsidRDefault="001F6FC5" w:rsidP="00D456FD">
    <w:pPr>
      <w:pStyle w:val="Sidhuvu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end"/>
    </w:r>
  </w:p>
  <w:p w:rsidR="001F6FC5" w:rsidRDefault="001F6FC5" w:rsidP="00F14A01">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rsidP="00F14A01">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A12E15">
      <w:rPr>
        <w:noProof/>
      </w:rPr>
      <w:instrText>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w:instrText>
    </w:r>
    <w:r>
      <w:fldChar w:fldCharType="end"/>
    </w:r>
    <w:r>
      <w:fldChar w:fldCharType="separate"/>
    </w:r>
    <w: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Pr>
        <w:position w:val="4"/>
        <w:sz w:val="28"/>
      </w:rPr>
      <w:instrText>|</w:instrText>
    </w:r>
    <w:r>
      <w:instrText xml:space="preserve">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 2</w:instrText>
    </w:r>
    <w:r>
      <w:rPr>
        <w:rStyle w:val="SidhuvudUtskott"/>
      </w:rPr>
      <w:fldChar w:fldCharType="end"/>
    </w:r>
    <w:r>
      <w:fldChar w:fldCharType="end"/>
    </w:r>
    <w:r>
      <w:instrText>" " "</w:instrText>
    </w:r>
    <w:r>
      <w:fldChar w:fldCharType="separate"/>
    </w:r>
    <w:r w:rsidR="00A12E15">
      <w:rPr>
        <w:noProof/>
      </w:rPr>
      <w:t xml:space="preserve"> </w:t>
    </w:r>
    <w:r>
      <w:fldChar w:fldCharType="end"/>
    </w:r>
  </w:p>
  <w:p w:rsidR="001F6FC5" w:rsidRDefault="001F6FC5">
    <w:pPr>
      <w:pStyle w:val="Sidhuvud"/>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F14A01">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113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113</w:instrText>
    </w:r>
    <w:r>
      <w:fldChar w:fldCharType="end"/>
    </w:r>
    <w:r>
      <w:instrText xml:space="preserve">/2 </w:instrText>
    </w:r>
    <w:r>
      <w:fldChar w:fldCharType="separate"/>
    </w:r>
    <w:r>
      <w:rPr>
        <w:noProof/>
      </w:rPr>
      <w:instrText>56,5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113</w:instrText>
    </w:r>
    <w:r>
      <w:fldChar w:fldCharType="end"/>
    </w:r>
    <w:r>
      <w:instrText xml:space="preserve">/2) </w:instrText>
    </w:r>
    <w:r>
      <w:fldChar w:fldCharType="separate"/>
    </w:r>
    <w:r>
      <w:rPr>
        <w:noProof/>
      </w:rPr>
      <w:instrText>56</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F14A01">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F14A01">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F14A01">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rsidP="00F14A01">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rsidP="00F14A01">
    <w:pPr>
      <w:pStyle w:val="SidhuvudKantUdda"/>
      <w:framePr w:w="8731" w:h="567" w:hRule="exact" w:vSpace="0" w:wrap="around" w:vAnchor="page" w:y="341" w:anchorLock="0"/>
    </w:pPr>
    <w:r>
      <w:fldChar w:fldCharType="end"/>
    </w:r>
  </w:p>
  <w:p w:rsidR="001F6FC5" w:rsidRDefault="001F6FC5">
    <w:pPr>
      <w:pStyle w:val="Sidhuvud"/>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INTERN STYRNING OCH KONTROLL</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avdelningar och deras uppgifter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114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114</w:instrText>
    </w:r>
    <w:r>
      <w:fldChar w:fldCharType="end"/>
    </w:r>
    <w:r>
      <w:instrText xml:space="preserve">/2 </w:instrText>
    </w:r>
    <w:r>
      <w:fldChar w:fldCharType="separate"/>
    </w:r>
    <w:r>
      <w:rPr>
        <w:noProof/>
      </w:rPr>
      <w:instrText>57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114</w:instrText>
    </w:r>
    <w:r>
      <w:fldChar w:fldCharType="end"/>
    </w:r>
    <w:r>
      <w:instrText xml:space="preserve">/2) </w:instrText>
    </w:r>
    <w:r>
      <w:fldChar w:fldCharType="separate"/>
    </w:r>
    <w:r>
      <w:rPr>
        <w:noProof/>
      </w:rPr>
      <w:instrText>57</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pPr>
      <w:pStyle w:val="SidhuvudKantJmn"/>
      <w:framePr w:w="8732" w:h="567" w:hRule="exact" w:vSpace="0" w:wrap="around" w:vAnchor="page" w:y="341" w:anchorLock="0"/>
      <w:rPr>
        <w:noProof/>
      </w:rPr>
    </w:pPr>
  </w:p>
  <w:p w:rsidR="001F6FC5" w:rsidRDefault="001F6FC5">
    <w:pPr>
      <w:pStyle w:val="SidhuvudKantJmn"/>
      <w:framePr w:w="8732"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pPr>
      <w:pStyle w:val="SidhuvudKantJmn"/>
      <w:framePr w:w="8732" w:h="567" w:hRule="exact" w:vSpace="0" w:wrap="around" w:vAnchor="page" w:y="341" w:anchorLock="0"/>
      <w:rPr>
        <w:noProof/>
      </w:rPr>
    </w:pPr>
  </w:p>
  <w:p w:rsidR="001F6FC5" w:rsidRDefault="001F6FC5">
    <w:pPr>
      <w:pStyle w:val="SidhuvudKantUdda"/>
      <w:framePr w:w="8732"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avdelningar och deras uppgifter</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avdelningar och deras uppgifter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116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116</w:instrText>
    </w:r>
    <w:r>
      <w:fldChar w:fldCharType="end"/>
    </w:r>
    <w:r>
      <w:instrText xml:space="preserve">/2 </w:instrText>
    </w:r>
    <w:r>
      <w:fldChar w:fldCharType="separate"/>
    </w:r>
    <w:r>
      <w:rPr>
        <w:noProof/>
      </w:rPr>
      <w:instrText>58</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116</w:instrText>
    </w:r>
    <w:r>
      <w:fldChar w:fldCharType="end"/>
    </w:r>
    <w:r>
      <w:instrText xml:space="preserve">/2) </w:instrText>
    </w:r>
    <w:r>
      <w:fldChar w:fldCharType="separate"/>
    </w:r>
    <w:r>
      <w:rPr>
        <w:noProof/>
      </w:rPr>
      <w:instrText>58</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pPr>
      <w:pStyle w:val="SidhuvudKantJmn"/>
      <w:framePr w:w="8732" w:h="567" w:hRule="exact" w:vSpace="0" w:wrap="around" w:vAnchor="page" w:y="341" w:anchorLock="0"/>
      <w:rPr>
        <w:noProof/>
      </w:rPr>
    </w:pPr>
  </w:p>
  <w:p w:rsidR="001F6FC5" w:rsidRDefault="001F6FC5">
    <w:pPr>
      <w:pStyle w:val="SidhuvudKantJmn"/>
      <w:framePr w:w="8732"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pPr>
      <w:pStyle w:val="SidhuvudKantJmn"/>
      <w:framePr w:w="8732" w:h="567" w:hRule="exact" w:vSpace="0" w:wrap="around" w:vAnchor="page" w:y="341" w:anchorLock="0"/>
      <w:rPr>
        <w:noProof/>
      </w:rPr>
    </w:pPr>
  </w:p>
  <w:p w:rsidR="001F6FC5" w:rsidRDefault="001F6FC5">
    <w:pPr>
      <w:pStyle w:val="SidhuvudKantUdda"/>
      <w:framePr w:w="8732"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Publikationer</w:t>
    </w:r>
    <w:r>
      <w:rPr>
        <w:rStyle w:val="SidhuvudRubrikReferens"/>
      </w:rPr>
      <w:fldChar w:fldCharType="end"/>
    </w:r>
  </w:p>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Riksbankens remissarbete</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rsidP="002214F2">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117</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117</w:instrText>
    </w:r>
    <w:r>
      <w:fldChar w:fldCharType="end"/>
    </w:r>
    <w:r>
      <w:instrText xml:space="preserve">/2 </w:instrText>
    </w:r>
    <w:r>
      <w:fldChar w:fldCharType="separate"/>
    </w:r>
    <w:r>
      <w:rPr>
        <w:noProof/>
      </w:rPr>
      <w:instrText>58,5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117</w:instrText>
    </w:r>
    <w:r>
      <w:fldChar w:fldCharType="end"/>
    </w:r>
    <w:r>
      <w:instrText xml:space="preserve">/2) </w:instrText>
    </w:r>
    <w:r>
      <w:fldChar w:fldCharType="separate"/>
    </w:r>
    <w:r>
      <w:rPr>
        <w:noProof/>
      </w:rPr>
      <w:instrText>58</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2214F2">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2214F2">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rsidP="002214F2">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rsidP="002214F2">
    <w:pPr>
      <w:pStyle w:val="SidhuvudKantUdda"/>
      <w:framePr w:w="8731" w:h="567" w:hRule="exact" w:vSpace="0" w:wrap="around" w:vAnchor="page" w:y="341" w:anchorLock="0"/>
    </w:pPr>
    <w:r>
      <w:fldChar w:fldCharType="end"/>
    </w:r>
  </w:p>
  <w:p w:rsidR="001F6FC5" w:rsidRDefault="001F6FC5">
    <w:pPr>
      <w:pStyle w:val="Sidhuvud"/>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end"/>
    </w:r>
  </w:p>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rsidP="002214F2">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2214F2">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119</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119</w:instrText>
    </w:r>
    <w:r>
      <w:fldChar w:fldCharType="end"/>
    </w:r>
    <w:r>
      <w:instrText xml:space="preserve">/2 </w:instrText>
    </w:r>
    <w:r>
      <w:fldChar w:fldCharType="separate"/>
    </w:r>
    <w:r>
      <w:rPr>
        <w:noProof/>
      </w:rPr>
      <w:instrText>59,5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119</w:instrText>
    </w:r>
    <w:r>
      <w:fldChar w:fldCharType="end"/>
    </w:r>
    <w:r>
      <w:instrText xml:space="preserve">/2) </w:instrText>
    </w:r>
    <w:r>
      <w:fldChar w:fldCharType="separate"/>
    </w:r>
    <w:r>
      <w:rPr>
        <w:noProof/>
      </w:rPr>
      <w:instrText>59</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2214F2">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2214F2">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2214F2">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rsidP="002214F2">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rsidP="002214F2">
    <w:pPr>
      <w:pStyle w:val="SidhuvudKantUdda"/>
      <w:framePr w:w="8731" w:h="567" w:hRule="exact" w:vSpace="0" w:wrap="around" w:vAnchor="page" w:y="341" w:anchorLock="0"/>
    </w:pPr>
    <w:r>
      <w:fldChar w:fldCharType="end"/>
    </w:r>
  </w:p>
  <w:p w:rsidR="001F6FC5" w:rsidRDefault="001F6FC5">
    <w:pPr>
      <w:pStyle w:val="Sidhuvud"/>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Ordlista</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EA0137">
      <w:rPr>
        <w:rStyle w:val="SidhuvudRubrikReferens"/>
        <w:noProof/>
      </w:rPr>
      <w:t>Ordlista</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rsidP="00844068">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120</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120</w:instrText>
    </w:r>
    <w:r>
      <w:fldChar w:fldCharType="end"/>
    </w:r>
    <w:r>
      <w:instrText xml:space="preserve">/2 </w:instrText>
    </w:r>
    <w:r>
      <w:fldChar w:fldCharType="separate"/>
    </w:r>
    <w:r>
      <w:rPr>
        <w:noProof/>
      </w:rPr>
      <w:instrText>60</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120</w:instrText>
    </w:r>
    <w:r>
      <w:fldChar w:fldCharType="end"/>
    </w:r>
    <w:r>
      <w:instrText xml:space="preserve">/2) </w:instrText>
    </w:r>
    <w:r>
      <w:fldChar w:fldCharType="separate"/>
    </w:r>
    <w:r>
      <w:rPr>
        <w:noProof/>
      </w:rPr>
      <w:instrText>60</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rsidP="00844068">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rsidP="00844068">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rsidP="00844068">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rsidP="00844068">
    <w:pPr>
      <w:pStyle w:val="SidhuvudKantJmn"/>
      <w:framePr w:w="8731" w:h="567" w:hRule="exact" w:vSpace="0" w:wrap="around" w:vAnchor="page" w:y="341" w:anchorLock="0"/>
      <w:rPr>
        <w:noProof/>
      </w:rPr>
    </w:pPr>
  </w:p>
  <w:p w:rsidR="001F6FC5" w:rsidRDefault="001F6FC5" w:rsidP="00844068">
    <w:pPr>
      <w:pStyle w:val="SidhuvudKantJmn"/>
      <w:framePr w:w="8731"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rsidP="00844068">
    <w:pPr>
      <w:pStyle w:val="SidhuvudKantJmn"/>
      <w:framePr w:w="8731" w:h="567" w:hRule="exact" w:vSpace="0" w:wrap="around" w:vAnchor="page" w:y="341" w:anchorLock="0"/>
      <w:rPr>
        <w:noProof/>
      </w:rPr>
    </w:pPr>
  </w:p>
  <w:p w:rsidR="001F6FC5" w:rsidRDefault="001F6FC5" w:rsidP="00844068">
    <w:pPr>
      <w:pStyle w:val="SidhuvudKantUdda"/>
      <w:framePr w:w="8731"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5</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2014/15:RB1</w:instrText>
    </w:r>
  </w:p>
  <w:p w:rsidR="001F6FC5" w:rsidRDefault="001F6FC5">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t>2014/15:RB1</w:t>
    </w:r>
  </w:p>
  <w:p w:rsidR="001F6FC5" w:rsidRDefault="001F6FC5">
    <w:pPr>
      <w:pStyle w:val="SidhuvudKantUdda"/>
      <w:framePr w:w="8732" w:h="567" w:hRule="exact" w:vSpace="0" w:wrap="around" w:vAnchor="page" w:y="341" w:anchorLock="0"/>
    </w:pPr>
    <w:r>
      <w:fldChar w:fldCharType="end"/>
    </w:r>
  </w:p>
  <w:p w:rsidR="001F6FC5" w:rsidRDefault="001F6FC5">
    <w:pPr>
      <w:pStyle w:val="Sidhuvu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Riksbankschefens kommentar</w:t>
    </w:r>
    <w:r>
      <w:rPr>
        <w:rStyle w:val="SidhuvudRubrikReferens"/>
      </w:rPr>
      <w:fldChar w:fldCharType="end"/>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Riksbankschefens kommentar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2014/15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RB</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p>
  <w:p w:rsidR="001F6FC5" w:rsidRDefault="001F6FC5">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p>
  <w:p w:rsidR="001F6FC5" w:rsidRDefault="001F6FC5">
    <w:pPr>
      <w:pStyle w:val="Sidhuvu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C5" w:rsidRDefault="001F6FC5">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w:instrText>
    </w:r>
    <w:r>
      <w:fldChar w:fldCharType="end"/>
    </w:r>
    <w:r>
      <w:instrText xml:space="preserve">/2) </w:instrText>
    </w:r>
    <w:r>
      <w:fldChar w:fldCharType="separate"/>
    </w:r>
    <w:r>
      <w:rPr>
        <w:noProof/>
      </w:rPr>
      <w:instrText>3</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1F6FC5" w:rsidRDefault="001F6FC5">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1F6FC5" w:rsidRDefault="001F6FC5">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2014/15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RB</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1F6FC5" w:rsidRDefault="001F6FC5">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DOCPROPERTY Status</w:instrText>
    </w:r>
    <w:r>
      <w:rPr>
        <w:rStyle w:val="SidhuvudUtskott"/>
      </w:rPr>
      <w:fldChar w:fldCharType="end"/>
    </w:r>
    <w:r>
      <w:instrText>"</w:instrText>
    </w:r>
    <w:r>
      <w:fldChar w:fldCharType="separate"/>
    </w:r>
    <w:r>
      <w:rPr>
        <w:rStyle w:val="SidhuvudUtskott"/>
        <w:noProof/>
      </w:rPr>
      <w:instrText>2014/15:RB1</w:instrText>
    </w:r>
    <w:r>
      <w:rPr>
        <w:noProof/>
      </w:rPr>
      <w:instrText xml:space="preserve">    </w:instrText>
    </w:r>
  </w:p>
  <w:p w:rsidR="001F6FC5" w:rsidRDefault="001F6FC5">
    <w:pPr>
      <w:pStyle w:val="SidhuvudKantJmn"/>
      <w:framePr w:w="8732" w:h="567" w:hRule="exact" w:vSpace="0" w:wrap="around" w:vAnchor="page" w:y="341" w:anchorLock="0"/>
      <w:rPr>
        <w:noProof/>
      </w:rPr>
    </w:pPr>
  </w:p>
  <w:p w:rsidR="001F6FC5" w:rsidRDefault="001F6FC5">
    <w:pPr>
      <w:pStyle w:val="SidhuvudKantJmn"/>
      <w:framePr w:w="8732"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t>2014/15:RB1</w:t>
    </w:r>
    <w:r>
      <w:rPr>
        <w:noProof/>
      </w:rPr>
      <w:t xml:space="preserve">    </w:t>
    </w:r>
  </w:p>
  <w:p w:rsidR="001F6FC5" w:rsidRDefault="001F6FC5">
    <w:pPr>
      <w:pStyle w:val="SidhuvudKantJmn"/>
      <w:framePr w:w="8732" w:h="567" w:hRule="exact" w:vSpace="0" w:wrap="around" w:vAnchor="page" w:y="341" w:anchorLock="0"/>
      <w:rPr>
        <w:noProof/>
      </w:rPr>
    </w:pPr>
  </w:p>
  <w:p w:rsidR="001F6FC5" w:rsidRDefault="001F6FC5">
    <w:pPr>
      <w:pStyle w:val="SidhuvudKantUdda"/>
      <w:framePr w:w="8732" w:h="567" w:hRule="exact" w:vSpace="0" w:wrap="around" w:vAnchor="page" w:y="341" w:anchorLock="0"/>
    </w:pPr>
    <w:r>
      <w:rPr>
        <w:rStyle w:val="SidhuvudRubrikReferens"/>
        <w:smallCaps w:val="0"/>
        <w:noProof/>
      </w:rPr>
      <w:t xml:space="preserve"> </w:t>
    </w:r>
    <w:r>
      <w:fldChar w:fldCharType="end"/>
    </w:r>
  </w:p>
  <w:p w:rsidR="001F6FC5" w:rsidRDefault="001F6FC5">
    <w:pPr>
      <w:pStyle w:val="Sidhuvud"/>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A54F924"/>
    <w:lvl w:ilvl="0">
      <w:start w:val="1"/>
      <w:numFmt w:val="decimal"/>
      <w:pStyle w:val="Numreradlista"/>
      <w:lvlText w:val="%1."/>
      <w:lvlJc w:val="left"/>
      <w:pPr>
        <w:tabs>
          <w:tab w:val="num" w:pos="360"/>
        </w:tabs>
        <w:ind w:left="360" w:hanging="360"/>
      </w:pPr>
    </w:lvl>
  </w:abstractNum>
  <w:abstractNum w:abstractNumId="1">
    <w:nsid w:val="00475CB9"/>
    <w:multiLevelType w:val="hybridMultilevel"/>
    <w:tmpl w:val="F524E70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25F305E"/>
    <w:multiLevelType w:val="hybridMultilevel"/>
    <w:tmpl w:val="8CD8B2D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3575A02"/>
    <w:multiLevelType w:val="hybridMultilevel"/>
    <w:tmpl w:val="9028E80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05A67232"/>
    <w:multiLevelType w:val="hybridMultilevel"/>
    <w:tmpl w:val="4ED4826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05BC310F"/>
    <w:multiLevelType w:val="hybridMultilevel"/>
    <w:tmpl w:val="92BE017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0B600475"/>
    <w:multiLevelType w:val="hybridMultilevel"/>
    <w:tmpl w:val="3C16990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0E260918"/>
    <w:multiLevelType w:val="hybridMultilevel"/>
    <w:tmpl w:val="37AADC1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106518C8"/>
    <w:multiLevelType w:val="hybridMultilevel"/>
    <w:tmpl w:val="DFA0AC18"/>
    <w:lvl w:ilvl="0" w:tplc="041D0001">
      <w:start w:val="1"/>
      <w:numFmt w:val="bullet"/>
      <w:lvlText w:val=""/>
      <w:lvlJc w:val="left"/>
      <w:pPr>
        <w:ind w:left="455" w:hanging="360"/>
      </w:pPr>
      <w:rPr>
        <w:rFonts w:ascii="Symbol" w:hAnsi="Symbol" w:hint="default"/>
      </w:rPr>
    </w:lvl>
    <w:lvl w:ilvl="1" w:tplc="041D0003" w:tentative="1">
      <w:start w:val="1"/>
      <w:numFmt w:val="bullet"/>
      <w:lvlText w:val="o"/>
      <w:lvlJc w:val="left"/>
      <w:pPr>
        <w:ind w:left="1175" w:hanging="360"/>
      </w:pPr>
      <w:rPr>
        <w:rFonts w:ascii="Courier New" w:hAnsi="Courier New" w:cs="Courier New" w:hint="default"/>
      </w:rPr>
    </w:lvl>
    <w:lvl w:ilvl="2" w:tplc="041D0005" w:tentative="1">
      <w:start w:val="1"/>
      <w:numFmt w:val="bullet"/>
      <w:lvlText w:val=""/>
      <w:lvlJc w:val="left"/>
      <w:pPr>
        <w:ind w:left="1895" w:hanging="360"/>
      </w:pPr>
      <w:rPr>
        <w:rFonts w:ascii="Wingdings" w:hAnsi="Wingdings" w:hint="default"/>
      </w:rPr>
    </w:lvl>
    <w:lvl w:ilvl="3" w:tplc="041D0001" w:tentative="1">
      <w:start w:val="1"/>
      <w:numFmt w:val="bullet"/>
      <w:lvlText w:val=""/>
      <w:lvlJc w:val="left"/>
      <w:pPr>
        <w:ind w:left="2615" w:hanging="360"/>
      </w:pPr>
      <w:rPr>
        <w:rFonts w:ascii="Symbol" w:hAnsi="Symbol" w:hint="default"/>
      </w:rPr>
    </w:lvl>
    <w:lvl w:ilvl="4" w:tplc="041D0003" w:tentative="1">
      <w:start w:val="1"/>
      <w:numFmt w:val="bullet"/>
      <w:lvlText w:val="o"/>
      <w:lvlJc w:val="left"/>
      <w:pPr>
        <w:ind w:left="3335" w:hanging="360"/>
      </w:pPr>
      <w:rPr>
        <w:rFonts w:ascii="Courier New" w:hAnsi="Courier New" w:cs="Courier New" w:hint="default"/>
      </w:rPr>
    </w:lvl>
    <w:lvl w:ilvl="5" w:tplc="041D0005" w:tentative="1">
      <w:start w:val="1"/>
      <w:numFmt w:val="bullet"/>
      <w:lvlText w:val=""/>
      <w:lvlJc w:val="left"/>
      <w:pPr>
        <w:ind w:left="4055" w:hanging="360"/>
      </w:pPr>
      <w:rPr>
        <w:rFonts w:ascii="Wingdings" w:hAnsi="Wingdings" w:hint="default"/>
      </w:rPr>
    </w:lvl>
    <w:lvl w:ilvl="6" w:tplc="041D0001" w:tentative="1">
      <w:start w:val="1"/>
      <w:numFmt w:val="bullet"/>
      <w:lvlText w:val=""/>
      <w:lvlJc w:val="left"/>
      <w:pPr>
        <w:ind w:left="4775" w:hanging="360"/>
      </w:pPr>
      <w:rPr>
        <w:rFonts w:ascii="Symbol" w:hAnsi="Symbol" w:hint="default"/>
      </w:rPr>
    </w:lvl>
    <w:lvl w:ilvl="7" w:tplc="041D0003" w:tentative="1">
      <w:start w:val="1"/>
      <w:numFmt w:val="bullet"/>
      <w:lvlText w:val="o"/>
      <w:lvlJc w:val="left"/>
      <w:pPr>
        <w:ind w:left="5495" w:hanging="360"/>
      </w:pPr>
      <w:rPr>
        <w:rFonts w:ascii="Courier New" w:hAnsi="Courier New" w:cs="Courier New" w:hint="default"/>
      </w:rPr>
    </w:lvl>
    <w:lvl w:ilvl="8" w:tplc="041D0005" w:tentative="1">
      <w:start w:val="1"/>
      <w:numFmt w:val="bullet"/>
      <w:lvlText w:val=""/>
      <w:lvlJc w:val="left"/>
      <w:pPr>
        <w:ind w:left="6215" w:hanging="360"/>
      </w:pPr>
      <w:rPr>
        <w:rFonts w:ascii="Wingdings" w:hAnsi="Wingdings" w:hint="default"/>
      </w:rPr>
    </w:lvl>
  </w:abstractNum>
  <w:abstractNum w:abstractNumId="9">
    <w:nsid w:val="10676D08"/>
    <w:multiLevelType w:val="hybridMultilevel"/>
    <w:tmpl w:val="53CAFC5A"/>
    <w:lvl w:ilvl="0" w:tplc="847E5AD8">
      <w:numFmt w:val="bullet"/>
      <w:lvlText w:val=""/>
      <w:lvlJc w:val="left"/>
      <w:pPr>
        <w:ind w:left="360" w:hanging="360"/>
      </w:pPr>
      <w:rPr>
        <w:rFonts w:ascii="Syntax" w:eastAsia="Times New Roman" w:hAnsi="Syntax"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12F045AE"/>
    <w:multiLevelType w:val="hybridMultilevel"/>
    <w:tmpl w:val="ECA29CCC"/>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13DB7B53"/>
    <w:multiLevelType w:val="hybridMultilevel"/>
    <w:tmpl w:val="EDA43E1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1567534A"/>
    <w:multiLevelType w:val="hybridMultilevel"/>
    <w:tmpl w:val="1D00DE4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nsid w:val="166424EA"/>
    <w:multiLevelType w:val="hybridMultilevel"/>
    <w:tmpl w:val="D6922298"/>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175434FC"/>
    <w:multiLevelType w:val="hybridMultilevel"/>
    <w:tmpl w:val="DE1C8A1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nsid w:val="18290E34"/>
    <w:multiLevelType w:val="hybridMultilevel"/>
    <w:tmpl w:val="0CB255A6"/>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18C2123E"/>
    <w:multiLevelType w:val="hybridMultilevel"/>
    <w:tmpl w:val="2EF830F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1B862B6E"/>
    <w:multiLevelType w:val="hybridMultilevel"/>
    <w:tmpl w:val="8758B8B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20DD68BE"/>
    <w:multiLevelType w:val="hybridMultilevel"/>
    <w:tmpl w:val="37C4B04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212551F7"/>
    <w:multiLevelType w:val="hybridMultilevel"/>
    <w:tmpl w:val="380A59D6"/>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244F2AE3"/>
    <w:multiLevelType w:val="hybridMultilevel"/>
    <w:tmpl w:val="034E10F6"/>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25560D4E"/>
    <w:multiLevelType w:val="hybridMultilevel"/>
    <w:tmpl w:val="4F5CDA60"/>
    <w:lvl w:ilvl="0" w:tplc="F6C0D6DA">
      <w:numFmt w:val="bullet"/>
      <w:lvlText w:val="–"/>
      <w:lvlJc w:val="left"/>
      <w:pPr>
        <w:ind w:left="360" w:hanging="360"/>
      </w:pPr>
      <w:rPr>
        <w:rFonts w:ascii="Times New Roman" w:eastAsia="Garamond" w:hAnsi="Times New Roman" w:cs="Times New Roman" w:hint="default"/>
      </w:rPr>
    </w:lvl>
    <w:lvl w:ilvl="1" w:tplc="4D4CB960">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nsid w:val="27145761"/>
    <w:multiLevelType w:val="hybridMultilevel"/>
    <w:tmpl w:val="C040D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9863181"/>
    <w:multiLevelType w:val="hybridMultilevel"/>
    <w:tmpl w:val="165C3BA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nsid w:val="32AA69A9"/>
    <w:multiLevelType w:val="hybridMultilevel"/>
    <w:tmpl w:val="9A26419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nsid w:val="33906C19"/>
    <w:multiLevelType w:val="hybridMultilevel"/>
    <w:tmpl w:val="94E478C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33DF24FA"/>
    <w:multiLevelType w:val="hybridMultilevel"/>
    <w:tmpl w:val="68D8BF8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nsid w:val="354C57EC"/>
    <w:multiLevelType w:val="hybridMultilevel"/>
    <w:tmpl w:val="70249D86"/>
    <w:lvl w:ilvl="0" w:tplc="847E5AD8">
      <w:numFmt w:val="bullet"/>
      <w:lvlText w:val=""/>
      <w:lvlJc w:val="left"/>
      <w:pPr>
        <w:ind w:left="360" w:hanging="360"/>
      </w:pPr>
      <w:rPr>
        <w:rFonts w:ascii="Syntax" w:eastAsia="Times New Roman" w:hAnsi="Syntax"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36116116"/>
    <w:multiLevelType w:val="hybridMultilevel"/>
    <w:tmpl w:val="9FEEED7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nsid w:val="36853CCB"/>
    <w:multiLevelType w:val="hybridMultilevel"/>
    <w:tmpl w:val="D540BAD8"/>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nsid w:val="393437EF"/>
    <w:multiLevelType w:val="hybridMultilevel"/>
    <w:tmpl w:val="2D8C9CCC"/>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nsid w:val="3BD763C0"/>
    <w:multiLevelType w:val="hybridMultilevel"/>
    <w:tmpl w:val="05E46A7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nsid w:val="3C7D3FF9"/>
    <w:multiLevelType w:val="hybridMultilevel"/>
    <w:tmpl w:val="0AA009C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405E16ED"/>
    <w:multiLevelType w:val="hybridMultilevel"/>
    <w:tmpl w:val="76F0383C"/>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nsid w:val="44D32785"/>
    <w:multiLevelType w:val="hybridMultilevel"/>
    <w:tmpl w:val="C62AE69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nsid w:val="451757EF"/>
    <w:multiLevelType w:val="hybridMultilevel"/>
    <w:tmpl w:val="874A931C"/>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nsid w:val="46100C6B"/>
    <w:multiLevelType w:val="hybridMultilevel"/>
    <w:tmpl w:val="421EF176"/>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nsid w:val="467E22EC"/>
    <w:multiLevelType w:val="hybridMultilevel"/>
    <w:tmpl w:val="DB76C132"/>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nsid w:val="4A032273"/>
    <w:multiLevelType w:val="hybridMultilevel"/>
    <w:tmpl w:val="3490E61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A6540DE"/>
    <w:multiLevelType w:val="hybridMultilevel"/>
    <w:tmpl w:val="739E0A3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nsid w:val="4A6E2E00"/>
    <w:multiLevelType w:val="hybridMultilevel"/>
    <w:tmpl w:val="205CCA6A"/>
    <w:lvl w:ilvl="0" w:tplc="B7BC4032">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41">
    <w:nsid w:val="4AA42E7B"/>
    <w:multiLevelType w:val="hybridMultilevel"/>
    <w:tmpl w:val="2A5695A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nsid w:val="4B2D3471"/>
    <w:multiLevelType w:val="hybridMultilevel"/>
    <w:tmpl w:val="7D2C6872"/>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nsid w:val="4D5F059D"/>
    <w:multiLevelType w:val="hybridMultilevel"/>
    <w:tmpl w:val="CA2451F4"/>
    <w:lvl w:ilvl="0" w:tplc="F6C0D6DA">
      <w:numFmt w:val="bullet"/>
      <w:lvlText w:val="–"/>
      <w:lvlJc w:val="left"/>
      <w:pPr>
        <w:ind w:left="360" w:hanging="360"/>
      </w:pPr>
      <w:rPr>
        <w:rFonts w:ascii="Times New Roman" w:eastAsia="Garamond"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4">
    <w:nsid w:val="4E8C2714"/>
    <w:multiLevelType w:val="hybridMultilevel"/>
    <w:tmpl w:val="AF42F13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nsid w:val="4F970F87"/>
    <w:multiLevelType w:val="hybridMultilevel"/>
    <w:tmpl w:val="E7567A22"/>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nsid w:val="4FA126A8"/>
    <w:multiLevelType w:val="hybridMultilevel"/>
    <w:tmpl w:val="8C9CCC7C"/>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7">
    <w:nsid w:val="50EC2580"/>
    <w:multiLevelType w:val="hybridMultilevel"/>
    <w:tmpl w:val="C860934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nsid w:val="56582B2B"/>
    <w:multiLevelType w:val="hybridMultilevel"/>
    <w:tmpl w:val="2C562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58F040FE"/>
    <w:multiLevelType w:val="hybridMultilevel"/>
    <w:tmpl w:val="28A6C42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nsid w:val="59C3549F"/>
    <w:multiLevelType w:val="hybridMultilevel"/>
    <w:tmpl w:val="7CBE11B4"/>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nsid w:val="5A663980"/>
    <w:multiLevelType w:val="hybridMultilevel"/>
    <w:tmpl w:val="4B00913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2">
    <w:nsid w:val="5D636FEF"/>
    <w:multiLevelType w:val="hybridMultilevel"/>
    <w:tmpl w:val="FD903F5C"/>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3">
    <w:nsid w:val="60EB7381"/>
    <w:multiLevelType w:val="hybridMultilevel"/>
    <w:tmpl w:val="40403394"/>
    <w:lvl w:ilvl="0" w:tplc="F6C0D6DA">
      <w:numFmt w:val="bullet"/>
      <w:lvlText w:val="–"/>
      <w:lvlJc w:val="left"/>
      <w:pPr>
        <w:ind w:left="360" w:hanging="360"/>
      </w:pPr>
      <w:rPr>
        <w:rFonts w:ascii="Times New Roman" w:eastAsia="Garamond" w:hAnsi="Times New Roman" w:cs="Times New Roman" w:hint="default"/>
      </w:rPr>
    </w:lvl>
    <w:lvl w:ilvl="1" w:tplc="F6C0D6DA">
      <w:numFmt w:val="bullet"/>
      <w:lvlText w:val="–"/>
      <w:lvlJc w:val="left"/>
      <w:pPr>
        <w:ind w:left="1080" w:hanging="360"/>
      </w:pPr>
      <w:rPr>
        <w:rFonts w:ascii="Times New Roman" w:eastAsia="Garamond"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4">
    <w:nsid w:val="642F1DF1"/>
    <w:multiLevelType w:val="hybridMultilevel"/>
    <w:tmpl w:val="E0BAE76E"/>
    <w:lvl w:ilvl="0" w:tplc="86B66C48">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55">
    <w:nsid w:val="65276567"/>
    <w:multiLevelType w:val="hybridMultilevel"/>
    <w:tmpl w:val="C8AAB51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nsid w:val="65CF700A"/>
    <w:multiLevelType w:val="hybridMultilevel"/>
    <w:tmpl w:val="032C095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
    <w:nsid w:val="66FF7FE8"/>
    <w:multiLevelType w:val="hybridMultilevel"/>
    <w:tmpl w:val="9126D71A"/>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8">
    <w:nsid w:val="69535343"/>
    <w:multiLevelType w:val="hybridMultilevel"/>
    <w:tmpl w:val="7ED66A18"/>
    <w:lvl w:ilvl="0" w:tplc="02ACBD2C">
      <w:start w:val="1"/>
      <w:numFmt w:val="bullet"/>
      <w:lvlText w:val=""/>
      <w:lvlJc w:val="left"/>
      <w:pPr>
        <w:tabs>
          <w:tab w:val="num" w:pos="510"/>
        </w:tabs>
        <w:ind w:left="510"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9">
    <w:nsid w:val="69DE397C"/>
    <w:multiLevelType w:val="hybridMultilevel"/>
    <w:tmpl w:val="2ED8954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0">
    <w:nsid w:val="746345B6"/>
    <w:multiLevelType w:val="hybridMultilevel"/>
    <w:tmpl w:val="76BECF6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1">
    <w:nsid w:val="74AC34E4"/>
    <w:multiLevelType w:val="hybridMultilevel"/>
    <w:tmpl w:val="A73C47E6"/>
    <w:lvl w:ilvl="0" w:tplc="847E5AD8">
      <w:numFmt w:val="bullet"/>
      <w:lvlText w:val=""/>
      <w:lvlJc w:val="left"/>
      <w:pPr>
        <w:ind w:left="360" w:hanging="360"/>
      </w:pPr>
      <w:rPr>
        <w:rFonts w:ascii="Syntax" w:eastAsia="Times New Roman" w:hAnsi="Syntax"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2">
    <w:nsid w:val="7A51581A"/>
    <w:multiLevelType w:val="hybridMultilevel"/>
    <w:tmpl w:val="6366AB0A"/>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nsid w:val="7AF3053B"/>
    <w:multiLevelType w:val="hybridMultilevel"/>
    <w:tmpl w:val="C888B01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4">
    <w:nsid w:val="7CAB7615"/>
    <w:multiLevelType w:val="hybridMultilevel"/>
    <w:tmpl w:val="9E3CD9A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5">
    <w:nsid w:val="7D6A233F"/>
    <w:multiLevelType w:val="hybridMultilevel"/>
    <w:tmpl w:val="B23C2E9A"/>
    <w:lvl w:ilvl="0" w:tplc="86B66C4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nsid w:val="7E9A3211"/>
    <w:multiLevelType w:val="hybridMultilevel"/>
    <w:tmpl w:val="C1E64CA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8"/>
  </w:num>
  <w:num w:numId="2">
    <w:abstractNumId w:val="0"/>
  </w:num>
  <w:num w:numId="3">
    <w:abstractNumId w:val="61"/>
  </w:num>
  <w:num w:numId="4">
    <w:abstractNumId w:val="26"/>
  </w:num>
  <w:num w:numId="5">
    <w:abstractNumId w:val="60"/>
  </w:num>
  <w:num w:numId="6">
    <w:abstractNumId w:val="36"/>
  </w:num>
  <w:num w:numId="7">
    <w:abstractNumId w:val="38"/>
  </w:num>
  <w:num w:numId="8">
    <w:abstractNumId w:val="34"/>
  </w:num>
  <w:num w:numId="9">
    <w:abstractNumId w:val="15"/>
  </w:num>
  <w:num w:numId="10">
    <w:abstractNumId w:val="57"/>
  </w:num>
  <w:num w:numId="11">
    <w:abstractNumId w:val="43"/>
  </w:num>
  <w:num w:numId="12">
    <w:abstractNumId w:val="5"/>
  </w:num>
  <w:num w:numId="13">
    <w:abstractNumId w:val="20"/>
  </w:num>
  <w:num w:numId="14">
    <w:abstractNumId w:val="22"/>
  </w:num>
  <w:num w:numId="15">
    <w:abstractNumId w:val="28"/>
  </w:num>
  <w:num w:numId="16">
    <w:abstractNumId w:val="49"/>
  </w:num>
  <w:num w:numId="17">
    <w:abstractNumId w:val="29"/>
  </w:num>
  <w:num w:numId="18">
    <w:abstractNumId w:val="50"/>
  </w:num>
  <w:num w:numId="19">
    <w:abstractNumId w:val="3"/>
  </w:num>
  <w:num w:numId="20">
    <w:abstractNumId w:val="46"/>
  </w:num>
  <w:num w:numId="21">
    <w:abstractNumId w:val="13"/>
  </w:num>
  <w:num w:numId="22">
    <w:abstractNumId w:val="21"/>
  </w:num>
  <w:num w:numId="23">
    <w:abstractNumId w:val="53"/>
  </w:num>
  <w:num w:numId="24">
    <w:abstractNumId w:val="17"/>
  </w:num>
  <w:num w:numId="25">
    <w:abstractNumId w:val="44"/>
  </w:num>
  <w:num w:numId="26">
    <w:abstractNumId w:val="24"/>
  </w:num>
  <w:num w:numId="27">
    <w:abstractNumId w:val="59"/>
  </w:num>
  <w:num w:numId="28">
    <w:abstractNumId w:val="30"/>
  </w:num>
  <w:num w:numId="29">
    <w:abstractNumId w:val="47"/>
  </w:num>
  <w:num w:numId="30">
    <w:abstractNumId w:val="9"/>
  </w:num>
  <w:num w:numId="31">
    <w:abstractNumId w:val="14"/>
  </w:num>
  <w:num w:numId="32">
    <w:abstractNumId w:val="32"/>
  </w:num>
  <w:num w:numId="33">
    <w:abstractNumId w:val="11"/>
  </w:num>
  <w:num w:numId="34">
    <w:abstractNumId w:val="52"/>
  </w:num>
  <w:num w:numId="35">
    <w:abstractNumId w:val="39"/>
  </w:num>
  <w:num w:numId="36">
    <w:abstractNumId w:val="64"/>
  </w:num>
  <w:num w:numId="37">
    <w:abstractNumId w:val="55"/>
  </w:num>
  <w:num w:numId="38">
    <w:abstractNumId w:val="16"/>
  </w:num>
  <w:num w:numId="39">
    <w:abstractNumId w:val="7"/>
  </w:num>
  <w:num w:numId="40">
    <w:abstractNumId w:val="65"/>
  </w:num>
  <w:num w:numId="41">
    <w:abstractNumId w:val="63"/>
  </w:num>
  <w:num w:numId="42">
    <w:abstractNumId w:val="19"/>
  </w:num>
  <w:num w:numId="43">
    <w:abstractNumId w:val="41"/>
  </w:num>
  <w:num w:numId="44">
    <w:abstractNumId w:val="42"/>
  </w:num>
  <w:num w:numId="45">
    <w:abstractNumId w:val="31"/>
  </w:num>
  <w:num w:numId="46">
    <w:abstractNumId w:val="12"/>
  </w:num>
  <w:num w:numId="47">
    <w:abstractNumId w:val="33"/>
  </w:num>
  <w:num w:numId="48">
    <w:abstractNumId w:val="56"/>
  </w:num>
  <w:num w:numId="49">
    <w:abstractNumId w:val="35"/>
  </w:num>
  <w:num w:numId="50">
    <w:abstractNumId w:val="62"/>
  </w:num>
  <w:num w:numId="51">
    <w:abstractNumId w:val="40"/>
  </w:num>
  <w:num w:numId="52">
    <w:abstractNumId w:val="40"/>
  </w:num>
  <w:num w:numId="53">
    <w:abstractNumId w:val="54"/>
  </w:num>
  <w:num w:numId="54">
    <w:abstractNumId w:val="48"/>
  </w:num>
  <w:num w:numId="55">
    <w:abstractNumId w:val="2"/>
  </w:num>
  <w:num w:numId="56">
    <w:abstractNumId w:val="45"/>
  </w:num>
  <w:num w:numId="57">
    <w:abstractNumId w:val="18"/>
  </w:num>
  <w:num w:numId="58">
    <w:abstractNumId w:val="4"/>
  </w:num>
  <w:num w:numId="59">
    <w:abstractNumId w:val="1"/>
  </w:num>
  <w:num w:numId="60">
    <w:abstractNumId w:val="6"/>
  </w:num>
  <w:num w:numId="61">
    <w:abstractNumId w:val="23"/>
  </w:num>
  <w:num w:numId="62">
    <w:abstractNumId w:val="37"/>
  </w:num>
  <w:num w:numId="63">
    <w:abstractNumId w:val="66"/>
  </w:num>
  <w:num w:numId="64">
    <w:abstractNumId w:val="51"/>
  </w:num>
  <w:num w:numId="65">
    <w:abstractNumId w:val="25"/>
  </w:num>
  <w:num w:numId="66">
    <w:abstractNumId w:val="27"/>
  </w:num>
  <w:num w:numId="67">
    <w:abstractNumId w:val="10"/>
  </w:num>
  <w:num w:numId="68">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UtskottsNamn" w:val="framställning till riksdagens"/>
    <w:docVar w:name="Skapår" w:val="1314"/>
  </w:docVars>
  <w:rsids>
    <w:rsidRoot w:val="00FB4722"/>
    <w:rsid w:val="00001373"/>
    <w:rsid w:val="000015FB"/>
    <w:rsid w:val="00001C4F"/>
    <w:rsid w:val="00001E81"/>
    <w:rsid w:val="00002ADC"/>
    <w:rsid w:val="00002B67"/>
    <w:rsid w:val="00002ED3"/>
    <w:rsid w:val="00003100"/>
    <w:rsid w:val="00003717"/>
    <w:rsid w:val="000042C0"/>
    <w:rsid w:val="000045BE"/>
    <w:rsid w:val="000060AB"/>
    <w:rsid w:val="000061EA"/>
    <w:rsid w:val="00007E1B"/>
    <w:rsid w:val="00010397"/>
    <w:rsid w:val="00010451"/>
    <w:rsid w:val="00010A83"/>
    <w:rsid w:val="00011259"/>
    <w:rsid w:val="0001176D"/>
    <w:rsid w:val="000118AB"/>
    <w:rsid w:val="00011D2C"/>
    <w:rsid w:val="0001200E"/>
    <w:rsid w:val="0001220E"/>
    <w:rsid w:val="00012493"/>
    <w:rsid w:val="00013583"/>
    <w:rsid w:val="00013D1A"/>
    <w:rsid w:val="00014515"/>
    <w:rsid w:val="0001507F"/>
    <w:rsid w:val="00015C03"/>
    <w:rsid w:val="00015FEC"/>
    <w:rsid w:val="00016BFA"/>
    <w:rsid w:val="000170FD"/>
    <w:rsid w:val="00017508"/>
    <w:rsid w:val="00017571"/>
    <w:rsid w:val="0002045B"/>
    <w:rsid w:val="00021D2E"/>
    <w:rsid w:val="00022257"/>
    <w:rsid w:val="00022448"/>
    <w:rsid w:val="000230EE"/>
    <w:rsid w:val="00023712"/>
    <w:rsid w:val="000248EE"/>
    <w:rsid w:val="000260B9"/>
    <w:rsid w:val="00027A9F"/>
    <w:rsid w:val="00030216"/>
    <w:rsid w:val="0003023B"/>
    <w:rsid w:val="000314B7"/>
    <w:rsid w:val="0003150F"/>
    <w:rsid w:val="000319C1"/>
    <w:rsid w:val="0003221F"/>
    <w:rsid w:val="00032232"/>
    <w:rsid w:val="0003254C"/>
    <w:rsid w:val="000326B2"/>
    <w:rsid w:val="00032715"/>
    <w:rsid w:val="00032E33"/>
    <w:rsid w:val="00033A6F"/>
    <w:rsid w:val="00033D62"/>
    <w:rsid w:val="000341D5"/>
    <w:rsid w:val="000346CC"/>
    <w:rsid w:val="0003485F"/>
    <w:rsid w:val="00035081"/>
    <w:rsid w:val="000361C7"/>
    <w:rsid w:val="00036CB1"/>
    <w:rsid w:val="00036D28"/>
    <w:rsid w:val="0003715E"/>
    <w:rsid w:val="00037615"/>
    <w:rsid w:val="00037619"/>
    <w:rsid w:val="000410EF"/>
    <w:rsid w:val="000414C2"/>
    <w:rsid w:val="000417A0"/>
    <w:rsid w:val="00041910"/>
    <w:rsid w:val="00041E52"/>
    <w:rsid w:val="00041FBB"/>
    <w:rsid w:val="00043686"/>
    <w:rsid w:val="000437CA"/>
    <w:rsid w:val="00043B0D"/>
    <w:rsid w:val="00044A53"/>
    <w:rsid w:val="00044C23"/>
    <w:rsid w:val="0004513D"/>
    <w:rsid w:val="000451F8"/>
    <w:rsid w:val="0004562C"/>
    <w:rsid w:val="00045A43"/>
    <w:rsid w:val="00045C4F"/>
    <w:rsid w:val="00046AA3"/>
    <w:rsid w:val="00047EC6"/>
    <w:rsid w:val="00050075"/>
    <w:rsid w:val="000513AB"/>
    <w:rsid w:val="000518BF"/>
    <w:rsid w:val="000519B3"/>
    <w:rsid w:val="000527F4"/>
    <w:rsid w:val="00052973"/>
    <w:rsid w:val="00052D12"/>
    <w:rsid w:val="0005303E"/>
    <w:rsid w:val="00053C89"/>
    <w:rsid w:val="00053EB1"/>
    <w:rsid w:val="00054313"/>
    <w:rsid w:val="0005464C"/>
    <w:rsid w:val="00055BB8"/>
    <w:rsid w:val="00055C41"/>
    <w:rsid w:val="0005601B"/>
    <w:rsid w:val="000567B5"/>
    <w:rsid w:val="00056FF3"/>
    <w:rsid w:val="000576E6"/>
    <w:rsid w:val="00057A2D"/>
    <w:rsid w:val="00057BDD"/>
    <w:rsid w:val="00057BE9"/>
    <w:rsid w:val="00057EAD"/>
    <w:rsid w:val="00061FCA"/>
    <w:rsid w:val="000622A3"/>
    <w:rsid w:val="000626BA"/>
    <w:rsid w:val="00062A6E"/>
    <w:rsid w:val="0006325A"/>
    <w:rsid w:val="00063540"/>
    <w:rsid w:val="00063A59"/>
    <w:rsid w:val="00063ADD"/>
    <w:rsid w:val="0006411B"/>
    <w:rsid w:val="00064AE2"/>
    <w:rsid w:val="00066423"/>
    <w:rsid w:val="00066D0F"/>
    <w:rsid w:val="00066E1B"/>
    <w:rsid w:val="00067082"/>
    <w:rsid w:val="00067136"/>
    <w:rsid w:val="00072851"/>
    <w:rsid w:val="00073FAE"/>
    <w:rsid w:val="00074B57"/>
    <w:rsid w:val="00074E8E"/>
    <w:rsid w:val="0007533B"/>
    <w:rsid w:val="0008029A"/>
    <w:rsid w:val="00080480"/>
    <w:rsid w:val="00080BB2"/>
    <w:rsid w:val="0008352E"/>
    <w:rsid w:val="0008393B"/>
    <w:rsid w:val="00083EAC"/>
    <w:rsid w:val="00084B5D"/>
    <w:rsid w:val="0008521D"/>
    <w:rsid w:val="00085636"/>
    <w:rsid w:val="00085FBD"/>
    <w:rsid w:val="00086685"/>
    <w:rsid w:val="00086791"/>
    <w:rsid w:val="000868AB"/>
    <w:rsid w:val="00086F5E"/>
    <w:rsid w:val="000870CD"/>
    <w:rsid w:val="000873CE"/>
    <w:rsid w:val="00087E83"/>
    <w:rsid w:val="00090735"/>
    <w:rsid w:val="000914DA"/>
    <w:rsid w:val="00091A78"/>
    <w:rsid w:val="00091D49"/>
    <w:rsid w:val="000928A6"/>
    <w:rsid w:val="000943EC"/>
    <w:rsid w:val="00094FCE"/>
    <w:rsid w:val="00095842"/>
    <w:rsid w:val="00097418"/>
    <w:rsid w:val="000A0070"/>
    <w:rsid w:val="000A07B0"/>
    <w:rsid w:val="000A0A73"/>
    <w:rsid w:val="000A1478"/>
    <w:rsid w:val="000A17A1"/>
    <w:rsid w:val="000A199A"/>
    <w:rsid w:val="000A1E8F"/>
    <w:rsid w:val="000A274C"/>
    <w:rsid w:val="000A27B1"/>
    <w:rsid w:val="000A3311"/>
    <w:rsid w:val="000A3DDC"/>
    <w:rsid w:val="000A3EEF"/>
    <w:rsid w:val="000A4355"/>
    <w:rsid w:val="000A532D"/>
    <w:rsid w:val="000A5771"/>
    <w:rsid w:val="000A58F3"/>
    <w:rsid w:val="000A5B49"/>
    <w:rsid w:val="000A7617"/>
    <w:rsid w:val="000B114E"/>
    <w:rsid w:val="000B15D2"/>
    <w:rsid w:val="000B1633"/>
    <w:rsid w:val="000B17E0"/>
    <w:rsid w:val="000B2966"/>
    <w:rsid w:val="000B2AAF"/>
    <w:rsid w:val="000B3740"/>
    <w:rsid w:val="000B3A9C"/>
    <w:rsid w:val="000B4317"/>
    <w:rsid w:val="000B4C86"/>
    <w:rsid w:val="000B5226"/>
    <w:rsid w:val="000B5FDC"/>
    <w:rsid w:val="000B6B20"/>
    <w:rsid w:val="000B6BE1"/>
    <w:rsid w:val="000B75F7"/>
    <w:rsid w:val="000B7B62"/>
    <w:rsid w:val="000C0479"/>
    <w:rsid w:val="000C0957"/>
    <w:rsid w:val="000C0B93"/>
    <w:rsid w:val="000C22C2"/>
    <w:rsid w:val="000C37CF"/>
    <w:rsid w:val="000C3882"/>
    <w:rsid w:val="000C564E"/>
    <w:rsid w:val="000C5ED4"/>
    <w:rsid w:val="000C6DF0"/>
    <w:rsid w:val="000D05E7"/>
    <w:rsid w:val="000D065E"/>
    <w:rsid w:val="000D0733"/>
    <w:rsid w:val="000D0944"/>
    <w:rsid w:val="000D0C6E"/>
    <w:rsid w:val="000D1218"/>
    <w:rsid w:val="000D1AC2"/>
    <w:rsid w:val="000D1E42"/>
    <w:rsid w:val="000D21DA"/>
    <w:rsid w:val="000D29A5"/>
    <w:rsid w:val="000D40BD"/>
    <w:rsid w:val="000D4B7A"/>
    <w:rsid w:val="000D591A"/>
    <w:rsid w:val="000D61DC"/>
    <w:rsid w:val="000E007C"/>
    <w:rsid w:val="000E00D0"/>
    <w:rsid w:val="000E0AE3"/>
    <w:rsid w:val="000E12EF"/>
    <w:rsid w:val="000E2EFC"/>
    <w:rsid w:val="000E321A"/>
    <w:rsid w:val="000E34AB"/>
    <w:rsid w:val="000E4571"/>
    <w:rsid w:val="000E47FF"/>
    <w:rsid w:val="000E5F2F"/>
    <w:rsid w:val="000E6070"/>
    <w:rsid w:val="000E6102"/>
    <w:rsid w:val="000E630B"/>
    <w:rsid w:val="000E639B"/>
    <w:rsid w:val="000E63E2"/>
    <w:rsid w:val="000E70DE"/>
    <w:rsid w:val="000E7AE0"/>
    <w:rsid w:val="000E7B66"/>
    <w:rsid w:val="000F0061"/>
    <w:rsid w:val="000F0444"/>
    <w:rsid w:val="000F0ADB"/>
    <w:rsid w:val="000F10C7"/>
    <w:rsid w:val="000F2895"/>
    <w:rsid w:val="000F292D"/>
    <w:rsid w:val="000F2B94"/>
    <w:rsid w:val="000F30C5"/>
    <w:rsid w:val="000F3198"/>
    <w:rsid w:val="000F36E1"/>
    <w:rsid w:val="000F405A"/>
    <w:rsid w:val="000F47B3"/>
    <w:rsid w:val="000F48E8"/>
    <w:rsid w:val="000F4E32"/>
    <w:rsid w:val="000F52EB"/>
    <w:rsid w:val="000F562E"/>
    <w:rsid w:val="000F6055"/>
    <w:rsid w:val="000F69F2"/>
    <w:rsid w:val="000F7A75"/>
    <w:rsid w:val="00100E93"/>
    <w:rsid w:val="00101B6A"/>
    <w:rsid w:val="00101D2C"/>
    <w:rsid w:val="00101F44"/>
    <w:rsid w:val="0010273E"/>
    <w:rsid w:val="00103121"/>
    <w:rsid w:val="00104720"/>
    <w:rsid w:val="00104954"/>
    <w:rsid w:val="00104B09"/>
    <w:rsid w:val="001053A9"/>
    <w:rsid w:val="00105C4C"/>
    <w:rsid w:val="001065EF"/>
    <w:rsid w:val="001068E5"/>
    <w:rsid w:val="00110626"/>
    <w:rsid w:val="00111748"/>
    <w:rsid w:val="001127D1"/>
    <w:rsid w:val="00112939"/>
    <w:rsid w:val="00114A31"/>
    <w:rsid w:val="00114FA1"/>
    <w:rsid w:val="00115181"/>
    <w:rsid w:val="0011623D"/>
    <w:rsid w:val="0011727D"/>
    <w:rsid w:val="00117782"/>
    <w:rsid w:val="00120746"/>
    <w:rsid w:val="0012144F"/>
    <w:rsid w:val="0012178E"/>
    <w:rsid w:val="001228E6"/>
    <w:rsid w:val="00122946"/>
    <w:rsid w:val="00122DF6"/>
    <w:rsid w:val="00124EEB"/>
    <w:rsid w:val="00125295"/>
    <w:rsid w:val="00125A82"/>
    <w:rsid w:val="00126C11"/>
    <w:rsid w:val="00127514"/>
    <w:rsid w:val="001311B6"/>
    <w:rsid w:val="001313FA"/>
    <w:rsid w:val="0013141E"/>
    <w:rsid w:val="00131AEC"/>
    <w:rsid w:val="00132375"/>
    <w:rsid w:val="00132520"/>
    <w:rsid w:val="00133E81"/>
    <w:rsid w:val="00134869"/>
    <w:rsid w:val="00134A45"/>
    <w:rsid w:val="0013571D"/>
    <w:rsid w:val="00136148"/>
    <w:rsid w:val="00136C80"/>
    <w:rsid w:val="00136CB9"/>
    <w:rsid w:val="00136F86"/>
    <w:rsid w:val="00137DBB"/>
    <w:rsid w:val="00137F68"/>
    <w:rsid w:val="00140267"/>
    <w:rsid w:val="00140598"/>
    <w:rsid w:val="0014152B"/>
    <w:rsid w:val="001417CE"/>
    <w:rsid w:val="001418EE"/>
    <w:rsid w:val="00141C8C"/>
    <w:rsid w:val="00142D2B"/>
    <w:rsid w:val="00143212"/>
    <w:rsid w:val="0014376D"/>
    <w:rsid w:val="00143BC0"/>
    <w:rsid w:val="00143FD9"/>
    <w:rsid w:val="00144AA5"/>
    <w:rsid w:val="001456BB"/>
    <w:rsid w:val="00145AA0"/>
    <w:rsid w:val="001468B6"/>
    <w:rsid w:val="00147F5F"/>
    <w:rsid w:val="001521AA"/>
    <w:rsid w:val="0015491F"/>
    <w:rsid w:val="00154C73"/>
    <w:rsid w:val="00155524"/>
    <w:rsid w:val="001555F0"/>
    <w:rsid w:val="00155643"/>
    <w:rsid w:val="0015617A"/>
    <w:rsid w:val="00156B80"/>
    <w:rsid w:val="001571EE"/>
    <w:rsid w:val="00157AD7"/>
    <w:rsid w:val="00157F07"/>
    <w:rsid w:val="00160833"/>
    <w:rsid w:val="00160B4C"/>
    <w:rsid w:val="00160D17"/>
    <w:rsid w:val="00161036"/>
    <w:rsid w:val="001618A9"/>
    <w:rsid w:val="00161BC8"/>
    <w:rsid w:val="00162507"/>
    <w:rsid w:val="00163334"/>
    <w:rsid w:val="00163ECC"/>
    <w:rsid w:val="0016538B"/>
    <w:rsid w:val="00165934"/>
    <w:rsid w:val="001668B8"/>
    <w:rsid w:val="00166A9D"/>
    <w:rsid w:val="00166D2B"/>
    <w:rsid w:val="00167AD1"/>
    <w:rsid w:val="001700E7"/>
    <w:rsid w:val="0017146A"/>
    <w:rsid w:val="00172444"/>
    <w:rsid w:val="001743B8"/>
    <w:rsid w:val="001748FF"/>
    <w:rsid w:val="00174E98"/>
    <w:rsid w:val="00174EB6"/>
    <w:rsid w:val="001762B5"/>
    <w:rsid w:val="00176882"/>
    <w:rsid w:val="00176B7C"/>
    <w:rsid w:val="00176D1B"/>
    <w:rsid w:val="00177375"/>
    <w:rsid w:val="00177603"/>
    <w:rsid w:val="001776FE"/>
    <w:rsid w:val="00180249"/>
    <w:rsid w:val="00180637"/>
    <w:rsid w:val="00180B01"/>
    <w:rsid w:val="00182327"/>
    <w:rsid w:val="00182868"/>
    <w:rsid w:val="00182F31"/>
    <w:rsid w:val="001836A5"/>
    <w:rsid w:val="001836B0"/>
    <w:rsid w:val="00183E74"/>
    <w:rsid w:val="001850FC"/>
    <w:rsid w:val="0018542E"/>
    <w:rsid w:val="00185D92"/>
    <w:rsid w:val="00186AE8"/>
    <w:rsid w:val="00186EEC"/>
    <w:rsid w:val="00187611"/>
    <w:rsid w:val="00187A04"/>
    <w:rsid w:val="00187A8F"/>
    <w:rsid w:val="00190A5E"/>
    <w:rsid w:val="00191B51"/>
    <w:rsid w:val="00191C9E"/>
    <w:rsid w:val="00191F7E"/>
    <w:rsid w:val="00192B44"/>
    <w:rsid w:val="00192E4E"/>
    <w:rsid w:val="0019399E"/>
    <w:rsid w:val="00193A38"/>
    <w:rsid w:val="001947F3"/>
    <w:rsid w:val="001950AD"/>
    <w:rsid w:val="001954D3"/>
    <w:rsid w:val="001966BD"/>
    <w:rsid w:val="00196A4B"/>
    <w:rsid w:val="0019778C"/>
    <w:rsid w:val="00197941"/>
    <w:rsid w:val="00197FB4"/>
    <w:rsid w:val="001A14F1"/>
    <w:rsid w:val="001A158B"/>
    <w:rsid w:val="001A187B"/>
    <w:rsid w:val="001A280C"/>
    <w:rsid w:val="001A2FC5"/>
    <w:rsid w:val="001A4050"/>
    <w:rsid w:val="001A4255"/>
    <w:rsid w:val="001A5A76"/>
    <w:rsid w:val="001A6645"/>
    <w:rsid w:val="001A6F5B"/>
    <w:rsid w:val="001A703D"/>
    <w:rsid w:val="001B0543"/>
    <w:rsid w:val="001B0FE6"/>
    <w:rsid w:val="001B12BE"/>
    <w:rsid w:val="001B1CC6"/>
    <w:rsid w:val="001B1E08"/>
    <w:rsid w:val="001B1F69"/>
    <w:rsid w:val="001B2B77"/>
    <w:rsid w:val="001B3042"/>
    <w:rsid w:val="001B3047"/>
    <w:rsid w:val="001B3287"/>
    <w:rsid w:val="001B3CC7"/>
    <w:rsid w:val="001B3E92"/>
    <w:rsid w:val="001B4CF5"/>
    <w:rsid w:val="001B4D67"/>
    <w:rsid w:val="001B4EBF"/>
    <w:rsid w:val="001B5C55"/>
    <w:rsid w:val="001B7838"/>
    <w:rsid w:val="001B7A48"/>
    <w:rsid w:val="001B7F13"/>
    <w:rsid w:val="001C056C"/>
    <w:rsid w:val="001C0FCD"/>
    <w:rsid w:val="001C1337"/>
    <w:rsid w:val="001C19B6"/>
    <w:rsid w:val="001C1DC0"/>
    <w:rsid w:val="001C2470"/>
    <w:rsid w:val="001C29A6"/>
    <w:rsid w:val="001C32EA"/>
    <w:rsid w:val="001C435B"/>
    <w:rsid w:val="001C456D"/>
    <w:rsid w:val="001C487D"/>
    <w:rsid w:val="001C48ED"/>
    <w:rsid w:val="001C6F9E"/>
    <w:rsid w:val="001D0BA6"/>
    <w:rsid w:val="001D109C"/>
    <w:rsid w:val="001D22FB"/>
    <w:rsid w:val="001D2408"/>
    <w:rsid w:val="001D2888"/>
    <w:rsid w:val="001D3C15"/>
    <w:rsid w:val="001D4271"/>
    <w:rsid w:val="001D53CF"/>
    <w:rsid w:val="001D595E"/>
    <w:rsid w:val="001D677D"/>
    <w:rsid w:val="001D6B74"/>
    <w:rsid w:val="001D7CE4"/>
    <w:rsid w:val="001E0150"/>
    <w:rsid w:val="001E080D"/>
    <w:rsid w:val="001E08A5"/>
    <w:rsid w:val="001E0E79"/>
    <w:rsid w:val="001E2321"/>
    <w:rsid w:val="001E27D3"/>
    <w:rsid w:val="001E3231"/>
    <w:rsid w:val="001E3946"/>
    <w:rsid w:val="001E3A56"/>
    <w:rsid w:val="001E3B1F"/>
    <w:rsid w:val="001E3EA0"/>
    <w:rsid w:val="001E4FBE"/>
    <w:rsid w:val="001E510D"/>
    <w:rsid w:val="001E5A43"/>
    <w:rsid w:val="001E5B56"/>
    <w:rsid w:val="001E5BFE"/>
    <w:rsid w:val="001E5EF5"/>
    <w:rsid w:val="001E60CD"/>
    <w:rsid w:val="001E60CF"/>
    <w:rsid w:val="001E671E"/>
    <w:rsid w:val="001E731F"/>
    <w:rsid w:val="001E7B04"/>
    <w:rsid w:val="001E7C2C"/>
    <w:rsid w:val="001E7D74"/>
    <w:rsid w:val="001F1151"/>
    <w:rsid w:val="001F122A"/>
    <w:rsid w:val="001F1707"/>
    <w:rsid w:val="001F1E69"/>
    <w:rsid w:val="001F32F5"/>
    <w:rsid w:val="001F33B7"/>
    <w:rsid w:val="001F34F3"/>
    <w:rsid w:val="001F38DA"/>
    <w:rsid w:val="001F48DF"/>
    <w:rsid w:val="001F55CE"/>
    <w:rsid w:val="001F6FC5"/>
    <w:rsid w:val="001F6FCC"/>
    <w:rsid w:val="001F75EE"/>
    <w:rsid w:val="001F78F6"/>
    <w:rsid w:val="001F7DB4"/>
    <w:rsid w:val="002000B5"/>
    <w:rsid w:val="00200887"/>
    <w:rsid w:val="00200EA8"/>
    <w:rsid w:val="00201423"/>
    <w:rsid w:val="00201624"/>
    <w:rsid w:val="00204080"/>
    <w:rsid w:val="002042BB"/>
    <w:rsid w:val="002053B1"/>
    <w:rsid w:val="00205DC2"/>
    <w:rsid w:val="002067E0"/>
    <w:rsid w:val="002069A1"/>
    <w:rsid w:val="002070B9"/>
    <w:rsid w:val="00207B56"/>
    <w:rsid w:val="00207CA3"/>
    <w:rsid w:val="00210715"/>
    <w:rsid w:val="00210794"/>
    <w:rsid w:val="00211369"/>
    <w:rsid w:val="00212365"/>
    <w:rsid w:val="002125A3"/>
    <w:rsid w:val="0021290B"/>
    <w:rsid w:val="00212C6E"/>
    <w:rsid w:val="0021382A"/>
    <w:rsid w:val="00213BC8"/>
    <w:rsid w:val="002140D5"/>
    <w:rsid w:val="0021563B"/>
    <w:rsid w:val="0021566D"/>
    <w:rsid w:val="00215F4C"/>
    <w:rsid w:val="00216E66"/>
    <w:rsid w:val="0021722E"/>
    <w:rsid w:val="002173F6"/>
    <w:rsid w:val="00217642"/>
    <w:rsid w:val="00217BE2"/>
    <w:rsid w:val="00217D61"/>
    <w:rsid w:val="00220A73"/>
    <w:rsid w:val="002214F2"/>
    <w:rsid w:val="00221D32"/>
    <w:rsid w:val="002227D4"/>
    <w:rsid w:val="002229B2"/>
    <w:rsid w:val="0022430F"/>
    <w:rsid w:val="00226453"/>
    <w:rsid w:val="00226781"/>
    <w:rsid w:val="00226DD9"/>
    <w:rsid w:val="00227AD6"/>
    <w:rsid w:val="00230723"/>
    <w:rsid w:val="0023181C"/>
    <w:rsid w:val="00231C4A"/>
    <w:rsid w:val="00231E4C"/>
    <w:rsid w:val="00231EF3"/>
    <w:rsid w:val="00231F46"/>
    <w:rsid w:val="002327C2"/>
    <w:rsid w:val="002328D4"/>
    <w:rsid w:val="00232C32"/>
    <w:rsid w:val="0023346E"/>
    <w:rsid w:val="00233FCC"/>
    <w:rsid w:val="00234293"/>
    <w:rsid w:val="00234DC3"/>
    <w:rsid w:val="00234DC7"/>
    <w:rsid w:val="00235015"/>
    <w:rsid w:val="00235D1F"/>
    <w:rsid w:val="0023622B"/>
    <w:rsid w:val="00236734"/>
    <w:rsid w:val="00236BDD"/>
    <w:rsid w:val="00237631"/>
    <w:rsid w:val="00237777"/>
    <w:rsid w:val="00237B7C"/>
    <w:rsid w:val="00237E6F"/>
    <w:rsid w:val="0024023B"/>
    <w:rsid w:val="00240646"/>
    <w:rsid w:val="00241569"/>
    <w:rsid w:val="002421ED"/>
    <w:rsid w:val="0024259B"/>
    <w:rsid w:val="002431BF"/>
    <w:rsid w:val="00243727"/>
    <w:rsid w:val="00243D8E"/>
    <w:rsid w:val="002442AE"/>
    <w:rsid w:val="0024517C"/>
    <w:rsid w:val="00245871"/>
    <w:rsid w:val="00245DBB"/>
    <w:rsid w:val="002461A8"/>
    <w:rsid w:val="00246283"/>
    <w:rsid w:val="0024770C"/>
    <w:rsid w:val="00247EF2"/>
    <w:rsid w:val="00250A18"/>
    <w:rsid w:val="00252116"/>
    <w:rsid w:val="00252A76"/>
    <w:rsid w:val="00255D86"/>
    <w:rsid w:val="002616A5"/>
    <w:rsid w:val="00261B9A"/>
    <w:rsid w:val="00261F41"/>
    <w:rsid w:val="00262278"/>
    <w:rsid w:val="0026290A"/>
    <w:rsid w:val="00262C9A"/>
    <w:rsid w:val="00262D01"/>
    <w:rsid w:val="00262DDE"/>
    <w:rsid w:val="00262EE0"/>
    <w:rsid w:val="00263052"/>
    <w:rsid w:val="00263A51"/>
    <w:rsid w:val="00263A67"/>
    <w:rsid w:val="00263B7D"/>
    <w:rsid w:val="00263BC1"/>
    <w:rsid w:val="002651BA"/>
    <w:rsid w:val="00266805"/>
    <w:rsid w:val="002677B0"/>
    <w:rsid w:val="002678F1"/>
    <w:rsid w:val="00267B52"/>
    <w:rsid w:val="00267F86"/>
    <w:rsid w:val="00270489"/>
    <w:rsid w:val="00270D4E"/>
    <w:rsid w:val="002712E6"/>
    <w:rsid w:val="00272B4F"/>
    <w:rsid w:val="00272F54"/>
    <w:rsid w:val="0027372F"/>
    <w:rsid w:val="00273B44"/>
    <w:rsid w:val="00273B52"/>
    <w:rsid w:val="00273E85"/>
    <w:rsid w:val="00274BE7"/>
    <w:rsid w:val="00274FE0"/>
    <w:rsid w:val="0027568F"/>
    <w:rsid w:val="00275A1D"/>
    <w:rsid w:val="002764BE"/>
    <w:rsid w:val="00276CE0"/>
    <w:rsid w:val="00280224"/>
    <w:rsid w:val="0028139D"/>
    <w:rsid w:val="00281538"/>
    <w:rsid w:val="002828E6"/>
    <w:rsid w:val="00282DE7"/>
    <w:rsid w:val="002832D9"/>
    <w:rsid w:val="0028393B"/>
    <w:rsid w:val="00283E7B"/>
    <w:rsid w:val="002846C3"/>
    <w:rsid w:val="0028480E"/>
    <w:rsid w:val="00285CE1"/>
    <w:rsid w:val="00285E02"/>
    <w:rsid w:val="00285FF1"/>
    <w:rsid w:val="0028782D"/>
    <w:rsid w:val="00291698"/>
    <w:rsid w:val="002917C9"/>
    <w:rsid w:val="00291C55"/>
    <w:rsid w:val="0029200B"/>
    <w:rsid w:val="002925E2"/>
    <w:rsid w:val="0029297B"/>
    <w:rsid w:val="00292BDB"/>
    <w:rsid w:val="002930B3"/>
    <w:rsid w:val="00293291"/>
    <w:rsid w:val="00293766"/>
    <w:rsid w:val="002940AB"/>
    <w:rsid w:val="002943DA"/>
    <w:rsid w:val="002946D4"/>
    <w:rsid w:val="0029503D"/>
    <w:rsid w:val="00295CC3"/>
    <w:rsid w:val="002A0519"/>
    <w:rsid w:val="002A1E2F"/>
    <w:rsid w:val="002A1ED8"/>
    <w:rsid w:val="002A1EFC"/>
    <w:rsid w:val="002A2195"/>
    <w:rsid w:val="002A24E8"/>
    <w:rsid w:val="002A2DEA"/>
    <w:rsid w:val="002A334C"/>
    <w:rsid w:val="002A345E"/>
    <w:rsid w:val="002A3D5F"/>
    <w:rsid w:val="002A53A9"/>
    <w:rsid w:val="002A5788"/>
    <w:rsid w:val="002A5B48"/>
    <w:rsid w:val="002A6776"/>
    <w:rsid w:val="002A7E65"/>
    <w:rsid w:val="002B02D7"/>
    <w:rsid w:val="002B0969"/>
    <w:rsid w:val="002B16C3"/>
    <w:rsid w:val="002B1AD2"/>
    <w:rsid w:val="002B278F"/>
    <w:rsid w:val="002B2949"/>
    <w:rsid w:val="002B40F3"/>
    <w:rsid w:val="002B45AD"/>
    <w:rsid w:val="002B4751"/>
    <w:rsid w:val="002B4957"/>
    <w:rsid w:val="002B49C9"/>
    <w:rsid w:val="002B4D12"/>
    <w:rsid w:val="002B526C"/>
    <w:rsid w:val="002B54D8"/>
    <w:rsid w:val="002B5A44"/>
    <w:rsid w:val="002B62AF"/>
    <w:rsid w:val="002B7946"/>
    <w:rsid w:val="002C0236"/>
    <w:rsid w:val="002C0514"/>
    <w:rsid w:val="002C2E1B"/>
    <w:rsid w:val="002C2F96"/>
    <w:rsid w:val="002C32D0"/>
    <w:rsid w:val="002C3753"/>
    <w:rsid w:val="002C3F8A"/>
    <w:rsid w:val="002C4137"/>
    <w:rsid w:val="002C4661"/>
    <w:rsid w:val="002C4BA5"/>
    <w:rsid w:val="002C4CBB"/>
    <w:rsid w:val="002C5826"/>
    <w:rsid w:val="002C5DEE"/>
    <w:rsid w:val="002C64CA"/>
    <w:rsid w:val="002C6AFD"/>
    <w:rsid w:val="002C6CA4"/>
    <w:rsid w:val="002C7FEC"/>
    <w:rsid w:val="002D06B9"/>
    <w:rsid w:val="002D0B8C"/>
    <w:rsid w:val="002D189A"/>
    <w:rsid w:val="002D1D70"/>
    <w:rsid w:val="002D3C01"/>
    <w:rsid w:val="002D4171"/>
    <w:rsid w:val="002D44F3"/>
    <w:rsid w:val="002D4A22"/>
    <w:rsid w:val="002D4CDE"/>
    <w:rsid w:val="002D62B3"/>
    <w:rsid w:val="002D7F10"/>
    <w:rsid w:val="002E0251"/>
    <w:rsid w:val="002E1804"/>
    <w:rsid w:val="002E1C31"/>
    <w:rsid w:val="002E1F9F"/>
    <w:rsid w:val="002E25F4"/>
    <w:rsid w:val="002E2F8A"/>
    <w:rsid w:val="002E3A56"/>
    <w:rsid w:val="002E4E76"/>
    <w:rsid w:val="002E6CD6"/>
    <w:rsid w:val="002E6DE1"/>
    <w:rsid w:val="002E7359"/>
    <w:rsid w:val="002F095C"/>
    <w:rsid w:val="002F0D71"/>
    <w:rsid w:val="002F11E7"/>
    <w:rsid w:val="002F15D6"/>
    <w:rsid w:val="002F16D8"/>
    <w:rsid w:val="002F196D"/>
    <w:rsid w:val="002F19B5"/>
    <w:rsid w:val="002F3DB8"/>
    <w:rsid w:val="002F41A4"/>
    <w:rsid w:val="002F585B"/>
    <w:rsid w:val="003000CF"/>
    <w:rsid w:val="003004AE"/>
    <w:rsid w:val="0030137E"/>
    <w:rsid w:val="00301ED4"/>
    <w:rsid w:val="003030FA"/>
    <w:rsid w:val="00303993"/>
    <w:rsid w:val="00304728"/>
    <w:rsid w:val="0030475F"/>
    <w:rsid w:val="00304AE1"/>
    <w:rsid w:val="00305139"/>
    <w:rsid w:val="00305627"/>
    <w:rsid w:val="00305755"/>
    <w:rsid w:val="0030682C"/>
    <w:rsid w:val="00306C6D"/>
    <w:rsid w:val="00306EB2"/>
    <w:rsid w:val="003106FD"/>
    <w:rsid w:val="003109B8"/>
    <w:rsid w:val="00310CD9"/>
    <w:rsid w:val="00311DCF"/>
    <w:rsid w:val="00313FAD"/>
    <w:rsid w:val="003147D8"/>
    <w:rsid w:val="00315028"/>
    <w:rsid w:val="00315220"/>
    <w:rsid w:val="003156D1"/>
    <w:rsid w:val="003169C7"/>
    <w:rsid w:val="00316B82"/>
    <w:rsid w:val="00316E83"/>
    <w:rsid w:val="003175FE"/>
    <w:rsid w:val="003204A1"/>
    <w:rsid w:val="00321B38"/>
    <w:rsid w:val="00321C0C"/>
    <w:rsid w:val="00322737"/>
    <w:rsid w:val="0032310D"/>
    <w:rsid w:val="00324BE2"/>
    <w:rsid w:val="00324FA9"/>
    <w:rsid w:val="00325334"/>
    <w:rsid w:val="00325B4F"/>
    <w:rsid w:val="0032607A"/>
    <w:rsid w:val="003268E1"/>
    <w:rsid w:val="00326D41"/>
    <w:rsid w:val="0032713B"/>
    <w:rsid w:val="00327539"/>
    <w:rsid w:val="00327C4A"/>
    <w:rsid w:val="003301C8"/>
    <w:rsid w:val="003310B7"/>
    <w:rsid w:val="0033136B"/>
    <w:rsid w:val="00331734"/>
    <w:rsid w:val="00331C94"/>
    <w:rsid w:val="00332408"/>
    <w:rsid w:val="00333221"/>
    <w:rsid w:val="003351A8"/>
    <w:rsid w:val="0033543A"/>
    <w:rsid w:val="00335AD5"/>
    <w:rsid w:val="00336474"/>
    <w:rsid w:val="00336970"/>
    <w:rsid w:val="003370EC"/>
    <w:rsid w:val="00337131"/>
    <w:rsid w:val="003373A0"/>
    <w:rsid w:val="00337AC1"/>
    <w:rsid w:val="0034003B"/>
    <w:rsid w:val="0034038D"/>
    <w:rsid w:val="00340956"/>
    <w:rsid w:val="0034183B"/>
    <w:rsid w:val="00342EF0"/>
    <w:rsid w:val="0034442B"/>
    <w:rsid w:val="00344465"/>
    <w:rsid w:val="00344653"/>
    <w:rsid w:val="00344974"/>
    <w:rsid w:val="00345DD5"/>
    <w:rsid w:val="00345E1B"/>
    <w:rsid w:val="00346398"/>
    <w:rsid w:val="003466BF"/>
    <w:rsid w:val="003468F0"/>
    <w:rsid w:val="00346E9D"/>
    <w:rsid w:val="00347384"/>
    <w:rsid w:val="0035009E"/>
    <w:rsid w:val="0035020B"/>
    <w:rsid w:val="003502CB"/>
    <w:rsid w:val="003507F8"/>
    <w:rsid w:val="003524A9"/>
    <w:rsid w:val="003540B1"/>
    <w:rsid w:val="00354C5F"/>
    <w:rsid w:val="003553CA"/>
    <w:rsid w:val="00355AC4"/>
    <w:rsid w:val="00355EE2"/>
    <w:rsid w:val="00356358"/>
    <w:rsid w:val="00356425"/>
    <w:rsid w:val="003568A7"/>
    <w:rsid w:val="00356EE2"/>
    <w:rsid w:val="00357048"/>
    <w:rsid w:val="003575AC"/>
    <w:rsid w:val="00357651"/>
    <w:rsid w:val="00357FB6"/>
    <w:rsid w:val="00360479"/>
    <w:rsid w:val="0036054A"/>
    <w:rsid w:val="003609B7"/>
    <w:rsid w:val="00362B40"/>
    <w:rsid w:val="003644BD"/>
    <w:rsid w:val="003649E7"/>
    <w:rsid w:val="00365C25"/>
    <w:rsid w:val="00365CB8"/>
    <w:rsid w:val="00365F05"/>
    <w:rsid w:val="0036660C"/>
    <w:rsid w:val="00367694"/>
    <w:rsid w:val="003705D8"/>
    <w:rsid w:val="0037112D"/>
    <w:rsid w:val="003711DC"/>
    <w:rsid w:val="00371538"/>
    <w:rsid w:val="003726BD"/>
    <w:rsid w:val="003737A1"/>
    <w:rsid w:val="00374647"/>
    <w:rsid w:val="0037494A"/>
    <w:rsid w:val="00374DF1"/>
    <w:rsid w:val="00374E6A"/>
    <w:rsid w:val="00375A8D"/>
    <w:rsid w:val="00375ABB"/>
    <w:rsid w:val="00376ACB"/>
    <w:rsid w:val="00376E5B"/>
    <w:rsid w:val="003773C0"/>
    <w:rsid w:val="00377B32"/>
    <w:rsid w:val="00377BB1"/>
    <w:rsid w:val="003809BB"/>
    <w:rsid w:val="003815FE"/>
    <w:rsid w:val="003819D5"/>
    <w:rsid w:val="00383A05"/>
    <w:rsid w:val="00384D96"/>
    <w:rsid w:val="0038547F"/>
    <w:rsid w:val="00385639"/>
    <w:rsid w:val="0038647B"/>
    <w:rsid w:val="00386778"/>
    <w:rsid w:val="00387ADD"/>
    <w:rsid w:val="00387D37"/>
    <w:rsid w:val="003900E5"/>
    <w:rsid w:val="003904B7"/>
    <w:rsid w:val="00390564"/>
    <w:rsid w:val="00390ABF"/>
    <w:rsid w:val="00391064"/>
    <w:rsid w:val="00391279"/>
    <w:rsid w:val="00391281"/>
    <w:rsid w:val="00391419"/>
    <w:rsid w:val="00391D43"/>
    <w:rsid w:val="003927B1"/>
    <w:rsid w:val="00392ED6"/>
    <w:rsid w:val="00393D80"/>
    <w:rsid w:val="00393E4D"/>
    <w:rsid w:val="00394831"/>
    <w:rsid w:val="00397853"/>
    <w:rsid w:val="003A02FB"/>
    <w:rsid w:val="003A2163"/>
    <w:rsid w:val="003A2BAF"/>
    <w:rsid w:val="003A35A3"/>
    <w:rsid w:val="003A39A9"/>
    <w:rsid w:val="003A4781"/>
    <w:rsid w:val="003A48E3"/>
    <w:rsid w:val="003A536D"/>
    <w:rsid w:val="003A5830"/>
    <w:rsid w:val="003A6E24"/>
    <w:rsid w:val="003A72A1"/>
    <w:rsid w:val="003A7711"/>
    <w:rsid w:val="003B08BE"/>
    <w:rsid w:val="003B0DA5"/>
    <w:rsid w:val="003B0F0F"/>
    <w:rsid w:val="003B32C8"/>
    <w:rsid w:val="003B37BC"/>
    <w:rsid w:val="003B3EC5"/>
    <w:rsid w:val="003B3EFB"/>
    <w:rsid w:val="003B470F"/>
    <w:rsid w:val="003B518E"/>
    <w:rsid w:val="003B5481"/>
    <w:rsid w:val="003B709E"/>
    <w:rsid w:val="003B787D"/>
    <w:rsid w:val="003B7944"/>
    <w:rsid w:val="003B7BCD"/>
    <w:rsid w:val="003B7D01"/>
    <w:rsid w:val="003C0D68"/>
    <w:rsid w:val="003C18C6"/>
    <w:rsid w:val="003C1E98"/>
    <w:rsid w:val="003C387E"/>
    <w:rsid w:val="003C3C95"/>
    <w:rsid w:val="003C3CD1"/>
    <w:rsid w:val="003C4B70"/>
    <w:rsid w:val="003C4FC6"/>
    <w:rsid w:val="003C5F15"/>
    <w:rsid w:val="003C698A"/>
    <w:rsid w:val="003C72CB"/>
    <w:rsid w:val="003D01CB"/>
    <w:rsid w:val="003D0E00"/>
    <w:rsid w:val="003D20D5"/>
    <w:rsid w:val="003D2A92"/>
    <w:rsid w:val="003D2C32"/>
    <w:rsid w:val="003D30A7"/>
    <w:rsid w:val="003D3A67"/>
    <w:rsid w:val="003D3BFD"/>
    <w:rsid w:val="003D410D"/>
    <w:rsid w:val="003D48A4"/>
    <w:rsid w:val="003D4F40"/>
    <w:rsid w:val="003D5E5C"/>
    <w:rsid w:val="003D5FE9"/>
    <w:rsid w:val="003D61AA"/>
    <w:rsid w:val="003D6755"/>
    <w:rsid w:val="003D6A70"/>
    <w:rsid w:val="003E0944"/>
    <w:rsid w:val="003E0F53"/>
    <w:rsid w:val="003E1F7E"/>
    <w:rsid w:val="003E2F0A"/>
    <w:rsid w:val="003E4537"/>
    <w:rsid w:val="003E4DA0"/>
    <w:rsid w:val="003E4EE4"/>
    <w:rsid w:val="003E5F95"/>
    <w:rsid w:val="003E6A15"/>
    <w:rsid w:val="003E6AED"/>
    <w:rsid w:val="003E72C4"/>
    <w:rsid w:val="003E759C"/>
    <w:rsid w:val="003F033F"/>
    <w:rsid w:val="003F1A25"/>
    <w:rsid w:val="003F1E35"/>
    <w:rsid w:val="003F1F92"/>
    <w:rsid w:val="003F2B42"/>
    <w:rsid w:val="003F2C91"/>
    <w:rsid w:val="003F2C9C"/>
    <w:rsid w:val="003F2F2D"/>
    <w:rsid w:val="003F38D0"/>
    <w:rsid w:val="003F3C32"/>
    <w:rsid w:val="003F5959"/>
    <w:rsid w:val="003F6546"/>
    <w:rsid w:val="003F731E"/>
    <w:rsid w:val="003F736D"/>
    <w:rsid w:val="003F7735"/>
    <w:rsid w:val="003F78EA"/>
    <w:rsid w:val="003F7F28"/>
    <w:rsid w:val="0040006C"/>
    <w:rsid w:val="0040007E"/>
    <w:rsid w:val="00400797"/>
    <w:rsid w:val="00400B3E"/>
    <w:rsid w:val="0040114F"/>
    <w:rsid w:val="00401706"/>
    <w:rsid w:val="00402640"/>
    <w:rsid w:val="004026B6"/>
    <w:rsid w:val="00404036"/>
    <w:rsid w:val="004045AD"/>
    <w:rsid w:val="00404AF7"/>
    <w:rsid w:val="00404BB4"/>
    <w:rsid w:val="00404F37"/>
    <w:rsid w:val="00405FE8"/>
    <w:rsid w:val="00406414"/>
    <w:rsid w:val="00406E49"/>
    <w:rsid w:val="004110CF"/>
    <w:rsid w:val="00411AC7"/>
    <w:rsid w:val="00412154"/>
    <w:rsid w:val="00412BA5"/>
    <w:rsid w:val="00412D1A"/>
    <w:rsid w:val="00413762"/>
    <w:rsid w:val="00413800"/>
    <w:rsid w:val="00413A6C"/>
    <w:rsid w:val="00416001"/>
    <w:rsid w:val="0041625E"/>
    <w:rsid w:val="00416316"/>
    <w:rsid w:val="00417580"/>
    <w:rsid w:val="004200DE"/>
    <w:rsid w:val="0042014A"/>
    <w:rsid w:val="004203D0"/>
    <w:rsid w:val="00420734"/>
    <w:rsid w:val="00420B0C"/>
    <w:rsid w:val="00422007"/>
    <w:rsid w:val="00422685"/>
    <w:rsid w:val="00422992"/>
    <w:rsid w:val="004233C6"/>
    <w:rsid w:val="004233D3"/>
    <w:rsid w:val="00423841"/>
    <w:rsid w:val="00423E3B"/>
    <w:rsid w:val="00424D34"/>
    <w:rsid w:val="00424E28"/>
    <w:rsid w:val="00425AD4"/>
    <w:rsid w:val="004267DE"/>
    <w:rsid w:val="0042709D"/>
    <w:rsid w:val="004271BA"/>
    <w:rsid w:val="00427265"/>
    <w:rsid w:val="004273DC"/>
    <w:rsid w:val="0043007C"/>
    <w:rsid w:val="00430206"/>
    <w:rsid w:val="00430716"/>
    <w:rsid w:val="004312F5"/>
    <w:rsid w:val="004317D9"/>
    <w:rsid w:val="00431972"/>
    <w:rsid w:val="00432BA2"/>
    <w:rsid w:val="0043305B"/>
    <w:rsid w:val="00433F47"/>
    <w:rsid w:val="004342C5"/>
    <w:rsid w:val="00434547"/>
    <w:rsid w:val="004346FC"/>
    <w:rsid w:val="00435475"/>
    <w:rsid w:val="0043556D"/>
    <w:rsid w:val="004366E5"/>
    <w:rsid w:val="00436A81"/>
    <w:rsid w:val="00440D72"/>
    <w:rsid w:val="00441534"/>
    <w:rsid w:val="004417E3"/>
    <w:rsid w:val="004419E0"/>
    <w:rsid w:val="00441B57"/>
    <w:rsid w:val="00442093"/>
    <w:rsid w:val="0044225C"/>
    <w:rsid w:val="00442C12"/>
    <w:rsid w:val="00442E86"/>
    <w:rsid w:val="00443198"/>
    <w:rsid w:val="00444A14"/>
    <w:rsid w:val="004454F1"/>
    <w:rsid w:val="0044601F"/>
    <w:rsid w:val="00446551"/>
    <w:rsid w:val="004469C0"/>
    <w:rsid w:val="00446AD0"/>
    <w:rsid w:val="0044728D"/>
    <w:rsid w:val="004501ED"/>
    <w:rsid w:val="00450E36"/>
    <w:rsid w:val="0045254F"/>
    <w:rsid w:val="00452722"/>
    <w:rsid w:val="00453444"/>
    <w:rsid w:val="004540F8"/>
    <w:rsid w:val="00454111"/>
    <w:rsid w:val="004548EC"/>
    <w:rsid w:val="00454A02"/>
    <w:rsid w:val="00454E43"/>
    <w:rsid w:val="004551D2"/>
    <w:rsid w:val="00455848"/>
    <w:rsid w:val="004567B4"/>
    <w:rsid w:val="00456A29"/>
    <w:rsid w:val="0045720B"/>
    <w:rsid w:val="0045757A"/>
    <w:rsid w:val="004578A4"/>
    <w:rsid w:val="00457986"/>
    <w:rsid w:val="00457F3B"/>
    <w:rsid w:val="00460581"/>
    <w:rsid w:val="004611DC"/>
    <w:rsid w:val="004612B7"/>
    <w:rsid w:val="0046170A"/>
    <w:rsid w:val="004625B1"/>
    <w:rsid w:val="00462E5A"/>
    <w:rsid w:val="004635D8"/>
    <w:rsid w:val="00466D57"/>
    <w:rsid w:val="004677F1"/>
    <w:rsid w:val="00470D9C"/>
    <w:rsid w:val="0047100C"/>
    <w:rsid w:val="0047124B"/>
    <w:rsid w:val="00471818"/>
    <w:rsid w:val="004730F0"/>
    <w:rsid w:val="004733AC"/>
    <w:rsid w:val="0047459D"/>
    <w:rsid w:val="00474C30"/>
    <w:rsid w:val="0047506E"/>
    <w:rsid w:val="004754DB"/>
    <w:rsid w:val="00475E10"/>
    <w:rsid w:val="00476206"/>
    <w:rsid w:val="004773EF"/>
    <w:rsid w:val="004778BD"/>
    <w:rsid w:val="00480017"/>
    <w:rsid w:val="00480477"/>
    <w:rsid w:val="004809D5"/>
    <w:rsid w:val="00480E2A"/>
    <w:rsid w:val="00481F6B"/>
    <w:rsid w:val="004820CA"/>
    <w:rsid w:val="004832D2"/>
    <w:rsid w:val="004838B6"/>
    <w:rsid w:val="00483AF2"/>
    <w:rsid w:val="00484F62"/>
    <w:rsid w:val="004859CF"/>
    <w:rsid w:val="00485DC4"/>
    <w:rsid w:val="00486060"/>
    <w:rsid w:val="00486398"/>
    <w:rsid w:val="00486E8C"/>
    <w:rsid w:val="00487174"/>
    <w:rsid w:val="00487656"/>
    <w:rsid w:val="00492147"/>
    <w:rsid w:val="004930A1"/>
    <w:rsid w:val="00493AD0"/>
    <w:rsid w:val="004942C8"/>
    <w:rsid w:val="00495587"/>
    <w:rsid w:val="00495853"/>
    <w:rsid w:val="00496CC8"/>
    <w:rsid w:val="00496DFE"/>
    <w:rsid w:val="00497088"/>
    <w:rsid w:val="00497C09"/>
    <w:rsid w:val="004A0298"/>
    <w:rsid w:val="004A044B"/>
    <w:rsid w:val="004A0503"/>
    <w:rsid w:val="004A0524"/>
    <w:rsid w:val="004A14AB"/>
    <w:rsid w:val="004A2CEB"/>
    <w:rsid w:val="004A32CE"/>
    <w:rsid w:val="004A3F6B"/>
    <w:rsid w:val="004A40D2"/>
    <w:rsid w:val="004A4175"/>
    <w:rsid w:val="004A4517"/>
    <w:rsid w:val="004A4530"/>
    <w:rsid w:val="004A46D3"/>
    <w:rsid w:val="004A5F58"/>
    <w:rsid w:val="004A672F"/>
    <w:rsid w:val="004A7085"/>
    <w:rsid w:val="004A7876"/>
    <w:rsid w:val="004A7E43"/>
    <w:rsid w:val="004A7F6D"/>
    <w:rsid w:val="004B0219"/>
    <w:rsid w:val="004B16A0"/>
    <w:rsid w:val="004B1EB1"/>
    <w:rsid w:val="004B1F92"/>
    <w:rsid w:val="004B2FF9"/>
    <w:rsid w:val="004B31C9"/>
    <w:rsid w:val="004B3750"/>
    <w:rsid w:val="004B4203"/>
    <w:rsid w:val="004B47CD"/>
    <w:rsid w:val="004B62B4"/>
    <w:rsid w:val="004B74DC"/>
    <w:rsid w:val="004B7797"/>
    <w:rsid w:val="004B7C4D"/>
    <w:rsid w:val="004C0122"/>
    <w:rsid w:val="004C0376"/>
    <w:rsid w:val="004C1914"/>
    <w:rsid w:val="004C1B12"/>
    <w:rsid w:val="004C1C79"/>
    <w:rsid w:val="004C1FAF"/>
    <w:rsid w:val="004C2CB6"/>
    <w:rsid w:val="004C2E4D"/>
    <w:rsid w:val="004C2F4B"/>
    <w:rsid w:val="004C6157"/>
    <w:rsid w:val="004C61B9"/>
    <w:rsid w:val="004C6627"/>
    <w:rsid w:val="004C711B"/>
    <w:rsid w:val="004C78E6"/>
    <w:rsid w:val="004C7A36"/>
    <w:rsid w:val="004C7AB5"/>
    <w:rsid w:val="004D0B32"/>
    <w:rsid w:val="004D0BFF"/>
    <w:rsid w:val="004D0EC8"/>
    <w:rsid w:val="004D2D1D"/>
    <w:rsid w:val="004D3877"/>
    <w:rsid w:val="004D42F0"/>
    <w:rsid w:val="004D4F4A"/>
    <w:rsid w:val="004D4F70"/>
    <w:rsid w:val="004D54C8"/>
    <w:rsid w:val="004D6D3D"/>
    <w:rsid w:val="004D7164"/>
    <w:rsid w:val="004D79B9"/>
    <w:rsid w:val="004E0CF7"/>
    <w:rsid w:val="004E1894"/>
    <w:rsid w:val="004E1DBA"/>
    <w:rsid w:val="004E237A"/>
    <w:rsid w:val="004E2A15"/>
    <w:rsid w:val="004E2F1B"/>
    <w:rsid w:val="004E2F41"/>
    <w:rsid w:val="004E3188"/>
    <w:rsid w:val="004E5B56"/>
    <w:rsid w:val="004E70D0"/>
    <w:rsid w:val="004E78B5"/>
    <w:rsid w:val="004E7E22"/>
    <w:rsid w:val="004F00A2"/>
    <w:rsid w:val="004F0EBA"/>
    <w:rsid w:val="004F0ED9"/>
    <w:rsid w:val="004F1746"/>
    <w:rsid w:val="004F208E"/>
    <w:rsid w:val="004F39C8"/>
    <w:rsid w:val="004F411E"/>
    <w:rsid w:val="004F41C4"/>
    <w:rsid w:val="004F468D"/>
    <w:rsid w:val="004F4806"/>
    <w:rsid w:val="004F4F54"/>
    <w:rsid w:val="004F50B5"/>
    <w:rsid w:val="004F56CB"/>
    <w:rsid w:val="004F6C59"/>
    <w:rsid w:val="004F7D11"/>
    <w:rsid w:val="004F7E2E"/>
    <w:rsid w:val="00500C44"/>
    <w:rsid w:val="00500EEF"/>
    <w:rsid w:val="0050226D"/>
    <w:rsid w:val="0050278A"/>
    <w:rsid w:val="005028E3"/>
    <w:rsid w:val="00502B58"/>
    <w:rsid w:val="00502E57"/>
    <w:rsid w:val="0050311F"/>
    <w:rsid w:val="00503669"/>
    <w:rsid w:val="00503B8C"/>
    <w:rsid w:val="00504316"/>
    <w:rsid w:val="00507A3F"/>
    <w:rsid w:val="0051004F"/>
    <w:rsid w:val="00511328"/>
    <w:rsid w:val="005129EA"/>
    <w:rsid w:val="0051371D"/>
    <w:rsid w:val="00514264"/>
    <w:rsid w:val="00515CF6"/>
    <w:rsid w:val="00516292"/>
    <w:rsid w:val="005206D9"/>
    <w:rsid w:val="0052082E"/>
    <w:rsid w:val="0052107B"/>
    <w:rsid w:val="00521519"/>
    <w:rsid w:val="00522E34"/>
    <w:rsid w:val="00523024"/>
    <w:rsid w:val="00523F38"/>
    <w:rsid w:val="0052406A"/>
    <w:rsid w:val="00524883"/>
    <w:rsid w:val="00524CC6"/>
    <w:rsid w:val="005250A5"/>
    <w:rsid w:val="005255B6"/>
    <w:rsid w:val="00525F49"/>
    <w:rsid w:val="005263B0"/>
    <w:rsid w:val="00526603"/>
    <w:rsid w:val="00526684"/>
    <w:rsid w:val="005268F5"/>
    <w:rsid w:val="00526B8C"/>
    <w:rsid w:val="00526BCB"/>
    <w:rsid w:val="00526D49"/>
    <w:rsid w:val="00527A85"/>
    <w:rsid w:val="00527BBC"/>
    <w:rsid w:val="00530039"/>
    <w:rsid w:val="005307C5"/>
    <w:rsid w:val="00530808"/>
    <w:rsid w:val="00532A84"/>
    <w:rsid w:val="00532C0B"/>
    <w:rsid w:val="00532F58"/>
    <w:rsid w:val="00533C5C"/>
    <w:rsid w:val="00533F3D"/>
    <w:rsid w:val="00535FC5"/>
    <w:rsid w:val="00536CFB"/>
    <w:rsid w:val="00536F1B"/>
    <w:rsid w:val="00537151"/>
    <w:rsid w:val="00537C87"/>
    <w:rsid w:val="005402A6"/>
    <w:rsid w:val="00541258"/>
    <w:rsid w:val="00541509"/>
    <w:rsid w:val="00541CEC"/>
    <w:rsid w:val="005421E3"/>
    <w:rsid w:val="00542714"/>
    <w:rsid w:val="005428B9"/>
    <w:rsid w:val="00543F81"/>
    <w:rsid w:val="00543FA0"/>
    <w:rsid w:val="005448B6"/>
    <w:rsid w:val="00546DCA"/>
    <w:rsid w:val="00547E21"/>
    <w:rsid w:val="00547F0E"/>
    <w:rsid w:val="00550AB5"/>
    <w:rsid w:val="005511EB"/>
    <w:rsid w:val="005518E9"/>
    <w:rsid w:val="00551B80"/>
    <w:rsid w:val="00551C86"/>
    <w:rsid w:val="00551D57"/>
    <w:rsid w:val="00551FFA"/>
    <w:rsid w:val="005520B2"/>
    <w:rsid w:val="0055222D"/>
    <w:rsid w:val="005526BC"/>
    <w:rsid w:val="005535C8"/>
    <w:rsid w:val="00553CB0"/>
    <w:rsid w:val="005545AC"/>
    <w:rsid w:val="00555257"/>
    <w:rsid w:val="00555498"/>
    <w:rsid w:val="005559B6"/>
    <w:rsid w:val="005563BC"/>
    <w:rsid w:val="00556C89"/>
    <w:rsid w:val="005571D1"/>
    <w:rsid w:val="005600C1"/>
    <w:rsid w:val="00561259"/>
    <w:rsid w:val="0056160D"/>
    <w:rsid w:val="0056210D"/>
    <w:rsid w:val="005625E4"/>
    <w:rsid w:val="005626BD"/>
    <w:rsid w:val="00562B21"/>
    <w:rsid w:val="00562D77"/>
    <w:rsid w:val="00562DE8"/>
    <w:rsid w:val="00563AB9"/>
    <w:rsid w:val="00564EF0"/>
    <w:rsid w:val="00564EF9"/>
    <w:rsid w:val="005651A6"/>
    <w:rsid w:val="005655F5"/>
    <w:rsid w:val="0056677C"/>
    <w:rsid w:val="00566A27"/>
    <w:rsid w:val="0056713E"/>
    <w:rsid w:val="005679DA"/>
    <w:rsid w:val="00567F35"/>
    <w:rsid w:val="00570B98"/>
    <w:rsid w:val="00570BD5"/>
    <w:rsid w:val="00571AF6"/>
    <w:rsid w:val="005722A9"/>
    <w:rsid w:val="005744BD"/>
    <w:rsid w:val="00574BC7"/>
    <w:rsid w:val="00574DEC"/>
    <w:rsid w:val="005752C2"/>
    <w:rsid w:val="005759B2"/>
    <w:rsid w:val="00576596"/>
    <w:rsid w:val="00576B8D"/>
    <w:rsid w:val="00576C42"/>
    <w:rsid w:val="0058061F"/>
    <w:rsid w:val="00580628"/>
    <w:rsid w:val="00580CBF"/>
    <w:rsid w:val="00580DD8"/>
    <w:rsid w:val="005812F7"/>
    <w:rsid w:val="00581450"/>
    <w:rsid w:val="00581D15"/>
    <w:rsid w:val="005825F4"/>
    <w:rsid w:val="005826F7"/>
    <w:rsid w:val="005833EA"/>
    <w:rsid w:val="00583527"/>
    <w:rsid w:val="00583812"/>
    <w:rsid w:val="00583C55"/>
    <w:rsid w:val="00584102"/>
    <w:rsid w:val="005851FA"/>
    <w:rsid w:val="00585399"/>
    <w:rsid w:val="0058561E"/>
    <w:rsid w:val="0058575F"/>
    <w:rsid w:val="00585AAE"/>
    <w:rsid w:val="005865F6"/>
    <w:rsid w:val="0058676E"/>
    <w:rsid w:val="00587316"/>
    <w:rsid w:val="005876BE"/>
    <w:rsid w:val="00591EFB"/>
    <w:rsid w:val="00592AC0"/>
    <w:rsid w:val="0059432F"/>
    <w:rsid w:val="00595FBC"/>
    <w:rsid w:val="0059689D"/>
    <w:rsid w:val="00597339"/>
    <w:rsid w:val="005977B9"/>
    <w:rsid w:val="005A05DA"/>
    <w:rsid w:val="005A2227"/>
    <w:rsid w:val="005A353B"/>
    <w:rsid w:val="005A36D8"/>
    <w:rsid w:val="005A402D"/>
    <w:rsid w:val="005A4150"/>
    <w:rsid w:val="005A4175"/>
    <w:rsid w:val="005A4268"/>
    <w:rsid w:val="005A5139"/>
    <w:rsid w:val="005A69DB"/>
    <w:rsid w:val="005A7986"/>
    <w:rsid w:val="005A79BA"/>
    <w:rsid w:val="005B0AC1"/>
    <w:rsid w:val="005B0B24"/>
    <w:rsid w:val="005B129D"/>
    <w:rsid w:val="005B19F5"/>
    <w:rsid w:val="005B2227"/>
    <w:rsid w:val="005B24E9"/>
    <w:rsid w:val="005B2C26"/>
    <w:rsid w:val="005B2D08"/>
    <w:rsid w:val="005B3A13"/>
    <w:rsid w:val="005B417B"/>
    <w:rsid w:val="005B422E"/>
    <w:rsid w:val="005B57BA"/>
    <w:rsid w:val="005B5BDB"/>
    <w:rsid w:val="005B6425"/>
    <w:rsid w:val="005B6BCD"/>
    <w:rsid w:val="005B7173"/>
    <w:rsid w:val="005B7259"/>
    <w:rsid w:val="005B7925"/>
    <w:rsid w:val="005B7BAB"/>
    <w:rsid w:val="005B7D97"/>
    <w:rsid w:val="005C0216"/>
    <w:rsid w:val="005C08B6"/>
    <w:rsid w:val="005C19EE"/>
    <w:rsid w:val="005C200D"/>
    <w:rsid w:val="005C2791"/>
    <w:rsid w:val="005C291C"/>
    <w:rsid w:val="005C2ED4"/>
    <w:rsid w:val="005C3DD1"/>
    <w:rsid w:val="005C4F09"/>
    <w:rsid w:val="005C5A1B"/>
    <w:rsid w:val="005C7C97"/>
    <w:rsid w:val="005C7CBA"/>
    <w:rsid w:val="005C7D11"/>
    <w:rsid w:val="005D0743"/>
    <w:rsid w:val="005D07C1"/>
    <w:rsid w:val="005D0C6E"/>
    <w:rsid w:val="005D1567"/>
    <w:rsid w:val="005D1788"/>
    <w:rsid w:val="005D207D"/>
    <w:rsid w:val="005D2420"/>
    <w:rsid w:val="005D254E"/>
    <w:rsid w:val="005D28C2"/>
    <w:rsid w:val="005D31FE"/>
    <w:rsid w:val="005D4078"/>
    <w:rsid w:val="005D4473"/>
    <w:rsid w:val="005D5DAA"/>
    <w:rsid w:val="005D5F6A"/>
    <w:rsid w:val="005D64F9"/>
    <w:rsid w:val="005D71B9"/>
    <w:rsid w:val="005D778A"/>
    <w:rsid w:val="005D79D4"/>
    <w:rsid w:val="005D7AC5"/>
    <w:rsid w:val="005E0499"/>
    <w:rsid w:val="005E1112"/>
    <w:rsid w:val="005E130D"/>
    <w:rsid w:val="005E1507"/>
    <w:rsid w:val="005E1819"/>
    <w:rsid w:val="005E1858"/>
    <w:rsid w:val="005E1E83"/>
    <w:rsid w:val="005E58AA"/>
    <w:rsid w:val="005E6505"/>
    <w:rsid w:val="005E6D5C"/>
    <w:rsid w:val="005F02C9"/>
    <w:rsid w:val="005F25B1"/>
    <w:rsid w:val="005F3636"/>
    <w:rsid w:val="005F3D48"/>
    <w:rsid w:val="005F6814"/>
    <w:rsid w:val="005F68AC"/>
    <w:rsid w:val="005F70A0"/>
    <w:rsid w:val="005F7475"/>
    <w:rsid w:val="005F7598"/>
    <w:rsid w:val="005F7B1C"/>
    <w:rsid w:val="005F7ED1"/>
    <w:rsid w:val="006004F5"/>
    <w:rsid w:val="0060086C"/>
    <w:rsid w:val="00601DCC"/>
    <w:rsid w:val="00602EBC"/>
    <w:rsid w:val="00603833"/>
    <w:rsid w:val="00603E8C"/>
    <w:rsid w:val="00603FD2"/>
    <w:rsid w:val="00604A77"/>
    <w:rsid w:val="006052E4"/>
    <w:rsid w:val="006053E4"/>
    <w:rsid w:val="00605D2B"/>
    <w:rsid w:val="00606722"/>
    <w:rsid w:val="00606FD7"/>
    <w:rsid w:val="00607446"/>
    <w:rsid w:val="00607ED5"/>
    <w:rsid w:val="00607FCA"/>
    <w:rsid w:val="00610281"/>
    <w:rsid w:val="00610449"/>
    <w:rsid w:val="00610748"/>
    <w:rsid w:val="0061154C"/>
    <w:rsid w:val="0061170E"/>
    <w:rsid w:val="00611AAC"/>
    <w:rsid w:val="00611B82"/>
    <w:rsid w:val="0061297A"/>
    <w:rsid w:val="0061386F"/>
    <w:rsid w:val="00613ABC"/>
    <w:rsid w:val="00614D6A"/>
    <w:rsid w:val="006151EC"/>
    <w:rsid w:val="00615237"/>
    <w:rsid w:val="00616BF2"/>
    <w:rsid w:val="00617D5C"/>
    <w:rsid w:val="00620272"/>
    <w:rsid w:val="00620AD2"/>
    <w:rsid w:val="00620C1E"/>
    <w:rsid w:val="006213ED"/>
    <w:rsid w:val="006215CE"/>
    <w:rsid w:val="0062247F"/>
    <w:rsid w:val="00623747"/>
    <w:rsid w:val="00623C4E"/>
    <w:rsid w:val="006246AF"/>
    <w:rsid w:val="006247DF"/>
    <w:rsid w:val="00624F1C"/>
    <w:rsid w:val="0062527F"/>
    <w:rsid w:val="006254CC"/>
    <w:rsid w:val="006254E9"/>
    <w:rsid w:val="006255E4"/>
    <w:rsid w:val="00625745"/>
    <w:rsid w:val="00625F44"/>
    <w:rsid w:val="00627665"/>
    <w:rsid w:val="0063001D"/>
    <w:rsid w:val="006307A8"/>
    <w:rsid w:val="006310DA"/>
    <w:rsid w:val="00632438"/>
    <w:rsid w:val="0063273C"/>
    <w:rsid w:val="00632AC1"/>
    <w:rsid w:val="00632AD3"/>
    <w:rsid w:val="00632E03"/>
    <w:rsid w:val="00633763"/>
    <w:rsid w:val="00633B82"/>
    <w:rsid w:val="0063411C"/>
    <w:rsid w:val="00634186"/>
    <w:rsid w:val="006342B2"/>
    <w:rsid w:val="00634C6B"/>
    <w:rsid w:val="006355D6"/>
    <w:rsid w:val="00635E3A"/>
    <w:rsid w:val="00636FF9"/>
    <w:rsid w:val="00640A1B"/>
    <w:rsid w:val="00641888"/>
    <w:rsid w:val="00641B97"/>
    <w:rsid w:val="006420B3"/>
    <w:rsid w:val="00643896"/>
    <w:rsid w:val="00645736"/>
    <w:rsid w:val="006460A3"/>
    <w:rsid w:val="006461DD"/>
    <w:rsid w:val="006464C4"/>
    <w:rsid w:val="00646760"/>
    <w:rsid w:val="00647463"/>
    <w:rsid w:val="00650682"/>
    <w:rsid w:val="006507F0"/>
    <w:rsid w:val="0065208E"/>
    <w:rsid w:val="00653018"/>
    <w:rsid w:val="006530C9"/>
    <w:rsid w:val="00653558"/>
    <w:rsid w:val="0065369E"/>
    <w:rsid w:val="006542B5"/>
    <w:rsid w:val="006542D9"/>
    <w:rsid w:val="0065435B"/>
    <w:rsid w:val="0065453A"/>
    <w:rsid w:val="006545F9"/>
    <w:rsid w:val="00655008"/>
    <w:rsid w:val="00655834"/>
    <w:rsid w:val="00660222"/>
    <w:rsid w:val="006606DF"/>
    <w:rsid w:val="0066108A"/>
    <w:rsid w:val="0066213C"/>
    <w:rsid w:val="00662D0E"/>
    <w:rsid w:val="00662E25"/>
    <w:rsid w:val="00664A5F"/>
    <w:rsid w:val="00664E14"/>
    <w:rsid w:val="00664E27"/>
    <w:rsid w:val="00665040"/>
    <w:rsid w:val="006651C4"/>
    <w:rsid w:val="006656D2"/>
    <w:rsid w:val="00666301"/>
    <w:rsid w:val="00667336"/>
    <w:rsid w:val="0067001A"/>
    <w:rsid w:val="00670900"/>
    <w:rsid w:val="00670BFF"/>
    <w:rsid w:val="00670C19"/>
    <w:rsid w:val="0067184A"/>
    <w:rsid w:val="00671A32"/>
    <w:rsid w:val="00671D64"/>
    <w:rsid w:val="00673383"/>
    <w:rsid w:val="00673CFC"/>
    <w:rsid w:val="00674B9B"/>
    <w:rsid w:val="00675CB7"/>
    <w:rsid w:val="006769D0"/>
    <w:rsid w:val="00676B26"/>
    <w:rsid w:val="00676DE3"/>
    <w:rsid w:val="0067706B"/>
    <w:rsid w:val="006777E9"/>
    <w:rsid w:val="00677D34"/>
    <w:rsid w:val="0068007F"/>
    <w:rsid w:val="00680389"/>
    <w:rsid w:val="0068107F"/>
    <w:rsid w:val="006817AC"/>
    <w:rsid w:val="00682B88"/>
    <w:rsid w:val="00683465"/>
    <w:rsid w:val="00684A15"/>
    <w:rsid w:val="00684E46"/>
    <w:rsid w:val="00685038"/>
    <w:rsid w:val="006851B3"/>
    <w:rsid w:val="006855CD"/>
    <w:rsid w:val="00685A62"/>
    <w:rsid w:val="00685CE3"/>
    <w:rsid w:val="00685DC9"/>
    <w:rsid w:val="006860D8"/>
    <w:rsid w:val="0068611B"/>
    <w:rsid w:val="006861CC"/>
    <w:rsid w:val="006867D6"/>
    <w:rsid w:val="006870C5"/>
    <w:rsid w:val="0068745E"/>
    <w:rsid w:val="0069024F"/>
    <w:rsid w:val="00690617"/>
    <w:rsid w:val="00691B15"/>
    <w:rsid w:val="00691CBB"/>
    <w:rsid w:val="006922BE"/>
    <w:rsid w:val="006922E2"/>
    <w:rsid w:val="0069231C"/>
    <w:rsid w:val="00692510"/>
    <w:rsid w:val="00692B2C"/>
    <w:rsid w:val="00692D8F"/>
    <w:rsid w:val="00692E8B"/>
    <w:rsid w:val="006936F8"/>
    <w:rsid w:val="00693C53"/>
    <w:rsid w:val="00693D06"/>
    <w:rsid w:val="00694258"/>
    <w:rsid w:val="00694E2C"/>
    <w:rsid w:val="00695625"/>
    <w:rsid w:val="00695B9C"/>
    <w:rsid w:val="00695D65"/>
    <w:rsid w:val="00696287"/>
    <w:rsid w:val="00696B5C"/>
    <w:rsid w:val="00696E74"/>
    <w:rsid w:val="00697051"/>
    <w:rsid w:val="00697583"/>
    <w:rsid w:val="006A11F0"/>
    <w:rsid w:val="006A2127"/>
    <w:rsid w:val="006A2986"/>
    <w:rsid w:val="006A2C29"/>
    <w:rsid w:val="006A4271"/>
    <w:rsid w:val="006A4418"/>
    <w:rsid w:val="006A4A97"/>
    <w:rsid w:val="006A5CBB"/>
    <w:rsid w:val="006A643C"/>
    <w:rsid w:val="006A65CC"/>
    <w:rsid w:val="006A6A6F"/>
    <w:rsid w:val="006A71A4"/>
    <w:rsid w:val="006A7825"/>
    <w:rsid w:val="006B04C8"/>
    <w:rsid w:val="006B1647"/>
    <w:rsid w:val="006B2728"/>
    <w:rsid w:val="006B2827"/>
    <w:rsid w:val="006B3302"/>
    <w:rsid w:val="006B44DC"/>
    <w:rsid w:val="006B4B0B"/>
    <w:rsid w:val="006B4BFF"/>
    <w:rsid w:val="006B556D"/>
    <w:rsid w:val="006B572F"/>
    <w:rsid w:val="006B59BD"/>
    <w:rsid w:val="006B7201"/>
    <w:rsid w:val="006B7385"/>
    <w:rsid w:val="006B7848"/>
    <w:rsid w:val="006B7DF9"/>
    <w:rsid w:val="006C0FD8"/>
    <w:rsid w:val="006C10C4"/>
    <w:rsid w:val="006C1459"/>
    <w:rsid w:val="006C33E9"/>
    <w:rsid w:val="006C3763"/>
    <w:rsid w:val="006C3C41"/>
    <w:rsid w:val="006C48F4"/>
    <w:rsid w:val="006C4B18"/>
    <w:rsid w:val="006C4CF4"/>
    <w:rsid w:val="006C4D30"/>
    <w:rsid w:val="006C4E1E"/>
    <w:rsid w:val="006C5135"/>
    <w:rsid w:val="006C53FD"/>
    <w:rsid w:val="006C5726"/>
    <w:rsid w:val="006C5B64"/>
    <w:rsid w:val="006C705D"/>
    <w:rsid w:val="006C7756"/>
    <w:rsid w:val="006C7A68"/>
    <w:rsid w:val="006D0086"/>
    <w:rsid w:val="006D13F4"/>
    <w:rsid w:val="006D28C2"/>
    <w:rsid w:val="006D3573"/>
    <w:rsid w:val="006D3B58"/>
    <w:rsid w:val="006D3F80"/>
    <w:rsid w:val="006D5633"/>
    <w:rsid w:val="006D5C5C"/>
    <w:rsid w:val="006D6C93"/>
    <w:rsid w:val="006E0E86"/>
    <w:rsid w:val="006E15A9"/>
    <w:rsid w:val="006E1E25"/>
    <w:rsid w:val="006E2000"/>
    <w:rsid w:val="006E22C5"/>
    <w:rsid w:val="006E2781"/>
    <w:rsid w:val="006E4349"/>
    <w:rsid w:val="006E4AA0"/>
    <w:rsid w:val="006E52F1"/>
    <w:rsid w:val="006E530A"/>
    <w:rsid w:val="006E5E85"/>
    <w:rsid w:val="006F32EF"/>
    <w:rsid w:val="006F33E7"/>
    <w:rsid w:val="006F3415"/>
    <w:rsid w:val="006F4880"/>
    <w:rsid w:val="006F4E7E"/>
    <w:rsid w:val="006F5859"/>
    <w:rsid w:val="006F5A32"/>
    <w:rsid w:val="006F5E2C"/>
    <w:rsid w:val="006F5F6C"/>
    <w:rsid w:val="006F60A8"/>
    <w:rsid w:val="006F79CF"/>
    <w:rsid w:val="00700088"/>
    <w:rsid w:val="007010DB"/>
    <w:rsid w:val="0070142B"/>
    <w:rsid w:val="00702235"/>
    <w:rsid w:val="007025EC"/>
    <w:rsid w:val="00702780"/>
    <w:rsid w:val="00703AFE"/>
    <w:rsid w:val="007044A1"/>
    <w:rsid w:val="0070451F"/>
    <w:rsid w:val="00704883"/>
    <w:rsid w:val="007053AB"/>
    <w:rsid w:val="00705AA3"/>
    <w:rsid w:val="00706325"/>
    <w:rsid w:val="0070731A"/>
    <w:rsid w:val="00710E69"/>
    <w:rsid w:val="00711034"/>
    <w:rsid w:val="00712A98"/>
    <w:rsid w:val="007130A7"/>
    <w:rsid w:val="007138A9"/>
    <w:rsid w:val="00714729"/>
    <w:rsid w:val="00714D57"/>
    <w:rsid w:val="00714F2A"/>
    <w:rsid w:val="00715030"/>
    <w:rsid w:val="00715714"/>
    <w:rsid w:val="00716298"/>
    <w:rsid w:val="007162F0"/>
    <w:rsid w:val="00716872"/>
    <w:rsid w:val="00716E5C"/>
    <w:rsid w:val="00716F00"/>
    <w:rsid w:val="0071734A"/>
    <w:rsid w:val="00717424"/>
    <w:rsid w:val="00717D72"/>
    <w:rsid w:val="00720C24"/>
    <w:rsid w:val="00722CC7"/>
    <w:rsid w:val="00723353"/>
    <w:rsid w:val="00725D81"/>
    <w:rsid w:val="007260ED"/>
    <w:rsid w:val="007263BD"/>
    <w:rsid w:val="00726B11"/>
    <w:rsid w:val="00726E5F"/>
    <w:rsid w:val="00726FC9"/>
    <w:rsid w:val="007275FA"/>
    <w:rsid w:val="00730742"/>
    <w:rsid w:val="00730833"/>
    <w:rsid w:val="00730DF5"/>
    <w:rsid w:val="00730EB3"/>
    <w:rsid w:val="00730ED1"/>
    <w:rsid w:val="00731067"/>
    <w:rsid w:val="0073108D"/>
    <w:rsid w:val="00731691"/>
    <w:rsid w:val="00731B19"/>
    <w:rsid w:val="00732AD9"/>
    <w:rsid w:val="00732BFD"/>
    <w:rsid w:val="00732CB5"/>
    <w:rsid w:val="00733161"/>
    <w:rsid w:val="00733687"/>
    <w:rsid w:val="00733BB4"/>
    <w:rsid w:val="00734B82"/>
    <w:rsid w:val="00734FDD"/>
    <w:rsid w:val="00736111"/>
    <w:rsid w:val="00736CFF"/>
    <w:rsid w:val="0073707E"/>
    <w:rsid w:val="007378B7"/>
    <w:rsid w:val="0073791B"/>
    <w:rsid w:val="00737E19"/>
    <w:rsid w:val="007403DB"/>
    <w:rsid w:val="007409DA"/>
    <w:rsid w:val="0074151F"/>
    <w:rsid w:val="00742086"/>
    <w:rsid w:val="00742A6B"/>
    <w:rsid w:val="0074411A"/>
    <w:rsid w:val="00744F11"/>
    <w:rsid w:val="00745070"/>
    <w:rsid w:val="00745534"/>
    <w:rsid w:val="00745660"/>
    <w:rsid w:val="007457E1"/>
    <w:rsid w:val="00745DBF"/>
    <w:rsid w:val="007465B0"/>
    <w:rsid w:val="007509B3"/>
    <w:rsid w:val="007516EE"/>
    <w:rsid w:val="00751748"/>
    <w:rsid w:val="00752610"/>
    <w:rsid w:val="007528E1"/>
    <w:rsid w:val="00752924"/>
    <w:rsid w:val="00752A1B"/>
    <w:rsid w:val="00753138"/>
    <w:rsid w:val="007531EC"/>
    <w:rsid w:val="007532B9"/>
    <w:rsid w:val="007547B2"/>
    <w:rsid w:val="00755230"/>
    <w:rsid w:val="00755592"/>
    <w:rsid w:val="007555E1"/>
    <w:rsid w:val="0075592B"/>
    <w:rsid w:val="00755966"/>
    <w:rsid w:val="00756189"/>
    <w:rsid w:val="007576BF"/>
    <w:rsid w:val="00757D66"/>
    <w:rsid w:val="0076195B"/>
    <w:rsid w:val="00761B47"/>
    <w:rsid w:val="00761D62"/>
    <w:rsid w:val="007623D5"/>
    <w:rsid w:val="00762B88"/>
    <w:rsid w:val="007635C1"/>
    <w:rsid w:val="00763A11"/>
    <w:rsid w:val="00764560"/>
    <w:rsid w:val="00765525"/>
    <w:rsid w:val="007702AE"/>
    <w:rsid w:val="007709AF"/>
    <w:rsid w:val="00770BCB"/>
    <w:rsid w:val="00770FE1"/>
    <w:rsid w:val="00771ABF"/>
    <w:rsid w:val="007724B9"/>
    <w:rsid w:val="007731B5"/>
    <w:rsid w:val="007737DA"/>
    <w:rsid w:val="00773B68"/>
    <w:rsid w:val="00774432"/>
    <w:rsid w:val="00774A4B"/>
    <w:rsid w:val="00774F4A"/>
    <w:rsid w:val="00775234"/>
    <w:rsid w:val="0077587B"/>
    <w:rsid w:val="007763B4"/>
    <w:rsid w:val="00776580"/>
    <w:rsid w:val="00776D63"/>
    <w:rsid w:val="00776E88"/>
    <w:rsid w:val="00780E07"/>
    <w:rsid w:val="007817B0"/>
    <w:rsid w:val="00781881"/>
    <w:rsid w:val="0078248E"/>
    <w:rsid w:val="00783700"/>
    <w:rsid w:val="00783828"/>
    <w:rsid w:val="00784B25"/>
    <w:rsid w:val="00784EB6"/>
    <w:rsid w:val="007858B6"/>
    <w:rsid w:val="007863E1"/>
    <w:rsid w:val="00786821"/>
    <w:rsid w:val="00787B75"/>
    <w:rsid w:val="00790729"/>
    <w:rsid w:val="00790E94"/>
    <w:rsid w:val="00791185"/>
    <w:rsid w:val="00792086"/>
    <w:rsid w:val="00792885"/>
    <w:rsid w:val="00793213"/>
    <w:rsid w:val="00795709"/>
    <w:rsid w:val="00795AB2"/>
    <w:rsid w:val="00796253"/>
    <w:rsid w:val="00796305"/>
    <w:rsid w:val="007965CA"/>
    <w:rsid w:val="00796878"/>
    <w:rsid w:val="00796D6C"/>
    <w:rsid w:val="0079700C"/>
    <w:rsid w:val="0079759B"/>
    <w:rsid w:val="00797AD8"/>
    <w:rsid w:val="007A01DB"/>
    <w:rsid w:val="007A0743"/>
    <w:rsid w:val="007A078A"/>
    <w:rsid w:val="007A0D9C"/>
    <w:rsid w:val="007A269B"/>
    <w:rsid w:val="007A26E0"/>
    <w:rsid w:val="007A320D"/>
    <w:rsid w:val="007A3560"/>
    <w:rsid w:val="007A39EC"/>
    <w:rsid w:val="007A57D5"/>
    <w:rsid w:val="007A5FF4"/>
    <w:rsid w:val="007A632D"/>
    <w:rsid w:val="007A63B2"/>
    <w:rsid w:val="007A6541"/>
    <w:rsid w:val="007A6AB4"/>
    <w:rsid w:val="007A6D8B"/>
    <w:rsid w:val="007A7303"/>
    <w:rsid w:val="007A7878"/>
    <w:rsid w:val="007B013F"/>
    <w:rsid w:val="007B0343"/>
    <w:rsid w:val="007B0586"/>
    <w:rsid w:val="007B0DD5"/>
    <w:rsid w:val="007B1287"/>
    <w:rsid w:val="007B2123"/>
    <w:rsid w:val="007B2FE6"/>
    <w:rsid w:val="007B3025"/>
    <w:rsid w:val="007B3D4F"/>
    <w:rsid w:val="007B43FE"/>
    <w:rsid w:val="007B4B52"/>
    <w:rsid w:val="007B4BA1"/>
    <w:rsid w:val="007B5B71"/>
    <w:rsid w:val="007B60EE"/>
    <w:rsid w:val="007B716F"/>
    <w:rsid w:val="007B761A"/>
    <w:rsid w:val="007B794D"/>
    <w:rsid w:val="007B7F9E"/>
    <w:rsid w:val="007C0087"/>
    <w:rsid w:val="007C04C6"/>
    <w:rsid w:val="007C052F"/>
    <w:rsid w:val="007C08C7"/>
    <w:rsid w:val="007C1100"/>
    <w:rsid w:val="007C1FFA"/>
    <w:rsid w:val="007C2377"/>
    <w:rsid w:val="007C29F6"/>
    <w:rsid w:val="007C36EC"/>
    <w:rsid w:val="007C3E7B"/>
    <w:rsid w:val="007C4153"/>
    <w:rsid w:val="007C49BE"/>
    <w:rsid w:val="007C5D94"/>
    <w:rsid w:val="007C7802"/>
    <w:rsid w:val="007C7B2D"/>
    <w:rsid w:val="007C7E53"/>
    <w:rsid w:val="007D04F8"/>
    <w:rsid w:val="007D0614"/>
    <w:rsid w:val="007D0A36"/>
    <w:rsid w:val="007D1383"/>
    <w:rsid w:val="007D16AA"/>
    <w:rsid w:val="007D1DF7"/>
    <w:rsid w:val="007D3F4A"/>
    <w:rsid w:val="007D43E7"/>
    <w:rsid w:val="007D4AD2"/>
    <w:rsid w:val="007D4C11"/>
    <w:rsid w:val="007D5245"/>
    <w:rsid w:val="007D60D9"/>
    <w:rsid w:val="007D663F"/>
    <w:rsid w:val="007D6FE5"/>
    <w:rsid w:val="007D7060"/>
    <w:rsid w:val="007E0707"/>
    <w:rsid w:val="007E098B"/>
    <w:rsid w:val="007E13AC"/>
    <w:rsid w:val="007E1785"/>
    <w:rsid w:val="007E19C2"/>
    <w:rsid w:val="007E1A7F"/>
    <w:rsid w:val="007E2512"/>
    <w:rsid w:val="007E39E9"/>
    <w:rsid w:val="007E3EEE"/>
    <w:rsid w:val="007E4502"/>
    <w:rsid w:val="007E47B6"/>
    <w:rsid w:val="007E591C"/>
    <w:rsid w:val="007E6EE4"/>
    <w:rsid w:val="007E7396"/>
    <w:rsid w:val="007E762B"/>
    <w:rsid w:val="007E7BEB"/>
    <w:rsid w:val="007E7CED"/>
    <w:rsid w:val="007F01BF"/>
    <w:rsid w:val="007F02B3"/>
    <w:rsid w:val="007F057E"/>
    <w:rsid w:val="007F2D3B"/>
    <w:rsid w:val="007F2DCD"/>
    <w:rsid w:val="007F2E15"/>
    <w:rsid w:val="007F398C"/>
    <w:rsid w:val="007F42FF"/>
    <w:rsid w:val="007F4B74"/>
    <w:rsid w:val="007F4FD4"/>
    <w:rsid w:val="007F57AE"/>
    <w:rsid w:val="007F5F10"/>
    <w:rsid w:val="007F5F99"/>
    <w:rsid w:val="007F6393"/>
    <w:rsid w:val="007F7C4F"/>
    <w:rsid w:val="007F7C98"/>
    <w:rsid w:val="0080092E"/>
    <w:rsid w:val="00800C9F"/>
    <w:rsid w:val="00802E7C"/>
    <w:rsid w:val="00802EB4"/>
    <w:rsid w:val="0080326A"/>
    <w:rsid w:val="008036B3"/>
    <w:rsid w:val="00805178"/>
    <w:rsid w:val="00805193"/>
    <w:rsid w:val="008052E3"/>
    <w:rsid w:val="00805793"/>
    <w:rsid w:val="008067A5"/>
    <w:rsid w:val="008068B4"/>
    <w:rsid w:val="00807840"/>
    <w:rsid w:val="008111C6"/>
    <w:rsid w:val="00811AD1"/>
    <w:rsid w:val="00812E51"/>
    <w:rsid w:val="0081338A"/>
    <w:rsid w:val="00813845"/>
    <w:rsid w:val="00813C1D"/>
    <w:rsid w:val="00813F39"/>
    <w:rsid w:val="00814770"/>
    <w:rsid w:val="00814A72"/>
    <w:rsid w:val="00814BAE"/>
    <w:rsid w:val="008160F5"/>
    <w:rsid w:val="00817B4E"/>
    <w:rsid w:val="00820011"/>
    <w:rsid w:val="00820587"/>
    <w:rsid w:val="00820D88"/>
    <w:rsid w:val="008210FC"/>
    <w:rsid w:val="00821591"/>
    <w:rsid w:val="00821732"/>
    <w:rsid w:val="0082263F"/>
    <w:rsid w:val="00823028"/>
    <w:rsid w:val="008237BC"/>
    <w:rsid w:val="00823A01"/>
    <w:rsid w:val="008249D7"/>
    <w:rsid w:val="00825058"/>
    <w:rsid w:val="00825D8C"/>
    <w:rsid w:val="008268EF"/>
    <w:rsid w:val="00826C5F"/>
    <w:rsid w:val="00827AC4"/>
    <w:rsid w:val="00827BEF"/>
    <w:rsid w:val="00830196"/>
    <w:rsid w:val="00830AC3"/>
    <w:rsid w:val="00831B95"/>
    <w:rsid w:val="008333D0"/>
    <w:rsid w:val="00833908"/>
    <w:rsid w:val="0083513A"/>
    <w:rsid w:val="008351CE"/>
    <w:rsid w:val="00835A37"/>
    <w:rsid w:val="00836A95"/>
    <w:rsid w:val="00836B5E"/>
    <w:rsid w:val="00837486"/>
    <w:rsid w:val="00837677"/>
    <w:rsid w:val="008378E5"/>
    <w:rsid w:val="00837D1C"/>
    <w:rsid w:val="008406A4"/>
    <w:rsid w:val="0084174A"/>
    <w:rsid w:val="00842EA1"/>
    <w:rsid w:val="00843365"/>
    <w:rsid w:val="0084342B"/>
    <w:rsid w:val="00844068"/>
    <w:rsid w:val="00844B67"/>
    <w:rsid w:val="00844BB8"/>
    <w:rsid w:val="00844ECD"/>
    <w:rsid w:val="00845288"/>
    <w:rsid w:val="00845A1A"/>
    <w:rsid w:val="00845FEE"/>
    <w:rsid w:val="00847319"/>
    <w:rsid w:val="008479D9"/>
    <w:rsid w:val="00847F97"/>
    <w:rsid w:val="008509AD"/>
    <w:rsid w:val="00850C4C"/>
    <w:rsid w:val="00850E69"/>
    <w:rsid w:val="008513DB"/>
    <w:rsid w:val="00851559"/>
    <w:rsid w:val="00851CD8"/>
    <w:rsid w:val="008521C2"/>
    <w:rsid w:val="00852CB5"/>
    <w:rsid w:val="00854816"/>
    <w:rsid w:val="00854821"/>
    <w:rsid w:val="00854C37"/>
    <w:rsid w:val="008550AB"/>
    <w:rsid w:val="00855EE3"/>
    <w:rsid w:val="00856430"/>
    <w:rsid w:val="00856E25"/>
    <w:rsid w:val="0085740F"/>
    <w:rsid w:val="00857471"/>
    <w:rsid w:val="008607A9"/>
    <w:rsid w:val="0086254E"/>
    <w:rsid w:val="00863049"/>
    <w:rsid w:val="0086335D"/>
    <w:rsid w:val="008635D8"/>
    <w:rsid w:val="0086418C"/>
    <w:rsid w:val="00865334"/>
    <w:rsid w:val="0086674B"/>
    <w:rsid w:val="008667FC"/>
    <w:rsid w:val="008678BE"/>
    <w:rsid w:val="008701F0"/>
    <w:rsid w:val="008705A2"/>
    <w:rsid w:val="00870B10"/>
    <w:rsid w:val="008713DC"/>
    <w:rsid w:val="008717EF"/>
    <w:rsid w:val="00871BE5"/>
    <w:rsid w:val="00871EF2"/>
    <w:rsid w:val="008724E8"/>
    <w:rsid w:val="008727C3"/>
    <w:rsid w:val="00875262"/>
    <w:rsid w:val="00875397"/>
    <w:rsid w:val="008756DD"/>
    <w:rsid w:val="00876254"/>
    <w:rsid w:val="00876B18"/>
    <w:rsid w:val="0087767C"/>
    <w:rsid w:val="008776B3"/>
    <w:rsid w:val="00880053"/>
    <w:rsid w:val="00880E6D"/>
    <w:rsid w:val="0088115D"/>
    <w:rsid w:val="0088204F"/>
    <w:rsid w:val="00882B69"/>
    <w:rsid w:val="00883443"/>
    <w:rsid w:val="008836B6"/>
    <w:rsid w:val="00883BA2"/>
    <w:rsid w:val="00885295"/>
    <w:rsid w:val="0088639E"/>
    <w:rsid w:val="0088693A"/>
    <w:rsid w:val="00886A00"/>
    <w:rsid w:val="00886F17"/>
    <w:rsid w:val="00886F57"/>
    <w:rsid w:val="008872EB"/>
    <w:rsid w:val="00887356"/>
    <w:rsid w:val="00887B89"/>
    <w:rsid w:val="0089019B"/>
    <w:rsid w:val="00891719"/>
    <w:rsid w:val="008919E8"/>
    <w:rsid w:val="00891B7D"/>
    <w:rsid w:val="00891C8D"/>
    <w:rsid w:val="00892D6C"/>
    <w:rsid w:val="00892E5C"/>
    <w:rsid w:val="00894CA5"/>
    <w:rsid w:val="00895027"/>
    <w:rsid w:val="00895205"/>
    <w:rsid w:val="008956F1"/>
    <w:rsid w:val="00896864"/>
    <w:rsid w:val="008969FF"/>
    <w:rsid w:val="00896C3C"/>
    <w:rsid w:val="00896E46"/>
    <w:rsid w:val="008975EC"/>
    <w:rsid w:val="00897680"/>
    <w:rsid w:val="0089787E"/>
    <w:rsid w:val="008A0CBF"/>
    <w:rsid w:val="008A11D6"/>
    <w:rsid w:val="008A1A5B"/>
    <w:rsid w:val="008A268F"/>
    <w:rsid w:val="008A2753"/>
    <w:rsid w:val="008A3F42"/>
    <w:rsid w:val="008A49A7"/>
    <w:rsid w:val="008A4AA2"/>
    <w:rsid w:val="008A5DDC"/>
    <w:rsid w:val="008A63FB"/>
    <w:rsid w:val="008A6913"/>
    <w:rsid w:val="008A6C84"/>
    <w:rsid w:val="008A6E6C"/>
    <w:rsid w:val="008A778F"/>
    <w:rsid w:val="008B089A"/>
    <w:rsid w:val="008B0D18"/>
    <w:rsid w:val="008B1144"/>
    <w:rsid w:val="008B14A5"/>
    <w:rsid w:val="008B17D8"/>
    <w:rsid w:val="008B19CA"/>
    <w:rsid w:val="008B1FD6"/>
    <w:rsid w:val="008B2B5E"/>
    <w:rsid w:val="008B2F79"/>
    <w:rsid w:val="008B42D4"/>
    <w:rsid w:val="008B59A2"/>
    <w:rsid w:val="008B5B72"/>
    <w:rsid w:val="008C114A"/>
    <w:rsid w:val="008C1BAA"/>
    <w:rsid w:val="008C227C"/>
    <w:rsid w:val="008C29E5"/>
    <w:rsid w:val="008C2E42"/>
    <w:rsid w:val="008C311F"/>
    <w:rsid w:val="008C4074"/>
    <w:rsid w:val="008C4499"/>
    <w:rsid w:val="008C4513"/>
    <w:rsid w:val="008C4829"/>
    <w:rsid w:val="008C6304"/>
    <w:rsid w:val="008C6B25"/>
    <w:rsid w:val="008D005C"/>
    <w:rsid w:val="008D03B7"/>
    <w:rsid w:val="008D0691"/>
    <w:rsid w:val="008D0E6A"/>
    <w:rsid w:val="008D0F4B"/>
    <w:rsid w:val="008D1037"/>
    <w:rsid w:val="008D1D34"/>
    <w:rsid w:val="008D2C77"/>
    <w:rsid w:val="008D3B37"/>
    <w:rsid w:val="008D427B"/>
    <w:rsid w:val="008D43D3"/>
    <w:rsid w:val="008D4DE7"/>
    <w:rsid w:val="008D5D76"/>
    <w:rsid w:val="008D634D"/>
    <w:rsid w:val="008D6C7C"/>
    <w:rsid w:val="008D7990"/>
    <w:rsid w:val="008D7D1F"/>
    <w:rsid w:val="008E037E"/>
    <w:rsid w:val="008E0767"/>
    <w:rsid w:val="008E0E48"/>
    <w:rsid w:val="008E18CC"/>
    <w:rsid w:val="008E31CD"/>
    <w:rsid w:val="008E3C44"/>
    <w:rsid w:val="008E43F2"/>
    <w:rsid w:val="008E4645"/>
    <w:rsid w:val="008E49C3"/>
    <w:rsid w:val="008E4CB8"/>
    <w:rsid w:val="008E60E0"/>
    <w:rsid w:val="008E6BA8"/>
    <w:rsid w:val="008E6C08"/>
    <w:rsid w:val="008E7188"/>
    <w:rsid w:val="008E7E96"/>
    <w:rsid w:val="008F0685"/>
    <w:rsid w:val="008F166E"/>
    <w:rsid w:val="008F18B2"/>
    <w:rsid w:val="008F2326"/>
    <w:rsid w:val="008F282A"/>
    <w:rsid w:val="008F2B8A"/>
    <w:rsid w:val="008F43CC"/>
    <w:rsid w:val="008F5648"/>
    <w:rsid w:val="008F613D"/>
    <w:rsid w:val="008F6578"/>
    <w:rsid w:val="008F6979"/>
    <w:rsid w:val="008F70B7"/>
    <w:rsid w:val="008F7133"/>
    <w:rsid w:val="009004BA"/>
    <w:rsid w:val="00900D69"/>
    <w:rsid w:val="00901064"/>
    <w:rsid w:val="00901CAD"/>
    <w:rsid w:val="00902260"/>
    <w:rsid w:val="0090296F"/>
    <w:rsid w:val="0090379C"/>
    <w:rsid w:val="00903D3A"/>
    <w:rsid w:val="00904341"/>
    <w:rsid w:val="00905779"/>
    <w:rsid w:val="00905879"/>
    <w:rsid w:val="00905E68"/>
    <w:rsid w:val="0090641C"/>
    <w:rsid w:val="00906E64"/>
    <w:rsid w:val="00906E69"/>
    <w:rsid w:val="00907491"/>
    <w:rsid w:val="00907A0A"/>
    <w:rsid w:val="00910BFA"/>
    <w:rsid w:val="00910E7C"/>
    <w:rsid w:val="00911957"/>
    <w:rsid w:val="00913EC7"/>
    <w:rsid w:val="00914411"/>
    <w:rsid w:val="00914E9B"/>
    <w:rsid w:val="00914FF3"/>
    <w:rsid w:val="00915004"/>
    <w:rsid w:val="009162BA"/>
    <w:rsid w:val="009162F7"/>
    <w:rsid w:val="009164AE"/>
    <w:rsid w:val="0091696A"/>
    <w:rsid w:val="00917A7E"/>
    <w:rsid w:val="00917F50"/>
    <w:rsid w:val="00917FAF"/>
    <w:rsid w:val="00922028"/>
    <w:rsid w:val="0092261D"/>
    <w:rsid w:val="00922E51"/>
    <w:rsid w:val="00923978"/>
    <w:rsid w:val="00923C0C"/>
    <w:rsid w:val="00923D08"/>
    <w:rsid w:val="009261D0"/>
    <w:rsid w:val="009263C8"/>
    <w:rsid w:val="00926A25"/>
    <w:rsid w:val="0092769F"/>
    <w:rsid w:val="0092789D"/>
    <w:rsid w:val="00931061"/>
    <w:rsid w:val="00932000"/>
    <w:rsid w:val="00932122"/>
    <w:rsid w:val="009321CE"/>
    <w:rsid w:val="0093232C"/>
    <w:rsid w:val="00933AE8"/>
    <w:rsid w:val="00933C31"/>
    <w:rsid w:val="00933FE9"/>
    <w:rsid w:val="009340DF"/>
    <w:rsid w:val="009343C4"/>
    <w:rsid w:val="00934649"/>
    <w:rsid w:val="009346ED"/>
    <w:rsid w:val="00934C6A"/>
    <w:rsid w:val="0093641D"/>
    <w:rsid w:val="0093763B"/>
    <w:rsid w:val="00940209"/>
    <w:rsid w:val="00940D82"/>
    <w:rsid w:val="00941249"/>
    <w:rsid w:val="00941C43"/>
    <w:rsid w:val="00941D36"/>
    <w:rsid w:val="00942CF6"/>
    <w:rsid w:val="0094443F"/>
    <w:rsid w:val="00945E13"/>
    <w:rsid w:val="00946615"/>
    <w:rsid w:val="00947957"/>
    <w:rsid w:val="00947DD8"/>
    <w:rsid w:val="00950492"/>
    <w:rsid w:val="009507C4"/>
    <w:rsid w:val="00950A61"/>
    <w:rsid w:val="00950AA1"/>
    <w:rsid w:val="0095112B"/>
    <w:rsid w:val="009515DB"/>
    <w:rsid w:val="00953313"/>
    <w:rsid w:val="00953836"/>
    <w:rsid w:val="00955D70"/>
    <w:rsid w:val="009572BD"/>
    <w:rsid w:val="00957A6E"/>
    <w:rsid w:val="00960D36"/>
    <w:rsid w:val="00960DB6"/>
    <w:rsid w:val="00961A5B"/>
    <w:rsid w:val="00961C2B"/>
    <w:rsid w:val="00962F59"/>
    <w:rsid w:val="00963430"/>
    <w:rsid w:val="00964145"/>
    <w:rsid w:val="00964507"/>
    <w:rsid w:val="00964569"/>
    <w:rsid w:val="0096631E"/>
    <w:rsid w:val="009664B5"/>
    <w:rsid w:val="00966531"/>
    <w:rsid w:val="00970573"/>
    <w:rsid w:val="00970861"/>
    <w:rsid w:val="00970CD0"/>
    <w:rsid w:val="00971A4E"/>
    <w:rsid w:val="00972347"/>
    <w:rsid w:val="00972468"/>
    <w:rsid w:val="00973472"/>
    <w:rsid w:val="00973874"/>
    <w:rsid w:val="00973B00"/>
    <w:rsid w:val="0097417A"/>
    <w:rsid w:val="0097591A"/>
    <w:rsid w:val="00976AD0"/>
    <w:rsid w:val="0097740E"/>
    <w:rsid w:val="00981004"/>
    <w:rsid w:val="009824D0"/>
    <w:rsid w:val="00982599"/>
    <w:rsid w:val="00982888"/>
    <w:rsid w:val="00982C9D"/>
    <w:rsid w:val="009839DA"/>
    <w:rsid w:val="0098476A"/>
    <w:rsid w:val="009850AA"/>
    <w:rsid w:val="009853F4"/>
    <w:rsid w:val="00985913"/>
    <w:rsid w:val="0098663B"/>
    <w:rsid w:val="009879AD"/>
    <w:rsid w:val="009902CF"/>
    <w:rsid w:val="009910F6"/>
    <w:rsid w:val="0099265E"/>
    <w:rsid w:val="00992661"/>
    <w:rsid w:val="00993724"/>
    <w:rsid w:val="009937BB"/>
    <w:rsid w:val="009939CB"/>
    <w:rsid w:val="009945A2"/>
    <w:rsid w:val="0099478C"/>
    <w:rsid w:val="00995233"/>
    <w:rsid w:val="009954E6"/>
    <w:rsid w:val="00996014"/>
    <w:rsid w:val="009967D1"/>
    <w:rsid w:val="009977D1"/>
    <w:rsid w:val="009A001E"/>
    <w:rsid w:val="009A0E75"/>
    <w:rsid w:val="009A10D3"/>
    <w:rsid w:val="009A17C8"/>
    <w:rsid w:val="009A29D2"/>
    <w:rsid w:val="009A55CC"/>
    <w:rsid w:val="009A7235"/>
    <w:rsid w:val="009A75DD"/>
    <w:rsid w:val="009A7943"/>
    <w:rsid w:val="009B038F"/>
    <w:rsid w:val="009B0444"/>
    <w:rsid w:val="009B06B0"/>
    <w:rsid w:val="009B1759"/>
    <w:rsid w:val="009B1DA8"/>
    <w:rsid w:val="009B1F0D"/>
    <w:rsid w:val="009B1FEB"/>
    <w:rsid w:val="009B2F6F"/>
    <w:rsid w:val="009B40EF"/>
    <w:rsid w:val="009B4A48"/>
    <w:rsid w:val="009B57A3"/>
    <w:rsid w:val="009B6623"/>
    <w:rsid w:val="009B77BA"/>
    <w:rsid w:val="009B7C02"/>
    <w:rsid w:val="009B7EFB"/>
    <w:rsid w:val="009C02D6"/>
    <w:rsid w:val="009C0ADB"/>
    <w:rsid w:val="009C0CC0"/>
    <w:rsid w:val="009C1B8B"/>
    <w:rsid w:val="009C2067"/>
    <w:rsid w:val="009C21A8"/>
    <w:rsid w:val="009C24E7"/>
    <w:rsid w:val="009C28C9"/>
    <w:rsid w:val="009C2AA8"/>
    <w:rsid w:val="009C30B4"/>
    <w:rsid w:val="009C3897"/>
    <w:rsid w:val="009C42B7"/>
    <w:rsid w:val="009C470B"/>
    <w:rsid w:val="009C5F78"/>
    <w:rsid w:val="009C66FB"/>
    <w:rsid w:val="009C67D4"/>
    <w:rsid w:val="009D08B1"/>
    <w:rsid w:val="009D09ED"/>
    <w:rsid w:val="009D120E"/>
    <w:rsid w:val="009D1475"/>
    <w:rsid w:val="009D2CBD"/>
    <w:rsid w:val="009D34D2"/>
    <w:rsid w:val="009D39E4"/>
    <w:rsid w:val="009D480D"/>
    <w:rsid w:val="009D4F19"/>
    <w:rsid w:val="009D5B98"/>
    <w:rsid w:val="009D5D24"/>
    <w:rsid w:val="009D5F29"/>
    <w:rsid w:val="009D6109"/>
    <w:rsid w:val="009D6431"/>
    <w:rsid w:val="009D6F33"/>
    <w:rsid w:val="009E04D6"/>
    <w:rsid w:val="009E0533"/>
    <w:rsid w:val="009E0B02"/>
    <w:rsid w:val="009E109B"/>
    <w:rsid w:val="009E13F6"/>
    <w:rsid w:val="009E1FFC"/>
    <w:rsid w:val="009E2514"/>
    <w:rsid w:val="009E2C27"/>
    <w:rsid w:val="009E2EE9"/>
    <w:rsid w:val="009E3D21"/>
    <w:rsid w:val="009E4F14"/>
    <w:rsid w:val="009E5C95"/>
    <w:rsid w:val="009E6AEC"/>
    <w:rsid w:val="009E6EEF"/>
    <w:rsid w:val="009E725D"/>
    <w:rsid w:val="009E76C6"/>
    <w:rsid w:val="009E7812"/>
    <w:rsid w:val="009E7B3E"/>
    <w:rsid w:val="009F03C8"/>
    <w:rsid w:val="009F0EA9"/>
    <w:rsid w:val="009F13C9"/>
    <w:rsid w:val="009F1BEC"/>
    <w:rsid w:val="009F1E07"/>
    <w:rsid w:val="009F1EC9"/>
    <w:rsid w:val="009F1FC6"/>
    <w:rsid w:val="009F41E5"/>
    <w:rsid w:val="009F48D9"/>
    <w:rsid w:val="009F4A6D"/>
    <w:rsid w:val="009F4F54"/>
    <w:rsid w:val="009F5084"/>
    <w:rsid w:val="009F550F"/>
    <w:rsid w:val="009F6E0A"/>
    <w:rsid w:val="009F7196"/>
    <w:rsid w:val="009F7AEF"/>
    <w:rsid w:val="009F7FB4"/>
    <w:rsid w:val="00A00465"/>
    <w:rsid w:val="00A00EDA"/>
    <w:rsid w:val="00A0111C"/>
    <w:rsid w:val="00A03646"/>
    <w:rsid w:val="00A03957"/>
    <w:rsid w:val="00A039AC"/>
    <w:rsid w:val="00A03A7F"/>
    <w:rsid w:val="00A03AD0"/>
    <w:rsid w:val="00A03EFD"/>
    <w:rsid w:val="00A048C6"/>
    <w:rsid w:val="00A04F9E"/>
    <w:rsid w:val="00A07A6E"/>
    <w:rsid w:val="00A10192"/>
    <w:rsid w:val="00A1029F"/>
    <w:rsid w:val="00A108E2"/>
    <w:rsid w:val="00A11744"/>
    <w:rsid w:val="00A11846"/>
    <w:rsid w:val="00A121E3"/>
    <w:rsid w:val="00A12444"/>
    <w:rsid w:val="00A12994"/>
    <w:rsid w:val="00A12BD1"/>
    <w:rsid w:val="00A12E15"/>
    <w:rsid w:val="00A1350B"/>
    <w:rsid w:val="00A135D0"/>
    <w:rsid w:val="00A146BF"/>
    <w:rsid w:val="00A14DA4"/>
    <w:rsid w:val="00A1576D"/>
    <w:rsid w:val="00A16497"/>
    <w:rsid w:val="00A16993"/>
    <w:rsid w:val="00A172B2"/>
    <w:rsid w:val="00A17995"/>
    <w:rsid w:val="00A17B94"/>
    <w:rsid w:val="00A17CE3"/>
    <w:rsid w:val="00A20AA2"/>
    <w:rsid w:val="00A21314"/>
    <w:rsid w:val="00A21556"/>
    <w:rsid w:val="00A215BF"/>
    <w:rsid w:val="00A21FFF"/>
    <w:rsid w:val="00A22463"/>
    <w:rsid w:val="00A23228"/>
    <w:rsid w:val="00A23FF2"/>
    <w:rsid w:val="00A24676"/>
    <w:rsid w:val="00A26C62"/>
    <w:rsid w:val="00A2731F"/>
    <w:rsid w:val="00A27B0A"/>
    <w:rsid w:val="00A31B9C"/>
    <w:rsid w:val="00A32483"/>
    <w:rsid w:val="00A326E0"/>
    <w:rsid w:val="00A32996"/>
    <w:rsid w:val="00A32BA1"/>
    <w:rsid w:val="00A3307A"/>
    <w:rsid w:val="00A336ED"/>
    <w:rsid w:val="00A34CAE"/>
    <w:rsid w:val="00A34E39"/>
    <w:rsid w:val="00A35036"/>
    <w:rsid w:val="00A35878"/>
    <w:rsid w:val="00A35D66"/>
    <w:rsid w:val="00A35FDD"/>
    <w:rsid w:val="00A40736"/>
    <w:rsid w:val="00A412CC"/>
    <w:rsid w:val="00A41849"/>
    <w:rsid w:val="00A41A92"/>
    <w:rsid w:val="00A42997"/>
    <w:rsid w:val="00A43637"/>
    <w:rsid w:val="00A4368C"/>
    <w:rsid w:val="00A4386C"/>
    <w:rsid w:val="00A43F43"/>
    <w:rsid w:val="00A43FA0"/>
    <w:rsid w:val="00A44295"/>
    <w:rsid w:val="00A44950"/>
    <w:rsid w:val="00A4554E"/>
    <w:rsid w:val="00A457EA"/>
    <w:rsid w:val="00A45D96"/>
    <w:rsid w:val="00A508F9"/>
    <w:rsid w:val="00A5094B"/>
    <w:rsid w:val="00A511A6"/>
    <w:rsid w:val="00A514AE"/>
    <w:rsid w:val="00A5154E"/>
    <w:rsid w:val="00A5155C"/>
    <w:rsid w:val="00A51A9A"/>
    <w:rsid w:val="00A51E65"/>
    <w:rsid w:val="00A53605"/>
    <w:rsid w:val="00A537D7"/>
    <w:rsid w:val="00A54D4D"/>
    <w:rsid w:val="00A55744"/>
    <w:rsid w:val="00A56518"/>
    <w:rsid w:val="00A56606"/>
    <w:rsid w:val="00A569C4"/>
    <w:rsid w:val="00A56B12"/>
    <w:rsid w:val="00A56B84"/>
    <w:rsid w:val="00A56E1D"/>
    <w:rsid w:val="00A573D9"/>
    <w:rsid w:val="00A57FD4"/>
    <w:rsid w:val="00A60167"/>
    <w:rsid w:val="00A612D2"/>
    <w:rsid w:val="00A61CF9"/>
    <w:rsid w:val="00A62199"/>
    <w:rsid w:val="00A63283"/>
    <w:rsid w:val="00A63401"/>
    <w:rsid w:val="00A63E37"/>
    <w:rsid w:val="00A63FAF"/>
    <w:rsid w:val="00A648D0"/>
    <w:rsid w:val="00A6500E"/>
    <w:rsid w:val="00A653E6"/>
    <w:rsid w:val="00A65AFE"/>
    <w:rsid w:val="00A65E0F"/>
    <w:rsid w:val="00A66430"/>
    <w:rsid w:val="00A6657D"/>
    <w:rsid w:val="00A67172"/>
    <w:rsid w:val="00A67E4B"/>
    <w:rsid w:val="00A70974"/>
    <w:rsid w:val="00A70F13"/>
    <w:rsid w:val="00A72074"/>
    <w:rsid w:val="00A7321A"/>
    <w:rsid w:val="00A747B8"/>
    <w:rsid w:val="00A7550E"/>
    <w:rsid w:val="00A755D3"/>
    <w:rsid w:val="00A75EE1"/>
    <w:rsid w:val="00A763B1"/>
    <w:rsid w:val="00A76BD3"/>
    <w:rsid w:val="00A7786E"/>
    <w:rsid w:val="00A77EF3"/>
    <w:rsid w:val="00A77FF2"/>
    <w:rsid w:val="00A80074"/>
    <w:rsid w:val="00A80C65"/>
    <w:rsid w:val="00A80E70"/>
    <w:rsid w:val="00A81958"/>
    <w:rsid w:val="00A81F20"/>
    <w:rsid w:val="00A8271E"/>
    <w:rsid w:val="00A83729"/>
    <w:rsid w:val="00A840A5"/>
    <w:rsid w:val="00A8457A"/>
    <w:rsid w:val="00A8472F"/>
    <w:rsid w:val="00A85919"/>
    <w:rsid w:val="00A86225"/>
    <w:rsid w:val="00A86884"/>
    <w:rsid w:val="00A86F81"/>
    <w:rsid w:val="00A87283"/>
    <w:rsid w:val="00A8776C"/>
    <w:rsid w:val="00A9000B"/>
    <w:rsid w:val="00A901E4"/>
    <w:rsid w:val="00A907F9"/>
    <w:rsid w:val="00A9094F"/>
    <w:rsid w:val="00A915E4"/>
    <w:rsid w:val="00A91904"/>
    <w:rsid w:val="00A92A8B"/>
    <w:rsid w:val="00A92E71"/>
    <w:rsid w:val="00A932BD"/>
    <w:rsid w:val="00A938FF"/>
    <w:rsid w:val="00A93B14"/>
    <w:rsid w:val="00A93B52"/>
    <w:rsid w:val="00A944A7"/>
    <w:rsid w:val="00A947C6"/>
    <w:rsid w:val="00A94B53"/>
    <w:rsid w:val="00A9523A"/>
    <w:rsid w:val="00A95361"/>
    <w:rsid w:val="00A956BD"/>
    <w:rsid w:val="00A960C4"/>
    <w:rsid w:val="00A966C8"/>
    <w:rsid w:val="00A97259"/>
    <w:rsid w:val="00A977C3"/>
    <w:rsid w:val="00A97F3B"/>
    <w:rsid w:val="00A97F5B"/>
    <w:rsid w:val="00AA018D"/>
    <w:rsid w:val="00AA0357"/>
    <w:rsid w:val="00AA1398"/>
    <w:rsid w:val="00AA1CB0"/>
    <w:rsid w:val="00AA222E"/>
    <w:rsid w:val="00AA2915"/>
    <w:rsid w:val="00AA44D9"/>
    <w:rsid w:val="00AA571B"/>
    <w:rsid w:val="00AA5F2D"/>
    <w:rsid w:val="00AA600F"/>
    <w:rsid w:val="00AA67E0"/>
    <w:rsid w:val="00AA6E33"/>
    <w:rsid w:val="00AA75E2"/>
    <w:rsid w:val="00AA79FB"/>
    <w:rsid w:val="00AA7D08"/>
    <w:rsid w:val="00AB0544"/>
    <w:rsid w:val="00AB0583"/>
    <w:rsid w:val="00AB2612"/>
    <w:rsid w:val="00AB384F"/>
    <w:rsid w:val="00AB38D7"/>
    <w:rsid w:val="00AB3A13"/>
    <w:rsid w:val="00AB3D3C"/>
    <w:rsid w:val="00AB4569"/>
    <w:rsid w:val="00AB52A1"/>
    <w:rsid w:val="00AB54D8"/>
    <w:rsid w:val="00AB5AA9"/>
    <w:rsid w:val="00AB5C6E"/>
    <w:rsid w:val="00AB5E2A"/>
    <w:rsid w:val="00AB65B8"/>
    <w:rsid w:val="00AB6BAE"/>
    <w:rsid w:val="00AB7084"/>
    <w:rsid w:val="00AB751A"/>
    <w:rsid w:val="00AB7686"/>
    <w:rsid w:val="00AB7FCA"/>
    <w:rsid w:val="00AC12A3"/>
    <w:rsid w:val="00AC1472"/>
    <w:rsid w:val="00AC1985"/>
    <w:rsid w:val="00AC1A60"/>
    <w:rsid w:val="00AC1B3A"/>
    <w:rsid w:val="00AC2601"/>
    <w:rsid w:val="00AC298E"/>
    <w:rsid w:val="00AC2D80"/>
    <w:rsid w:val="00AC2E5B"/>
    <w:rsid w:val="00AC36E8"/>
    <w:rsid w:val="00AC39BB"/>
    <w:rsid w:val="00AC4538"/>
    <w:rsid w:val="00AC4703"/>
    <w:rsid w:val="00AC4D75"/>
    <w:rsid w:val="00AC612C"/>
    <w:rsid w:val="00AC6357"/>
    <w:rsid w:val="00AC63DF"/>
    <w:rsid w:val="00AC6CCB"/>
    <w:rsid w:val="00AC6E6E"/>
    <w:rsid w:val="00AC7536"/>
    <w:rsid w:val="00AC79BF"/>
    <w:rsid w:val="00AD05E8"/>
    <w:rsid w:val="00AD08C3"/>
    <w:rsid w:val="00AD0B19"/>
    <w:rsid w:val="00AD114C"/>
    <w:rsid w:val="00AD26CF"/>
    <w:rsid w:val="00AD29D5"/>
    <w:rsid w:val="00AD2E65"/>
    <w:rsid w:val="00AD2FBF"/>
    <w:rsid w:val="00AD3001"/>
    <w:rsid w:val="00AD35D4"/>
    <w:rsid w:val="00AD3FE6"/>
    <w:rsid w:val="00AD4561"/>
    <w:rsid w:val="00AD48A6"/>
    <w:rsid w:val="00AD495D"/>
    <w:rsid w:val="00AD69B6"/>
    <w:rsid w:val="00AD6F52"/>
    <w:rsid w:val="00AD77B0"/>
    <w:rsid w:val="00AE002B"/>
    <w:rsid w:val="00AE0560"/>
    <w:rsid w:val="00AE1A93"/>
    <w:rsid w:val="00AE1B2B"/>
    <w:rsid w:val="00AE1ED4"/>
    <w:rsid w:val="00AE239A"/>
    <w:rsid w:val="00AE2DD4"/>
    <w:rsid w:val="00AE3EFA"/>
    <w:rsid w:val="00AE44CA"/>
    <w:rsid w:val="00AE4579"/>
    <w:rsid w:val="00AE55C1"/>
    <w:rsid w:val="00AE5AEB"/>
    <w:rsid w:val="00AE5C10"/>
    <w:rsid w:val="00AE5D8F"/>
    <w:rsid w:val="00AE6515"/>
    <w:rsid w:val="00AF1960"/>
    <w:rsid w:val="00AF1A19"/>
    <w:rsid w:val="00AF1A63"/>
    <w:rsid w:val="00AF1F89"/>
    <w:rsid w:val="00AF2BD5"/>
    <w:rsid w:val="00AF301F"/>
    <w:rsid w:val="00AF3C83"/>
    <w:rsid w:val="00AF511C"/>
    <w:rsid w:val="00AF55F2"/>
    <w:rsid w:val="00AF6F8F"/>
    <w:rsid w:val="00AF7C3E"/>
    <w:rsid w:val="00AF7C4C"/>
    <w:rsid w:val="00AF7F03"/>
    <w:rsid w:val="00B00223"/>
    <w:rsid w:val="00B00273"/>
    <w:rsid w:val="00B003FF"/>
    <w:rsid w:val="00B015C1"/>
    <w:rsid w:val="00B01A01"/>
    <w:rsid w:val="00B01F28"/>
    <w:rsid w:val="00B02B60"/>
    <w:rsid w:val="00B02F66"/>
    <w:rsid w:val="00B03163"/>
    <w:rsid w:val="00B037CB"/>
    <w:rsid w:val="00B046D8"/>
    <w:rsid w:val="00B05389"/>
    <w:rsid w:val="00B0594D"/>
    <w:rsid w:val="00B061DC"/>
    <w:rsid w:val="00B07C9B"/>
    <w:rsid w:val="00B07F5F"/>
    <w:rsid w:val="00B103A1"/>
    <w:rsid w:val="00B10CE8"/>
    <w:rsid w:val="00B11CD2"/>
    <w:rsid w:val="00B120D0"/>
    <w:rsid w:val="00B121DA"/>
    <w:rsid w:val="00B12A92"/>
    <w:rsid w:val="00B1370C"/>
    <w:rsid w:val="00B14816"/>
    <w:rsid w:val="00B15841"/>
    <w:rsid w:val="00B15892"/>
    <w:rsid w:val="00B1599D"/>
    <w:rsid w:val="00B174FF"/>
    <w:rsid w:val="00B17F9C"/>
    <w:rsid w:val="00B21337"/>
    <w:rsid w:val="00B21566"/>
    <w:rsid w:val="00B21B0F"/>
    <w:rsid w:val="00B23277"/>
    <w:rsid w:val="00B233C5"/>
    <w:rsid w:val="00B23B0B"/>
    <w:rsid w:val="00B23FA4"/>
    <w:rsid w:val="00B25D51"/>
    <w:rsid w:val="00B25D67"/>
    <w:rsid w:val="00B26E90"/>
    <w:rsid w:val="00B27624"/>
    <w:rsid w:val="00B2794B"/>
    <w:rsid w:val="00B27D6D"/>
    <w:rsid w:val="00B312E1"/>
    <w:rsid w:val="00B31CEC"/>
    <w:rsid w:val="00B325A7"/>
    <w:rsid w:val="00B328EA"/>
    <w:rsid w:val="00B32D58"/>
    <w:rsid w:val="00B33B8C"/>
    <w:rsid w:val="00B33D45"/>
    <w:rsid w:val="00B33D54"/>
    <w:rsid w:val="00B34E87"/>
    <w:rsid w:val="00B362E4"/>
    <w:rsid w:val="00B36CA4"/>
    <w:rsid w:val="00B36FA9"/>
    <w:rsid w:val="00B3733F"/>
    <w:rsid w:val="00B40C2B"/>
    <w:rsid w:val="00B40CBE"/>
    <w:rsid w:val="00B417A9"/>
    <w:rsid w:val="00B42AAD"/>
    <w:rsid w:val="00B43C93"/>
    <w:rsid w:val="00B455E1"/>
    <w:rsid w:val="00B45D45"/>
    <w:rsid w:val="00B45F28"/>
    <w:rsid w:val="00B47D55"/>
    <w:rsid w:val="00B503CD"/>
    <w:rsid w:val="00B50456"/>
    <w:rsid w:val="00B50746"/>
    <w:rsid w:val="00B508CC"/>
    <w:rsid w:val="00B5096F"/>
    <w:rsid w:val="00B50A53"/>
    <w:rsid w:val="00B5138A"/>
    <w:rsid w:val="00B51D40"/>
    <w:rsid w:val="00B53411"/>
    <w:rsid w:val="00B538DD"/>
    <w:rsid w:val="00B542F9"/>
    <w:rsid w:val="00B54537"/>
    <w:rsid w:val="00B5524B"/>
    <w:rsid w:val="00B55632"/>
    <w:rsid w:val="00B55B79"/>
    <w:rsid w:val="00B560FD"/>
    <w:rsid w:val="00B576D9"/>
    <w:rsid w:val="00B57C77"/>
    <w:rsid w:val="00B57E6E"/>
    <w:rsid w:val="00B60B56"/>
    <w:rsid w:val="00B60CEE"/>
    <w:rsid w:val="00B614A5"/>
    <w:rsid w:val="00B641C5"/>
    <w:rsid w:val="00B643D6"/>
    <w:rsid w:val="00B64D61"/>
    <w:rsid w:val="00B64F4A"/>
    <w:rsid w:val="00B64F57"/>
    <w:rsid w:val="00B650D0"/>
    <w:rsid w:val="00B6566E"/>
    <w:rsid w:val="00B659E7"/>
    <w:rsid w:val="00B65A60"/>
    <w:rsid w:val="00B65A8F"/>
    <w:rsid w:val="00B65C4D"/>
    <w:rsid w:val="00B6677C"/>
    <w:rsid w:val="00B66842"/>
    <w:rsid w:val="00B67CF6"/>
    <w:rsid w:val="00B7180D"/>
    <w:rsid w:val="00B7186C"/>
    <w:rsid w:val="00B71A1D"/>
    <w:rsid w:val="00B71B77"/>
    <w:rsid w:val="00B71C7F"/>
    <w:rsid w:val="00B73CD5"/>
    <w:rsid w:val="00B745BA"/>
    <w:rsid w:val="00B750F8"/>
    <w:rsid w:val="00B762E3"/>
    <w:rsid w:val="00B77017"/>
    <w:rsid w:val="00B7703E"/>
    <w:rsid w:val="00B77E36"/>
    <w:rsid w:val="00B809D2"/>
    <w:rsid w:val="00B80DFE"/>
    <w:rsid w:val="00B81034"/>
    <w:rsid w:val="00B812A6"/>
    <w:rsid w:val="00B816BD"/>
    <w:rsid w:val="00B81EE0"/>
    <w:rsid w:val="00B82404"/>
    <w:rsid w:val="00B827CB"/>
    <w:rsid w:val="00B83538"/>
    <w:rsid w:val="00B83C48"/>
    <w:rsid w:val="00B85448"/>
    <w:rsid w:val="00B85FD9"/>
    <w:rsid w:val="00B8765C"/>
    <w:rsid w:val="00B90769"/>
    <w:rsid w:val="00B90AE3"/>
    <w:rsid w:val="00B911A9"/>
    <w:rsid w:val="00B912DC"/>
    <w:rsid w:val="00B91B91"/>
    <w:rsid w:val="00B931A9"/>
    <w:rsid w:val="00B93E3C"/>
    <w:rsid w:val="00B94EC3"/>
    <w:rsid w:val="00B9534A"/>
    <w:rsid w:val="00B9571E"/>
    <w:rsid w:val="00B96758"/>
    <w:rsid w:val="00B96DE6"/>
    <w:rsid w:val="00BA0E3C"/>
    <w:rsid w:val="00BA1E22"/>
    <w:rsid w:val="00BA32F6"/>
    <w:rsid w:val="00BA3C0A"/>
    <w:rsid w:val="00BA49BA"/>
    <w:rsid w:val="00BA4D21"/>
    <w:rsid w:val="00BA4DFF"/>
    <w:rsid w:val="00BA4EC3"/>
    <w:rsid w:val="00BA5310"/>
    <w:rsid w:val="00BA7A27"/>
    <w:rsid w:val="00BB076A"/>
    <w:rsid w:val="00BB0935"/>
    <w:rsid w:val="00BB094F"/>
    <w:rsid w:val="00BB119E"/>
    <w:rsid w:val="00BB1876"/>
    <w:rsid w:val="00BB199F"/>
    <w:rsid w:val="00BB216A"/>
    <w:rsid w:val="00BB220A"/>
    <w:rsid w:val="00BB26E3"/>
    <w:rsid w:val="00BB2798"/>
    <w:rsid w:val="00BB3204"/>
    <w:rsid w:val="00BB3D62"/>
    <w:rsid w:val="00BB3ED3"/>
    <w:rsid w:val="00BB455A"/>
    <w:rsid w:val="00BB5531"/>
    <w:rsid w:val="00BB5A88"/>
    <w:rsid w:val="00BB6DB3"/>
    <w:rsid w:val="00BB7329"/>
    <w:rsid w:val="00BB752B"/>
    <w:rsid w:val="00BB7C7C"/>
    <w:rsid w:val="00BB7E1C"/>
    <w:rsid w:val="00BC0113"/>
    <w:rsid w:val="00BC05BB"/>
    <w:rsid w:val="00BC0EFA"/>
    <w:rsid w:val="00BC13A9"/>
    <w:rsid w:val="00BC1439"/>
    <w:rsid w:val="00BC1EEB"/>
    <w:rsid w:val="00BC2839"/>
    <w:rsid w:val="00BC37CD"/>
    <w:rsid w:val="00BC4965"/>
    <w:rsid w:val="00BC4E3A"/>
    <w:rsid w:val="00BC51C6"/>
    <w:rsid w:val="00BC55CF"/>
    <w:rsid w:val="00BC5977"/>
    <w:rsid w:val="00BC5F70"/>
    <w:rsid w:val="00BC6149"/>
    <w:rsid w:val="00BC6705"/>
    <w:rsid w:val="00BC6FA4"/>
    <w:rsid w:val="00BC7141"/>
    <w:rsid w:val="00BD035D"/>
    <w:rsid w:val="00BD064B"/>
    <w:rsid w:val="00BD0C76"/>
    <w:rsid w:val="00BD0E24"/>
    <w:rsid w:val="00BD1C5D"/>
    <w:rsid w:val="00BD3F17"/>
    <w:rsid w:val="00BD420F"/>
    <w:rsid w:val="00BD455E"/>
    <w:rsid w:val="00BD4A8C"/>
    <w:rsid w:val="00BD506A"/>
    <w:rsid w:val="00BD56F2"/>
    <w:rsid w:val="00BD609B"/>
    <w:rsid w:val="00BD6320"/>
    <w:rsid w:val="00BD6939"/>
    <w:rsid w:val="00BD745A"/>
    <w:rsid w:val="00BD7924"/>
    <w:rsid w:val="00BD7EC5"/>
    <w:rsid w:val="00BE1132"/>
    <w:rsid w:val="00BE186A"/>
    <w:rsid w:val="00BE2FB0"/>
    <w:rsid w:val="00BE5154"/>
    <w:rsid w:val="00BE5DB6"/>
    <w:rsid w:val="00BE5DF1"/>
    <w:rsid w:val="00BE675F"/>
    <w:rsid w:val="00BE6B9C"/>
    <w:rsid w:val="00BE780A"/>
    <w:rsid w:val="00BE7FA6"/>
    <w:rsid w:val="00BF0698"/>
    <w:rsid w:val="00BF098A"/>
    <w:rsid w:val="00BF0BBB"/>
    <w:rsid w:val="00BF0BD2"/>
    <w:rsid w:val="00BF13DC"/>
    <w:rsid w:val="00BF1F50"/>
    <w:rsid w:val="00BF249E"/>
    <w:rsid w:val="00BF3241"/>
    <w:rsid w:val="00BF37F3"/>
    <w:rsid w:val="00BF41DF"/>
    <w:rsid w:val="00BF42A8"/>
    <w:rsid w:val="00BF4403"/>
    <w:rsid w:val="00BF460B"/>
    <w:rsid w:val="00BF4BB3"/>
    <w:rsid w:val="00BF5A11"/>
    <w:rsid w:val="00BF7237"/>
    <w:rsid w:val="00BF757B"/>
    <w:rsid w:val="00BF78BD"/>
    <w:rsid w:val="00BF7DDA"/>
    <w:rsid w:val="00C00323"/>
    <w:rsid w:val="00C00838"/>
    <w:rsid w:val="00C01383"/>
    <w:rsid w:val="00C013B8"/>
    <w:rsid w:val="00C01441"/>
    <w:rsid w:val="00C01E19"/>
    <w:rsid w:val="00C0449F"/>
    <w:rsid w:val="00C045B7"/>
    <w:rsid w:val="00C046DB"/>
    <w:rsid w:val="00C04B71"/>
    <w:rsid w:val="00C06FC7"/>
    <w:rsid w:val="00C1070A"/>
    <w:rsid w:val="00C11295"/>
    <w:rsid w:val="00C11C75"/>
    <w:rsid w:val="00C122D2"/>
    <w:rsid w:val="00C1274C"/>
    <w:rsid w:val="00C1300E"/>
    <w:rsid w:val="00C1394F"/>
    <w:rsid w:val="00C139BD"/>
    <w:rsid w:val="00C13F4D"/>
    <w:rsid w:val="00C1444D"/>
    <w:rsid w:val="00C151FF"/>
    <w:rsid w:val="00C15C4F"/>
    <w:rsid w:val="00C15F2B"/>
    <w:rsid w:val="00C164E0"/>
    <w:rsid w:val="00C1713E"/>
    <w:rsid w:val="00C17A4B"/>
    <w:rsid w:val="00C17E56"/>
    <w:rsid w:val="00C207FA"/>
    <w:rsid w:val="00C20C17"/>
    <w:rsid w:val="00C20E63"/>
    <w:rsid w:val="00C20E6C"/>
    <w:rsid w:val="00C21DF4"/>
    <w:rsid w:val="00C22217"/>
    <w:rsid w:val="00C227FF"/>
    <w:rsid w:val="00C228B1"/>
    <w:rsid w:val="00C24A8E"/>
    <w:rsid w:val="00C24B9C"/>
    <w:rsid w:val="00C258A1"/>
    <w:rsid w:val="00C25909"/>
    <w:rsid w:val="00C25D28"/>
    <w:rsid w:val="00C27186"/>
    <w:rsid w:val="00C303C4"/>
    <w:rsid w:val="00C30D47"/>
    <w:rsid w:val="00C314F3"/>
    <w:rsid w:val="00C31E1A"/>
    <w:rsid w:val="00C345ED"/>
    <w:rsid w:val="00C34DDA"/>
    <w:rsid w:val="00C3617D"/>
    <w:rsid w:val="00C36555"/>
    <w:rsid w:val="00C365C2"/>
    <w:rsid w:val="00C36A98"/>
    <w:rsid w:val="00C378EC"/>
    <w:rsid w:val="00C37C2D"/>
    <w:rsid w:val="00C409DB"/>
    <w:rsid w:val="00C40AB4"/>
    <w:rsid w:val="00C41129"/>
    <w:rsid w:val="00C4167F"/>
    <w:rsid w:val="00C43BCE"/>
    <w:rsid w:val="00C44633"/>
    <w:rsid w:val="00C44B87"/>
    <w:rsid w:val="00C44D73"/>
    <w:rsid w:val="00C44E2A"/>
    <w:rsid w:val="00C45ADD"/>
    <w:rsid w:val="00C46111"/>
    <w:rsid w:val="00C469E5"/>
    <w:rsid w:val="00C46E6F"/>
    <w:rsid w:val="00C47858"/>
    <w:rsid w:val="00C50147"/>
    <w:rsid w:val="00C502F2"/>
    <w:rsid w:val="00C5196F"/>
    <w:rsid w:val="00C521E6"/>
    <w:rsid w:val="00C52F37"/>
    <w:rsid w:val="00C53A80"/>
    <w:rsid w:val="00C54E66"/>
    <w:rsid w:val="00C551D8"/>
    <w:rsid w:val="00C554D6"/>
    <w:rsid w:val="00C55869"/>
    <w:rsid w:val="00C55D2C"/>
    <w:rsid w:val="00C56A40"/>
    <w:rsid w:val="00C61D16"/>
    <w:rsid w:val="00C626B2"/>
    <w:rsid w:val="00C628C1"/>
    <w:rsid w:val="00C6298E"/>
    <w:rsid w:val="00C62B09"/>
    <w:rsid w:val="00C630A1"/>
    <w:rsid w:val="00C63591"/>
    <w:rsid w:val="00C63885"/>
    <w:rsid w:val="00C63BA7"/>
    <w:rsid w:val="00C63F8D"/>
    <w:rsid w:val="00C64965"/>
    <w:rsid w:val="00C64AB4"/>
    <w:rsid w:val="00C64DA5"/>
    <w:rsid w:val="00C6515C"/>
    <w:rsid w:val="00C65161"/>
    <w:rsid w:val="00C658A9"/>
    <w:rsid w:val="00C65FE8"/>
    <w:rsid w:val="00C66921"/>
    <w:rsid w:val="00C66C69"/>
    <w:rsid w:val="00C6702C"/>
    <w:rsid w:val="00C67873"/>
    <w:rsid w:val="00C7031A"/>
    <w:rsid w:val="00C703AB"/>
    <w:rsid w:val="00C708DD"/>
    <w:rsid w:val="00C70CAB"/>
    <w:rsid w:val="00C70CCA"/>
    <w:rsid w:val="00C712B3"/>
    <w:rsid w:val="00C72DB5"/>
    <w:rsid w:val="00C736CB"/>
    <w:rsid w:val="00C73DD2"/>
    <w:rsid w:val="00C74C15"/>
    <w:rsid w:val="00C751DC"/>
    <w:rsid w:val="00C75C86"/>
    <w:rsid w:val="00C76470"/>
    <w:rsid w:val="00C77015"/>
    <w:rsid w:val="00C77065"/>
    <w:rsid w:val="00C806FF"/>
    <w:rsid w:val="00C81359"/>
    <w:rsid w:val="00C81DBD"/>
    <w:rsid w:val="00C8253F"/>
    <w:rsid w:val="00C825E6"/>
    <w:rsid w:val="00C83F3E"/>
    <w:rsid w:val="00C85F35"/>
    <w:rsid w:val="00C86172"/>
    <w:rsid w:val="00C86774"/>
    <w:rsid w:val="00C87514"/>
    <w:rsid w:val="00C875BD"/>
    <w:rsid w:val="00C90F5D"/>
    <w:rsid w:val="00C9127C"/>
    <w:rsid w:val="00C91283"/>
    <w:rsid w:val="00C91694"/>
    <w:rsid w:val="00C91982"/>
    <w:rsid w:val="00C92110"/>
    <w:rsid w:val="00C932CA"/>
    <w:rsid w:val="00C93C2E"/>
    <w:rsid w:val="00C94150"/>
    <w:rsid w:val="00C942D4"/>
    <w:rsid w:val="00C94D78"/>
    <w:rsid w:val="00C94F51"/>
    <w:rsid w:val="00C95C19"/>
    <w:rsid w:val="00C9611B"/>
    <w:rsid w:val="00C96600"/>
    <w:rsid w:val="00C966FD"/>
    <w:rsid w:val="00C96E75"/>
    <w:rsid w:val="00C97935"/>
    <w:rsid w:val="00C97C5A"/>
    <w:rsid w:val="00CA00AC"/>
    <w:rsid w:val="00CA029D"/>
    <w:rsid w:val="00CA02B8"/>
    <w:rsid w:val="00CA0361"/>
    <w:rsid w:val="00CA0B1F"/>
    <w:rsid w:val="00CA0E24"/>
    <w:rsid w:val="00CA0F94"/>
    <w:rsid w:val="00CA1004"/>
    <w:rsid w:val="00CA1AFE"/>
    <w:rsid w:val="00CA2122"/>
    <w:rsid w:val="00CA2630"/>
    <w:rsid w:val="00CA3635"/>
    <w:rsid w:val="00CA482B"/>
    <w:rsid w:val="00CA4B2A"/>
    <w:rsid w:val="00CA4C94"/>
    <w:rsid w:val="00CA550D"/>
    <w:rsid w:val="00CA55C8"/>
    <w:rsid w:val="00CA5D4E"/>
    <w:rsid w:val="00CA5FED"/>
    <w:rsid w:val="00CA74B5"/>
    <w:rsid w:val="00CA768D"/>
    <w:rsid w:val="00CA78D9"/>
    <w:rsid w:val="00CA7BE4"/>
    <w:rsid w:val="00CA7ECE"/>
    <w:rsid w:val="00CA7EE3"/>
    <w:rsid w:val="00CB07F3"/>
    <w:rsid w:val="00CB0AE8"/>
    <w:rsid w:val="00CB176D"/>
    <w:rsid w:val="00CB19EA"/>
    <w:rsid w:val="00CB1D63"/>
    <w:rsid w:val="00CB1E95"/>
    <w:rsid w:val="00CB240A"/>
    <w:rsid w:val="00CB2599"/>
    <w:rsid w:val="00CB2F3A"/>
    <w:rsid w:val="00CB50DE"/>
    <w:rsid w:val="00CB5491"/>
    <w:rsid w:val="00CB5A42"/>
    <w:rsid w:val="00CB668C"/>
    <w:rsid w:val="00CB6F79"/>
    <w:rsid w:val="00CB7E25"/>
    <w:rsid w:val="00CC009C"/>
    <w:rsid w:val="00CC0F46"/>
    <w:rsid w:val="00CC0F56"/>
    <w:rsid w:val="00CC2A57"/>
    <w:rsid w:val="00CC2EFD"/>
    <w:rsid w:val="00CC36D3"/>
    <w:rsid w:val="00CC42AA"/>
    <w:rsid w:val="00CC55CB"/>
    <w:rsid w:val="00CC577A"/>
    <w:rsid w:val="00CC5AC3"/>
    <w:rsid w:val="00CC6AAC"/>
    <w:rsid w:val="00CC6E3E"/>
    <w:rsid w:val="00CC6FE0"/>
    <w:rsid w:val="00CC7026"/>
    <w:rsid w:val="00CC7086"/>
    <w:rsid w:val="00CC710D"/>
    <w:rsid w:val="00CC7672"/>
    <w:rsid w:val="00CD15F4"/>
    <w:rsid w:val="00CD1620"/>
    <w:rsid w:val="00CD18CB"/>
    <w:rsid w:val="00CD20DD"/>
    <w:rsid w:val="00CD27AE"/>
    <w:rsid w:val="00CD2959"/>
    <w:rsid w:val="00CD2CAC"/>
    <w:rsid w:val="00CD32FD"/>
    <w:rsid w:val="00CD333C"/>
    <w:rsid w:val="00CD411F"/>
    <w:rsid w:val="00CD464F"/>
    <w:rsid w:val="00CD4816"/>
    <w:rsid w:val="00CD4CA1"/>
    <w:rsid w:val="00CD51EF"/>
    <w:rsid w:val="00CD63AD"/>
    <w:rsid w:val="00CD64C7"/>
    <w:rsid w:val="00CD6637"/>
    <w:rsid w:val="00CD6C95"/>
    <w:rsid w:val="00CE0991"/>
    <w:rsid w:val="00CE10F2"/>
    <w:rsid w:val="00CE1D82"/>
    <w:rsid w:val="00CE200C"/>
    <w:rsid w:val="00CE2780"/>
    <w:rsid w:val="00CE2EF4"/>
    <w:rsid w:val="00CE3288"/>
    <w:rsid w:val="00CE3BDE"/>
    <w:rsid w:val="00CE44CC"/>
    <w:rsid w:val="00CE4696"/>
    <w:rsid w:val="00CE4A07"/>
    <w:rsid w:val="00CE4B95"/>
    <w:rsid w:val="00CE50D0"/>
    <w:rsid w:val="00CE543B"/>
    <w:rsid w:val="00CE59DA"/>
    <w:rsid w:val="00CE6FD0"/>
    <w:rsid w:val="00CE7BDB"/>
    <w:rsid w:val="00CF04BB"/>
    <w:rsid w:val="00CF1E43"/>
    <w:rsid w:val="00CF2029"/>
    <w:rsid w:val="00CF33C9"/>
    <w:rsid w:val="00CF34DC"/>
    <w:rsid w:val="00CF35F2"/>
    <w:rsid w:val="00CF4A48"/>
    <w:rsid w:val="00CF4DAB"/>
    <w:rsid w:val="00CF4F4B"/>
    <w:rsid w:val="00CF575C"/>
    <w:rsid w:val="00CF65D3"/>
    <w:rsid w:val="00CF6AE8"/>
    <w:rsid w:val="00CF6C16"/>
    <w:rsid w:val="00CF7002"/>
    <w:rsid w:val="00CF712C"/>
    <w:rsid w:val="00CF774E"/>
    <w:rsid w:val="00CF7EA4"/>
    <w:rsid w:val="00D0002D"/>
    <w:rsid w:val="00D000BD"/>
    <w:rsid w:val="00D00CE1"/>
    <w:rsid w:val="00D00D44"/>
    <w:rsid w:val="00D012C0"/>
    <w:rsid w:val="00D01588"/>
    <w:rsid w:val="00D01B27"/>
    <w:rsid w:val="00D02316"/>
    <w:rsid w:val="00D0257D"/>
    <w:rsid w:val="00D031BD"/>
    <w:rsid w:val="00D03223"/>
    <w:rsid w:val="00D035FF"/>
    <w:rsid w:val="00D03C93"/>
    <w:rsid w:val="00D04319"/>
    <w:rsid w:val="00D04A1E"/>
    <w:rsid w:val="00D05557"/>
    <w:rsid w:val="00D05EB9"/>
    <w:rsid w:val="00D06C8E"/>
    <w:rsid w:val="00D07829"/>
    <w:rsid w:val="00D07A87"/>
    <w:rsid w:val="00D1003B"/>
    <w:rsid w:val="00D11179"/>
    <w:rsid w:val="00D11AFC"/>
    <w:rsid w:val="00D126DF"/>
    <w:rsid w:val="00D12DF8"/>
    <w:rsid w:val="00D14BE2"/>
    <w:rsid w:val="00D14BE6"/>
    <w:rsid w:val="00D1540B"/>
    <w:rsid w:val="00D15691"/>
    <w:rsid w:val="00D15DE1"/>
    <w:rsid w:val="00D15F98"/>
    <w:rsid w:val="00D17571"/>
    <w:rsid w:val="00D17A1E"/>
    <w:rsid w:val="00D17B51"/>
    <w:rsid w:val="00D17EA9"/>
    <w:rsid w:val="00D204A6"/>
    <w:rsid w:val="00D20EF9"/>
    <w:rsid w:val="00D20F64"/>
    <w:rsid w:val="00D21069"/>
    <w:rsid w:val="00D21C26"/>
    <w:rsid w:val="00D23AC7"/>
    <w:rsid w:val="00D248DC"/>
    <w:rsid w:val="00D24B62"/>
    <w:rsid w:val="00D24DF8"/>
    <w:rsid w:val="00D2706B"/>
    <w:rsid w:val="00D271E5"/>
    <w:rsid w:val="00D27200"/>
    <w:rsid w:val="00D30A73"/>
    <w:rsid w:val="00D30B81"/>
    <w:rsid w:val="00D30D98"/>
    <w:rsid w:val="00D31B5C"/>
    <w:rsid w:val="00D32A78"/>
    <w:rsid w:val="00D336FD"/>
    <w:rsid w:val="00D3380A"/>
    <w:rsid w:val="00D33B17"/>
    <w:rsid w:val="00D35637"/>
    <w:rsid w:val="00D360E5"/>
    <w:rsid w:val="00D36799"/>
    <w:rsid w:val="00D37155"/>
    <w:rsid w:val="00D37329"/>
    <w:rsid w:val="00D40B26"/>
    <w:rsid w:val="00D41A9A"/>
    <w:rsid w:val="00D41C31"/>
    <w:rsid w:val="00D41E10"/>
    <w:rsid w:val="00D441C8"/>
    <w:rsid w:val="00D44248"/>
    <w:rsid w:val="00D44E82"/>
    <w:rsid w:val="00D456FD"/>
    <w:rsid w:val="00D45AB8"/>
    <w:rsid w:val="00D45ECD"/>
    <w:rsid w:val="00D45F68"/>
    <w:rsid w:val="00D4616A"/>
    <w:rsid w:val="00D46643"/>
    <w:rsid w:val="00D475D4"/>
    <w:rsid w:val="00D50D28"/>
    <w:rsid w:val="00D5173D"/>
    <w:rsid w:val="00D53523"/>
    <w:rsid w:val="00D5392D"/>
    <w:rsid w:val="00D53BFC"/>
    <w:rsid w:val="00D53EDE"/>
    <w:rsid w:val="00D558C7"/>
    <w:rsid w:val="00D55D8C"/>
    <w:rsid w:val="00D5639C"/>
    <w:rsid w:val="00D56546"/>
    <w:rsid w:val="00D566B0"/>
    <w:rsid w:val="00D56A18"/>
    <w:rsid w:val="00D56C4A"/>
    <w:rsid w:val="00D57810"/>
    <w:rsid w:val="00D6015A"/>
    <w:rsid w:val="00D61F8B"/>
    <w:rsid w:val="00D627A4"/>
    <w:rsid w:val="00D62992"/>
    <w:rsid w:val="00D636A4"/>
    <w:rsid w:val="00D63BB6"/>
    <w:rsid w:val="00D6427B"/>
    <w:rsid w:val="00D646A5"/>
    <w:rsid w:val="00D648DC"/>
    <w:rsid w:val="00D64E5B"/>
    <w:rsid w:val="00D70C07"/>
    <w:rsid w:val="00D717FD"/>
    <w:rsid w:val="00D73E1E"/>
    <w:rsid w:val="00D74606"/>
    <w:rsid w:val="00D74790"/>
    <w:rsid w:val="00D74E66"/>
    <w:rsid w:val="00D76A59"/>
    <w:rsid w:val="00D77A10"/>
    <w:rsid w:val="00D807C5"/>
    <w:rsid w:val="00D8138C"/>
    <w:rsid w:val="00D81530"/>
    <w:rsid w:val="00D82AED"/>
    <w:rsid w:val="00D82DE0"/>
    <w:rsid w:val="00D82E0D"/>
    <w:rsid w:val="00D8311F"/>
    <w:rsid w:val="00D83925"/>
    <w:rsid w:val="00D83A33"/>
    <w:rsid w:val="00D83E47"/>
    <w:rsid w:val="00D859B0"/>
    <w:rsid w:val="00D86381"/>
    <w:rsid w:val="00D869CA"/>
    <w:rsid w:val="00D86B41"/>
    <w:rsid w:val="00D86CCF"/>
    <w:rsid w:val="00D86D99"/>
    <w:rsid w:val="00D9072C"/>
    <w:rsid w:val="00D90D29"/>
    <w:rsid w:val="00D90D53"/>
    <w:rsid w:val="00D90F9E"/>
    <w:rsid w:val="00D90FF4"/>
    <w:rsid w:val="00D91C77"/>
    <w:rsid w:val="00D91E5A"/>
    <w:rsid w:val="00D9218A"/>
    <w:rsid w:val="00D923A3"/>
    <w:rsid w:val="00D933F0"/>
    <w:rsid w:val="00D94030"/>
    <w:rsid w:val="00D94914"/>
    <w:rsid w:val="00D94FCE"/>
    <w:rsid w:val="00D9577F"/>
    <w:rsid w:val="00D95A71"/>
    <w:rsid w:val="00D95BED"/>
    <w:rsid w:val="00D96735"/>
    <w:rsid w:val="00D96C6C"/>
    <w:rsid w:val="00D96D92"/>
    <w:rsid w:val="00D97942"/>
    <w:rsid w:val="00DA0532"/>
    <w:rsid w:val="00DA1241"/>
    <w:rsid w:val="00DA2D00"/>
    <w:rsid w:val="00DA3E8D"/>
    <w:rsid w:val="00DA3F10"/>
    <w:rsid w:val="00DA41B9"/>
    <w:rsid w:val="00DA42D2"/>
    <w:rsid w:val="00DA4BF4"/>
    <w:rsid w:val="00DA533C"/>
    <w:rsid w:val="00DA56BF"/>
    <w:rsid w:val="00DA56F6"/>
    <w:rsid w:val="00DA5B8A"/>
    <w:rsid w:val="00DA5ECD"/>
    <w:rsid w:val="00DA6011"/>
    <w:rsid w:val="00DA63B6"/>
    <w:rsid w:val="00DA6CCD"/>
    <w:rsid w:val="00DA70F6"/>
    <w:rsid w:val="00DA76F4"/>
    <w:rsid w:val="00DB003E"/>
    <w:rsid w:val="00DB0122"/>
    <w:rsid w:val="00DB05FE"/>
    <w:rsid w:val="00DB0C99"/>
    <w:rsid w:val="00DB0CA0"/>
    <w:rsid w:val="00DB0EF7"/>
    <w:rsid w:val="00DB0F59"/>
    <w:rsid w:val="00DB1E61"/>
    <w:rsid w:val="00DB1E94"/>
    <w:rsid w:val="00DB1EAC"/>
    <w:rsid w:val="00DB327D"/>
    <w:rsid w:val="00DB4710"/>
    <w:rsid w:val="00DB47C1"/>
    <w:rsid w:val="00DB47D2"/>
    <w:rsid w:val="00DB6A36"/>
    <w:rsid w:val="00DB6BE8"/>
    <w:rsid w:val="00DB7289"/>
    <w:rsid w:val="00DB75EE"/>
    <w:rsid w:val="00DC0E76"/>
    <w:rsid w:val="00DC112A"/>
    <w:rsid w:val="00DC11DF"/>
    <w:rsid w:val="00DC136E"/>
    <w:rsid w:val="00DC14F8"/>
    <w:rsid w:val="00DC1561"/>
    <w:rsid w:val="00DC2E56"/>
    <w:rsid w:val="00DC39C5"/>
    <w:rsid w:val="00DC3DE7"/>
    <w:rsid w:val="00DC3F5E"/>
    <w:rsid w:val="00DC53D3"/>
    <w:rsid w:val="00DC559F"/>
    <w:rsid w:val="00DC581A"/>
    <w:rsid w:val="00DC5FDB"/>
    <w:rsid w:val="00DC651E"/>
    <w:rsid w:val="00DC6925"/>
    <w:rsid w:val="00DC7E6D"/>
    <w:rsid w:val="00DD1347"/>
    <w:rsid w:val="00DD2F18"/>
    <w:rsid w:val="00DD307C"/>
    <w:rsid w:val="00DD3537"/>
    <w:rsid w:val="00DD3EAA"/>
    <w:rsid w:val="00DD3EB3"/>
    <w:rsid w:val="00DD4151"/>
    <w:rsid w:val="00DD4786"/>
    <w:rsid w:val="00DD4DB0"/>
    <w:rsid w:val="00DD4FBC"/>
    <w:rsid w:val="00DD55A0"/>
    <w:rsid w:val="00DD5647"/>
    <w:rsid w:val="00DD608A"/>
    <w:rsid w:val="00DD6774"/>
    <w:rsid w:val="00DD7056"/>
    <w:rsid w:val="00DD72DC"/>
    <w:rsid w:val="00DD73D4"/>
    <w:rsid w:val="00DD77EC"/>
    <w:rsid w:val="00DE04D8"/>
    <w:rsid w:val="00DE0E68"/>
    <w:rsid w:val="00DE117E"/>
    <w:rsid w:val="00DE14FE"/>
    <w:rsid w:val="00DE1C2E"/>
    <w:rsid w:val="00DE1D46"/>
    <w:rsid w:val="00DE1EFC"/>
    <w:rsid w:val="00DE201D"/>
    <w:rsid w:val="00DE21E8"/>
    <w:rsid w:val="00DE29B9"/>
    <w:rsid w:val="00DE3090"/>
    <w:rsid w:val="00DE3D19"/>
    <w:rsid w:val="00DE4A24"/>
    <w:rsid w:val="00DE62AF"/>
    <w:rsid w:val="00DE66C5"/>
    <w:rsid w:val="00DE6C6E"/>
    <w:rsid w:val="00DE6E33"/>
    <w:rsid w:val="00DE7FDD"/>
    <w:rsid w:val="00DF017F"/>
    <w:rsid w:val="00DF0655"/>
    <w:rsid w:val="00DF10B8"/>
    <w:rsid w:val="00DF2986"/>
    <w:rsid w:val="00DF381F"/>
    <w:rsid w:val="00DF42E2"/>
    <w:rsid w:val="00DF4D78"/>
    <w:rsid w:val="00DF4D82"/>
    <w:rsid w:val="00DF531E"/>
    <w:rsid w:val="00DF5361"/>
    <w:rsid w:val="00DF568E"/>
    <w:rsid w:val="00DF5951"/>
    <w:rsid w:val="00DF6988"/>
    <w:rsid w:val="00DF76B8"/>
    <w:rsid w:val="00DF7CC4"/>
    <w:rsid w:val="00E00619"/>
    <w:rsid w:val="00E00B0D"/>
    <w:rsid w:val="00E00D5D"/>
    <w:rsid w:val="00E0138A"/>
    <w:rsid w:val="00E01407"/>
    <w:rsid w:val="00E01543"/>
    <w:rsid w:val="00E01A22"/>
    <w:rsid w:val="00E01EB3"/>
    <w:rsid w:val="00E0274E"/>
    <w:rsid w:val="00E03044"/>
    <w:rsid w:val="00E032BD"/>
    <w:rsid w:val="00E03963"/>
    <w:rsid w:val="00E03DB9"/>
    <w:rsid w:val="00E03ECF"/>
    <w:rsid w:val="00E04658"/>
    <w:rsid w:val="00E04674"/>
    <w:rsid w:val="00E047A3"/>
    <w:rsid w:val="00E0486E"/>
    <w:rsid w:val="00E05D82"/>
    <w:rsid w:val="00E06885"/>
    <w:rsid w:val="00E07632"/>
    <w:rsid w:val="00E07A53"/>
    <w:rsid w:val="00E07C40"/>
    <w:rsid w:val="00E07CDB"/>
    <w:rsid w:val="00E1074A"/>
    <w:rsid w:val="00E113D5"/>
    <w:rsid w:val="00E116A8"/>
    <w:rsid w:val="00E11A05"/>
    <w:rsid w:val="00E11B84"/>
    <w:rsid w:val="00E125D3"/>
    <w:rsid w:val="00E12A47"/>
    <w:rsid w:val="00E13F87"/>
    <w:rsid w:val="00E14305"/>
    <w:rsid w:val="00E14390"/>
    <w:rsid w:val="00E14466"/>
    <w:rsid w:val="00E14C6C"/>
    <w:rsid w:val="00E14ECF"/>
    <w:rsid w:val="00E15712"/>
    <w:rsid w:val="00E1577C"/>
    <w:rsid w:val="00E15B01"/>
    <w:rsid w:val="00E16531"/>
    <w:rsid w:val="00E1678E"/>
    <w:rsid w:val="00E1681A"/>
    <w:rsid w:val="00E16AB4"/>
    <w:rsid w:val="00E17428"/>
    <w:rsid w:val="00E17B84"/>
    <w:rsid w:val="00E17F40"/>
    <w:rsid w:val="00E2122A"/>
    <w:rsid w:val="00E2181E"/>
    <w:rsid w:val="00E21D2C"/>
    <w:rsid w:val="00E21E3B"/>
    <w:rsid w:val="00E22076"/>
    <w:rsid w:val="00E2207E"/>
    <w:rsid w:val="00E2223B"/>
    <w:rsid w:val="00E226CF"/>
    <w:rsid w:val="00E22DC4"/>
    <w:rsid w:val="00E22E5D"/>
    <w:rsid w:val="00E234A9"/>
    <w:rsid w:val="00E23E16"/>
    <w:rsid w:val="00E24458"/>
    <w:rsid w:val="00E24DE9"/>
    <w:rsid w:val="00E25E92"/>
    <w:rsid w:val="00E277EB"/>
    <w:rsid w:val="00E307F5"/>
    <w:rsid w:val="00E31511"/>
    <w:rsid w:val="00E31874"/>
    <w:rsid w:val="00E3416F"/>
    <w:rsid w:val="00E34943"/>
    <w:rsid w:val="00E34983"/>
    <w:rsid w:val="00E35165"/>
    <w:rsid w:val="00E35945"/>
    <w:rsid w:val="00E36BC5"/>
    <w:rsid w:val="00E37383"/>
    <w:rsid w:val="00E4000C"/>
    <w:rsid w:val="00E40BD0"/>
    <w:rsid w:val="00E41014"/>
    <w:rsid w:val="00E427B5"/>
    <w:rsid w:val="00E42B3C"/>
    <w:rsid w:val="00E43254"/>
    <w:rsid w:val="00E43899"/>
    <w:rsid w:val="00E4397C"/>
    <w:rsid w:val="00E43A2B"/>
    <w:rsid w:val="00E43A5E"/>
    <w:rsid w:val="00E442AC"/>
    <w:rsid w:val="00E4494D"/>
    <w:rsid w:val="00E44FC5"/>
    <w:rsid w:val="00E4529C"/>
    <w:rsid w:val="00E460AA"/>
    <w:rsid w:val="00E464C6"/>
    <w:rsid w:val="00E46F64"/>
    <w:rsid w:val="00E478FC"/>
    <w:rsid w:val="00E47F9E"/>
    <w:rsid w:val="00E5057C"/>
    <w:rsid w:val="00E509D1"/>
    <w:rsid w:val="00E50E15"/>
    <w:rsid w:val="00E51713"/>
    <w:rsid w:val="00E51B5E"/>
    <w:rsid w:val="00E51BDD"/>
    <w:rsid w:val="00E51E8D"/>
    <w:rsid w:val="00E5231B"/>
    <w:rsid w:val="00E527B1"/>
    <w:rsid w:val="00E538FA"/>
    <w:rsid w:val="00E53DF1"/>
    <w:rsid w:val="00E53EBA"/>
    <w:rsid w:val="00E53F97"/>
    <w:rsid w:val="00E541B0"/>
    <w:rsid w:val="00E54A86"/>
    <w:rsid w:val="00E54DAB"/>
    <w:rsid w:val="00E54FCF"/>
    <w:rsid w:val="00E57B9B"/>
    <w:rsid w:val="00E603E2"/>
    <w:rsid w:val="00E605B7"/>
    <w:rsid w:val="00E615A5"/>
    <w:rsid w:val="00E62249"/>
    <w:rsid w:val="00E6268B"/>
    <w:rsid w:val="00E626EC"/>
    <w:rsid w:val="00E630A1"/>
    <w:rsid w:val="00E63536"/>
    <w:rsid w:val="00E6380A"/>
    <w:rsid w:val="00E639D7"/>
    <w:rsid w:val="00E64572"/>
    <w:rsid w:val="00E659D1"/>
    <w:rsid w:val="00E66B85"/>
    <w:rsid w:val="00E6758B"/>
    <w:rsid w:val="00E7022A"/>
    <w:rsid w:val="00E716E7"/>
    <w:rsid w:val="00E71C30"/>
    <w:rsid w:val="00E7283D"/>
    <w:rsid w:val="00E72B17"/>
    <w:rsid w:val="00E74671"/>
    <w:rsid w:val="00E74C9C"/>
    <w:rsid w:val="00E751B4"/>
    <w:rsid w:val="00E767B7"/>
    <w:rsid w:val="00E7695F"/>
    <w:rsid w:val="00E76AC7"/>
    <w:rsid w:val="00E76F21"/>
    <w:rsid w:val="00E77445"/>
    <w:rsid w:val="00E8020A"/>
    <w:rsid w:val="00E80873"/>
    <w:rsid w:val="00E80AA2"/>
    <w:rsid w:val="00E80ECF"/>
    <w:rsid w:val="00E819DB"/>
    <w:rsid w:val="00E82318"/>
    <w:rsid w:val="00E82727"/>
    <w:rsid w:val="00E828BE"/>
    <w:rsid w:val="00E82B1F"/>
    <w:rsid w:val="00E84572"/>
    <w:rsid w:val="00E86322"/>
    <w:rsid w:val="00E86643"/>
    <w:rsid w:val="00E86BBB"/>
    <w:rsid w:val="00E87059"/>
    <w:rsid w:val="00E874B0"/>
    <w:rsid w:val="00E87CC1"/>
    <w:rsid w:val="00E9018A"/>
    <w:rsid w:val="00E90923"/>
    <w:rsid w:val="00E90E07"/>
    <w:rsid w:val="00E90FB0"/>
    <w:rsid w:val="00E91898"/>
    <w:rsid w:val="00E930D5"/>
    <w:rsid w:val="00E931D9"/>
    <w:rsid w:val="00E93E50"/>
    <w:rsid w:val="00E944BD"/>
    <w:rsid w:val="00E9487D"/>
    <w:rsid w:val="00E94CA1"/>
    <w:rsid w:val="00E952B7"/>
    <w:rsid w:val="00E955E4"/>
    <w:rsid w:val="00E956B7"/>
    <w:rsid w:val="00E9586F"/>
    <w:rsid w:val="00E9630F"/>
    <w:rsid w:val="00E970BA"/>
    <w:rsid w:val="00E97549"/>
    <w:rsid w:val="00E97D74"/>
    <w:rsid w:val="00EA0137"/>
    <w:rsid w:val="00EA02ED"/>
    <w:rsid w:val="00EA065A"/>
    <w:rsid w:val="00EA078E"/>
    <w:rsid w:val="00EA0810"/>
    <w:rsid w:val="00EA0D21"/>
    <w:rsid w:val="00EA0F28"/>
    <w:rsid w:val="00EA1033"/>
    <w:rsid w:val="00EA112E"/>
    <w:rsid w:val="00EA1837"/>
    <w:rsid w:val="00EA1AC5"/>
    <w:rsid w:val="00EA1B53"/>
    <w:rsid w:val="00EA1EF6"/>
    <w:rsid w:val="00EA2659"/>
    <w:rsid w:val="00EA2E7E"/>
    <w:rsid w:val="00EA3956"/>
    <w:rsid w:val="00EA4197"/>
    <w:rsid w:val="00EA481A"/>
    <w:rsid w:val="00EA4D2A"/>
    <w:rsid w:val="00EA4E86"/>
    <w:rsid w:val="00EA59BC"/>
    <w:rsid w:val="00EA5E9D"/>
    <w:rsid w:val="00EA7B47"/>
    <w:rsid w:val="00EB0445"/>
    <w:rsid w:val="00EB06EE"/>
    <w:rsid w:val="00EB3397"/>
    <w:rsid w:val="00EB38D7"/>
    <w:rsid w:val="00EB44A7"/>
    <w:rsid w:val="00EB47B4"/>
    <w:rsid w:val="00EB481A"/>
    <w:rsid w:val="00EB527D"/>
    <w:rsid w:val="00EB56CC"/>
    <w:rsid w:val="00EB6F83"/>
    <w:rsid w:val="00EB7CEC"/>
    <w:rsid w:val="00EB7EAE"/>
    <w:rsid w:val="00EB7F5C"/>
    <w:rsid w:val="00EC095D"/>
    <w:rsid w:val="00EC0974"/>
    <w:rsid w:val="00EC0A08"/>
    <w:rsid w:val="00EC0C37"/>
    <w:rsid w:val="00EC0C6E"/>
    <w:rsid w:val="00EC0CE7"/>
    <w:rsid w:val="00EC1055"/>
    <w:rsid w:val="00EC146D"/>
    <w:rsid w:val="00EC21F4"/>
    <w:rsid w:val="00EC3208"/>
    <w:rsid w:val="00EC342F"/>
    <w:rsid w:val="00EC3DE9"/>
    <w:rsid w:val="00EC3E05"/>
    <w:rsid w:val="00EC4984"/>
    <w:rsid w:val="00EC4FA6"/>
    <w:rsid w:val="00EC532E"/>
    <w:rsid w:val="00EC5592"/>
    <w:rsid w:val="00ED1327"/>
    <w:rsid w:val="00ED1BF9"/>
    <w:rsid w:val="00ED1D38"/>
    <w:rsid w:val="00ED21F1"/>
    <w:rsid w:val="00ED3343"/>
    <w:rsid w:val="00ED3369"/>
    <w:rsid w:val="00ED3C7A"/>
    <w:rsid w:val="00ED4110"/>
    <w:rsid w:val="00ED4296"/>
    <w:rsid w:val="00ED46C3"/>
    <w:rsid w:val="00ED4DB6"/>
    <w:rsid w:val="00ED53B6"/>
    <w:rsid w:val="00ED5D6F"/>
    <w:rsid w:val="00ED6DF3"/>
    <w:rsid w:val="00ED794F"/>
    <w:rsid w:val="00EE080D"/>
    <w:rsid w:val="00EE2100"/>
    <w:rsid w:val="00EE21A3"/>
    <w:rsid w:val="00EE246F"/>
    <w:rsid w:val="00EE32B2"/>
    <w:rsid w:val="00EE3EB1"/>
    <w:rsid w:val="00EE4F47"/>
    <w:rsid w:val="00EE55A1"/>
    <w:rsid w:val="00EE5621"/>
    <w:rsid w:val="00EE5DF2"/>
    <w:rsid w:val="00EE66F3"/>
    <w:rsid w:val="00EE6A06"/>
    <w:rsid w:val="00EE6A1D"/>
    <w:rsid w:val="00EE6F5B"/>
    <w:rsid w:val="00EE787F"/>
    <w:rsid w:val="00EF0407"/>
    <w:rsid w:val="00EF095C"/>
    <w:rsid w:val="00EF0AAA"/>
    <w:rsid w:val="00EF0DD1"/>
    <w:rsid w:val="00EF1164"/>
    <w:rsid w:val="00EF1996"/>
    <w:rsid w:val="00EF27B9"/>
    <w:rsid w:val="00EF2E9B"/>
    <w:rsid w:val="00EF3937"/>
    <w:rsid w:val="00EF3B9B"/>
    <w:rsid w:val="00EF5537"/>
    <w:rsid w:val="00EF57EC"/>
    <w:rsid w:val="00EF60CD"/>
    <w:rsid w:val="00EF6337"/>
    <w:rsid w:val="00EF6B5C"/>
    <w:rsid w:val="00EF7EA1"/>
    <w:rsid w:val="00F0024C"/>
    <w:rsid w:val="00F00FBA"/>
    <w:rsid w:val="00F011C5"/>
    <w:rsid w:val="00F01BDC"/>
    <w:rsid w:val="00F01EF8"/>
    <w:rsid w:val="00F0207A"/>
    <w:rsid w:val="00F0233A"/>
    <w:rsid w:val="00F039D2"/>
    <w:rsid w:val="00F03CA8"/>
    <w:rsid w:val="00F03D5A"/>
    <w:rsid w:val="00F04D73"/>
    <w:rsid w:val="00F05121"/>
    <w:rsid w:val="00F0620D"/>
    <w:rsid w:val="00F0670E"/>
    <w:rsid w:val="00F068BE"/>
    <w:rsid w:val="00F07408"/>
    <w:rsid w:val="00F07B42"/>
    <w:rsid w:val="00F104C7"/>
    <w:rsid w:val="00F10D38"/>
    <w:rsid w:val="00F1183B"/>
    <w:rsid w:val="00F11892"/>
    <w:rsid w:val="00F11D64"/>
    <w:rsid w:val="00F1232E"/>
    <w:rsid w:val="00F12546"/>
    <w:rsid w:val="00F12618"/>
    <w:rsid w:val="00F126A4"/>
    <w:rsid w:val="00F12734"/>
    <w:rsid w:val="00F1327C"/>
    <w:rsid w:val="00F134A3"/>
    <w:rsid w:val="00F13C34"/>
    <w:rsid w:val="00F143D6"/>
    <w:rsid w:val="00F14A01"/>
    <w:rsid w:val="00F14FB3"/>
    <w:rsid w:val="00F150A1"/>
    <w:rsid w:val="00F1527F"/>
    <w:rsid w:val="00F1554D"/>
    <w:rsid w:val="00F15882"/>
    <w:rsid w:val="00F159C4"/>
    <w:rsid w:val="00F1641E"/>
    <w:rsid w:val="00F17BA2"/>
    <w:rsid w:val="00F201AE"/>
    <w:rsid w:val="00F203B0"/>
    <w:rsid w:val="00F21032"/>
    <w:rsid w:val="00F2230B"/>
    <w:rsid w:val="00F22348"/>
    <w:rsid w:val="00F22958"/>
    <w:rsid w:val="00F22A49"/>
    <w:rsid w:val="00F22BCA"/>
    <w:rsid w:val="00F22C3D"/>
    <w:rsid w:val="00F239A5"/>
    <w:rsid w:val="00F23DF0"/>
    <w:rsid w:val="00F23F0D"/>
    <w:rsid w:val="00F2447F"/>
    <w:rsid w:val="00F2505C"/>
    <w:rsid w:val="00F25423"/>
    <w:rsid w:val="00F257EA"/>
    <w:rsid w:val="00F25D6F"/>
    <w:rsid w:val="00F26598"/>
    <w:rsid w:val="00F26A8B"/>
    <w:rsid w:val="00F26E66"/>
    <w:rsid w:val="00F270F4"/>
    <w:rsid w:val="00F27F2C"/>
    <w:rsid w:val="00F30033"/>
    <w:rsid w:val="00F30B45"/>
    <w:rsid w:val="00F31365"/>
    <w:rsid w:val="00F32E12"/>
    <w:rsid w:val="00F33EB1"/>
    <w:rsid w:val="00F33F50"/>
    <w:rsid w:val="00F34298"/>
    <w:rsid w:val="00F34765"/>
    <w:rsid w:val="00F35089"/>
    <w:rsid w:val="00F3660B"/>
    <w:rsid w:val="00F3692B"/>
    <w:rsid w:val="00F36CDD"/>
    <w:rsid w:val="00F37052"/>
    <w:rsid w:val="00F370A7"/>
    <w:rsid w:val="00F37227"/>
    <w:rsid w:val="00F37780"/>
    <w:rsid w:val="00F37D11"/>
    <w:rsid w:val="00F4039D"/>
    <w:rsid w:val="00F40819"/>
    <w:rsid w:val="00F40CD9"/>
    <w:rsid w:val="00F41577"/>
    <w:rsid w:val="00F430E3"/>
    <w:rsid w:val="00F4386E"/>
    <w:rsid w:val="00F43A3D"/>
    <w:rsid w:val="00F44D40"/>
    <w:rsid w:val="00F44DE5"/>
    <w:rsid w:val="00F4663B"/>
    <w:rsid w:val="00F47CBB"/>
    <w:rsid w:val="00F47EF7"/>
    <w:rsid w:val="00F5063C"/>
    <w:rsid w:val="00F509B0"/>
    <w:rsid w:val="00F52C4C"/>
    <w:rsid w:val="00F52F18"/>
    <w:rsid w:val="00F53A97"/>
    <w:rsid w:val="00F53C41"/>
    <w:rsid w:val="00F544F8"/>
    <w:rsid w:val="00F548A7"/>
    <w:rsid w:val="00F54DD4"/>
    <w:rsid w:val="00F54E8C"/>
    <w:rsid w:val="00F54EF9"/>
    <w:rsid w:val="00F566F8"/>
    <w:rsid w:val="00F56AA3"/>
    <w:rsid w:val="00F5742C"/>
    <w:rsid w:val="00F57E9C"/>
    <w:rsid w:val="00F57FAE"/>
    <w:rsid w:val="00F60079"/>
    <w:rsid w:val="00F60563"/>
    <w:rsid w:val="00F608F5"/>
    <w:rsid w:val="00F60C87"/>
    <w:rsid w:val="00F6184B"/>
    <w:rsid w:val="00F6197C"/>
    <w:rsid w:val="00F61C12"/>
    <w:rsid w:val="00F6266F"/>
    <w:rsid w:val="00F62CB4"/>
    <w:rsid w:val="00F65085"/>
    <w:rsid w:val="00F651B8"/>
    <w:rsid w:val="00F65547"/>
    <w:rsid w:val="00F661FC"/>
    <w:rsid w:val="00F66A5B"/>
    <w:rsid w:val="00F66BE8"/>
    <w:rsid w:val="00F675A8"/>
    <w:rsid w:val="00F67CBE"/>
    <w:rsid w:val="00F70890"/>
    <w:rsid w:val="00F71A96"/>
    <w:rsid w:val="00F71AE1"/>
    <w:rsid w:val="00F72B97"/>
    <w:rsid w:val="00F72F3B"/>
    <w:rsid w:val="00F739D0"/>
    <w:rsid w:val="00F74444"/>
    <w:rsid w:val="00F758F0"/>
    <w:rsid w:val="00F7631B"/>
    <w:rsid w:val="00F76828"/>
    <w:rsid w:val="00F76D01"/>
    <w:rsid w:val="00F8044A"/>
    <w:rsid w:val="00F80DE4"/>
    <w:rsid w:val="00F81018"/>
    <w:rsid w:val="00F81369"/>
    <w:rsid w:val="00F8168D"/>
    <w:rsid w:val="00F82213"/>
    <w:rsid w:val="00F82501"/>
    <w:rsid w:val="00F82C94"/>
    <w:rsid w:val="00F82D3A"/>
    <w:rsid w:val="00F83D9B"/>
    <w:rsid w:val="00F84E67"/>
    <w:rsid w:val="00F854D6"/>
    <w:rsid w:val="00F85A96"/>
    <w:rsid w:val="00F85BEE"/>
    <w:rsid w:val="00F86389"/>
    <w:rsid w:val="00F90250"/>
    <w:rsid w:val="00F920D4"/>
    <w:rsid w:val="00F92632"/>
    <w:rsid w:val="00F949BB"/>
    <w:rsid w:val="00F94E0F"/>
    <w:rsid w:val="00F95617"/>
    <w:rsid w:val="00F95B7F"/>
    <w:rsid w:val="00F95F29"/>
    <w:rsid w:val="00F96613"/>
    <w:rsid w:val="00F967A4"/>
    <w:rsid w:val="00F96D76"/>
    <w:rsid w:val="00F96E28"/>
    <w:rsid w:val="00F96F91"/>
    <w:rsid w:val="00F96FEF"/>
    <w:rsid w:val="00FA0017"/>
    <w:rsid w:val="00FA00EB"/>
    <w:rsid w:val="00FA0154"/>
    <w:rsid w:val="00FA02E0"/>
    <w:rsid w:val="00FA0395"/>
    <w:rsid w:val="00FA0590"/>
    <w:rsid w:val="00FA0725"/>
    <w:rsid w:val="00FA160B"/>
    <w:rsid w:val="00FA1F0D"/>
    <w:rsid w:val="00FA1F57"/>
    <w:rsid w:val="00FA20DD"/>
    <w:rsid w:val="00FA27FD"/>
    <w:rsid w:val="00FA2BBC"/>
    <w:rsid w:val="00FA3DA3"/>
    <w:rsid w:val="00FA4A5A"/>
    <w:rsid w:val="00FA4F0D"/>
    <w:rsid w:val="00FA5531"/>
    <w:rsid w:val="00FA6938"/>
    <w:rsid w:val="00FA746E"/>
    <w:rsid w:val="00FA7DE4"/>
    <w:rsid w:val="00FB0A22"/>
    <w:rsid w:val="00FB0A3B"/>
    <w:rsid w:val="00FB0C77"/>
    <w:rsid w:val="00FB0F23"/>
    <w:rsid w:val="00FB2393"/>
    <w:rsid w:val="00FB3A92"/>
    <w:rsid w:val="00FB4722"/>
    <w:rsid w:val="00FB4B85"/>
    <w:rsid w:val="00FB57F8"/>
    <w:rsid w:val="00FB5D9C"/>
    <w:rsid w:val="00FB5FDB"/>
    <w:rsid w:val="00FB6373"/>
    <w:rsid w:val="00FB6E97"/>
    <w:rsid w:val="00FC2304"/>
    <w:rsid w:val="00FC387D"/>
    <w:rsid w:val="00FC547A"/>
    <w:rsid w:val="00FC5940"/>
    <w:rsid w:val="00FC73C2"/>
    <w:rsid w:val="00FC7732"/>
    <w:rsid w:val="00FD0417"/>
    <w:rsid w:val="00FD0615"/>
    <w:rsid w:val="00FD07B2"/>
    <w:rsid w:val="00FD0B63"/>
    <w:rsid w:val="00FD0FFC"/>
    <w:rsid w:val="00FD102A"/>
    <w:rsid w:val="00FD183E"/>
    <w:rsid w:val="00FD336A"/>
    <w:rsid w:val="00FD3669"/>
    <w:rsid w:val="00FD4B5B"/>
    <w:rsid w:val="00FD5D19"/>
    <w:rsid w:val="00FD5E69"/>
    <w:rsid w:val="00FE0D0D"/>
    <w:rsid w:val="00FE16DD"/>
    <w:rsid w:val="00FE1D51"/>
    <w:rsid w:val="00FE24F3"/>
    <w:rsid w:val="00FE3621"/>
    <w:rsid w:val="00FE41B0"/>
    <w:rsid w:val="00FE4292"/>
    <w:rsid w:val="00FE468F"/>
    <w:rsid w:val="00FE4DA6"/>
    <w:rsid w:val="00FE63C6"/>
    <w:rsid w:val="00FE660D"/>
    <w:rsid w:val="00FE6841"/>
    <w:rsid w:val="00FE69B5"/>
    <w:rsid w:val="00FE6AC4"/>
    <w:rsid w:val="00FE6C77"/>
    <w:rsid w:val="00FE6DDB"/>
    <w:rsid w:val="00FE7DFA"/>
    <w:rsid w:val="00FF020E"/>
    <w:rsid w:val="00FF0644"/>
    <w:rsid w:val="00FF0984"/>
    <w:rsid w:val="00FF0A41"/>
    <w:rsid w:val="00FF1774"/>
    <w:rsid w:val="00FF1C29"/>
    <w:rsid w:val="00FF1F1A"/>
    <w:rsid w:val="00FF204E"/>
    <w:rsid w:val="00FF2302"/>
    <w:rsid w:val="00FF24F9"/>
    <w:rsid w:val="00FF26B4"/>
    <w:rsid w:val="00FF479C"/>
    <w:rsid w:val="00FF54BD"/>
    <w:rsid w:val="00FF56E4"/>
    <w:rsid w:val="00FF59FF"/>
    <w:rsid w:val="00FF6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3074"/>
    <o:shapelayout v:ext="edit">
      <o:idmap v:ext="edit" data="1"/>
      <o:rules v:ext="edit">
        <o:r id="V:Rule1" type="connector" idref="#_x0000_s1040"/>
        <o:r id="V:Rule2" type="connector" idref="#_x0000_s1041"/>
        <o:r id="V:Rule3" type="connector" idref="#_x0000_s1042"/>
        <o:r id="V:Rule4" type="connector" idref="#_x0000_s1045"/>
        <o:r id="V:Rule5" type="connector" idref="#_x0000_s1047"/>
        <o:r id="V:Rule6" type="connector" idref="#_x0000_s1049"/>
      </o:rules>
    </o:shapelayout>
  </w:shapeDefaults>
  <w:decimalSymbol w:val=","/>
  <w:listSeparator w:val=";"/>
  <w15:chartTrackingRefBased/>
  <w15:docId w15:val="{EF16A747-579F-410B-88C8-A4248798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pPr>
      <w:spacing w:before="62" w:line="250" w:lineRule="atLeast"/>
      <w:jc w:val="both"/>
    </w:pPr>
    <w:rPr>
      <w:sz w:val="19"/>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link w:val="Rubrik5Char"/>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link w:val="NormaltindragChar"/>
    <w:uiPriority w:val="99"/>
    <w:pPr>
      <w:spacing w:before="0"/>
      <w:ind w:firstLine="227"/>
    </w:pPr>
  </w:style>
  <w:style w:type="character" w:customStyle="1" w:styleId="NormaltindragChar">
    <w:name w:val="Normalt indrag Char"/>
    <w:link w:val="Normaltindrag"/>
    <w:uiPriority w:val="99"/>
    <w:rsid w:val="00237777"/>
    <w:rPr>
      <w:sz w:val="19"/>
    </w:rPr>
  </w:style>
  <w:style w:type="character" w:customStyle="1" w:styleId="Rubrik1Char">
    <w:name w:val="Rubrik 1 Char"/>
    <w:link w:val="Rubrik1"/>
    <w:rsid w:val="00F82501"/>
    <w:rPr>
      <w:noProof/>
      <w:sz w:val="32"/>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link w:val="DiagramrubrikChar1"/>
    <w:qFormat/>
    <w:rsid w:val="00BD0E24"/>
    <w:pPr>
      <w:keepNext/>
      <w:spacing w:before="312" w:line="250" w:lineRule="atLeast"/>
      <w:ind w:left="0" w:firstLine="0"/>
    </w:pPr>
    <w:rPr>
      <w:b/>
      <w:caps w:val="0"/>
      <w:spacing w:val="0"/>
      <w:sz w:val="19"/>
    </w:rPr>
  </w:style>
  <w:style w:type="character" w:customStyle="1" w:styleId="DiagramrubrikChar1">
    <w:name w:val="Diagramrubrik Char1"/>
    <w:link w:val="Diagramrubrik"/>
    <w:rsid w:val="001A14F1"/>
    <w:rPr>
      <w:b/>
      <w:sz w:val="19"/>
    </w:rPr>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rPr>
      <w:vertAlign w:val="superscript"/>
    </w:rPr>
  </w:style>
  <w:style w:type="paragraph" w:styleId="Fotnotstext">
    <w:name w:val="footnote text"/>
    <w:basedOn w:val="Normal"/>
    <w:next w:val="Fotnotstextindrag"/>
    <w:link w:val="FotnotstextChar"/>
    <w:rsid w:val="00A86884"/>
    <w:pPr>
      <w:spacing w:line="170" w:lineRule="exact"/>
    </w:pPr>
    <w:rPr>
      <w:sz w:val="17"/>
    </w:rPr>
  </w:style>
  <w:style w:type="paragraph" w:customStyle="1" w:styleId="Fotnotstextindrag">
    <w:name w:val="Fotnotstext indrag"/>
    <w:basedOn w:val="Fotnotstext"/>
    <w:rsid w:val="001B1E08"/>
    <w:pPr>
      <w:spacing w:before="0"/>
      <w:ind w:left="113"/>
    </w:pPr>
  </w:style>
  <w:style w:type="character" w:customStyle="1" w:styleId="FotnotstextChar">
    <w:name w:val="Fotnotstext Char"/>
    <w:link w:val="Fotnotstext"/>
    <w:rsid w:val="00B02B60"/>
    <w:rPr>
      <w:sz w:val="17"/>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uiPriority w:val="39"/>
    <w:pPr>
      <w:ind w:left="568" w:hanging="284"/>
    </w:pPr>
  </w:style>
  <w:style w:type="paragraph" w:styleId="Innehll3">
    <w:name w:val="toc 3"/>
    <w:basedOn w:val="Innehll1"/>
    <w:pPr>
      <w:ind w:left="851" w:hanging="284"/>
    </w:pPr>
  </w:style>
  <w:style w:type="paragraph" w:styleId="Innehll4">
    <w:name w:val="toc 4"/>
    <w:basedOn w:val="Innehll1"/>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semiHidden/>
    <w:pPr>
      <w:spacing w:before="0"/>
    </w:pPr>
    <w:rPr>
      <w:sz w:val="20"/>
    </w:rPr>
  </w:style>
  <w:style w:type="character" w:customStyle="1" w:styleId="KommentarerChar">
    <w:name w:val="Kommentarer Char"/>
    <w:basedOn w:val="Standardstycketeckensnitt"/>
    <w:link w:val="Kommentarer"/>
    <w:rsid w:val="00A07A6E"/>
  </w:style>
  <w:style w:type="character" w:styleId="Kommentarsreferens">
    <w:name w:val="annotation reference"/>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link w:val="OformateradtextChar"/>
    <w:pPr>
      <w:widowControl w:val="0"/>
      <w:spacing w:line="240" w:lineRule="auto"/>
      <w:jc w:val="left"/>
    </w:pPr>
    <w:rPr>
      <w:rFonts w:ascii="Courier New" w:hAnsi="Courier New"/>
      <w:sz w:val="20"/>
    </w:rPr>
  </w:style>
  <w:style w:type="character" w:customStyle="1" w:styleId="OformateradtextChar">
    <w:name w:val="Oformaterad text Char"/>
    <w:link w:val="Oformateradtext"/>
    <w:uiPriority w:val="99"/>
    <w:rsid w:val="001A14F1"/>
    <w:rPr>
      <w:rFonts w:ascii="Courier New" w:hAnsi="Courier New"/>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link w:val="R2"/>
    <w:locked/>
    <w:rsid w:val="00CA1AFE"/>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237777"/>
  </w:style>
  <w:style w:type="paragraph" w:styleId="Ballongtext">
    <w:name w:val="Balloon Text"/>
    <w:basedOn w:val="Normal"/>
    <w:link w:val="BallongtextChar"/>
    <w:rsid w:val="00A07A6E"/>
    <w:pPr>
      <w:spacing w:before="0" w:line="240" w:lineRule="auto"/>
    </w:pPr>
    <w:rPr>
      <w:rFonts w:ascii="Tahoma" w:hAnsi="Tahoma" w:cs="Tahoma"/>
      <w:sz w:val="16"/>
      <w:szCs w:val="16"/>
    </w:rPr>
  </w:style>
  <w:style w:type="character" w:customStyle="1" w:styleId="BallongtextChar">
    <w:name w:val="Ballongtext Char"/>
    <w:link w:val="Ballongtext"/>
    <w:rsid w:val="00A07A6E"/>
    <w:rPr>
      <w:rFonts w:ascii="Tahoma" w:hAnsi="Tahoma" w:cs="Tahoma"/>
      <w:sz w:val="16"/>
      <w:szCs w:val="16"/>
    </w:rPr>
  </w:style>
  <w:style w:type="paragraph" w:styleId="Kommentarsmne">
    <w:name w:val="annotation subject"/>
    <w:basedOn w:val="Kommentarer"/>
    <w:next w:val="Kommentarer"/>
    <w:link w:val="KommentarsmneChar"/>
    <w:rsid w:val="000F36E1"/>
    <w:pPr>
      <w:spacing w:before="62"/>
    </w:pPr>
    <w:rPr>
      <w:b/>
      <w:bCs/>
    </w:rPr>
  </w:style>
  <w:style w:type="character" w:customStyle="1" w:styleId="KommentarsmneChar">
    <w:name w:val="Kommentarsämne Char"/>
    <w:link w:val="Kommentarsmne"/>
    <w:rsid w:val="000F36E1"/>
    <w:rPr>
      <w:b/>
      <w:bCs/>
    </w:rPr>
  </w:style>
  <w:style w:type="paragraph" w:styleId="Brdtext">
    <w:name w:val="Body Text"/>
    <w:basedOn w:val="Normal"/>
    <w:link w:val="BrdtextChar"/>
    <w:rsid w:val="0024770C"/>
    <w:pPr>
      <w:spacing w:before="0" w:after="150" w:line="240" w:lineRule="auto"/>
      <w:jc w:val="left"/>
    </w:pPr>
    <w:rPr>
      <w:rFonts w:ascii="Syntax" w:hAnsi="Syntax"/>
      <w:sz w:val="21"/>
      <w:szCs w:val="21"/>
    </w:rPr>
  </w:style>
  <w:style w:type="character" w:customStyle="1" w:styleId="BrdtextChar">
    <w:name w:val="Brödtext Char"/>
    <w:link w:val="Brdtext"/>
    <w:rsid w:val="0024770C"/>
    <w:rPr>
      <w:rFonts w:ascii="Syntax" w:hAnsi="Syntax"/>
      <w:sz w:val="21"/>
      <w:szCs w:val="21"/>
    </w:rPr>
  </w:style>
  <w:style w:type="paragraph" w:styleId="Normalwebb">
    <w:name w:val="Normal (Web)"/>
    <w:aliases w:val=" webb"/>
    <w:basedOn w:val="Normal"/>
    <w:rsid w:val="0024770C"/>
    <w:pPr>
      <w:spacing w:before="0" w:line="240" w:lineRule="auto"/>
      <w:jc w:val="left"/>
    </w:pPr>
    <w:rPr>
      <w:sz w:val="24"/>
      <w:szCs w:val="24"/>
    </w:rPr>
  </w:style>
  <w:style w:type="paragraph" w:customStyle="1" w:styleId="PunktlistaLitenBomb">
    <w:name w:val="Punktlista LitenBomb"/>
    <w:basedOn w:val="Normal"/>
    <w:rsid w:val="001A14F1"/>
  </w:style>
  <w:style w:type="paragraph" w:customStyle="1" w:styleId="Default">
    <w:name w:val="Default"/>
    <w:rsid w:val="001A14F1"/>
    <w:pPr>
      <w:autoSpaceDE w:val="0"/>
      <w:autoSpaceDN w:val="0"/>
      <w:adjustRightInd w:val="0"/>
    </w:pPr>
    <w:rPr>
      <w:color w:val="000000"/>
      <w:sz w:val="24"/>
      <w:szCs w:val="24"/>
    </w:rPr>
  </w:style>
  <w:style w:type="table" w:styleId="Frgadskuggning-dekorfrg1">
    <w:name w:val="Colorful Shading Accent 1"/>
    <w:basedOn w:val="Normaltabell"/>
    <w:uiPriority w:val="71"/>
    <w:rsid w:val="001A14F1"/>
    <w:rPr>
      <w:color w:val="000000"/>
    </w:rPr>
    <w:tblPr>
      <w:tblStyleRowBandSize w:val="1"/>
      <w:tblStyleColBandSize w:val="1"/>
      <w:tblBorders>
        <w:top w:val="single" w:sz="24" w:space="0" w:color="0076BD"/>
        <w:left w:val="single" w:sz="4" w:space="0" w:color="A41D22"/>
        <w:bottom w:val="single" w:sz="4" w:space="0" w:color="A41D22"/>
        <w:right w:val="single" w:sz="4" w:space="0" w:color="A41D22"/>
        <w:insideH w:val="single" w:sz="4" w:space="0" w:color="FFFFFF"/>
        <w:insideV w:val="single" w:sz="4" w:space="0" w:color="FFFFFF"/>
      </w:tblBorders>
    </w:tblPr>
    <w:tcPr>
      <w:shd w:val="clear" w:color="auto" w:fill="FAE4E5"/>
    </w:tcPr>
    <w:tblStylePr w:type="firstRow">
      <w:rPr>
        <w:b/>
        <w:bCs/>
      </w:rPr>
      <w:tblPr/>
      <w:tcPr>
        <w:tcBorders>
          <w:top w:val="nil"/>
          <w:left w:val="nil"/>
          <w:bottom w:val="single" w:sz="24" w:space="0" w:color="0076B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21114"/>
      </w:tcPr>
    </w:tblStylePr>
    <w:tblStylePr w:type="firstCol">
      <w:rPr>
        <w:color w:val="FFFFFF"/>
      </w:rPr>
      <w:tblPr/>
      <w:tcPr>
        <w:tcBorders>
          <w:top w:val="nil"/>
          <w:left w:val="nil"/>
          <w:bottom w:val="nil"/>
          <w:right w:val="nil"/>
          <w:insideH w:val="single" w:sz="4" w:space="0" w:color="621114"/>
          <w:insideV w:val="nil"/>
        </w:tcBorders>
        <w:shd w:val="clear" w:color="auto" w:fill="621114"/>
      </w:tcPr>
    </w:tblStylePr>
    <w:tblStylePr w:type="lastCol">
      <w:rPr>
        <w:color w:val="FFFFFF"/>
      </w:rPr>
      <w:tblPr/>
      <w:tcPr>
        <w:tcBorders>
          <w:top w:val="nil"/>
          <w:left w:val="nil"/>
          <w:bottom w:val="nil"/>
          <w:right w:val="nil"/>
          <w:insideH w:val="nil"/>
          <w:insideV w:val="nil"/>
        </w:tcBorders>
        <w:shd w:val="clear" w:color="auto" w:fill="621114"/>
      </w:tcPr>
    </w:tblStylePr>
    <w:tblStylePr w:type="band1Vert">
      <w:tblPr/>
      <w:tcPr>
        <w:shd w:val="clear" w:color="auto" w:fill="EC9396"/>
      </w:tcPr>
    </w:tblStylePr>
    <w:tblStylePr w:type="band1Horz">
      <w:tblPr/>
      <w:tcPr>
        <w:shd w:val="clear" w:color="auto" w:fill="E7787C"/>
      </w:tcPr>
    </w:tblStylePr>
    <w:tblStylePr w:type="neCell">
      <w:rPr>
        <w:color w:val="000000"/>
      </w:rPr>
    </w:tblStylePr>
    <w:tblStylePr w:type="nwCell">
      <w:rPr>
        <w:color w:val="000000"/>
      </w:rPr>
    </w:tblStylePr>
  </w:style>
  <w:style w:type="paragraph" w:styleId="Punktlista">
    <w:name w:val="List Bullet"/>
    <w:basedOn w:val="Normal"/>
    <w:rsid w:val="001A14F1"/>
    <w:pPr>
      <w:tabs>
        <w:tab w:val="num" w:pos="360"/>
      </w:tabs>
      <w:spacing w:before="0" w:line="240" w:lineRule="auto"/>
      <w:ind w:left="360" w:hanging="360"/>
      <w:contextualSpacing/>
      <w:jc w:val="left"/>
    </w:pPr>
    <w:rPr>
      <w:rFonts w:ascii="Gisha" w:hAnsi="Gisha" w:cs="Gisha"/>
      <w:sz w:val="21"/>
      <w:szCs w:val="21"/>
    </w:rPr>
  </w:style>
  <w:style w:type="paragraph" w:customStyle="1" w:styleId="Indrag">
    <w:name w:val="Indrag"/>
    <w:basedOn w:val="Brdtext"/>
    <w:link w:val="IndragChar"/>
    <w:qFormat/>
    <w:rsid w:val="001A14F1"/>
    <w:pPr>
      <w:ind w:left="1440"/>
    </w:pPr>
    <w:rPr>
      <w:rFonts w:ascii="Gisha" w:hAnsi="Gisha" w:cs="Gisha"/>
    </w:rPr>
  </w:style>
  <w:style w:type="character" w:customStyle="1" w:styleId="IndragChar">
    <w:name w:val="Indrag Char"/>
    <w:link w:val="Indrag"/>
    <w:rsid w:val="001A14F1"/>
    <w:rPr>
      <w:rFonts w:ascii="Gisha" w:hAnsi="Gisha" w:cs="Gisha"/>
      <w:sz w:val="21"/>
      <w:szCs w:val="21"/>
    </w:rPr>
  </w:style>
  <w:style w:type="paragraph" w:styleId="Liststycke">
    <w:name w:val="List Paragraph"/>
    <w:basedOn w:val="Normal"/>
    <w:uiPriority w:val="34"/>
    <w:qFormat/>
    <w:rsid w:val="001A14F1"/>
    <w:pPr>
      <w:spacing w:before="0" w:line="240" w:lineRule="auto"/>
      <w:ind w:left="720"/>
      <w:contextualSpacing/>
      <w:jc w:val="left"/>
    </w:pPr>
    <w:rPr>
      <w:rFonts w:ascii="Garamond" w:hAnsi="Garamond"/>
      <w:sz w:val="24"/>
      <w:szCs w:val="22"/>
    </w:rPr>
  </w:style>
  <w:style w:type="character" w:styleId="Stark">
    <w:name w:val="Strong"/>
    <w:uiPriority w:val="22"/>
    <w:qFormat/>
    <w:rsid w:val="001A14F1"/>
    <w:rPr>
      <w:b/>
      <w:bCs/>
    </w:rPr>
  </w:style>
  <w:style w:type="character" w:styleId="Betoning">
    <w:name w:val="Emphasis"/>
    <w:qFormat/>
    <w:rsid w:val="001A14F1"/>
    <w:rPr>
      <w:i/>
      <w:iCs/>
    </w:rPr>
  </w:style>
  <w:style w:type="paragraph" w:customStyle="1" w:styleId="KllaAnmrkning">
    <w:name w:val="Källa/Anmärkning"/>
    <w:basedOn w:val="Diagramrubrik"/>
    <w:next w:val="Normal"/>
    <w:link w:val="KllaAnmrkningChar"/>
    <w:rsid w:val="001A14F1"/>
    <w:pPr>
      <w:spacing w:before="60" w:after="60" w:line="240" w:lineRule="auto"/>
      <w:jc w:val="both"/>
    </w:pPr>
    <w:rPr>
      <w:rFonts w:ascii="Syntax" w:hAnsi="Syntax"/>
      <w:caps/>
      <w:sz w:val="16"/>
    </w:rPr>
  </w:style>
  <w:style w:type="character" w:customStyle="1" w:styleId="KllaAnmrkningChar">
    <w:name w:val="Källa/Anmärkning Char"/>
    <w:link w:val="KllaAnmrkning"/>
    <w:locked/>
    <w:rsid w:val="001A14F1"/>
    <w:rPr>
      <w:rFonts w:ascii="Syntax" w:hAnsi="Syntax"/>
      <w:sz w:val="16"/>
    </w:rPr>
  </w:style>
  <w:style w:type="paragraph" w:customStyle="1" w:styleId="Enhetsrubrik">
    <w:name w:val="Enhetsrubrik"/>
    <w:basedOn w:val="Diagramrubrik"/>
    <w:link w:val="EnhetsrubrikChar"/>
    <w:rsid w:val="001A14F1"/>
    <w:pPr>
      <w:spacing w:before="60" w:after="60" w:line="240" w:lineRule="auto"/>
      <w:jc w:val="both"/>
    </w:pPr>
    <w:rPr>
      <w:rFonts w:ascii="Syntax" w:hAnsi="Syntax"/>
      <w:caps/>
      <w:sz w:val="18"/>
    </w:rPr>
  </w:style>
  <w:style w:type="character" w:customStyle="1" w:styleId="EnhetsrubrikChar">
    <w:name w:val="Enhetsrubrik Char"/>
    <w:link w:val="Enhetsrubrik"/>
    <w:locked/>
    <w:rsid w:val="001A14F1"/>
    <w:rPr>
      <w:rFonts w:ascii="Syntax" w:hAnsi="Syntax"/>
      <w:sz w:val="18"/>
    </w:rPr>
  </w:style>
  <w:style w:type="character" w:customStyle="1" w:styleId="DiagramrubrikChar">
    <w:name w:val="Diagramrubrik Char"/>
    <w:locked/>
    <w:rsid w:val="001A14F1"/>
    <w:rPr>
      <w:rFonts w:ascii="Syntax" w:hAnsi="Syntax"/>
      <w:b/>
      <w:sz w:val="18"/>
      <w:lang w:val="sv-SE" w:eastAsia="sv-SE" w:bidi="ar-SA"/>
    </w:rPr>
  </w:style>
  <w:style w:type="paragraph" w:customStyle="1" w:styleId="Diagram">
    <w:name w:val="Diagram"/>
    <w:basedOn w:val="Normal"/>
    <w:rsid w:val="001A14F1"/>
    <w:pPr>
      <w:spacing w:before="0" w:line="240" w:lineRule="auto"/>
    </w:pPr>
    <w:rPr>
      <w:rFonts w:ascii="Syntax" w:hAnsi="Syntax"/>
      <w:sz w:val="20"/>
    </w:rPr>
  </w:style>
  <w:style w:type="character" w:customStyle="1" w:styleId="NormaltindragChar1">
    <w:name w:val="Normalt indrag Char1"/>
    <w:rsid w:val="001A14F1"/>
    <w:rPr>
      <w:sz w:val="19"/>
    </w:rPr>
  </w:style>
  <w:style w:type="paragraph" w:customStyle="1" w:styleId="Anmrkning">
    <w:name w:val="Anmärkning"/>
    <w:basedOn w:val="Diagramrubrik"/>
    <w:next w:val="Brdtext"/>
    <w:rsid w:val="001A14F1"/>
    <w:pPr>
      <w:spacing w:before="240" w:after="120" w:line="180" w:lineRule="exact"/>
    </w:pPr>
    <w:rPr>
      <w:rFonts w:ascii="Syntax" w:hAnsi="Syntax"/>
      <w:caps/>
      <w:sz w:val="16"/>
      <w:lang w:val="x-none" w:eastAsia="x-none"/>
    </w:rPr>
  </w:style>
  <w:style w:type="table" w:styleId="Tabellrutnt">
    <w:name w:val="Table Grid"/>
    <w:basedOn w:val="Normaltabell"/>
    <w:rsid w:val="001A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1A14F1"/>
    <w:rPr>
      <w:color w:val="0000FF"/>
      <w:u w:val="single"/>
    </w:rPr>
  </w:style>
  <w:style w:type="character" w:styleId="AnvndHyperlnk">
    <w:name w:val="FollowedHyperlink"/>
    <w:rsid w:val="001A14F1"/>
    <w:rPr>
      <w:color w:val="606420"/>
      <w:u w:val="single"/>
    </w:rPr>
  </w:style>
  <w:style w:type="paragraph" w:customStyle="1" w:styleId="rIngress">
    <w:name w:val="årIngress"/>
    <w:basedOn w:val="Normal"/>
    <w:rsid w:val="001A14F1"/>
    <w:pPr>
      <w:spacing w:before="0" w:line="240" w:lineRule="auto"/>
      <w:jc w:val="left"/>
    </w:pPr>
    <w:rPr>
      <w:rFonts w:ascii="New Baskerville" w:hAnsi="New Baskerville"/>
      <w:i/>
      <w:sz w:val="24"/>
    </w:rPr>
  </w:style>
  <w:style w:type="paragraph" w:styleId="Brdtext2">
    <w:name w:val="Body Text 2"/>
    <w:basedOn w:val="Normal"/>
    <w:link w:val="Brdtext2Char"/>
    <w:rsid w:val="001A14F1"/>
    <w:pPr>
      <w:spacing w:before="0" w:after="120" w:line="480" w:lineRule="auto"/>
      <w:jc w:val="left"/>
    </w:pPr>
    <w:rPr>
      <w:rFonts w:ascii="New Baskerville" w:hAnsi="New Baskerville"/>
      <w:sz w:val="24"/>
      <w:lang w:val="x-none" w:eastAsia="x-none"/>
    </w:rPr>
  </w:style>
  <w:style w:type="character" w:customStyle="1" w:styleId="Brdtext2Char">
    <w:name w:val="Brödtext 2 Char"/>
    <w:link w:val="Brdtext2"/>
    <w:rsid w:val="001A14F1"/>
    <w:rPr>
      <w:rFonts w:ascii="New Baskerville" w:hAnsi="New Baskerville"/>
      <w:sz w:val="24"/>
      <w:lang w:val="x-none" w:eastAsia="x-none"/>
    </w:rPr>
  </w:style>
  <w:style w:type="paragraph" w:customStyle="1" w:styleId="rBrdtext">
    <w:name w:val="årBrödtext"/>
    <w:basedOn w:val="Normal"/>
    <w:rsid w:val="001A14F1"/>
    <w:pPr>
      <w:spacing w:before="0" w:line="240" w:lineRule="auto"/>
      <w:jc w:val="left"/>
    </w:pPr>
    <w:rPr>
      <w:rFonts w:ascii="New Baskerville" w:hAnsi="New Baskerville"/>
      <w:sz w:val="24"/>
    </w:rPr>
  </w:style>
  <w:style w:type="paragraph" w:customStyle="1" w:styleId="NormMB">
    <w:name w:val="NormMB"/>
    <w:basedOn w:val="Normal"/>
    <w:rsid w:val="001A14F1"/>
    <w:pPr>
      <w:spacing w:before="0" w:line="240" w:lineRule="auto"/>
      <w:jc w:val="left"/>
    </w:pPr>
    <w:rPr>
      <w:rFonts w:ascii="Arial" w:hAnsi="Arial"/>
      <w:sz w:val="24"/>
    </w:rPr>
  </w:style>
  <w:style w:type="paragraph" w:styleId="Brdtextmedindrag">
    <w:name w:val="Body Text Indent"/>
    <w:basedOn w:val="Normal"/>
    <w:link w:val="BrdtextmedindragChar"/>
    <w:rsid w:val="001A14F1"/>
    <w:pPr>
      <w:spacing w:before="0" w:line="240" w:lineRule="auto"/>
      <w:ind w:left="1276" w:hanging="1276"/>
      <w:jc w:val="left"/>
    </w:pPr>
    <w:rPr>
      <w:rFonts w:ascii="New Baskerville" w:hAnsi="New Baskerville"/>
      <w:sz w:val="24"/>
      <w:lang w:val="x-none" w:eastAsia="x-none"/>
    </w:rPr>
  </w:style>
  <w:style w:type="character" w:customStyle="1" w:styleId="BrdtextmedindragChar">
    <w:name w:val="Brödtext med indrag Char"/>
    <w:link w:val="Brdtextmedindrag"/>
    <w:rsid w:val="001A14F1"/>
    <w:rPr>
      <w:rFonts w:ascii="New Baskerville" w:hAnsi="New Baskerville"/>
      <w:sz w:val="24"/>
      <w:lang w:val="x-none" w:eastAsia="x-none"/>
    </w:rPr>
  </w:style>
  <w:style w:type="paragraph" w:styleId="Brdtextmedindrag2">
    <w:name w:val="Body Text Indent 2"/>
    <w:basedOn w:val="Normal"/>
    <w:link w:val="Brdtextmedindrag2Char"/>
    <w:rsid w:val="001A14F1"/>
    <w:pPr>
      <w:spacing w:before="0" w:line="240" w:lineRule="auto"/>
      <w:ind w:left="1134" w:hanging="1134"/>
      <w:jc w:val="left"/>
    </w:pPr>
    <w:rPr>
      <w:rFonts w:ascii="New Baskerville" w:hAnsi="New Baskerville"/>
      <w:sz w:val="24"/>
      <w:lang w:val="x-none" w:eastAsia="x-none"/>
    </w:rPr>
  </w:style>
  <w:style w:type="character" w:customStyle="1" w:styleId="Brdtextmedindrag2Char">
    <w:name w:val="Brödtext med indrag 2 Char"/>
    <w:link w:val="Brdtextmedindrag2"/>
    <w:rsid w:val="001A14F1"/>
    <w:rPr>
      <w:rFonts w:ascii="New Baskerville" w:hAnsi="New Baskerville"/>
      <w:sz w:val="24"/>
      <w:lang w:val="x-none" w:eastAsia="x-none"/>
    </w:rPr>
  </w:style>
  <w:style w:type="paragraph" w:styleId="Brdtextmedindrag3">
    <w:name w:val="Body Text Indent 3"/>
    <w:basedOn w:val="Normal"/>
    <w:link w:val="Brdtextmedindrag3Char"/>
    <w:rsid w:val="001A14F1"/>
    <w:pPr>
      <w:spacing w:before="0" w:line="240" w:lineRule="auto"/>
      <w:ind w:left="1134" w:hanging="1304"/>
      <w:jc w:val="left"/>
    </w:pPr>
    <w:rPr>
      <w:rFonts w:ascii="New Baskerville" w:hAnsi="New Baskerville"/>
      <w:sz w:val="24"/>
      <w:lang w:val="x-none" w:eastAsia="x-none"/>
    </w:rPr>
  </w:style>
  <w:style w:type="character" w:customStyle="1" w:styleId="Brdtextmedindrag3Char">
    <w:name w:val="Brödtext med indrag 3 Char"/>
    <w:link w:val="Brdtextmedindrag3"/>
    <w:rsid w:val="001A14F1"/>
    <w:rPr>
      <w:rFonts w:ascii="New Baskerville" w:hAnsi="New Baskerville"/>
      <w:sz w:val="24"/>
      <w:lang w:val="x-none" w:eastAsia="x-none"/>
    </w:rPr>
  </w:style>
  <w:style w:type="paragraph" w:styleId="Brdtext3">
    <w:name w:val="Body Text 3"/>
    <w:basedOn w:val="Normal"/>
    <w:link w:val="Brdtext3Char"/>
    <w:rsid w:val="001A14F1"/>
    <w:pPr>
      <w:spacing w:before="0" w:line="360" w:lineRule="auto"/>
      <w:ind w:right="2268"/>
      <w:jc w:val="left"/>
    </w:pPr>
    <w:rPr>
      <w:rFonts w:ascii="New Baskerville" w:hAnsi="New Baskerville"/>
      <w:sz w:val="24"/>
      <w:lang w:val="x-none" w:eastAsia="x-none"/>
    </w:rPr>
  </w:style>
  <w:style w:type="character" w:customStyle="1" w:styleId="Brdtext3Char">
    <w:name w:val="Brödtext 3 Char"/>
    <w:link w:val="Brdtext3"/>
    <w:rsid w:val="001A14F1"/>
    <w:rPr>
      <w:rFonts w:ascii="New Baskerville" w:hAnsi="New Baskerville"/>
      <w:sz w:val="24"/>
      <w:lang w:val="x-none" w:eastAsia="x-none"/>
    </w:rPr>
  </w:style>
  <w:style w:type="paragraph" w:customStyle="1" w:styleId="rRubrik2">
    <w:name w:val="årRubrik 2"/>
    <w:basedOn w:val="Normal"/>
    <w:rsid w:val="001A14F1"/>
    <w:pPr>
      <w:spacing w:before="0" w:line="240" w:lineRule="auto"/>
      <w:jc w:val="left"/>
    </w:pPr>
    <w:rPr>
      <w:rFonts w:ascii="New Baskerville" w:hAnsi="New Baskerville"/>
      <w:b/>
      <w:sz w:val="36"/>
    </w:rPr>
  </w:style>
  <w:style w:type="paragraph" w:customStyle="1" w:styleId="NormalBrdtextbr">
    <w:name w:val="Normal.Brödtext.br"/>
    <w:rsid w:val="001A14F1"/>
    <w:pPr>
      <w:spacing w:line="320" w:lineRule="atLeast"/>
    </w:pPr>
    <w:rPr>
      <w:rFonts w:ascii="New Century Schlbk" w:hAnsi="New Century Schlbk"/>
      <w:kern w:val="18"/>
    </w:rPr>
  </w:style>
  <w:style w:type="paragraph" w:styleId="Avslutandetext">
    <w:name w:val="Closing"/>
    <w:basedOn w:val="Normal"/>
    <w:next w:val="Signatur"/>
    <w:link w:val="AvslutandetextChar"/>
    <w:rsid w:val="001A14F1"/>
    <w:pPr>
      <w:keepNext/>
      <w:spacing w:before="0" w:after="60" w:line="220" w:lineRule="atLeast"/>
    </w:pPr>
    <w:rPr>
      <w:rFonts w:ascii="New Baskerville" w:hAnsi="New Baskerville"/>
      <w:sz w:val="24"/>
      <w:lang w:val="x-none" w:eastAsia="x-none"/>
    </w:rPr>
  </w:style>
  <w:style w:type="paragraph" w:styleId="Signatur">
    <w:name w:val="Signature"/>
    <w:basedOn w:val="Normal"/>
    <w:link w:val="SignaturChar"/>
    <w:rsid w:val="001A14F1"/>
    <w:pPr>
      <w:spacing w:before="0" w:line="240" w:lineRule="auto"/>
      <w:ind w:left="4252"/>
      <w:jc w:val="left"/>
    </w:pPr>
    <w:rPr>
      <w:rFonts w:ascii="New Baskerville" w:hAnsi="New Baskerville"/>
      <w:sz w:val="24"/>
      <w:lang w:val="x-none" w:eastAsia="x-none"/>
    </w:rPr>
  </w:style>
  <w:style w:type="character" w:customStyle="1" w:styleId="SignaturChar">
    <w:name w:val="Signatur Char"/>
    <w:link w:val="Signatur"/>
    <w:rsid w:val="001A14F1"/>
    <w:rPr>
      <w:rFonts w:ascii="New Baskerville" w:hAnsi="New Baskerville"/>
      <w:sz w:val="24"/>
      <w:lang w:val="x-none" w:eastAsia="x-none"/>
    </w:rPr>
  </w:style>
  <w:style w:type="character" w:customStyle="1" w:styleId="AvslutandetextChar">
    <w:name w:val="Avslutande text Char"/>
    <w:link w:val="Avslutandetext"/>
    <w:rsid w:val="001A14F1"/>
    <w:rPr>
      <w:rFonts w:ascii="New Baskerville" w:hAnsi="New Baskerville"/>
      <w:sz w:val="24"/>
      <w:lang w:val="x-none" w:eastAsia="x-none"/>
    </w:rPr>
  </w:style>
  <w:style w:type="paragraph" w:customStyle="1" w:styleId="rende">
    <w:name w:val="ärende"/>
    <w:basedOn w:val="Normal"/>
    <w:next w:val="Normal"/>
    <w:rsid w:val="001A14F1"/>
    <w:pPr>
      <w:spacing w:before="0" w:line="240" w:lineRule="auto"/>
      <w:jc w:val="left"/>
    </w:pPr>
    <w:rPr>
      <w:b/>
      <w:sz w:val="24"/>
    </w:rPr>
  </w:style>
  <w:style w:type="paragraph" w:styleId="Indragetstycke">
    <w:name w:val="Block Text"/>
    <w:basedOn w:val="Normal"/>
    <w:rsid w:val="001A14F1"/>
    <w:pPr>
      <w:spacing w:before="0" w:line="360" w:lineRule="auto"/>
      <w:ind w:left="1418" w:right="567" w:hanging="1418"/>
      <w:jc w:val="left"/>
    </w:pPr>
    <w:rPr>
      <w:rFonts w:ascii="New Baskerville" w:hAnsi="New Baskerville"/>
      <w:sz w:val="24"/>
    </w:rPr>
  </w:style>
  <w:style w:type="paragraph" w:styleId="Rubrik">
    <w:name w:val="Title"/>
    <w:basedOn w:val="Normal"/>
    <w:next w:val="Normal"/>
    <w:link w:val="RubrikChar"/>
    <w:qFormat/>
    <w:rsid w:val="001A14F1"/>
    <w:pPr>
      <w:spacing w:before="240" w:after="60" w:line="240" w:lineRule="auto"/>
      <w:jc w:val="left"/>
      <w:outlineLvl w:val="0"/>
    </w:pPr>
    <w:rPr>
      <w:rFonts w:ascii="Syntax" w:hAnsi="Syntax"/>
      <w:b/>
      <w:bCs/>
      <w:kern w:val="28"/>
      <w:sz w:val="36"/>
      <w:szCs w:val="32"/>
      <w:lang w:val="x-none" w:eastAsia="x-none"/>
    </w:rPr>
  </w:style>
  <w:style w:type="character" w:customStyle="1" w:styleId="RubrikChar">
    <w:name w:val="Rubrik Char"/>
    <w:link w:val="Rubrik"/>
    <w:rsid w:val="001A14F1"/>
    <w:rPr>
      <w:rFonts w:ascii="Syntax" w:hAnsi="Syntax"/>
      <w:b/>
      <w:bCs/>
      <w:kern w:val="28"/>
      <w:sz w:val="36"/>
      <w:szCs w:val="32"/>
      <w:lang w:val="x-none" w:eastAsia="x-none"/>
    </w:rPr>
  </w:style>
  <w:style w:type="paragraph" w:customStyle="1" w:styleId="Titel">
    <w:name w:val="Titel"/>
    <w:basedOn w:val="Normal"/>
    <w:next w:val="Brdtext"/>
    <w:rsid w:val="001A14F1"/>
    <w:pPr>
      <w:spacing w:before="420" w:after="320" w:line="360" w:lineRule="exact"/>
      <w:jc w:val="left"/>
    </w:pPr>
    <w:rPr>
      <w:rFonts w:ascii="Syntax" w:hAnsi="Syntax"/>
      <w:b/>
      <w:sz w:val="32"/>
      <w:szCs w:val="21"/>
    </w:rPr>
  </w:style>
  <w:style w:type="paragraph" w:customStyle="1" w:styleId="ingress">
    <w:name w:val="ingress"/>
    <w:basedOn w:val="Normal"/>
    <w:rsid w:val="001A14F1"/>
    <w:pPr>
      <w:spacing w:before="100" w:beforeAutospacing="1" w:after="100" w:afterAutospacing="1" w:line="360" w:lineRule="auto"/>
      <w:jc w:val="left"/>
    </w:pPr>
    <w:rPr>
      <w:b/>
      <w:bCs/>
      <w:sz w:val="24"/>
      <w:szCs w:val="24"/>
    </w:rPr>
  </w:style>
  <w:style w:type="character" w:customStyle="1" w:styleId="intro">
    <w:name w:val="intro"/>
    <w:rsid w:val="001A14F1"/>
  </w:style>
  <w:style w:type="character" w:customStyle="1" w:styleId="normaltext">
    <w:name w:val="normaltext"/>
    <w:rsid w:val="001A14F1"/>
  </w:style>
  <w:style w:type="paragraph" w:customStyle="1" w:styleId="brodtextstext">
    <w:name w:val="brodtext stext"/>
    <w:basedOn w:val="Normal"/>
    <w:link w:val="brodtextstextChar"/>
    <w:rsid w:val="001A14F1"/>
    <w:pPr>
      <w:spacing w:before="0" w:line="240" w:lineRule="auto"/>
      <w:jc w:val="left"/>
    </w:pPr>
    <w:rPr>
      <w:sz w:val="24"/>
      <w:szCs w:val="24"/>
      <w:lang w:val="x-none" w:eastAsia="x-none"/>
    </w:rPr>
  </w:style>
  <w:style w:type="character" w:customStyle="1" w:styleId="brodtextstextChar">
    <w:name w:val="brodtext stext Char"/>
    <w:link w:val="brodtextstext"/>
    <w:rsid w:val="001A14F1"/>
    <w:rPr>
      <w:sz w:val="24"/>
      <w:szCs w:val="24"/>
      <w:lang w:val="x-none" w:eastAsia="x-none"/>
    </w:rPr>
  </w:style>
  <w:style w:type="paragraph" w:customStyle="1" w:styleId="CharCharChar1">
    <w:name w:val="Char Char Char1"/>
    <w:basedOn w:val="Normal"/>
    <w:rsid w:val="001A14F1"/>
    <w:pPr>
      <w:spacing w:before="0" w:after="160" w:line="240" w:lineRule="exact"/>
      <w:jc w:val="left"/>
    </w:pPr>
    <w:rPr>
      <w:rFonts w:ascii="Tahoma" w:hAnsi="Tahoma"/>
      <w:sz w:val="20"/>
      <w:lang w:val="en-US" w:eastAsia="en-US"/>
    </w:rPr>
  </w:style>
  <w:style w:type="paragraph" w:customStyle="1" w:styleId="RUTA">
    <w:name w:val="RUTA"/>
    <w:basedOn w:val="Normal"/>
    <w:next w:val="Brdtext"/>
    <w:rsid w:val="001A14F1"/>
    <w:pPr>
      <w:keepNext/>
      <w:spacing w:before="240" w:after="160" w:line="280" w:lineRule="exact"/>
      <w:jc w:val="left"/>
      <w:outlineLvl w:val="1"/>
    </w:pPr>
    <w:rPr>
      <w:rFonts w:ascii="Syntax" w:hAnsi="Syntax" w:cs="Arial"/>
      <w:b/>
      <w:bCs/>
      <w:iCs/>
      <w:sz w:val="24"/>
      <w:szCs w:val="28"/>
    </w:rPr>
  </w:style>
  <w:style w:type="paragraph" w:customStyle="1" w:styleId="Utlyft">
    <w:name w:val="Utlyft"/>
    <w:basedOn w:val="Normal"/>
    <w:next w:val="Normal"/>
    <w:rsid w:val="001A14F1"/>
    <w:pPr>
      <w:spacing w:before="120" w:after="120" w:line="280" w:lineRule="exact"/>
    </w:pPr>
    <w:rPr>
      <w:rFonts w:ascii="Syntax" w:hAnsi="Syntax"/>
      <w:b/>
      <w:caps/>
      <w:sz w:val="16"/>
      <w:szCs w:val="16"/>
    </w:rPr>
  </w:style>
  <w:style w:type="character" w:customStyle="1" w:styleId="CharChar">
    <w:name w:val="Char Char"/>
    <w:rsid w:val="001A14F1"/>
    <w:rPr>
      <w:sz w:val="19"/>
      <w:lang w:val="sv-SE" w:eastAsia="sv-SE" w:bidi="ar-SA"/>
    </w:rPr>
  </w:style>
  <w:style w:type="character" w:customStyle="1" w:styleId="smalltext1">
    <w:name w:val="smalltext1"/>
    <w:rsid w:val="001A14F1"/>
    <w:rPr>
      <w:rFonts w:ascii="Verdana" w:hAnsi="Verdana" w:hint="default"/>
      <w:sz w:val="15"/>
      <w:szCs w:val="15"/>
    </w:rPr>
  </w:style>
  <w:style w:type="paragraph" w:customStyle="1" w:styleId="brdtext0">
    <w:name w:val="brödtext"/>
    <w:basedOn w:val="Brdtext"/>
    <w:link w:val="brdtextChar0"/>
    <w:uiPriority w:val="99"/>
    <w:rsid w:val="001A14F1"/>
    <w:pPr>
      <w:spacing w:after="120"/>
    </w:pPr>
    <w:rPr>
      <w:rFonts w:ascii="Gisha" w:hAnsi="Gisha"/>
      <w:szCs w:val="22"/>
    </w:rPr>
  </w:style>
  <w:style w:type="character" w:customStyle="1" w:styleId="brdtextChar0">
    <w:name w:val="brödtext Char"/>
    <w:link w:val="brdtext0"/>
    <w:uiPriority w:val="99"/>
    <w:locked/>
    <w:rsid w:val="001A14F1"/>
    <w:rPr>
      <w:rFonts w:ascii="Gisha" w:hAnsi="Gisha"/>
      <w:sz w:val="21"/>
      <w:szCs w:val="22"/>
    </w:rPr>
  </w:style>
  <w:style w:type="paragraph" w:customStyle="1" w:styleId="Kllaanmrkning0">
    <w:name w:val="Källa/anmärkning"/>
    <w:basedOn w:val="Normal"/>
    <w:next w:val="Normal"/>
    <w:uiPriority w:val="22"/>
    <w:qFormat/>
    <w:rsid w:val="001A14F1"/>
    <w:pPr>
      <w:spacing w:before="60" w:after="60" w:line="240" w:lineRule="auto"/>
      <w:jc w:val="left"/>
    </w:pPr>
    <w:rPr>
      <w:rFonts w:ascii="Gisha" w:hAnsi="Gisha"/>
      <w:noProof/>
      <w:sz w:val="16"/>
      <w:szCs w:val="22"/>
    </w:rPr>
  </w:style>
  <w:style w:type="paragraph" w:customStyle="1" w:styleId="FirstTitle1">
    <w:name w:val="First Title 1"/>
    <w:basedOn w:val="Normal"/>
    <w:rsid w:val="001A14F1"/>
    <w:pPr>
      <w:spacing w:before="0" w:line="380" w:lineRule="atLeast"/>
      <w:jc w:val="left"/>
    </w:pPr>
    <w:rPr>
      <w:rFonts w:ascii="Arial" w:hAnsi="Arial" w:cs="Raavi"/>
      <w:b/>
      <w:color w:val="003399"/>
      <w:sz w:val="30"/>
      <w:szCs w:val="24"/>
      <w:lang w:val="en-GB" w:eastAsia="de-DE" w:bidi="pa-IN"/>
    </w:rPr>
  </w:style>
  <w:style w:type="paragraph" w:customStyle="1" w:styleId="FirstTitle2">
    <w:name w:val="First Title 2"/>
    <w:basedOn w:val="FirstTitle1"/>
    <w:rsid w:val="001A14F1"/>
    <w:pPr>
      <w:spacing w:after="100" w:line="340" w:lineRule="atLeast"/>
    </w:pPr>
    <w:rPr>
      <w:b w:val="0"/>
      <w:sz w:val="26"/>
    </w:rPr>
  </w:style>
  <w:style w:type="paragraph" w:customStyle="1" w:styleId="CharCharCharChar">
    <w:name w:val="Char Char Char Char"/>
    <w:basedOn w:val="Normal"/>
    <w:rsid w:val="001A14F1"/>
    <w:pPr>
      <w:spacing w:before="0" w:after="160" w:line="240" w:lineRule="exact"/>
      <w:jc w:val="left"/>
    </w:pPr>
    <w:rPr>
      <w:rFonts w:ascii="Verdana" w:hAnsi="Verdana"/>
      <w:sz w:val="20"/>
      <w:lang w:val="en-US" w:eastAsia="en-US"/>
    </w:rPr>
  </w:style>
  <w:style w:type="character" w:customStyle="1" w:styleId="tooltip">
    <w:name w:val="tooltip"/>
    <w:rsid w:val="001A14F1"/>
  </w:style>
  <w:style w:type="character" w:customStyle="1" w:styleId="heading21">
    <w:name w:val="heading21"/>
    <w:rsid w:val="001A14F1"/>
    <w:rPr>
      <w:b/>
      <w:bCs/>
      <w:i w:val="0"/>
      <w:iCs w:val="0"/>
      <w:sz w:val="18"/>
      <w:szCs w:val="18"/>
    </w:rPr>
  </w:style>
  <w:style w:type="paragraph" w:styleId="Numreradlista">
    <w:name w:val="List Number"/>
    <w:basedOn w:val="Normal"/>
    <w:rsid w:val="00041910"/>
    <w:pPr>
      <w:numPr>
        <w:numId w:val="2"/>
      </w:numPr>
      <w:spacing w:before="0" w:line="240" w:lineRule="auto"/>
      <w:contextualSpacing/>
      <w:jc w:val="left"/>
    </w:pPr>
    <w:rPr>
      <w:rFonts w:ascii="Calibri" w:hAnsi="Calibri"/>
      <w:sz w:val="24"/>
      <w:szCs w:val="22"/>
    </w:rPr>
  </w:style>
  <w:style w:type="paragraph" w:customStyle="1" w:styleId="Normal1">
    <w:name w:val="Normal1"/>
    <w:basedOn w:val="Normal"/>
    <w:rsid w:val="000F2895"/>
    <w:pPr>
      <w:spacing w:before="100" w:beforeAutospacing="1" w:after="192" w:line="240" w:lineRule="auto"/>
      <w:jc w:val="left"/>
    </w:pPr>
    <w:rPr>
      <w:sz w:val="24"/>
      <w:szCs w:val="24"/>
    </w:rPr>
  </w:style>
  <w:style w:type="paragraph" w:customStyle="1" w:styleId="normalindrag">
    <w:name w:val="normalindrag_"/>
    <w:basedOn w:val="Normal"/>
    <w:rsid w:val="000F2895"/>
    <w:pPr>
      <w:spacing w:before="100" w:beforeAutospacing="1" w:after="192" w:line="240" w:lineRule="auto"/>
      <w:jc w:val="left"/>
    </w:pPr>
    <w:rPr>
      <w:sz w:val="24"/>
      <w:szCs w:val="24"/>
    </w:rPr>
  </w:style>
  <w:style w:type="paragraph" w:styleId="Revision">
    <w:name w:val="Revision"/>
    <w:hidden/>
    <w:uiPriority w:val="99"/>
    <w:semiHidden/>
    <w:rsid w:val="002461A8"/>
    <w:rPr>
      <w:sz w:val="19"/>
    </w:rPr>
  </w:style>
  <w:style w:type="paragraph" w:customStyle="1" w:styleId="Header1">
    <w:name w:val="Header1"/>
    <w:basedOn w:val="Normal"/>
    <w:rsid w:val="008479D9"/>
    <w:pPr>
      <w:tabs>
        <w:tab w:val="left" w:pos="567"/>
        <w:tab w:val="left" w:pos="1134"/>
        <w:tab w:val="right" w:pos="9072"/>
      </w:tabs>
      <w:spacing w:before="0" w:after="120" w:line="360" w:lineRule="auto"/>
      <w:jc w:val="center"/>
    </w:pPr>
    <w:rPr>
      <w:b/>
      <w:sz w:val="28"/>
      <w:lang w:val="en-GB" w:eastAsia="en-GB"/>
    </w:rPr>
  </w:style>
  <w:style w:type="paragraph" w:customStyle="1" w:styleId="CharCharChar10">
    <w:name w:val="Char Char Char1"/>
    <w:basedOn w:val="Normal"/>
    <w:rsid w:val="006247DF"/>
    <w:pPr>
      <w:spacing w:before="0" w:after="160" w:line="240" w:lineRule="exact"/>
      <w:jc w:val="left"/>
    </w:pPr>
    <w:rPr>
      <w:rFonts w:ascii="Tahoma" w:hAnsi="Tahoma"/>
      <w:sz w:val="20"/>
      <w:lang w:val="en-US" w:eastAsia="en-US"/>
    </w:rPr>
  </w:style>
  <w:style w:type="character" w:customStyle="1" w:styleId="CharChar0">
    <w:name w:val="Char Char"/>
    <w:rsid w:val="006247DF"/>
    <w:rPr>
      <w:sz w:val="19"/>
      <w:lang w:val="sv-SE" w:eastAsia="sv-SE" w:bidi="ar-SA"/>
    </w:rPr>
  </w:style>
  <w:style w:type="paragraph" w:customStyle="1" w:styleId="CharCharCharChar0">
    <w:name w:val="Char Char Char Char"/>
    <w:basedOn w:val="Normal"/>
    <w:rsid w:val="006247DF"/>
    <w:pPr>
      <w:spacing w:before="0" w:after="160" w:line="240" w:lineRule="exact"/>
      <w:jc w:val="left"/>
    </w:pPr>
    <w:rPr>
      <w:rFonts w:ascii="Verdana" w:hAnsi="Verdana"/>
      <w:sz w:val="20"/>
      <w:lang w:val="en-US" w:eastAsia="en-US"/>
    </w:rPr>
  </w:style>
  <w:style w:type="character" w:customStyle="1" w:styleId="Rubrik5Char">
    <w:name w:val="Rubrik 5 Char"/>
    <w:link w:val="Rubrik5"/>
    <w:rsid w:val="001C487D"/>
    <w:rPr>
      <w:noProo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1760">
      <w:bodyDiv w:val="1"/>
      <w:marLeft w:val="0"/>
      <w:marRight w:val="0"/>
      <w:marTop w:val="0"/>
      <w:marBottom w:val="0"/>
      <w:divBdr>
        <w:top w:val="none" w:sz="0" w:space="0" w:color="auto"/>
        <w:left w:val="none" w:sz="0" w:space="0" w:color="auto"/>
        <w:bottom w:val="none" w:sz="0" w:space="0" w:color="auto"/>
        <w:right w:val="none" w:sz="0" w:space="0" w:color="auto"/>
      </w:divBdr>
      <w:divsChild>
        <w:div w:id="1145970837">
          <w:marLeft w:val="0"/>
          <w:marRight w:val="0"/>
          <w:marTop w:val="0"/>
          <w:marBottom w:val="0"/>
          <w:divBdr>
            <w:top w:val="none" w:sz="0" w:space="0" w:color="auto"/>
            <w:left w:val="none" w:sz="0" w:space="0" w:color="auto"/>
            <w:bottom w:val="none" w:sz="0" w:space="0" w:color="auto"/>
            <w:right w:val="none" w:sz="0" w:space="0" w:color="auto"/>
          </w:divBdr>
          <w:divsChild>
            <w:div w:id="829105220">
              <w:marLeft w:val="0"/>
              <w:marRight w:val="0"/>
              <w:marTop w:val="0"/>
              <w:marBottom w:val="0"/>
              <w:divBdr>
                <w:top w:val="none" w:sz="0" w:space="0" w:color="auto"/>
                <w:left w:val="none" w:sz="0" w:space="0" w:color="auto"/>
                <w:bottom w:val="none" w:sz="0" w:space="0" w:color="auto"/>
                <w:right w:val="none" w:sz="0" w:space="0" w:color="auto"/>
              </w:divBdr>
              <w:divsChild>
                <w:div w:id="113409254">
                  <w:marLeft w:val="0"/>
                  <w:marRight w:val="0"/>
                  <w:marTop w:val="0"/>
                  <w:marBottom w:val="0"/>
                  <w:divBdr>
                    <w:top w:val="none" w:sz="0" w:space="0" w:color="auto"/>
                    <w:left w:val="none" w:sz="0" w:space="0" w:color="auto"/>
                    <w:bottom w:val="none" w:sz="0" w:space="0" w:color="auto"/>
                    <w:right w:val="none" w:sz="0" w:space="0" w:color="auto"/>
                  </w:divBdr>
                  <w:divsChild>
                    <w:div w:id="2128769492">
                      <w:marLeft w:val="2325"/>
                      <w:marRight w:val="0"/>
                      <w:marTop w:val="0"/>
                      <w:marBottom w:val="0"/>
                      <w:divBdr>
                        <w:top w:val="none" w:sz="0" w:space="0" w:color="auto"/>
                        <w:left w:val="none" w:sz="0" w:space="0" w:color="auto"/>
                        <w:bottom w:val="none" w:sz="0" w:space="0" w:color="auto"/>
                        <w:right w:val="none" w:sz="0" w:space="0" w:color="auto"/>
                      </w:divBdr>
                      <w:divsChild>
                        <w:div w:id="1531455184">
                          <w:marLeft w:val="0"/>
                          <w:marRight w:val="0"/>
                          <w:marTop w:val="0"/>
                          <w:marBottom w:val="0"/>
                          <w:divBdr>
                            <w:top w:val="none" w:sz="0" w:space="0" w:color="auto"/>
                            <w:left w:val="none" w:sz="0" w:space="0" w:color="auto"/>
                            <w:bottom w:val="none" w:sz="0" w:space="0" w:color="auto"/>
                            <w:right w:val="none" w:sz="0" w:space="0" w:color="auto"/>
                          </w:divBdr>
                          <w:divsChild>
                            <w:div w:id="1236477190">
                              <w:marLeft w:val="0"/>
                              <w:marRight w:val="0"/>
                              <w:marTop w:val="0"/>
                              <w:marBottom w:val="0"/>
                              <w:divBdr>
                                <w:top w:val="none" w:sz="0" w:space="0" w:color="auto"/>
                                <w:left w:val="none" w:sz="0" w:space="0" w:color="auto"/>
                                <w:bottom w:val="none" w:sz="0" w:space="0" w:color="auto"/>
                                <w:right w:val="none" w:sz="0" w:space="0" w:color="auto"/>
                              </w:divBdr>
                              <w:divsChild>
                                <w:div w:id="1748114125">
                                  <w:marLeft w:val="0"/>
                                  <w:marRight w:val="0"/>
                                  <w:marTop w:val="0"/>
                                  <w:marBottom w:val="0"/>
                                  <w:divBdr>
                                    <w:top w:val="none" w:sz="0" w:space="0" w:color="auto"/>
                                    <w:left w:val="none" w:sz="0" w:space="0" w:color="auto"/>
                                    <w:bottom w:val="none" w:sz="0" w:space="0" w:color="auto"/>
                                    <w:right w:val="none" w:sz="0" w:space="0" w:color="auto"/>
                                  </w:divBdr>
                                  <w:divsChild>
                                    <w:div w:id="1900047112">
                                      <w:marLeft w:val="0"/>
                                      <w:marRight w:val="0"/>
                                      <w:marTop w:val="0"/>
                                      <w:marBottom w:val="0"/>
                                      <w:divBdr>
                                        <w:top w:val="none" w:sz="0" w:space="0" w:color="auto"/>
                                        <w:left w:val="none" w:sz="0" w:space="0" w:color="auto"/>
                                        <w:bottom w:val="none" w:sz="0" w:space="0" w:color="auto"/>
                                        <w:right w:val="none" w:sz="0" w:space="0" w:color="auto"/>
                                      </w:divBdr>
                                      <w:divsChild>
                                        <w:div w:id="10817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17576">
      <w:bodyDiv w:val="1"/>
      <w:marLeft w:val="0"/>
      <w:marRight w:val="0"/>
      <w:marTop w:val="0"/>
      <w:marBottom w:val="0"/>
      <w:divBdr>
        <w:top w:val="none" w:sz="0" w:space="0" w:color="auto"/>
        <w:left w:val="none" w:sz="0" w:space="0" w:color="auto"/>
        <w:bottom w:val="none" w:sz="0" w:space="0" w:color="auto"/>
        <w:right w:val="none" w:sz="0" w:space="0" w:color="auto"/>
      </w:divBdr>
    </w:div>
    <w:div w:id="439642254">
      <w:bodyDiv w:val="1"/>
      <w:marLeft w:val="0"/>
      <w:marRight w:val="0"/>
      <w:marTop w:val="0"/>
      <w:marBottom w:val="0"/>
      <w:divBdr>
        <w:top w:val="none" w:sz="0" w:space="0" w:color="auto"/>
        <w:left w:val="none" w:sz="0" w:space="0" w:color="auto"/>
        <w:bottom w:val="none" w:sz="0" w:space="0" w:color="auto"/>
        <w:right w:val="none" w:sz="0" w:space="0" w:color="auto"/>
      </w:divBdr>
    </w:div>
    <w:div w:id="474224968">
      <w:bodyDiv w:val="1"/>
      <w:marLeft w:val="0"/>
      <w:marRight w:val="0"/>
      <w:marTop w:val="0"/>
      <w:marBottom w:val="0"/>
      <w:divBdr>
        <w:top w:val="none" w:sz="0" w:space="0" w:color="auto"/>
        <w:left w:val="none" w:sz="0" w:space="0" w:color="auto"/>
        <w:bottom w:val="none" w:sz="0" w:space="0" w:color="auto"/>
        <w:right w:val="none" w:sz="0" w:space="0" w:color="auto"/>
      </w:divBdr>
    </w:div>
    <w:div w:id="631206790">
      <w:bodyDiv w:val="1"/>
      <w:marLeft w:val="0"/>
      <w:marRight w:val="0"/>
      <w:marTop w:val="0"/>
      <w:marBottom w:val="0"/>
      <w:divBdr>
        <w:top w:val="none" w:sz="0" w:space="0" w:color="auto"/>
        <w:left w:val="none" w:sz="0" w:space="0" w:color="auto"/>
        <w:bottom w:val="none" w:sz="0" w:space="0" w:color="auto"/>
        <w:right w:val="none" w:sz="0" w:space="0" w:color="auto"/>
      </w:divBdr>
    </w:div>
    <w:div w:id="669798318">
      <w:bodyDiv w:val="1"/>
      <w:marLeft w:val="0"/>
      <w:marRight w:val="0"/>
      <w:marTop w:val="0"/>
      <w:marBottom w:val="0"/>
      <w:divBdr>
        <w:top w:val="none" w:sz="0" w:space="0" w:color="auto"/>
        <w:left w:val="none" w:sz="0" w:space="0" w:color="auto"/>
        <w:bottom w:val="none" w:sz="0" w:space="0" w:color="auto"/>
        <w:right w:val="none" w:sz="0" w:space="0" w:color="auto"/>
      </w:divBdr>
      <w:divsChild>
        <w:div w:id="422385496">
          <w:marLeft w:val="0"/>
          <w:marRight w:val="0"/>
          <w:marTop w:val="0"/>
          <w:marBottom w:val="0"/>
          <w:divBdr>
            <w:top w:val="none" w:sz="0" w:space="0" w:color="auto"/>
            <w:left w:val="none" w:sz="0" w:space="0" w:color="auto"/>
            <w:bottom w:val="none" w:sz="0" w:space="0" w:color="auto"/>
            <w:right w:val="none" w:sz="0" w:space="0" w:color="auto"/>
          </w:divBdr>
          <w:divsChild>
            <w:div w:id="1183743172">
              <w:marLeft w:val="195"/>
              <w:marRight w:val="180"/>
              <w:marTop w:val="0"/>
              <w:marBottom w:val="0"/>
              <w:divBdr>
                <w:top w:val="none" w:sz="0" w:space="0" w:color="auto"/>
                <w:left w:val="none" w:sz="0" w:space="0" w:color="auto"/>
                <w:bottom w:val="none" w:sz="0" w:space="0" w:color="auto"/>
                <w:right w:val="none" w:sz="0" w:space="0" w:color="auto"/>
              </w:divBdr>
              <w:divsChild>
                <w:div w:id="459955909">
                  <w:marLeft w:val="195"/>
                  <w:marRight w:val="180"/>
                  <w:marTop w:val="0"/>
                  <w:marBottom w:val="0"/>
                  <w:divBdr>
                    <w:top w:val="none" w:sz="0" w:space="0" w:color="auto"/>
                    <w:left w:val="none" w:sz="0" w:space="0" w:color="auto"/>
                    <w:bottom w:val="none" w:sz="0" w:space="0" w:color="auto"/>
                    <w:right w:val="none" w:sz="0" w:space="0" w:color="auto"/>
                  </w:divBdr>
                  <w:divsChild>
                    <w:div w:id="721173902">
                      <w:marLeft w:val="195"/>
                      <w:marRight w:val="180"/>
                      <w:marTop w:val="0"/>
                      <w:marBottom w:val="0"/>
                      <w:divBdr>
                        <w:top w:val="none" w:sz="0" w:space="0" w:color="auto"/>
                        <w:left w:val="none" w:sz="0" w:space="0" w:color="auto"/>
                        <w:bottom w:val="none" w:sz="0" w:space="0" w:color="auto"/>
                        <w:right w:val="none" w:sz="0" w:space="0" w:color="auto"/>
                      </w:divBdr>
                      <w:divsChild>
                        <w:div w:id="1063211281">
                          <w:marLeft w:val="0"/>
                          <w:marRight w:val="0"/>
                          <w:marTop w:val="0"/>
                          <w:marBottom w:val="0"/>
                          <w:divBdr>
                            <w:top w:val="none" w:sz="0" w:space="0" w:color="auto"/>
                            <w:left w:val="none" w:sz="0" w:space="0" w:color="auto"/>
                            <w:bottom w:val="none" w:sz="0" w:space="0" w:color="auto"/>
                            <w:right w:val="none" w:sz="0" w:space="0" w:color="auto"/>
                          </w:divBdr>
                          <w:divsChild>
                            <w:div w:id="159930062">
                              <w:marLeft w:val="195"/>
                              <w:marRight w:val="180"/>
                              <w:marTop w:val="0"/>
                              <w:marBottom w:val="0"/>
                              <w:divBdr>
                                <w:top w:val="none" w:sz="0" w:space="0" w:color="auto"/>
                                <w:left w:val="none" w:sz="0" w:space="0" w:color="auto"/>
                                <w:bottom w:val="none" w:sz="0" w:space="0" w:color="auto"/>
                                <w:right w:val="none" w:sz="0" w:space="0" w:color="auto"/>
                              </w:divBdr>
                              <w:divsChild>
                                <w:div w:id="1694308871">
                                  <w:marLeft w:val="195"/>
                                  <w:marRight w:val="180"/>
                                  <w:marTop w:val="0"/>
                                  <w:marBottom w:val="0"/>
                                  <w:divBdr>
                                    <w:top w:val="none" w:sz="0" w:space="0" w:color="auto"/>
                                    <w:left w:val="none" w:sz="0" w:space="0" w:color="auto"/>
                                    <w:bottom w:val="none" w:sz="0" w:space="0" w:color="auto"/>
                                    <w:right w:val="none" w:sz="0" w:space="0" w:color="auto"/>
                                  </w:divBdr>
                                  <w:divsChild>
                                    <w:div w:id="55905373">
                                      <w:marLeft w:val="195"/>
                                      <w:marRight w:val="180"/>
                                      <w:marTop w:val="0"/>
                                      <w:marBottom w:val="0"/>
                                      <w:divBdr>
                                        <w:top w:val="none" w:sz="0" w:space="0" w:color="auto"/>
                                        <w:left w:val="none" w:sz="0" w:space="0" w:color="auto"/>
                                        <w:bottom w:val="none" w:sz="0" w:space="0" w:color="auto"/>
                                        <w:right w:val="none" w:sz="0" w:space="0" w:color="auto"/>
                                      </w:divBdr>
                                      <w:divsChild>
                                        <w:div w:id="420494263">
                                          <w:marLeft w:val="195"/>
                                          <w:marRight w:val="180"/>
                                          <w:marTop w:val="0"/>
                                          <w:marBottom w:val="0"/>
                                          <w:divBdr>
                                            <w:top w:val="none" w:sz="0" w:space="0" w:color="auto"/>
                                            <w:left w:val="none" w:sz="0" w:space="0" w:color="auto"/>
                                            <w:bottom w:val="none" w:sz="0" w:space="0" w:color="auto"/>
                                            <w:right w:val="none" w:sz="0" w:space="0" w:color="auto"/>
                                          </w:divBdr>
                                          <w:divsChild>
                                            <w:div w:id="2099137729">
                                              <w:marLeft w:val="0"/>
                                              <w:marRight w:val="0"/>
                                              <w:marTop w:val="0"/>
                                              <w:marBottom w:val="0"/>
                                              <w:divBdr>
                                                <w:top w:val="none" w:sz="0" w:space="0" w:color="auto"/>
                                                <w:left w:val="none" w:sz="0" w:space="0" w:color="auto"/>
                                                <w:bottom w:val="none" w:sz="0" w:space="0" w:color="auto"/>
                                                <w:right w:val="none" w:sz="0" w:space="0" w:color="auto"/>
                                              </w:divBdr>
                                              <w:divsChild>
                                                <w:div w:id="423647201">
                                                  <w:marLeft w:val="195"/>
                                                  <w:marRight w:val="180"/>
                                                  <w:marTop w:val="0"/>
                                                  <w:marBottom w:val="0"/>
                                                  <w:divBdr>
                                                    <w:top w:val="none" w:sz="0" w:space="0" w:color="auto"/>
                                                    <w:left w:val="none" w:sz="0" w:space="0" w:color="auto"/>
                                                    <w:bottom w:val="none" w:sz="0" w:space="0" w:color="auto"/>
                                                    <w:right w:val="none" w:sz="0" w:space="0" w:color="auto"/>
                                                  </w:divBdr>
                                                  <w:divsChild>
                                                    <w:div w:id="393699902">
                                                      <w:marLeft w:val="195"/>
                                                      <w:marRight w:val="180"/>
                                                      <w:marTop w:val="0"/>
                                                      <w:marBottom w:val="0"/>
                                                      <w:divBdr>
                                                        <w:top w:val="none" w:sz="0" w:space="0" w:color="auto"/>
                                                        <w:left w:val="none" w:sz="0" w:space="0" w:color="auto"/>
                                                        <w:bottom w:val="none" w:sz="0" w:space="0" w:color="auto"/>
                                                        <w:right w:val="none" w:sz="0" w:space="0" w:color="auto"/>
                                                      </w:divBdr>
                                                      <w:divsChild>
                                                        <w:div w:id="20367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9573131">
      <w:bodyDiv w:val="1"/>
      <w:marLeft w:val="0"/>
      <w:marRight w:val="0"/>
      <w:marTop w:val="0"/>
      <w:marBottom w:val="0"/>
      <w:divBdr>
        <w:top w:val="none" w:sz="0" w:space="0" w:color="auto"/>
        <w:left w:val="none" w:sz="0" w:space="0" w:color="auto"/>
        <w:bottom w:val="none" w:sz="0" w:space="0" w:color="auto"/>
        <w:right w:val="none" w:sz="0" w:space="0" w:color="auto"/>
      </w:divBdr>
    </w:div>
    <w:div w:id="773325674">
      <w:bodyDiv w:val="1"/>
      <w:marLeft w:val="0"/>
      <w:marRight w:val="0"/>
      <w:marTop w:val="0"/>
      <w:marBottom w:val="0"/>
      <w:divBdr>
        <w:top w:val="none" w:sz="0" w:space="0" w:color="auto"/>
        <w:left w:val="none" w:sz="0" w:space="0" w:color="auto"/>
        <w:bottom w:val="none" w:sz="0" w:space="0" w:color="auto"/>
        <w:right w:val="none" w:sz="0" w:space="0" w:color="auto"/>
      </w:divBdr>
    </w:div>
    <w:div w:id="793864721">
      <w:bodyDiv w:val="1"/>
      <w:marLeft w:val="0"/>
      <w:marRight w:val="0"/>
      <w:marTop w:val="0"/>
      <w:marBottom w:val="0"/>
      <w:divBdr>
        <w:top w:val="none" w:sz="0" w:space="0" w:color="auto"/>
        <w:left w:val="none" w:sz="0" w:space="0" w:color="auto"/>
        <w:bottom w:val="none" w:sz="0" w:space="0" w:color="auto"/>
        <w:right w:val="none" w:sz="0" w:space="0" w:color="auto"/>
      </w:divBdr>
    </w:div>
    <w:div w:id="847408468">
      <w:bodyDiv w:val="1"/>
      <w:marLeft w:val="0"/>
      <w:marRight w:val="0"/>
      <w:marTop w:val="0"/>
      <w:marBottom w:val="0"/>
      <w:divBdr>
        <w:top w:val="none" w:sz="0" w:space="0" w:color="auto"/>
        <w:left w:val="none" w:sz="0" w:space="0" w:color="auto"/>
        <w:bottom w:val="none" w:sz="0" w:space="0" w:color="auto"/>
        <w:right w:val="none" w:sz="0" w:space="0" w:color="auto"/>
      </w:divBdr>
    </w:div>
    <w:div w:id="1141532136">
      <w:bodyDiv w:val="1"/>
      <w:marLeft w:val="0"/>
      <w:marRight w:val="0"/>
      <w:marTop w:val="0"/>
      <w:marBottom w:val="0"/>
      <w:divBdr>
        <w:top w:val="none" w:sz="0" w:space="0" w:color="auto"/>
        <w:left w:val="none" w:sz="0" w:space="0" w:color="auto"/>
        <w:bottom w:val="none" w:sz="0" w:space="0" w:color="auto"/>
        <w:right w:val="none" w:sz="0" w:space="0" w:color="auto"/>
      </w:divBdr>
    </w:div>
    <w:div w:id="1307780856">
      <w:bodyDiv w:val="1"/>
      <w:marLeft w:val="0"/>
      <w:marRight w:val="0"/>
      <w:marTop w:val="0"/>
      <w:marBottom w:val="0"/>
      <w:divBdr>
        <w:top w:val="none" w:sz="0" w:space="0" w:color="auto"/>
        <w:left w:val="none" w:sz="0" w:space="0" w:color="auto"/>
        <w:bottom w:val="none" w:sz="0" w:space="0" w:color="auto"/>
        <w:right w:val="none" w:sz="0" w:space="0" w:color="auto"/>
      </w:divBdr>
    </w:div>
    <w:div w:id="1381974872">
      <w:bodyDiv w:val="1"/>
      <w:marLeft w:val="0"/>
      <w:marRight w:val="0"/>
      <w:marTop w:val="0"/>
      <w:marBottom w:val="0"/>
      <w:divBdr>
        <w:top w:val="none" w:sz="0" w:space="0" w:color="auto"/>
        <w:left w:val="none" w:sz="0" w:space="0" w:color="auto"/>
        <w:bottom w:val="none" w:sz="0" w:space="0" w:color="auto"/>
        <w:right w:val="none" w:sz="0" w:space="0" w:color="auto"/>
      </w:divBdr>
      <w:divsChild>
        <w:div w:id="818620641">
          <w:marLeft w:val="0"/>
          <w:marRight w:val="0"/>
          <w:marTop w:val="0"/>
          <w:marBottom w:val="0"/>
          <w:divBdr>
            <w:top w:val="none" w:sz="0" w:space="0" w:color="auto"/>
            <w:left w:val="none" w:sz="0" w:space="0" w:color="auto"/>
            <w:bottom w:val="none" w:sz="0" w:space="0" w:color="auto"/>
            <w:right w:val="none" w:sz="0" w:space="0" w:color="auto"/>
          </w:divBdr>
          <w:divsChild>
            <w:div w:id="1746221321">
              <w:marLeft w:val="0"/>
              <w:marRight w:val="0"/>
              <w:marTop w:val="0"/>
              <w:marBottom w:val="0"/>
              <w:divBdr>
                <w:top w:val="none" w:sz="0" w:space="0" w:color="auto"/>
                <w:left w:val="none" w:sz="0" w:space="0" w:color="auto"/>
                <w:bottom w:val="none" w:sz="0" w:space="0" w:color="auto"/>
                <w:right w:val="none" w:sz="0" w:space="0" w:color="auto"/>
              </w:divBdr>
              <w:divsChild>
                <w:div w:id="1045980416">
                  <w:marLeft w:val="0"/>
                  <w:marRight w:val="0"/>
                  <w:marTop w:val="0"/>
                  <w:marBottom w:val="0"/>
                  <w:divBdr>
                    <w:top w:val="none" w:sz="0" w:space="0" w:color="auto"/>
                    <w:left w:val="none" w:sz="0" w:space="0" w:color="auto"/>
                    <w:bottom w:val="none" w:sz="0" w:space="0" w:color="auto"/>
                    <w:right w:val="none" w:sz="0" w:space="0" w:color="auto"/>
                  </w:divBdr>
                  <w:divsChild>
                    <w:div w:id="1134175293">
                      <w:marLeft w:val="2325"/>
                      <w:marRight w:val="0"/>
                      <w:marTop w:val="0"/>
                      <w:marBottom w:val="0"/>
                      <w:divBdr>
                        <w:top w:val="none" w:sz="0" w:space="0" w:color="auto"/>
                        <w:left w:val="none" w:sz="0" w:space="0" w:color="auto"/>
                        <w:bottom w:val="none" w:sz="0" w:space="0" w:color="auto"/>
                        <w:right w:val="none" w:sz="0" w:space="0" w:color="auto"/>
                      </w:divBdr>
                      <w:divsChild>
                        <w:div w:id="1726949257">
                          <w:marLeft w:val="0"/>
                          <w:marRight w:val="0"/>
                          <w:marTop w:val="0"/>
                          <w:marBottom w:val="0"/>
                          <w:divBdr>
                            <w:top w:val="none" w:sz="0" w:space="0" w:color="auto"/>
                            <w:left w:val="none" w:sz="0" w:space="0" w:color="auto"/>
                            <w:bottom w:val="none" w:sz="0" w:space="0" w:color="auto"/>
                            <w:right w:val="none" w:sz="0" w:space="0" w:color="auto"/>
                          </w:divBdr>
                          <w:divsChild>
                            <w:div w:id="506602908">
                              <w:marLeft w:val="0"/>
                              <w:marRight w:val="0"/>
                              <w:marTop w:val="0"/>
                              <w:marBottom w:val="0"/>
                              <w:divBdr>
                                <w:top w:val="none" w:sz="0" w:space="0" w:color="auto"/>
                                <w:left w:val="none" w:sz="0" w:space="0" w:color="auto"/>
                                <w:bottom w:val="none" w:sz="0" w:space="0" w:color="auto"/>
                                <w:right w:val="none" w:sz="0" w:space="0" w:color="auto"/>
                              </w:divBdr>
                              <w:divsChild>
                                <w:div w:id="119954022">
                                  <w:marLeft w:val="0"/>
                                  <w:marRight w:val="0"/>
                                  <w:marTop w:val="0"/>
                                  <w:marBottom w:val="0"/>
                                  <w:divBdr>
                                    <w:top w:val="none" w:sz="0" w:space="0" w:color="auto"/>
                                    <w:left w:val="none" w:sz="0" w:space="0" w:color="auto"/>
                                    <w:bottom w:val="none" w:sz="0" w:space="0" w:color="auto"/>
                                    <w:right w:val="none" w:sz="0" w:space="0" w:color="auto"/>
                                  </w:divBdr>
                                  <w:divsChild>
                                    <w:div w:id="185532796">
                                      <w:marLeft w:val="0"/>
                                      <w:marRight w:val="0"/>
                                      <w:marTop w:val="0"/>
                                      <w:marBottom w:val="0"/>
                                      <w:divBdr>
                                        <w:top w:val="none" w:sz="0" w:space="0" w:color="auto"/>
                                        <w:left w:val="none" w:sz="0" w:space="0" w:color="auto"/>
                                        <w:bottom w:val="none" w:sz="0" w:space="0" w:color="auto"/>
                                        <w:right w:val="none" w:sz="0" w:space="0" w:color="auto"/>
                                      </w:divBdr>
                                      <w:divsChild>
                                        <w:div w:id="10763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811599">
      <w:bodyDiv w:val="1"/>
      <w:marLeft w:val="0"/>
      <w:marRight w:val="0"/>
      <w:marTop w:val="0"/>
      <w:marBottom w:val="0"/>
      <w:divBdr>
        <w:top w:val="none" w:sz="0" w:space="0" w:color="auto"/>
        <w:left w:val="none" w:sz="0" w:space="0" w:color="auto"/>
        <w:bottom w:val="none" w:sz="0" w:space="0" w:color="auto"/>
        <w:right w:val="none" w:sz="0" w:space="0" w:color="auto"/>
      </w:divBdr>
    </w:div>
    <w:div w:id="1449664124">
      <w:bodyDiv w:val="1"/>
      <w:marLeft w:val="0"/>
      <w:marRight w:val="0"/>
      <w:marTop w:val="0"/>
      <w:marBottom w:val="0"/>
      <w:divBdr>
        <w:top w:val="none" w:sz="0" w:space="0" w:color="auto"/>
        <w:left w:val="none" w:sz="0" w:space="0" w:color="auto"/>
        <w:bottom w:val="none" w:sz="0" w:space="0" w:color="auto"/>
        <w:right w:val="none" w:sz="0" w:space="0" w:color="auto"/>
      </w:divBdr>
    </w:div>
    <w:div w:id="1690521984">
      <w:bodyDiv w:val="1"/>
      <w:marLeft w:val="0"/>
      <w:marRight w:val="0"/>
      <w:marTop w:val="0"/>
      <w:marBottom w:val="0"/>
      <w:divBdr>
        <w:top w:val="none" w:sz="0" w:space="0" w:color="auto"/>
        <w:left w:val="none" w:sz="0" w:space="0" w:color="auto"/>
        <w:bottom w:val="none" w:sz="0" w:space="0" w:color="auto"/>
        <w:right w:val="none" w:sz="0" w:space="0" w:color="auto"/>
      </w:divBdr>
    </w:div>
    <w:div w:id="1793673272">
      <w:bodyDiv w:val="1"/>
      <w:marLeft w:val="0"/>
      <w:marRight w:val="0"/>
      <w:marTop w:val="0"/>
      <w:marBottom w:val="0"/>
      <w:divBdr>
        <w:top w:val="none" w:sz="0" w:space="0" w:color="auto"/>
        <w:left w:val="none" w:sz="0" w:space="0" w:color="auto"/>
        <w:bottom w:val="none" w:sz="0" w:space="0" w:color="auto"/>
        <w:right w:val="none" w:sz="0" w:space="0" w:color="auto"/>
      </w:divBdr>
    </w:div>
    <w:div w:id="1827741186">
      <w:bodyDiv w:val="1"/>
      <w:marLeft w:val="0"/>
      <w:marRight w:val="0"/>
      <w:marTop w:val="0"/>
      <w:marBottom w:val="0"/>
      <w:divBdr>
        <w:top w:val="none" w:sz="0" w:space="0" w:color="auto"/>
        <w:left w:val="none" w:sz="0" w:space="0" w:color="auto"/>
        <w:bottom w:val="none" w:sz="0" w:space="0" w:color="auto"/>
        <w:right w:val="none" w:sz="0" w:space="0" w:color="auto"/>
      </w:divBdr>
      <w:divsChild>
        <w:div w:id="255098408">
          <w:marLeft w:val="0"/>
          <w:marRight w:val="0"/>
          <w:marTop w:val="0"/>
          <w:marBottom w:val="0"/>
          <w:divBdr>
            <w:top w:val="none" w:sz="0" w:space="0" w:color="auto"/>
            <w:left w:val="none" w:sz="0" w:space="0" w:color="auto"/>
            <w:bottom w:val="none" w:sz="0" w:space="0" w:color="auto"/>
            <w:right w:val="none" w:sz="0" w:space="0" w:color="auto"/>
          </w:divBdr>
          <w:divsChild>
            <w:div w:id="1601989129">
              <w:marLeft w:val="195"/>
              <w:marRight w:val="180"/>
              <w:marTop w:val="0"/>
              <w:marBottom w:val="0"/>
              <w:divBdr>
                <w:top w:val="none" w:sz="0" w:space="0" w:color="auto"/>
                <w:left w:val="none" w:sz="0" w:space="0" w:color="auto"/>
                <w:bottom w:val="none" w:sz="0" w:space="0" w:color="auto"/>
                <w:right w:val="none" w:sz="0" w:space="0" w:color="auto"/>
              </w:divBdr>
              <w:divsChild>
                <w:div w:id="1833258299">
                  <w:marLeft w:val="195"/>
                  <w:marRight w:val="180"/>
                  <w:marTop w:val="0"/>
                  <w:marBottom w:val="0"/>
                  <w:divBdr>
                    <w:top w:val="none" w:sz="0" w:space="0" w:color="auto"/>
                    <w:left w:val="none" w:sz="0" w:space="0" w:color="auto"/>
                    <w:bottom w:val="none" w:sz="0" w:space="0" w:color="auto"/>
                    <w:right w:val="none" w:sz="0" w:space="0" w:color="auto"/>
                  </w:divBdr>
                  <w:divsChild>
                    <w:div w:id="1295792829">
                      <w:marLeft w:val="195"/>
                      <w:marRight w:val="180"/>
                      <w:marTop w:val="0"/>
                      <w:marBottom w:val="0"/>
                      <w:divBdr>
                        <w:top w:val="none" w:sz="0" w:space="0" w:color="auto"/>
                        <w:left w:val="none" w:sz="0" w:space="0" w:color="auto"/>
                        <w:bottom w:val="none" w:sz="0" w:space="0" w:color="auto"/>
                        <w:right w:val="none" w:sz="0" w:space="0" w:color="auto"/>
                      </w:divBdr>
                      <w:divsChild>
                        <w:div w:id="1151097851">
                          <w:marLeft w:val="0"/>
                          <w:marRight w:val="0"/>
                          <w:marTop w:val="0"/>
                          <w:marBottom w:val="0"/>
                          <w:divBdr>
                            <w:top w:val="none" w:sz="0" w:space="0" w:color="auto"/>
                            <w:left w:val="none" w:sz="0" w:space="0" w:color="auto"/>
                            <w:bottom w:val="none" w:sz="0" w:space="0" w:color="auto"/>
                            <w:right w:val="none" w:sz="0" w:space="0" w:color="auto"/>
                          </w:divBdr>
                          <w:divsChild>
                            <w:div w:id="1435593317">
                              <w:marLeft w:val="195"/>
                              <w:marRight w:val="180"/>
                              <w:marTop w:val="0"/>
                              <w:marBottom w:val="0"/>
                              <w:divBdr>
                                <w:top w:val="none" w:sz="0" w:space="0" w:color="auto"/>
                                <w:left w:val="none" w:sz="0" w:space="0" w:color="auto"/>
                                <w:bottom w:val="none" w:sz="0" w:space="0" w:color="auto"/>
                                <w:right w:val="none" w:sz="0" w:space="0" w:color="auto"/>
                              </w:divBdr>
                              <w:divsChild>
                                <w:div w:id="1888451311">
                                  <w:marLeft w:val="195"/>
                                  <w:marRight w:val="180"/>
                                  <w:marTop w:val="0"/>
                                  <w:marBottom w:val="0"/>
                                  <w:divBdr>
                                    <w:top w:val="none" w:sz="0" w:space="0" w:color="auto"/>
                                    <w:left w:val="none" w:sz="0" w:space="0" w:color="auto"/>
                                    <w:bottom w:val="none" w:sz="0" w:space="0" w:color="auto"/>
                                    <w:right w:val="none" w:sz="0" w:space="0" w:color="auto"/>
                                  </w:divBdr>
                                  <w:divsChild>
                                    <w:div w:id="301077451">
                                      <w:marLeft w:val="195"/>
                                      <w:marRight w:val="180"/>
                                      <w:marTop w:val="0"/>
                                      <w:marBottom w:val="0"/>
                                      <w:divBdr>
                                        <w:top w:val="none" w:sz="0" w:space="0" w:color="auto"/>
                                        <w:left w:val="none" w:sz="0" w:space="0" w:color="auto"/>
                                        <w:bottom w:val="none" w:sz="0" w:space="0" w:color="auto"/>
                                        <w:right w:val="none" w:sz="0" w:space="0" w:color="auto"/>
                                      </w:divBdr>
                                      <w:divsChild>
                                        <w:div w:id="1923098123">
                                          <w:marLeft w:val="195"/>
                                          <w:marRight w:val="180"/>
                                          <w:marTop w:val="0"/>
                                          <w:marBottom w:val="0"/>
                                          <w:divBdr>
                                            <w:top w:val="none" w:sz="0" w:space="0" w:color="auto"/>
                                            <w:left w:val="none" w:sz="0" w:space="0" w:color="auto"/>
                                            <w:bottom w:val="none" w:sz="0" w:space="0" w:color="auto"/>
                                            <w:right w:val="none" w:sz="0" w:space="0" w:color="auto"/>
                                          </w:divBdr>
                                          <w:divsChild>
                                            <w:div w:id="1844584496">
                                              <w:marLeft w:val="0"/>
                                              <w:marRight w:val="0"/>
                                              <w:marTop w:val="0"/>
                                              <w:marBottom w:val="0"/>
                                              <w:divBdr>
                                                <w:top w:val="none" w:sz="0" w:space="0" w:color="auto"/>
                                                <w:left w:val="none" w:sz="0" w:space="0" w:color="auto"/>
                                                <w:bottom w:val="none" w:sz="0" w:space="0" w:color="auto"/>
                                                <w:right w:val="none" w:sz="0" w:space="0" w:color="auto"/>
                                              </w:divBdr>
                                              <w:divsChild>
                                                <w:div w:id="681321317">
                                                  <w:marLeft w:val="195"/>
                                                  <w:marRight w:val="180"/>
                                                  <w:marTop w:val="0"/>
                                                  <w:marBottom w:val="0"/>
                                                  <w:divBdr>
                                                    <w:top w:val="none" w:sz="0" w:space="0" w:color="auto"/>
                                                    <w:left w:val="none" w:sz="0" w:space="0" w:color="auto"/>
                                                    <w:bottom w:val="none" w:sz="0" w:space="0" w:color="auto"/>
                                                    <w:right w:val="none" w:sz="0" w:space="0" w:color="auto"/>
                                                  </w:divBdr>
                                                  <w:divsChild>
                                                    <w:div w:id="98333048">
                                                      <w:marLeft w:val="195"/>
                                                      <w:marRight w:val="180"/>
                                                      <w:marTop w:val="0"/>
                                                      <w:marBottom w:val="0"/>
                                                      <w:divBdr>
                                                        <w:top w:val="none" w:sz="0" w:space="0" w:color="auto"/>
                                                        <w:left w:val="none" w:sz="0" w:space="0" w:color="auto"/>
                                                        <w:bottom w:val="none" w:sz="0" w:space="0" w:color="auto"/>
                                                        <w:right w:val="none" w:sz="0" w:space="0" w:color="auto"/>
                                                      </w:divBdr>
                                                      <w:divsChild>
                                                        <w:div w:id="20633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6379832">
      <w:bodyDiv w:val="1"/>
      <w:marLeft w:val="0"/>
      <w:marRight w:val="0"/>
      <w:marTop w:val="0"/>
      <w:marBottom w:val="0"/>
      <w:divBdr>
        <w:top w:val="none" w:sz="0" w:space="0" w:color="auto"/>
        <w:left w:val="none" w:sz="0" w:space="0" w:color="auto"/>
        <w:bottom w:val="none" w:sz="0" w:space="0" w:color="auto"/>
        <w:right w:val="none" w:sz="0" w:space="0" w:color="auto"/>
      </w:divBdr>
    </w:div>
    <w:div w:id="2030831839">
      <w:bodyDiv w:val="1"/>
      <w:marLeft w:val="0"/>
      <w:marRight w:val="0"/>
      <w:marTop w:val="0"/>
      <w:marBottom w:val="0"/>
      <w:divBdr>
        <w:top w:val="none" w:sz="0" w:space="0" w:color="auto"/>
        <w:left w:val="none" w:sz="0" w:space="0" w:color="auto"/>
        <w:bottom w:val="none" w:sz="0" w:space="0" w:color="auto"/>
        <w:right w:val="none" w:sz="0" w:space="0" w:color="auto"/>
      </w:divBdr>
    </w:div>
    <w:div w:id="2115174754">
      <w:bodyDiv w:val="1"/>
      <w:marLeft w:val="0"/>
      <w:marRight w:val="0"/>
      <w:marTop w:val="0"/>
      <w:marBottom w:val="0"/>
      <w:divBdr>
        <w:top w:val="none" w:sz="0" w:space="0" w:color="auto"/>
        <w:left w:val="none" w:sz="0" w:space="0" w:color="auto"/>
        <w:bottom w:val="none" w:sz="0" w:space="0" w:color="auto"/>
        <w:right w:val="none" w:sz="0" w:space="0" w:color="auto"/>
      </w:divBdr>
      <w:divsChild>
        <w:div w:id="925462382">
          <w:marLeft w:val="0"/>
          <w:marRight w:val="0"/>
          <w:marTop w:val="0"/>
          <w:marBottom w:val="0"/>
          <w:divBdr>
            <w:top w:val="none" w:sz="0" w:space="0" w:color="auto"/>
            <w:left w:val="none" w:sz="0" w:space="0" w:color="auto"/>
            <w:bottom w:val="none" w:sz="0" w:space="0" w:color="auto"/>
            <w:right w:val="none" w:sz="0" w:space="0" w:color="auto"/>
          </w:divBdr>
          <w:divsChild>
            <w:div w:id="1972130606">
              <w:marLeft w:val="0"/>
              <w:marRight w:val="0"/>
              <w:marTop w:val="0"/>
              <w:marBottom w:val="0"/>
              <w:divBdr>
                <w:top w:val="none" w:sz="0" w:space="0" w:color="auto"/>
                <w:left w:val="none" w:sz="0" w:space="0" w:color="auto"/>
                <w:bottom w:val="none" w:sz="0" w:space="0" w:color="auto"/>
                <w:right w:val="none" w:sz="0" w:space="0" w:color="auto"/>
              </w:divBdr>
              <w:divsChild>
                <w:div w:id="796148287">
                  <w:marLeft w:val="0"/>
                  <w:marRight w:val="0"/>
                  <w:marTop w:val="0"/>
                  <w:marBottom w:val="0"/>
                  <w:divBdr>
                    <w:top w:val="none" w:sz="0" w:space="0" w:color="auto"/>
                    <w:left w:val="none" w:sz="0" w:space="0" w:color="auto"/>
                    <w:bottom w:val="none" w:sz="0" w:space="0" w:color="auto"/>
                    <w:right w:val="none" w:sz="0" w:space="0" w:color="auto"/>
                  </w:divBdr>
                  <w:divsChild>
                    <w:div w:id="2037923132">
                      <w:marLeft w:val="2325"/>
                      <w:marRight w:val="0"/>
                      <w:marTop w:val="0"/>
                      <w:marBottom w:val="0"/>
                      <w:divBdr>
                        <w:top w:val="none" w:sz="0" w:space="0" w:color="auto"/>
                        <w:left w:val="none" w:sz="0" w:space="0" w:color="auto"/>
                        <w:bottom w:val="none" w:sz="0" w:space="0" w:color="auto"/>
                        <w:right w:val="none" w:sz="0" w:space="0" w:color="auto"/>
                      </w:divBdr>
                      <w:divsChild>
                        <w:div w:id="7949677">
                          <w:marLeft w:val="0"/>
                          <w:marRight w:val="0"/>
                          <w:marTop w:val="0"/>
                          <w:marBottom w:val="0"/>
                          <w:divBdr>
                            <w:top w:val="none" w:sz="0" w:space="0" w:color="auto"/>
                            <w:left w:val="none" w:sz="0" w:space="0" w:color="auto"/>
                            <w:bottom w:val="none" w:sz="0" w:space="0" w:color="auto"/>
                            <w:right w:val="none" w:sz="0" w:space="0" w:color="auto"/>
                          </w:divBdr>
                          <w:divsChild>
                            <w:div w:id="1009914668">
                              <w:marLeft w:val="0"/>
                              <w:marRight w:val="0"/>
                              <w:marTop w:val="0"/>
                              <w:marBottom w:val="0"/>
                              <w:divBdr>
                                <w:top w:val="none" w:sz="0" w:space="0" w:color="auto"/>
                                <w:left w:val="none" w:sz="0" w:space="0" w:color="auto"/>
                                <w:bottom w:val="none" w:sz="0" w:space="0" w:color="auto"/>
                                <w:right w:val="none" w:sz="0" w:space="0" w:color="auto"/>
                              </w:divBdr>
                              <w:divsChild>
                                <w:div w:id="871114719">
                                  <w:marLeft w:val="0"/>
                                  <w:marRight w:val="0"/>
                                  <w:marTop w:val="0"/>
                                  <w:marBottom w:val="0"/>
                                  <w:divBdr>
                                    <w:top w:val="none" w:sz="0" w:space="0" w:color="auto"/>
                                    <w:left w:val="none" w:sz="0" w:space="0" w:color="auto"/>
                                    <w:bottom w:val="none" w:sz="0" w:space="0" w:color="auto"/>
                                    <w:right w:val="none" w:sz="0" w:space="0" w:color="auto"/>
                                  </w:divBdr>
                                  <w:divsChild>
                                    <w:div w:id="1352563832">
                                      <w:marLeft w:val="0"/>
                                      <w:marRight w:val="0"/>
                                      <w:marTop w:val="0"/>
                                      <w:marBottom w:val="0"/>
                                      <w:divBdr>
                                        <w:top w:val="none" w:sz="0" w:space="0" w:color="auto"/>
                                        <w:left w:val="none" w:sz="0" w:space="0" w:color="auto"/>
                                        <w:bottom w:val="none" w:sz="0" w:space="0" w:color="auto"/>
                                        <w:right w:val="none" w:sz="0" w:space="0" w:color="auto"/>
                                      </w:divBdr>
                                      <w:divsChild>
                                        <w:div w:id="3729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41.xml"/><Relationship Id="rId21" Type="http://schemas.openxmlformats.org/officeDocument/2006/relationships/header" Target="header7.xml"/><Relationship Id="rId42" Type="http://schemas.openxmlformats.org/officeDocument/2006/relationships/image" Target="media/image5.emf"/><Relationship Id="rId47" Type="http://schemas.openxmlformats.org/officeDocument/2006/relationships/image" Target="media/image10.emf"/><Relationship Id="rId63" Type="http://schemas.openxmlformats.org/officeDocument/2006/relationships/image" Target="media/image20.emf"/><Relationship Id="rId68" Type="http://schemas.openxmlformats.org/officeDocument/2006/relationships/header" Target="header21.xml"/><Relationship Id="rId84" Type="http://schemas.openxmlformats.org/officeDocument/2006/relationships/footer" Target="footer24.xml"/><Relationship Id="rId89" Type="http://schemas.openxmlformats.org/officeDocument/2006/relationships/footer" Target="footer26.xml"/><Relationship Id="rId112" Type="http://schemas.openxmlformats.org/officeDocument/2006/relationships/footer" Target="footer37.xml"/><Relationship Id="rId16" Type="http://schemas.openxmlformats.org/officeDocument/2006/relationships/header" Target="header5.xml"/><Relationship Id="rId107" Type="http://schemas.openxmlformats.org/officeDocument/2006/relationships/footer" Target="footer3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image" Target="media/image15.emf"/><Relationship Id="rId74" Type="http://schemas.openxmlformats.org/officeDocument/2006/relationships/image" Target="media/image25.emf"/><Relationship Id="rId79" Type="http://schemas.openxmlformats.org/officeDocument/2006/relationships/header" Target="header22.xml"/><Relationship Id="rId102" Type="http://schemas.openxmlformats.org/officeDocument/2006/relationships/header" Target="header33.xml"/><Relationship Id="rId123" Type="http://schemas.openxmlformats.org/officeDocument/2006/relationships/header" Target="header44.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27.xml"/><Relationship Id="rId95" Type="http://schemas.openxmlformats.org/officeDocument/2006/relationships/footer" Target="footer29.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image" Target="media/image6.emf"/><Relationship Id="rId48" Type="http://schemas.openxmlformats.org/officeDocument/2006/relationships/image" Target="media/image11.emf"/><Relationship Id="rId56" Type="http://schemas.openxmlformats.org/officeDocument/2006/relationships/image" Target="media/image13.emf"/><Relationship Id="rId64" Type="http://schemas.openxmlformats.org/officeDocument/2006/relationships/header" Target="header19.xml"/><Relationship Id="rId69" Type="http://schemas.openxmlformats.org/officeDocument/2006/relationships/footer" Target="footer21.xml"/><Relationship Id="rId77" Type="http://schemas.openxmlformats.org/officeDocument/2006/relationships/image" Target="media/image28.emf"/><Relationship Id="rId100" Type="http://schemas.openxmlformats.org/officeDocument/2006/relationships/footer" Target="footer31.xml"/><Relationship Id="rId105" Type="http://schemas.openxmlformats.org/officeDocument/2006/relationships/header" Target="header35.xml"/><Relationship Id="rId113" Type="http://schemas.openxmlformats.org/officeDocument/2006/relationships/footer" Target="footer38.xml"/><Relationship Id="rId118" Type="http://schemas.openxmlformats.org/officeDocument/2006/relationships/footer" Target="footer40.xml"/><Relationship Id="rId126" Type="http://schemas.openxmlformats.org/officeDocument/2006/relationships/header" Target="header45.xml"/><Relationship Id="rId8" Type="http://schemas.openxmlformats.org/officeDocument/2006/relationships/oleObject" Target="embeddings/oleObject1.bin"/><Relationship Id="rId51" Type="http://schemas.openxmlformats.org/officeDocument/2006/relationships/header" Target="header17.xml"/><Relationship Id="rId72" Type="http://schemas.openxmlformats.org/officeDocument/2006/relationships/image" Target="media/image23.emf"/><Relationship Id="rId80" Type="http://schemas.openxmlformats.org/officeDocument/2006/relationships/header" Target="header23.xml"/><Relationship Id="rId85" Type="http://schemas.openxmlformats.org/officeDocument/2006/relationships/image" Target="media/image30.emf"/><Relationship Id="rId93" Type="http://schemas.openxmlformats.org/officeDocument/2006/relationships/header" Target="header29.xml"/><Relationship Id="rId98" Type="http://schemas.openxmlformats.org/officeDocument/2006/relationships/header" Target="header31.xml"/><Relationship Id="rId121"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2.emf"/><Relationship Id="rId38" Type="http://schemas.openxmlformats.org/officeDocument/2006/relationships/header" Target="header15.xml"/><Relationship Id="rId46" Type="http://schemas.openxmlformats.org/officeDocument/2006/relationships/image" Target="media/image9.emf"/><Relationship Id="rId59" Type="http://schemas.openxmlformats.org/officeDocument/2006/relationships/image" Target="media/image16.emf"/><Relationship Id="rId67" Type="http://schemas.openxmlformats.org/officeDocument/2006/relationships/footer" Target="footer20.xml"/><Relationship Id="rId103" Type="http://schemas.openxmlformats.org/officeDocument/2006/relationships/footer" Target="footer33.xml"/><Relationship Id="rId108" Type="http://schemas.openxmlformats.org/officeDocument/2006/relationships/header" Target="header36.xml"/><Relationship Id="rId116" Type="http://schemas.openxmlformats.org/officeDocument/2006/relationships/header" Target="header40.xml"/><Relationship Id="rId124" Type="http://schemas.openxmlformats.org/officeDocument/2006/relationships/footer" Target="footer43.xml"/><Relationship Id="rId129"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image" Target="media/image4.emf"/><Relationship Id="rId54" Type="http://schemas.openxmlformats.org/officeDocument/2006/relationships/header" Target="header18.xml"/><Relationship Id="rId62" Type="http://schemas.openxmlformats.org/officeDocument/2006/relationships/image" Target="media/image19.emf"/><Relationship Id="rId70" Type="http://schemas.openxmlformats.org/officeDocument/2006/relationships/image" Target="media/image21.emf"/><Relationship Id="rId75" Type="http://schemas.openxmlformats.org/officeDocument/2006/relationships/image" Target="media/image26.emf"/><Relationship Id="rId83" Type="http://schemas.openxmlformats.org/officeDocument/2006/relationships/header" Target="header24.xml"/><Relationship Id="rId88" Type="http://schemas.openxmlformats.org/officeDocument/2006/relationships/footer" Target="footer25.xml"/><Relationship Id="rId91" Type="http://schemas.openxmlformats.org/officeDocument/2006/relationships/footer" Target="footer27.xml"/><Relationship Id="rId96" Type="http://schemas.openxmlformats.org/officeDocument/2006/relationships/header" Target="header30.xml"/><Relationship Id="rId111" Type="http://schemas.openxmlformats.org/officeDocument/2006/relationships/header" Target="head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image" Target="media/image12.emf"/><Relationship Id="rId57" Type="http://schemas.openxmlformats.org/officeDocument/2006/relationships/image" Target="media/image14.emf"/><Relationship Id="rId106" Type="http://schemas.openxmlformats.org/officeDocument/2006/relationships/footer" Target="footer34.xml"/><Relationship Id="rId114" Type="http://schemas.openxmlformats.org/officeDocument/2006/relationships/header" Target="header39.xml"/><Relationship Id="rId119" Type="http://schemas.openxmlformats.org/officeDocument/2006/relationships/footer" Target="footer41.xml"/><Relationship Id="rId127" Type="http://schemas.openxmlformats.org/officeDocument/2006/relationships/footer" Target="footer4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image" Target="media/image7.emf"/><Relationship Id="rId52" Type="http://schemas.openxmlformats.org/officeDocument/2006/relationships/footer" Target="footer16.xml"/><Relationship Id="rId60" Type="http://schemas.openxmlformats.org/officeDocument/2006/relationships/image" Target="media/image17.png"/><Relationship Id="rId65" Type="http://schemas.openxmlformats.org/officeDocument/2006/relationships/header" Target="header20.xml"/><Relationship Id="rId73" Type="http://schemas.openxmlformats.org/officeDocument/2006/relationships/image" Target="media/image24.emf"/><Relationship Id="rId78" Type="http://schemas.openxmlformats.org/officeDocument/2006/relationships/image" Target="media/image29.png"/><Relationship Id="rId81" Type="http://schemas.openxmlformats.org/officeDocument/2006/relationships/footer" Target="footer22.xml"/><Relationship Id="rId86" Type="http://schemas.openxmlformats.org/officeDocument/2006/relationships/header" Target="header25.xml"/><Relationship Id="rId94" Type="http://schemas.openxmlformats.org/officeDocument/2006/relationships/footer" Target="footer28.xml"/><Relationship Id="rId99" Type="http://schemas.openxmlformats.org/officeDocument/2006/relationships/header" Target="header32.xml"/><Relationship Id="rId101" Type="http://schemas.openxmlformats.org/officeDocument/2006/relationships/footer" Target="footer32.xml"/><Relationship Id="rId12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36.xml"/><Relationship Id="rId34" Type="http://schemas.openxmlformats.org/officeDocument/2006/relationships/header" Target="header13.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image" Target="media/image27.emf"/><Relationship Id="rId97" Type="http://schemas.openxmlformats.org/officeDocument/2006/relationships/footer" Target="footer30.xml"/><Relationship Id="rId104" Type="http://schemas.openxmlformats.org/officeDocument/2006/relationships/header" Target="header34.xml"/><Relationship Id="rId120" Type="http://schemas.openxmlformats.org/officeDocument/2006/relationships/header" Target="header42.xml"/><Relationship Id="rId125" Type="http://schemas.openxmlformats.org/officeDocument/2006/relationships/footer" Target="footer44.xml"/><Relationship Id="rId7" Type="http://schemas.openxmlformats.org/officeDocument/2006/relationships/image" Target="media/image1.wmf"/><Relationship Id="rId71" Type="http://schemas.openxmlformats.org/officeDocument/2006/relationships/image" Target="media/image22.emf"/><Relationship Id="rId92" Type="http://schemas.openxmlformats.org/officeDocument/2006/relationships/header" Target="header28.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image" Target="media/image3.emf"/><Relationship Id="rId45" Type="http://schemas.openxmlformats.org/officeDocument/2006/relationships/image" Target="media/image8.emf"/><Relationship Id="rId66" Type="http://schemas.openxmlformats.org/officeDocument/2006/relationships/footer" Target="footer19.xml"/><Relationship Id="rId87" Type="http://schemas.openxmlformats.org/officeDocument/2006/relationships/header" Target="header26.xml"/><Relationship Id="rId110" Type="http://schemas.openxmlformats.org/officeDocument/2006/relationships/header" Target="header37.xml"/><Relationship Id="rId115" Type="http://schemas.openxmlformats.org/officeDocument/2006/relationships/footer" Target="footer39.xml"/><Relationship Id="rId61" Type="http://schemas.openxmlformats.org/officeDocument/2006/relationships/image" Target="media/image18.emf"/><Relationship Id="rId82" Type="http://schemas.openxmlformats.org/officeDocument/2006/relationships/footer" Target="foot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34006</Words>
  <Characters>212541</Characters>
  <Application>Microsoft Office Word</Application>
  <DocSecurity>0</DocSecurity>
  <Lines>6641</Lines>
  <Paragraphs>3287</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243260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
  <dc:creator>Pia Kronestedt Metz</dc:creator>
  <cp:keywords/>
  <dc:description>070524 1424 justering av fasta rubriker med anledning av ändringar i utsknamn.txt
080214 rutin textfil till trip bortplockad</dc:description>
  <cp:lastModifiedBy>Brink, Lars</cp:lastModifiedBy>
  <cp:revision>2</cp:revision>
  <cp:lastPrinted>2015-02-09T10:12:00Z</cp:lastPrinted>
  <dcterms:created xsi:type="dcterms:W3CDTF">2015-02-09T14:30:00Z</dcterms:created>
  <dcterms:modified xsi:type="dcterms:W3CDTF">2015-02-09T14:30:00Z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2014/15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ContentTypeId">
    <vt:lpwstr>0x0101004AA641D90FE84B279C8B06078058E34800337A98E66787034BB3534089CF71CF1A</vt:lpwstr>
  </property>
  <property fmtid="{D5CDD505-2E9C-101B-9397-08002B2CF9AE}" pid="9" name="RBDokumentforfattare">
    <vt:lpwstr>Pia Kronestedt Metz</vt:lpwstr>
  </property>
  <property fmtid="{D5CDD505-2E9C-101B-9397-08002B2CF9AE}" pid="10" name="RBHanteringsklass">
    <vt:lpwstr>BEGRÄNSAD</vt:lpwstr>
  </property>
  <property fmtid="{D5CDD505-2E9C-101B-9397-08002B2CF9AE}" pid="11" name="RBDokumentdatum">
    <vt:lpwstr>2014-09-12T00:00:00Z</vt:lpwstr>
  </property>
  <property fmtid="{D5CDD505-2E9C-101B-9397-08002B2CF9AE}" pid="12" name="RBDiarienummer">
    <vt:lpwstr/>
  </property>
  <property fmtid="{D5CDD505-2E9C-101B-9397-08002B2CF9AE}" pid="13" name="RBNyckelord">
    <vt:lpwstr/>
  </property>
</Properties>
</file>