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05401" w14:textId="77777777" w:rsidR="00FB32B9" w:rsidRDefault="00D040D7" w:rsidP="00FB32B9">
      <w:pPr>
        <w:pStyle w:val="UDrubrik"/>
        <w:tabs>
          <w:tab w:val="left" w:pos="1701"/>
          <w:tab w:val="left" w:pos="1985"/>
        </w:tabs>
        <w:rPr>
          <w:rFonts w:cs="Arial"/>
          <w:sz w:val="28"/>
        </w:rPr>
      </w:pPr>
    </w:p>
    <w:p w14:paraId="3AE05402" w14:textId="77777777" w:rsidR="00FB32B9" w:rsidRDefault="00D040D7" w:rsidP="00FB32B9">
      <w:pPr>
        <w:pStyle w:val="UDrubrik"/>
        <w:tabs>
          <w:tab w:val="left" w:pos="1701"/>
          <w:tab w:val="left" w:pos="1985"/>
        </w:tabs>
        <w:rPr>
          <w:rFonts w:cs="Arial"/>
          <w:sz w:val="28"/>
        </w:rPr>
      </w:pPr>
    </w:p>
    <w:p w14:paraId="3AE05403" w14:textId="77777777" w:rsidR="00FB32B9" w:rsidRDefault="00D040D7" w:rsidP="00FB32B9">
      <w:pPr>
        <w:pStyle w:val="UDrubrik"/>
        <w:tabs>
          <w:tab w:val="left" w:pos="1701"/>
          <w:tab w:val="left" w:pos="1985"/>
        </w:tabs>
        <w:rPr>
          <w:rFonts w:cs="Arial"/>
          <w:sz w:val="28"/>
        </w:rPr>
      </w:pPr>
    </w:p>
    <w:p w14:paraId="3AE05404" w14:textId="77777777" w:rsidR="00FB32B9" w:rsidRDefault="00D040D7" w:rsidP="00FB32B9">
      <w:pPr>
        <w:pStyle w:val="UDrubrik"/>
        <w:tabs>
          <w:tab w:val="left" w:pos="1701"/>
          <w:tab w:val="left" w:pos="1985"/>
        </w:tabs>
        <w:rPr>
          <w:rFonts w:cs="Arial"/>
          <w:sz w:val="28"/>
        </w:rPr>
      </w:pPr>
    </w:p>
    <w:p w14:paraId="3AE05405" w14:textId="1A4E4A8D" w:rsidR="00FB32B9" w:rsidRDefault="00D040D7" w:rsidP="00FB32B9">
      <w:pPr>
        <w:pStyle w:val="UDrubrik"/>
        <w:tabs>
          <w:tab w:val="left" w:pos="1701"/>
          <w:tab w:val="left" w:pos="1985"/>
        </w:tabs>
        <w:rPr>
          <w:rFonts w:cs="Arial"/>
          <w:sz w:val="28"/>
        </w:rPr>
      </w:pPr>
      <w:r>
        <w:rPr>
          <w:rFonts w:cs="Arial"/>
          <w:sz w:val="28"/>
        </w:rPr>
        <w:t xml:space="preserve">Troliga A-punkter inför kommande rådsmöten som </w:t>
      </w:r>
      <w:r>
        <w:rPr>
          <w:rFonts w:cs="Arial"/>
          <w:sz w:val="28"/>
        </w:rPr>
        <w:t>förväntas godkännas</w:t>
      </w:r>
      <w:r>
        <w:rPr>
          <w:rFonts w:cs="Arial"/>
          <w:sz w:val="28"/>
        </w:rPr>
        <w:t xml:space="preserve"> vid </w:t>
      </w:r>
      <w:r>
        <w:rPr>
          <w:rFonts w:cs="Arial"/>
          <w:sz w:val="28"/>
        </w:rPr>
        <w:t>Coreper I</w:t>
      </w:r>
      <w:r>
        <w:rPr>
          <w:rFonts w:cs="Arial"/>
          <w:sz w:val="28"/>
        </w:rPr>
        <w:t xml:space="preserve"> den</w:t>
      </w:r>
      <w:r>
        <w:rPr>
          <w:rFonts w:cs="Arial"/>
          <w:sz w:val="28"/>
        </w:rPr>
        <w:t xml:space="preserve"> </w:t>
      </w:r>
      <w:r w:rsidR="00B254E9">
        <w:rPr>
          <w:rFonts w:cs="Arial"/>
          <w:sz w:val="28"/>
        </w:rPr>
        <w:t>23 mars 2016.</w:t>
      </w:r>
    </w:p>
    <w:p w14:paraId="3AE05406" w14:textId="77777777" w:rsidR="00FB32B9" w:rsidRDefault="00D040D7" w:rsidP="00FB32B9">
      <w:pPr>
        <w:pStyle w:val="Brdtext"/>
      </w:pPr>
    </w:p>
    <w:p w14:paraId="3AE05407" w14:textId="16E91473" w:rsidR="00FB32B9" w:rsidRDefault="00D040D7" w:rsidP="00FB32B9">
      <w:pPr>
        <w:pStyle w:val="Brdtext"/>
      </w:pPr>
      <w:r>
        <w:t xml:space="preserve">Överlämnas för skriftligt samråd till </w:t>
      </w:r>
      <w:r>
        <w:t>EU-nämnden</w:t>
      </w:r>
      <w:r w:rsidR="00B254E9">
        <w:t xml:space="preserve"> onsdagen den 23 mars 2016, kl 14.00.</w:t>
      </w:r>
    </w:p>
    <w:p w14:paraId="3AE05408" w14:textId="77777777" w:rsidR="00FB32B9" w:rsidRDefault="00D040D7">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AE05409" w14:textId="77777777" w:rsidR="00D957FB" w:rsidRPr="00283DF3" w:rsidRDefault="00D040D7">
          <w:pPr>
            <w:pStyle w:val="Innehllsfrteckningsrubrik"/>
            <w:rPr>
              <w:color w:val="auto"/>
              <w:lang w:val="sv-SE"/>
            </w:rPr>
          </w:pPr>
          <w:r w:rsidRPr="00283DF3">
            <w:rPr>
              <w:color w:val="auto"/>
              <w:lang w:val="sv-SE"/>
            </w:rPr>
            <w:t>Innehållsförteckning</w:t>
          </w:r>
        </w:p>
        <w:p w14:paraId="3AE0540A" w14:textId="77777777" w:rsidR="00DA7250" w:rsidRPr="00283DF3" w:rsidRDefault="00D040D7" w:rsidP="00DA7250">
          <w:pPr>
            <w:rPr>
              <w:lang w:eastAsia="ja-JP"/>
            </w:rPr>
          </w:pPr>
        </w:p>
        <w:p w14:paraId="5250FE89" w14:textId="77777777" w:rsidR="00B254E9" w:rsidRDefault="00D040D7">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6416992" w:history="1">
            <w:r w:rsidR="00B254E9" w:rsidRPr="00BC38EB">
              <w:rPr>
                <w:rStyle w:val="Hyperlnk"/>
                <w:noProof/>
              </w:rPr>
              <w:t>1.</w:t>
            </w:r>
            <w:r w:rsidR="00B254E9">
              <w:rPr>
                <w:rFonts w:asciiTheme="minorHAnsi" w:eastAsiaTheme="minorEastAsia" w:hAnsiTheme="minorHAnsi" w:cstheme="minorBidi"/>
                <w:noProof/>
                <w:lang w:eastAsia="sv-SE"/>
              </w:rPr>
              <w:tab/>
            </w:r>
            <w:r w:rsidR="00B254E9" w:rsidRPr="00BC38EB">
              <w:rPr>
                <w:rStyle w:val="Hyperlnk"/>
                <w:noProof/>
              </w:rPr>
              <w:t>ERAC dedicated configurations: High Level Group on Joint Programming (GPC) and Strategic Forum for International S&amp;amp;T Cooperation (SFIC)</w:t>
            </w:r>
            <w:r w:rsidR="00B254E9">
              <w:rPr>
                <w:noProof/>
                <w:webHidden/>
              </w:rPr>
              <w:tab/>
            </w:r>
            <w:r w:rsidR="00B254E9">
              <w:rPr>
                <w:noProof/>
                <w:webHidden/>
              </w:rPr>
              <w:fldChar w:fldCharType="begin"/>
            </w:r>
            <w:r w:rsidR="00B254E9">
              <w:rPr>
                <w:noProof/>
                <w:webHidden/>
              </w:rPr>
              <w:instrText xml:space="preserve"> PAGEREF _Toc446416992 \h </w:instrText>
            </w:r>
            <w:r w:rsidR="00B254E9">
              <w:rPr>
                <w:noProof/>
                <w:webHidden/>
              </w:rPr>
            </w:r>
            <w:r w:rsidR="00B254E9">
              <w:rPr>
                <w:noProof/>
                <w:webHidden/>
              </w:rPr>
              <w:fldChar w:fldCharType="separate"/>
            </w:r>
            <w:r w:rsidR="00B254E9">
              <w:rPr>
                <w:noProof/>
                <w:webHidden/>
              </w:rPr>
              <w:t>3</w:t>
            </w:r>
            <w:r w:rsidR="00B254E9">
              <w:rPr>
                <w:noProof/>
                <w:webHidden/>
              </w:rPr>
              <w:fldChar w:fldCharType="end"/>
            </w:r>
          </w:hyperlink>
        </w:p>
        <w:p w14:paraId="0841A8A9" w14:textId="77777777" w:rsidR="00B254E9" w:rsidRDefault="00B254E9">
          <w:pPr>
            <w:pStyle w:val="Innehll1"/>
            <w:tabs>
              <w:tab w:val="left" w:pos="440"/>
              <w:tab w:val="right" w:leader="dot" w:pos="9062"/>
            </w:tabs>
            <w:rPr>
              <w:rFonts w:asciiTheme="minorHAnsi" w:eastAsiaTheme="minorEastAsia" w:hAnsiTheme="minorHAnsi" w:cstheme="minorBidi"/>
              <w:noProof/>
              <w:lang w:eastAsia="sv-SE"/>
            </w:rPr>
          </w:pPr>
          <w:hyperlink w:anchor="_Toc446416993" w:history="1">
            <w:r w:rsidRPr="00BC38EB">
              <w:rPr>
                <w:rStyle w:val="Hyperlnk"/>
                <w:noProof/>
              </w:rPr>
              <w:t>2.</w:t>
            </w:r>
            <w:r>
              <w:rPr>
                <w:rFonts w:asciiTheme="minorHAnsi" w:eastAsiaTheme="minorEastAsia" w:hAnsiTheme="minorHAnsi" w:cstheme="minorBidi"/>
                <w:noProof/>
                <w:lang w:eastAsia="sv-SE"/>
              </w:rPr>
              <w:tab/>
            </w:r>
            <w:r w:rsidRPr="00BC38EB">
              <w:rPr>
                <w:rStyle w:val="Hyperlnk"/>
                <w:noProof/>
              </w:rPr>
              <w:t>Commission delegated Regulation (EU) …/... of 4.2.2016 amending Regulation (EU) No 1315/2013 of the European Parliament and of the Council as regards adapting Annex III thereto (Text with EEA relevance)</w:t>
            </w:r>
            <w:r>
              <w:rPr>
                <w:noProof/>
                <w:webHidden/>
              </w:rPr>
              <w:tab/>
            </w:r>
            <w:r>
              <w:rPr>
                <w:noProof/>
                <w:webHidden/>
              </w:rPr>
              <w:fldChar w:fldCharType="begin"/>
            </w:r>
            <w:r>
              <w:rPr>
                <w:noProof/>
                <w:webHidden/>
              </w:rPr>
              <w:instrText xml:space="preserve"> PAGEREF _Toc446416993 \h </w:instrText>
            </w:r>
            <w:r>
              <w:rPr>
                <w:noProof/>
                <w:webHidden/>
              </w:rPr>
            </w:r>
            <w:r>
              <w:rPr>
                <w:noProof/>
                <w:webHidden/>
              </w:rPr>
              <w:fldChar w:fldCharType="separate"/>
            </w:r>
            <w:r>
              <w:rPr>
                <w:noProof/>
                <w:webHidden/>
              </w:rPr>
              <w:t>3</w:t>
            </w:r>
            <w:r>
              <w:rPr>
                <w:noProof/>
                <w:webHidden/>
              </w:rPr>
              <w:fldChar w:fldCharType="end"/>
            </w:r>
          </w:hyperlink>
        </w:p>
        <w:p w14:paraId="59F01B88" w14:textId="77777777" w:rsidR="00B254E9" w:rsidRDefault="00B254E9">
          <w:pPr>
            <w:pStyle w:val="Innehll1"/>
            <w:tabs>
              <w:tab w:val="left" w:pos="440"/>
              <w:tab w:val="right" w:leader="dot" w:pos="9062"/>
            </w:tabs>
            <w:rPr>
              <w:rFonts w:asciiTheme="minorHAnsi" w:eastAsiaTheme="minorEastAsia" w:hAnsiTheme="minorHAnsi" w:cstheme="minorBidi"/>
              <w:noProof/>
              <w:lang w:eastAsia="sv-SE"/>
            </w:rPr>
          </w:pPr>
          <w:hyperlink w:anchor="_Toc446416994" w:history="1">
            <w:r w:rsidRPr="00BC38EB">
              <w:rPr>
                <w:rStyle w:val="Hyperlnk"/>
                <w:noProof/>
              </w:rPr>
              <w:t>3.</w:t>
            </w:r>
            <w:r>
              <w:rPr>
                <w:rFonts w:asciiTheme="minorHAnsi" w:eastAsiaTheme="minorEastAsia" w:hAnsiTheme="minorHAnsi" w:cstheme="minorBidi"/>
                <w:noProof/>
                <w:lang w:eastAsia="sv-SE"/>
              </w:rPr>
              <w:tab/>
            </w:r>
            <w:r w:rsidRPr="00BC38EB">
              <w:rPr>
                <w:rStyle w:val="Hyperlnk"/>
                <w:noProof/>
              </w:rPr>
              <w:t>Commission Regulation (EU) No …/.. of XXX amending, for the purposes of its adaptation to technical and scientific progress, Regulation (EC) No 1272/2008 of the European Parliament and of the Council on classification, labelling and packaging of substances and mixtures</w:t>
            </w:r>
            <w:r>
              <w:rPr>
                <w:noProof/>
                <w:webHidden/>
              </w:rPr>
              <w:tab/>
            </w:r>
            <w:r>
              <w:rPr>
                <w:noProof/>
                <w:webHidden/>
              </w:rPr>
              <w:fldChar w:fldCharType="begin"/>
            </w:r>
            <w:r>
              <w:rPr>
                <w:noProof/>
                <w:webHidden/>
              </w:rPr>
              <w:instrText xml:space="preserve"> PAGEREF _Toc446416994 \h </w:instrText>
            </w:r>
            <w:r>
              <w:rPr>
                <w:noProof/>
                <w:webHidden/>
              </w:rPr>
            </w:r>
            <w:r>
              <w:rPr>
                <w:noProof/>
                <w:webHidden/>
              </w:rPr>
              <w:fldChar w:fldCharType="separate"/>
            </w:r>
            <w:r>
              <w:rPr>
                <w:noProof/>
                <w:webHidden/>
              </w:rPr>
              <w:t>4</w:t>
            </w:r>
            <w:r>
              <w:rPr>
                <w:noProof/>
                <w:webHidden/>
              </w:rPr>
              <w:fldChar w:fldCharType="end"/>
            </w:r>
          </w:hyperlink>
        </w:p>
        <w:p w14:paraId="6B5D1CD3" w14:textId="77777777" w:rsidR="00B254E9" w:rsidRDefault="00B254E9">
          <w:pPr>
            <w:pStyle w:val="Innehll1"/>
            <w:tabs>
              <w:tab w:val="left" w:pos="440"/>
              <w:tab w:val="right" w:leader="dot" w:pos="9062"/>
            </w:tabs>
            <w:rPr>
              <w:rFonts w:asciiTheme="minorHAnsi" w:eastAsiaTheme="minorEastAsia" w:hAnsiTheme="minorHAnsi" w:cstheme="minorBidi"/>
              <w:noProof/>
              <w:lang w:eastAsia="sv-SE"/>
            </w:rPr>
          </w:pPr>
          <w:hyperlink w:anchor="_Toc446416995" w:history="1">
            <w:r w:rsidRPr="00BC38EB">
              <w:rPr>
                <w:rStyle w:val="Hyperlnk"/>
                <w:noProof/>
              </w:rPr>
              <w:t>4.</w:t>
            </w:r>
            <w:r>
              <w:rPr>
                <w:rFonts w:asciiTheme="minorHAnsi" w:eastAsiaTheme="minorEastAsia" w:hAnsiTheme="minorHAnsi" w:cstheme="minorBidi"/>
                <w:noProof/>
                <w:lang w:eastAsia="sv-SE"/>
              </w:rPr>
              <w:tab/>
            </w:r>
            <w:r w:rsidRPr="00BC38EB">
              <w:rPr>
                <w:rStyle w:val="Hyperlnk"/>
                <w:noProof/>
              </w:rPr>
              <w:t>Commission Directive (EU) .../… of XXX amending Directive 2009/45/EC of the European Parliament and of the Council on safety rules and standards for passenger ships</w:t>
            </w:r>
            <w:r>
              <w:rPr>
                <w:noProof/>
                <w:webHidden/>
              </w:rPr>
              <w:tab/>
            </w:r>
            <w:r>
              <w:rPr>
                <w:noProof/>
                <w:webHidden/>
              </w:rPr>
              <w:fldChar w:fldCharType="begin"/>
            </w:r>
            <w:r>
              <w:rPr>
                <w:noProof/>
                <w:webHidden/>
              </w:rPr>
              <w:instrText xml:space="preserve"> PAGEREF _Toc446416995 \h </w:instrText>
            </w:r>
            <w:r>
              <w:rPr>
                <w:noProof/>
                <w:webHidden/>
              </w:rPr>
            </w:r>
            <w:r>
              <w:rPr>
                <w:noProof/>
                <w:webHidden/>
              </w:rPr>
              <w:fldChar w:fldCharType="separate"/>
            </w:r>
            <w:r>
              <w:rPr>
                <w:noProof/>
                <w:webHidden/>
              </w:rPr>
              <w:t>4</w:t>
            </w:r>
            <w:r>
              <w:rPr>
                <w:noProof/>
                <w:webHidden/>
              </w:rPr>
              <w:fldChar w:fldCharType="end"/>
            </w:r>
          </w:hyperlink>
        </w:p>
        <w:p w14:paraId="6E27C47C" w14:textId="77777777" w:rsidR="00B254E9" w:rsidRDefault="00B254E9">
          <w:pPr>
            <w:pStyle w:val="Innehll1"/>
            <w:tabs>
              <w:tab w:val="left" w:pos="440"/>
              <w:tab w:val="right" w:leader="dot" w:pos="9062"/>
            </w:tabs>
            <w:rPr>
              <w:rFonts w:asciiTheme="minorHAnsi" w:eastAsiaTheme="minorEastAsia" w:hAnsiTheme="minorHAnsi" w:cstheme="minorBidi"/>
              <w:noProof/>
              <w:lang w:eastAsia="sv-SE"/>
            </w:rPr>
          </w:pPr>
          <w:hyperlink w:anchor="_Toc446416996" w:history="1">
            <w:r w:rsidRPr="00BC38EB">
              <w:rPr>
                <w:rStyle w:val="Hyperlnk"/>
                <w:noProof/>
              </w:rPr>
              <w:t>5.</w:t>
            </w:r>
            <w:r>
              <w:rPr>
                <w:rFonts w:asciiTheme="minorHAnsi" w:eastAsiaTheme="minorEastAsia" w:hAnsiTheme="minorHAnsi" w:cstheme="minorBidi"/>
                <w:noProof/>
                <w:lang w:eastAsia="sv-SE"/>
              </w:rPr>
              <w:tab/>
            </w:r>
            <w:r w:rsidRPr="00BC38EB">
              <w:rPr>
                <w:rStyle w:val="Hyperlnk"/>
                <w:noProof/>
              </w:rPr>
              <w:t>Draft Council conclusions on Special Report No 23/2015 from the European Court of Auditors entitled "Water quality in the Danube river basin: progress in implementing the water framework directive but still some way to go"</w:t>
            </w:r>
            <w:r>
              <w:rPr>
                <w:noProof/>
                <w:webHidden/>
              </w:rPr>
              <w:tab/>
            </w:r>
            <w:r>
              <w:rPr>
                <w:noProof/>
                <w:webHidden/>
              </w:rPr>
              <w:fldChar w:fldCharType="begin"/>
            </w:r>
            <w:r>
              <w:rPr>
                <w:noProof/>
                <w:webHidden/>
              </w:rPr>
              <w:instrText xml:space="preserve"> PAGEREF _Toc446416996 \h </w:instrText>
            </w:r>
            <w:r>
              <w:rPr>
                <w:noProof/>
                <w:webHidden/>
              </w:rPr>
            </w:r>
            <w:r>
              <w:rPr>
                <w:noProof/>
                <w:webHidden/>
              </w:rPr>
              <w:fldChar w:fldCharType="separate"/>
            </w:r>
            <w:r>
              <w:rPr>
                <w:noProof/>
                <w:webHidden/>
              </w:rPr>
              <w:t>5</w:t>
            </w:r>
            <w:r>
              <w:rPr>
                <w:noProof/>
                <w:webHidden/>
              </w:rPr>
              <w:fldChar w:fldCharType="end"/>
            </w:r>
          </w:hyperlink>
        </w:p>
        <w:p w14:paraId="3AE05410" w14:textId="77777777" w:rsidR="00D957FB" w:rsidRDefault="00D040D7">
          <w:r>
            <w:rPr>
              <w:b/>
              <w:bCs/>
              <w:noProof/>
            </w:rPr>
            <w:fldChar w:fldCharType="end"/>
          </w:r>
        </w:p>
      </w:sdtContent>
    </w:sdt>
    <w:p w14:paraId="3AE05411" w14:textId="77777777" w:rsidR="00D957FB" w:rsidRDefault="00D040D7">
      <w:pPr>
        <w:ind w:left="0"/>
      </w:pPr>
      <w:r>
        <w:br w:type="page"/>
      </w:r>
    </w:p>
    <w:p w14:paraId="3AE05412" w14:textId="77777777" w:rsidR="00643D86" w:rsidRDefault="00D040D7" w:rsidP="00643D86">
      <w:pPr>
        <w:pStyle w:val="Rubrik1"/>
        <w:numPr>
          <w:ilvl w:val="0"/>
          <w:numId w:val="0"/>
        </w:numPr>
      </w:pPr>
      <w:bookmarkStart w:id="0" w:name="_Toc364854645"/>
    </w:p>
    <w:p w14:paraId="3AE05413" w14:textId="77777777" w:rsidR="00643D86" w:rsidRDefault="00D040D7" w:rsidP="00643D86">
      <w:pPr>
        <w:pStyle w:val="Rubrik1"/>
      </w:pPr>
      <w:bookmarkStart w:id="1" w:name="_Toc446416992"/>
      <w:r>
        <w:rPr>
          <w:noProof/>
        </w:rPr>
        <w:t>ERAC</w:t>
      </w:r>
      <w:r>
        <w:rPr>
          <w:noProof/>
        </w:rPr>
        <w:t xml:space="preserve"> dedicated configurations: High Level Group on Joint Programming (GPC) and Strategic Forum for International S&amp;amp;T </w:t>
      </w:r>
      <w:r>
        <w:rPr>
          <w:noProof/>
        </w:rPr>
        <w:t>Cooperation (SFIC)</w:t>
      </w:r>
      <w:bookmarkEnd w:id="1"/>
    </w:p>
    <w:p w14:paraId="3AE05414" w14:textId="77777777" w:rsidR="00643D86" w:rsidRDefault="00D040D7" w:rsidP="00643D86">
      <w:pPr>
        <w:rPr>
          <w:lang w:val="en-US"/>
        </w:rPr>
      </w:pPr>
      <w:r>
        <w:rPr>
          <w:noProof/>
          <w:lang w:val="en-US"/>
        </w:rPr>
        <w:t>=</w:t>
      </w:r>
      <w:r>
        <w:rPr>
          <w:lang w:val="en-US"/>
        </w:rPr>
        <w:t>Approval of revised mandates</w:t>
      </w:r>
      <w:r>
        <w:rPr>
          <w:lang w:val="en-US"/>
        </w:rPr>
        <w:br/>
      </w:r>
      <w:r>
        <w:rPr>
          <w:noProof/>
          <w:lang w:val="en-US"/>
        </w:rPr>
        <w:t>6221</w:t>
      </w:r>
      <w:r>
        <w:rPr>
          <w:lang w:val="en-US"/>
        </w:rPr>
        <w:t>/1/16 RECH 22 REV 16214/16 RECH 216213/16 RECH 20</w:t>
      </w:r>
    </w:p>
    <w:p w14:paraId="027CA2AC" w14:textId="77777777" w:rsidR="00B254E9" w:rsidRDefault="00D040D7" w:rsidP="00B254E9">
      <w:r>
        <w:rPr>
          <w:b/>
        </w:rPr>
        <w:t>Ansvarigt statsråd</w:t>
      </w:r>
      <w:r>
        <w:rPr>
          <w:b/>
        </w:rPr>
        <w:br/>
      </w:r>
      <w:r w:rsidR="00B254E9">
        <w:t>Helene Hellmark Knutsson</w:t>
      </w:r>
    </w:p>
    <w:p w14:paraId="3AE05416" w14:textId="77777777" w:rsidR="00E0653A" w:rsidRDefault="00D040D7"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E05417" w14:textId="77777777" w:rsidR="00E0653A" w:rsidRDefault="00D040D7"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E05418" w14:textId="77777777" w:rsidR="00E0653A" w:rsidRDefault="00D040D7"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E05419" w14:textId="77777777" w:rsidR="00E0653A" w:rsidRDefault="00D040D7"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E0541A" w14:textId="77777777" w:rsidR="00E0653A" w:rsidRDefault="00D040D7"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E0541B" w14:textId="77777777" w:rsidR="00E0653A" w:rsidRDefault="00D040D7"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E0541C" w14:textId="77777777" w:rsidR="00E0653A" w:rsidRDefault="00D040D7"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utskottet </w:instrText>
      </w:r>
      <w:r>
        <w:rPr>
          <w:b/>
        </w:rPr>
        <w:br/>
      </w:r>
      <w:r w:rsidRPr="002F0461">
        <w:instrText>-</w:instrText>
      </w:r>
    </w:p>
    <w:p w14:paraId="3AE0541D" w14:textId="77777777" w:rsidR="00E0653A" w:rsidRDefault="00D040D7"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E0541E" w14:textId="77777777" w:rsidR="00E0653A" w:rsidRDefault="00D040D7"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61BD1C9" w14:textId="30223AD3" w:rsidR="00B254E9" w:rsidRDefault="00D040D7" w:rsidP="00B254E9">
      <w:r>
        <w:instrText>"</w:instrText>
      </w:r>
      <w:r>
        <w:rPr>
          <w:b/>
        </w:rPr>
        <w:instrText xml:space="preserve"> </w:instrText>
      </w:r>
      <w:r>
        <w:rPr>
          <w:b/>
        </w:rPr>
        <w:fldChar w:fldCharType="end"/>
      </w:r>
      <w:r w:rsidRPr="00B44CE2">
        <w:rPr>
          <w:b/>
        </w:rPr>
        <w:t>Annotering</w:t>
      </w:r>
      <w:r>
        <w:rPr>
          <w:b/>
        </w:rPr>
        <w:br/>
      </w:r>
      <w:r w:rsidR="00B254E9">
        <w:rPr>
          <w:b/>
          <w:bCs/>
        </w:rPr>
        <w:t xml:space="preserve">Avsikt med behandlingen i rådet: </w:t>
      </w:r>
      <w:r w:rsidR="00B254E9">
        <w:t>B</w:t>
      </w:r>
      <w:r w:rsidR="00B254E9">
        <w:t xml:space="preserve">eslut av reviderade mandat för ERAC:s två dedikerade konfigurationer - Högnivågruppen för gemensam programplanering (GPC) och Strategiskt forum för internationellt samarbete (SFIC). </w:t>
      </w:r>
    </w:p>
    <w:p w14:paraId="362ABAC4" w14:textId="58EC962A" w:rsidR="00B254E9" w:rsidRDefault="00B254E9" w:rsidP="00B254E9">
      <w:r>
        <w:rPr>
          <w:b/>
          <w:bCs/>
        </w:rPr>
        <w:t>Hur regeringen ställer sig till den blivande A-punkten:</w:t>
      </w:r>
      <w:r>
        <w:rPr>
          <w:b/>
          <w:bCs/>
        </w:rPr>
        <w:t xml:space="preserve"> </w:t>
      </w:r>
      <w:r>
        <w:t>Regeringen kan godkänna förslaget.</w:t>
      </w:r>
    </w:p>
    <w:p w14:paraId="204BB16B" w14:textId="619A84C0" w:rsidR="00B254E9" w:rsidRDefault="00B254E9" w:rsidP="00B254E9">
      <w:r>
        <w:rPr>
          <w:b/>
          <w:bCs/>
        </w:rPr>
        <w:t>Bakgrund:</w:t>
      </w:r>
      <w:r>
        <w:rPr>
          <w:b/>
          <w:bCs/>
        </w:rPr>
        <w:t xml:space="preserve"> </w:t>
      </w:r>
      <w:r>
        <w:t xml:space="preserve">Diskussioner kring behov av ökad koordinering mellan, och översyn av struktur och mandat för de olika grupper som finns inrättade för att implementera olika delar av det europeiska forskningsområdet (ERA) har pågått i flera år. Rådsslutsatser kring detta har tagits fram vid flera tillfällen (2011, 2013, samt maj och december 2015). </w:t>
      </w:r>
    </w:p>
    <w:p w14:paraId="3AE0541F" w14:textId="1285A603" w:rsidR="00643D86" w:rsidRDefault="00B254E9" w:rsidP="00643D86">
      <w:r>
        <w:t>Den svenska ståndpunkten har då (bland annat) varit att man ser det som positivt att man ser över de ERA-relaterade gruppernas mandat vilka bör vara tydliga men tillåta de enskilda grupperna att agera självständigt. Införandet av gemensamma standardklausuler för vissa gemensamma processer/områden i alla mandaten (t ex för hur rapportering bör ske) för de ERA-relaterade grupperna välkomnas då man ser vinster med bättre koordinering mellan grupperna. Som en följd av detta så har mandaten för GPC och SFIC nu reviderats och ska godkännas av rådet.</w:t>
      </w:r>
    </w:p>
    <w:p w14:paraId="3AE05420" w14:textId="77777777" w:rsidR="00643D86" w:rsidRDefault="00D040D7" w:rsidP="00643D86">
      <w:pPr>
        <w:pStyle w:val="Rubrik1"/>
      </w:pPr>
      <w:bookmarkStart w:id="2" w:name="_Toc446416993"/>
      <w:r>
        <w:rPr>
          <w:noProof/>
        </w:rPr>
        <w:t>Commission</w:t>
      </w:r>
      <w:r>
        <w:rPr>
          <w:noProof/>
        </w:rPr>
        <w:t xml:space="preserve"> delegated Regulation (EU) …/... of 4.2.2016 amending Regulation (EU) No 1315/2013 of the European Parlia</w:t>
      </w:r>
      <w:r>
        <w:rPr>
          <w:noProof/>
        </w:rPr>
        <w:t>ment and of the Council as regards adapting Annex III thereto (Text with EEA relevance)</w:t>
      </w:r>
      <w:bookmarkEnd w:id="2"/>
    </w:p>
    <w:p w14:paraId="3AE05421" w14:textId="06A9B03A" w:rsidR="00643D86" w:rsidRDefault="00D040D7" w:rsidP="00643D86">
      <w:pPr>
        <w:rPr>
          <w:lang w:val="en-US"/>
        </w:rPr>
      </w:pPr>
      <w:r>
        <w:rPr>
          <w:noProof/>
          <w:lang w:val="en-US"/>
        </w:rPr>
        <w:t>=</w:t>
      </w:r>
      <w:r>
        <w:rPr>
          <w:lang w:val="en-US"/>
        </w:rPr>
        <w:t>Intention not to raise objections to a delegated act</w:t>
      </w:r>
      <w:r>
        <w:rPr>
          <w:lang w:val="en-US"/>
        </w:rPr>
        <w:br/>
      </w:r>
      <w:r>
        <w:rPr>
          <w:noProof/>
          <w:lang w:val="en-US"/>
        </w:rPr>
        <w:t>7146</w:t>
      </w:r>
      <w:r>
        <w:rPr>
          <w:lang w:val="en-US"/>
        </w:rPr>
        <w:t>/16 TRANS 80 DELACT 44</w:t>
      </w:r>
      <w:r w:rsidR="00B254E9">
        <w:rPr>
          <w:lang w:val="en-US"/>
        </w:rPr>
        <w:t xml:space="preserve"> </w:t>
      </w:r>
      <w:bookmarkStart w:id="3" w:name="_GoBack"/>
      <w:bookmarkEnd w:id="3"/>
      <w:r>
        <w:rPr>
          <w:lang w:val="en-US"/>
        </w:rPr>
        <w:t>5924/16 TRANS 35 DELACT 16+ ADD 1-8</w:t>
      </w:r>
    </w:p>
    <w:p w14:paraId="3AE05422" w14:textId="77777777" w:rsidR="00643D86" w:rsidRDefault="00D040D7" w:rsidP="00643D86">
      <w:r>
        <w:rPr>
          <w:b/>
        </w:rPr>
        <w:t>Ansvarigt statsråd</w:t>
      </w:r>
      <w:r>
        <w:rPr>
          <w:b/>
        </w:rPr>
        <w:br/>
      </w:r>
      <w:r>
        <w:rPr>
          <w:noProof/>
        </w:rPr>
        <w:t>Anna</w:t>
      </w:r>
      <w:r>
        <w:t xml:space="preserve"> Johansson</w:t>
      </w:r>
    </w:p>
    <w:p w14:paraId="3AE0542F" w14:textId="378F3DA7" w:rsidR="00CB1191" w:rsidRDefault="00D040D7" w:rsidP="00C8338E">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"2013-05-16" = "-" "" "Tidigare behandlat i utskottet </w:instrText>
      </w:r>
      <w:r>
        <w:rPr>
          <w:b/>
        </w:rPr>
        <w:br/>
      </w:r>
      <w:r w:rsidRPr="002F0461">
        <w:instrText>2013-05-16</w:instrText>
      </w:r>
    </w:p>
    <w:p w14:paraId="3AE05430" w14:textId="77777777" w:rsidR="00E0653A" w:rsidRDefault="00D040D7"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2013-05-16</w:instrText>
      </w:r>
    </w:p>
    <w:p w14:paraId="3AE05431" w14:textId="77777777" w:rsidR="00CB1191" w:rsidRDefault="00D040D7" w:rsidP="00C8338E">
      <w:pPr>
        <w:rPr>
          <w:b/>
        </w:rPr>
      </w:pPr>
      <w:r>
        <w:rPr>
          <w:b/>
        </w:rPr>
        <w:fldChar w:fldCharType="end"/>
      </w:r>
      <w:r>
        <w:rPr>
          <w:b/>
        </w:rPr>
        <w:instrText xml:space="preserve"> "Tidigare behandlat i utskottet</w:instrText>
      </w:r>
      <w:r>
        <w:rPr>
          <w:b/>
        </w:rPr>
        <w:br/>
      </w:r>
      <w:r w:rsidRPr="002F0461">
        <w:instrText>2013-05-16</w:instrText>
      </w:r>
    </w:p>
    <w:p w14:paraId="3AE05432" w14:textId="77777777" w:rsidR="00E0653A" w:rsidRDefault="00D040D7" w:rsidP="00C8338E">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2013-05-16</w:instrText>
      </w:r>
    </w:p>
    <w:p w14:paraId="3AE05433" w14:textId="77777777" w:rsidR="00CB1191" w:rsidRDefault="00D040D7" w:rsidP="00C8338E">
      <w:pPr>
        <w:rPr>
          <w:b/>
        </w:rPr>
      </w:pPr>
      <w:r>
        <w:rPr>
          <w:b/>
        </w:rPr>
        <w:fldChar w:fldCharType="end"/>
      </w:r>
      <w:r>
        <w:rPr>
          <w:b/>
        </w:rPr>
        <w:instrText xml:space="preserve">  "Tidigare behandlat i utskottet</w:instrText>
      </w:r>
      <w:r>
        <w:rPr>
          <w:b/>
        </w:rPr>
        <w:br/>
      </w:r>
      <w:r>
        <w:instrText>2013-05-16</w:instrText>
      </w:r>
    </w:p>
    <w:p w14:paraId="3AE05434" w14:textId="77777777" w:rsidR="00643D86" w:rsidRDefault="00D040D7" w:rsidP="00643D86">
      <w:r>
        <w:instrText>"</w:instrText>
      </w:r>
      <w:r>
        <w:rPr>
          <w:b/>
        </w:rPr>
        <w:instrText xml:space="preserve"> </w:instrText>
      </w:r>
      <w:r>
        <w:rPr>
          <w:b/>
        </w:rPr>
        <w:fldChar w:fldCharType="separate"/>
      </w:r>
      <w:r>
        <w:rPr>
          <w:b/>
        </w:rPr>
        <w:t xml:space="preserve">Tidigare behandlat i utskottet </w:t>
      </w:r>
      <w:r>
        <w:rPr>
          <w:b/>
        </w:rPr>
        <w:br/>
      </w:r>
      <w:r w:rsidRPr="002F0461">
        <w:t>2013-05-16</w:t>
      </w:r>
    </w:p>
    <w:p w14:paraId="3AE05436" w14:textId="730A83AE" w:rsidR="00CB1191" w:rsidRDefault="00D040D7" w:rsidP="00B254E9">
      <w:r>
        <w:rPr>
          <w:b/>
        </w:rPr>
        <w:fldChar w:fldCharType="end"/>
      </w:r>
      <w:r w:rsidRPr="00B44CE2">
        <w:rPr>
          <w:b/>
        </w:rPr>
        <w:t>Annotering</w:t>
      </w:r>
      <w:r>
        <w:rPr>
          <w:b/>
        </w:rPr>
        <w:br/>
      </w:r>
      <w:r>
        <w:rPr>
          <w:b/>
          <w:bCs/>
        </w:rPr>
        <w:t>Avsikt med behandlingen i rådet:</w:t>
      </w:r>
      <w:r>
        <w:t xml:space="preserve"> </w:t>
      </w:r>
      <w:r>
        <w:t xml:space="preserve">Rådet ska besluta om den framtagna delegerade akten kan godkännas. </w:t>
      </w:r>
    </w:p>
    <w:p w14:paraId="3AE05437" w14:textId="756A8D0A" w:rsidR="00CB1191" w:rsidRDefault="00D040D7">
      <w:pPr>
        <w:spacing w:after="280" w:afterAutospacing="1"/>
      </w:pPr>
      <w:r>
        <w:rPr>
          <w:b/>
          <w:bCs/>
        </w:rPr>
        <w:t xml:space="preserve">Hur regeringen ställer sig till den blivande </w:t>
      </w:r>
      <w:r>
        <w:rPr>
          <w:b/>
          <w:bCs/>
        </w:rPr>
        <w:t>A-punkten:</w:t>
      </w:r>
      <w:r>
        <w:t xml:space="preserve"> </w:t>
      </w:r>
      <w:r>
        <w:t>Regeringen avser ställa sig bakom förslaget att inte opponera sig.</w:t>
      </w:r>
    </w:p>
    <w:p w14:paraId="3AE05439" w14:textId="77B88AA1" w:rsidR="00FB32B9" w:rsidRDefault="00D040D7">
      <w:pPr>
        <w:spacing w:after="280" w:afterAutospacing="1"/>
        <w:rPr>
          <w:noProof/>
        </w:rPr>
      </w:pPr>
      <w:r>
        <w:rPr>
          <w:b/>
          <w:bCs/>
        </w:rPr>
        <w:lastRenderedPageBreak/>
        <w:t>Bakgrund:</w:t>
      </w:r>
      <w:r>
        <w:t xml:space="preserve"> </w:t>
      </w:r>
      <w:r>
        <w:t>Europaparlamentet och rådet fastställde TEN-T kartorna den 11 december 2013. I enlighet med artikel 49.6 i förordning 1315/2013 kan KOM genom delegerade akter anpassa</w:t>
      </w:r>
      <w:r>
        <w:t xml:space="preserve"> kartorna i bilaga III för anslutning till tredjeland. SE har deltagit med expertis vid expertgruppmöte o</w:t>
      </w:r>
      <w:r w:rsidR="00B254E9">
        <w:t>ch inte haft några synpunkter.</w:t>
      </w:r>
    </w:p>
    <w:p w14:paraId="3AE0543A" w14:textId="77777777" w:rsidR="00643D86" w:rsidRDefault="00D040D7" w:rsidP="00643D86">
      <w:pPr>
        <w:pStyle w:val="Rubrik1"/>
      </w:pPr>
      <w:bookmarkStart w:id="4" w:name="_Toc446416994"/>
      <w:r>
        <w:rPr>
          <w:noProof/>
        </w:rPr>
        <w:t>Commission</w:t>
      </w:r>
      <w:r>
        <w:rPr>
          <w:noProof/>
        </w:rPr>
        <w:t xml:space="preserve"> Regulation (EU) No …/.. of XXX amending, for the purposes of its adaptation to technical and scientific pr</w:t>
      </w:r>
      <w:r>
        <w:rPr>
          <w:noProof/>
        </w:rPr>
        <w:t>ogress, Regulation (EC) No 1272/2008 of the European Parliament and of the Council on classification, labelling and packaging of substances and mixtures</w:t>
      </w:r>
      <w:bookmarkEnd w:id="4"/>
    </w:p>
    <w:p w14:paraId="3AE0543B" w14:textId="2C074A18" w:rsidR="00643D86" w:rsidRDefault="00D040D7" w:rsidP="00643D86">
      <w:pPr>
        <w:rPr>
          <w:lang w:val="en-US"/>
        </w:rPr>
      </w:pPr>
      <w:r>
        <w:rPr>
          <w:noProof/>
          <w:lang w:val="en-US"/>
        </w:rPr>
        <w:t>=</w:t>
      </w:r>
      <w:r>
        <w:rPr>
          <w:lang w:val="en-US"/>
        </w:rPr>
        <w:t>Decision not to oppose adoption</w:t>
      </w:r>
      <w:r>
        <w:rPr>
          <w:lang w:val="en-US"/>
        </w:rPr>
        <w:br/>
      </w:r>
      <w:r>
        <w:rPr>
          <w:noProof/>
          <w:lang w:val="en-US"/>
        </w:rPr>
        <w:t>7137</w:t>
      </w:r>
      <w:r>
        <w:rPr>
          <w:lang w:val="en-US"/>
        </w:rPr>
        <w:t>/16 COMPET 131 ENV 169 CHIMIE 11 MI 160 ENT 51 SAN 99</w:t>
      </w:r>
      <w:r w:rsidR="00B254E9">
        <w:rPr>
          <w:lang w:val="en-US"/>
        </w:rPr>
        <w:t xml:space="preserve"> </w:t>
      </w:r>
      <w:r>
        <w:rPr>
          <w:lang w:val="en-US"/>
        </w:rPr>
        <w:t>CONSOM 64</w:t>
      </w:r>
      <w:r w:rsidR="00B254E9">
        <w:rPr>
          <w:lang w:val="en-US"/>
        </w:rPr>
        <w:t xml:space="preserve"> </w:t>
      </w:r>
      <w:r>
        <w:rPr>
          <w:lang w:val="en-US"/>
        </w:rPr>
        <w:t>6195</w:t>
      </w:r>
      <w:r>
        <w:rPr>
          <w:lang w:val="en-US"/>
        </w:rPr>
        <w:t>/16 COMPET 59 ENV 73 CHIMIE 2 MI 84 ENT 30 SAN 52</w:t>
      </w:r>
      <w:r w:rsidR="00B254E9">
        <w:rPr>
          <w:lang w:val="en-US"/>
        </w:rPr>
        <w:t xml:space="preserve"> </w:t>
      </w:r>
      <w:r>
        <w:rPr>
          <w:lang w:val="en-US"/>
        </w:rPr>
        <w:t>CONSOM 32+ ADD 1</w:t>
      </w:r>
    </w:p>
    <w:p w14:paraId="3AE0543C" w14:textId="77777777" w:rsidR="00643D86" w:rsidRDefault="00D040D7" w:rsidP="00643D86">
      <w:r>
        <w:rPr>
          <w:b/>
        </w:rPr>
        <w:t>Ansvarigt statsråd</w:t>
      </w:r>
      <w:r>
        <w:rPr>
          <w:b/>
        </w:rPr>
        <w:br/>
      </w:r>
      <w:r>
        <w:rPr>
          <w:noProof/>
        </w:rPr>
        <w:t>Åsa</w:t>
      </w:r>
      <w:r>
        <w:t xml:space="preserve"> Romson</w:t>
      </w:r>
    </w:p>
    <w:p w14:paraId="3AE0543D" w14:textId="77777777" w:rsidR="00E0653A" w:rsidRDefault="00D040D7"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E0543E" w14:textId="77777777" w:rsidR="00E0653A" w:rsidRDefault="00D040D7"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E0543F" w14:textId="77777777" w:rsidR="00E0653A" w:rsidRDefault="00D040D7"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E05440" w14:textId="77777777" w:rsidR="00E0653A" w:rsidRDefault="00D040D7"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E05441" w14:textId="77777777" w:rsidR="00E0653A" w:rsidRDefault="00D040D7"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E05442" w14:textId="77777777" w:rsidR="00E0653A" w:rsidRDefault="00D040D7"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E05443" w14:textId="77777777" w:rsidR="00E0653A" w:rsidRDefault="00D040D7"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AE05444" w14:textId="77777777" w:rsidR="00E0653A" w:rsidRDefault="00D040D7" w:rsidP="00C8338E">
      <w:r>
        <w:instrText>"</w:instrText>
      </w:r>
      <w:r>
        <w:rPr>
          <w:b/>
        </w:rPr>
        <w:instrText xml:space="preserve"> </w:instrText>
      </w:r>
      <w:r>
        <w:rPr>
          <w:b/>
        </w:rPr>
        <w:fldChar w:fldCharType="end"/>
      </w:r>
      <w:r>
        <w:rPr>
          <w:b/>
        </w:rPr>
        <w:instrText xml:space="preserve"> "Tidigare beha</w:instrText>
      </w:r>
      <w:r>
        <w:rPr>
          <w:b/>
        </w:rPr>
        <w:instrText>ndlat i utskottet</w:instrText>
      </w:r>
      <w:r>
        <w:rPr>
          <w:b/>
        </w:rPr>
        <w:br/>
      </w:r>
      <w:r w:rsidRPr="002F0461">
        <w:instrText>-</w:instrText>
      </w:r>
    </w:p>
    <w:p w14:paraId="3AE05445" w14:textId="77777777" w:rsidR="00E0653A" w:rsidRDefault="00D040D7"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AE05447" w14:textId="509619C7" w:rsidR="00CB1191" w:rsidRDefault="00D040D7" w:rsidP="00B254E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förordning som ändrar i bilaga VI (gällande harmoniserande klassificeringar av ämnen).</w:t>
      </w:r>
    </w:p>
    <w:p w14:paraId="3AE05448" w14:textId="494A3461" w:rsidR="00CB1191" w:rsidRDefault="00D040D7">
      <w:pPr>
        <w:spacing w:after="280" w:afterAutospacing="1"/>
      </w:pPr>
      <w:r>
        <w:rPr>
          <w:b/>
          <w:bCs/>
        </w:rPr>
        <w:t xml:space="preserve">Hur regeringen ställer sig till den </w:t>
      </w:r>
      <w:r>
        <w:rPr>
          <w:b/>
          <w:bCs/>
        </w:rPr>
        <w:t>blivande A-punkten:</w:t>
      </w:r>
      <w:r>
        <w:t xml:space="preserve"> Rösta ja</w:t>
      </w:r>
    </w:p>
    <w:p w14:paraId="3AE0544A" w14:textId="7E18DCD0" w:rsidR="00FB32B9" w:rsidRDefault="00D040D7">
      <w:pPr>
        <w:spacing w:after="280" w:afterAutospacing="1"/>
        <w:rPr>
          <w:noProof/>
        </w:rPr>
      </w:pPr>
      <w:r>
        <w:rPr>
          <w:b/>
          <w:bCs/>
        </w:rPr>
        <w:t>Bakgrund:</w:t>
      </w:r>
      <w:r>
        <w:t xml:space="preserve"> Bilaga VI till CLP uppdateras regelbundet avseende harmoniserande klassificeringar ämnen.</w:t>
      </w:r>
    </w:p>
    <w:p w14:paraId="3AE0544B" w14:textId="77777777" w:rsidR="00643D86" w:rsidRDefault="00D040D7" w:rsidP="00643D86">
      <w:pPr>
        <w:pStyle w:val="Rubrik1"/>
      </w:pPr>
      <w:bookmarkStart w:id="5" w:name="_Toc446416995"/>
      <w:r>
        <w:rPr>
          <w:noProof/>
        </w:rPr>
        <w:t>Commission</w:t>
      </w:r>
      <w:r>
        <w:rPr>
          <w:noProof/>
        </w:rPr>
        <w:t xml:space="preserve"> Directive (EU) .../… of XXX amending Directive 2009/45/EC of the European Parliament and of the Council on safety</w:t>
      </w:r>
      <w:r>
        <w:rPr>
          <w:noProof/>
        </w:rPr>
        <w:t xml:space="preserve"> rules and standards for passenger ships</w:t>
      </w:r>
      <w:bookmarkEnd w:id="5"/>
    </w:p>
    <w:p w14:paraId="3AE0544C" w14:textId="34EAC9B1" w:rsidR="00643D86" w:rsidRDefault="00D040D7" w:rsidP="00643D86">
      <w:pPr>
        <w:rPr>
          <w:lang w:val="en-US"/>
        </w:rPr>
      </w:pPr>
      <w:r>
        <w:rPr>
          <w:noProof/>
          <w:lang w:val="en-US"/>
        </w:rPr>
        <w:t>=</w:t>
      </w:r>
      <w:r>
        <w:rPr>
          <w:lang w:val="en-US"/>
        </w:rPr>
        <w:t>Decision not to oppose adoption</w:t>
      </w:r>
      <w:r>
        <w:rPr>
          <w:lang w:val="en-US"/>
        </w:rPr>
        <w:br/>
      </w:r>
      <w:r>
        <w:rPr>
          <w:noProof/>
          <w:lang w:val="en-US"/>
        </w:rPr>
        <w:t>7142</w:t>
      </w:r>
      <w:r>
        <w:rPr>
          <w:lang w:val="en-US"/>
        </w:rPr>
        <w:t>/16 MAR 93</w:t>
      </w:r>
      <w:r w:rsidR="00B254E9">
        <w:rPr>
          <w:lang w:val="en-US"/>
        </w:rPr>
        <w:t xml:space="preserve"> </w:t>
      </w:r>
      <w:r>
        <w:rPr>
          <w:lang w:val="en-US"/>
        </w:rPr>
        <w:t>5895/16 MAR 31+ ADD 1</w:t>
      </w:r>
    </w:p>
    <w:p w14:paraId="3AE0544D" w14:textId="77777777" w:rsidR="00643D86" w:rsidRDefault="00D040D7" w:rsidP="00643D86">
      <w:r>
        <w:rPr>
          <w:b/>
        </w:rPr>
        <w:t>Ansvarigt statsråd</w:t>
      </w:r>
      <w:r>
        <w:rPr>
          <w:b/>
        </w:rPr>
        <w:br/>
      </w:r>
      <w:r>
        <w:rPr>
          <w:noProof/>
        </w:rPr>
        <w:t>Anna</w:t>
      </w:r>
      <w:r>
        <w:t xml:space="preserve"> Johansson</w:t>
      </w:r>
    </w:p>
    <w:p w14:paraId="3AE0544E" w14:textId="77777777" w:rsidR="00E0653A" w:rsidRDefault="00D040D7"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E0544F" w14:textId="77777777" w:rsidR="00E0653A" w:rsidRDefault="00D040D7"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E05450" w14:textId="77777777" w:rsidR="00E0653A" w:rsidRDefault="00D040D7"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E05451" w14:textId="77777777" w:rsidR="00E0653A" w:rsidRDefault="00D040D7"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AE05452" w14:textId="77777777" w:rsidR="00E0653A" w:rsidRDefault="00D040D7"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E05453" w14:textId="77777777" w:rsidR="00E0653A" w:rsidRDefault="00D040D7"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E05454" w14:textId="77777777" w:rsidR="00E0653A" w:rsidRDefault="00D040D7"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w:instrText>
      </w:r>
      <w:r>
        <w:rPr>
          <w:b/>
        </w:rPr>
        <w:instrText xml:space="preserve">gare behandlat i utskottet </w:instrText>
      </w:r>
      <w:r>
        <w:rPr>
          <w:b/>
        </w:rPr>
        <w:br/>
      </w:r>
      <w:r w:rsidRPr="002F0461">
        <w:instrText>-</w:instrText>
      </w:r>
    </w:p>
    <w:p w14:paraId="3AE05455" w14:textId="77777777" w:rsidR="00E0653A" w:rsidRDefault="00D040D7"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E05456" w14:textId="77777777" w:rsidR="00E0653A" w:rsidRDefault="00D040D7"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0F90D79" w14:textId="3A1B8403" w:rsidR="00B254E9" w:rsidRDefault="00D040D7" w:rsidP="00B254E9">
      <w:pPr>
        <w:tabs>
          <w:tab w:val="left" w:pos="7365"/>
        </w:tabs>
      </w:pPr>
      <w:r>
        <w:instrText>"</w:instrText>
      </w:r>
      <w:r>
        <w:rPr>
          <w:b/>
        </w:rPr>
        <w:instrText xml:space="preserve"> </w:instrText>
      </w:r>
      <w:r>
        <w:rPr>
          <w:b/>
        </w:rPr>
        <w:fldChar w:fldCharType="end"/>
      </w:r>
      <w:r w:rsidRPr="00B44CE2">
        <w:rPr>
          <w:b/>
        </w:rPr>
        <w:t>Annotering</w:t>
      </w:r>
      <w:r w:rsidR="00B254E9">
        <w:rPr>
          <w:b/>
        </w:rPr>
        <w:br/>
      </w:r>
      <w:r>
        <w:rPr>
          <w:b/>
          <w:bCs/>
        </w:rPr>
        <w:t xml:space="preserve">Avsikt med behandlingen i rådet: </w:t>
      </w:r>
      <w:r>
        <w:t xml:space="preserve">Antagande av ändring av direktivet </w:t>
      </w:r>
      <w:r w:rsidR="00B254E9">
        <w:t xml:space="preserve"> </w:t>
      </w:r>
    </w:p>
    <w:p w14:paraId="3AE05458" w14:textId="4D86CDF9" w:rsidR="00CB1191" w:rsidRDefault="00D040D7" w:rsidP="00B254E9">
      <w:pPr>
        <w:tabs>
          <w:tab w:val="left" w:pos="7365"/>
        </w:tabs>
      </w:pPr>
      <w:r>
        <w:rPr>
          <w:b/>
          <w:bCs/>
        </w:rPr>
        <w:t xml:space="preserve">Hur regeringen ställer sig till den blivande a-punkten: </w:t>
      </w:r>
      <w:r>
        <w:t xml:space="preserve">Regeringen avser rösta ja till förslaget. </w:t>
      </w:r>
    </w:p>
    <w:p w14:paraId="3AE05459" w14:textId="6B82A75C" w:rsidR="00CB1191" w:rsidRDefault="00D040D7">
      <w:pPr>
        <w:spacing w:after="280" w:afterAutospacing="1"/>
      </w:pPr>
      <w:r>
        <w:rPr>
          <w:b/>
          <w:bCs/>
        </w:rPr>
        <w:t xml:space="preserve">Bakgrund: </w:t>
      </w:r>
      <w:r>
        <w:t>Passagerarfartygssäkerhetsdirektivet introducerar gemensamma regler och standarder in unionen för passagerarfartyg och höghastighetsfartyg som företar resor inom en medlemsstat. Direktivet innehåller re</w:t>
      </w:r>
      <w:r>
        <w:t>gler avseende konstruktion, stabilitet, elektronik, brandskydd, livräddningsutrustning och maskin och tillämpas på passagerarfartyg av stål eller motsvarande. Direktivet föreskriver även besiktningsintervaller för fartyg. Nationella myndigheter har möjligh</w:t>
      </w:r>
      <w:r>
        <w:t xml:space="preserve">et att införa ytterligare nationella krav. </w:t>
      </w:r>
    </w:p>
    <w:p w14:paraId="3AE0545B" w14:textId="686B4398" w:rsidR="00CB1191" w:rsidRDefault="00D040D7">
      <w:pPr>
        <w:spacing w:after="280" w:afterAutospacing="1"/>
      </w:pPr>
      <w:r>
        <w:t xml:space="preserve">I och med ändringen genomförs vissa tekniska justeringar av direktivet till följd av redan beslutade ändringar av den internationella sjösäkerhetskonventionen, SOLAS. </w:t>
      </w:r>
    </w:p>
    <w:p w14:paraId="3AE0545C" w14:textId="77777777" w:rsidR="00643D86" w:rsidRDefault="00D040D7" w:rsidP="00643D86">
      <w:pPr>
        <w:pStyle w:val="Rubrik1"/>
      </w:pPr>
      <w:bookmarkStart w:id="6" w:name="_Toc446416996"/>
      <w:r>
        <w:rPr>
          <w:noProof/>
        </w:rPr>
        <w:lastRenderedPageBreak/>
        <w:t>Draft</w:t>
      </w:r>
      <w:r>
        <w:rPr>
          <w:noProof/>
        </w:rPr>
        <w:t xml:space="preserve"> Council conclusions on Special Report</w:t>
      </w:r>
      <w:r>
        <w:rPr>
          <w:noProof/>
        </w:rPr>
        <w:t xml:space="preserve"> No 23/2015 from the European Court of Auditors entitled "Water quality in the Danube river basin: progress in implementing the water framework directive but still some way to go"</w:t>
      </w:r>
      <w:bookmarkEnd w:id="6"/>
    </w:p>
    <w:p w14:paraId="3AE0545D" w14:textId="77777777" w:rsidR="00643D86" w:rsidRDefault="00D040D7" w:rsidP="00643D86">
      <w:pPr>
        <w:rPr>
          <w:lang w:val="en-US"/>
        </w:rPr>
      </w:pPr>
      <w:r>
        <w:rPr>
          <w:noProof/>
          <w:lang w:val="en-US"/>
        </w:rPr>
        <w:t>=</w:t>
      </w:r>
      <w:r>
        <w:rPr>
          <w:lang w:val="en-US"/>
        </w:rPr>
        <w:t>Adoption</w:t>
      </w:r>
      <w:r>
        <w:rPr>
          <w:lang w:val="en-US"/>
        </w:rPr>
        <w:br/>
      </w:r>
      <w:r>
        <w:rPr>
          <w:noProof/>
          <w:lang w:val="en-US"/>
        </w:rPr>
        <w:t>7144</w:t>
      </w:r>
      <w:r>
        <w:rPr>
          <w:lang w:val="en-US"/>
        </w:rPr>
        <w:t xml:space="preserve">/16 ENV 170 FIN 177 AGRI 136 IND 54 SAN 1005738/16 FIN 69 ENV </w:t>
      </w:r>
      <w:r>
        <w:rPr>
          <w:lang w:val="en-US"/>
        </w:rPr>
        <w:t>34 AGRI 34 IND 15 SAN 35</w:t>
      </w:r>
    </w:p>
    <w:p w14:paraId="3AE0545E" w14:textId="77777777" w:rsidR="00643D86" w:rsidRDefault="00D040D7" w:rsidP="00643D86">
      <w:r>
        <w:rPr>
          <w:b/>
        </w:rPr>
        <w:t>Ansvarigt statsråd</w:t>
      </w:r>
      <w:r>
        <w:rPr>
          <w:b/>
        </w:rPr>
        <w:br/>
      </w:r>
      <w:r>
        <w:rPr>
          <w:noProof/>
        </w:rPr>
        <w:t>Åsa</w:t>
      </w:r>
      <w:r>
        <w:t xml:space="preserve"> Romson</w:t>
      </w:r>
    </w:p>
    <w:p w14:paraId="3AE0545F" w14:textId="77777777" w:rsidR="00E0653A" w:rsidRDefault="00D040D7" w:rsidP="00C8338E">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w:instrText>
      </w:r>
      <w:r>
        <w:rPr>
          <w:b/>
        </w:rPr>
        <w:fldChar w:fldCharType="begin"/>
      </w:r>
      <w:r>
        <w:rPr>
          <w:b/>
        </w:rPr>
        <w:instrText xml:space="preserve"> IF</w:instrText>
      </w:r>
      <w:r>
        <w:rPr>
          <w:b/>
        </w:rPr>
        <w:instrText xml:space="preserve"> "</w:instrText>
      </w:r>
      <w:r>
        <w:rPr>
          <w:b/>
        </w:rPr>
        <w:instrText>-</w:instrText>
      </w:r>
      <w:r>
        <w:rPr>
          <w:b/>
        </w:rPr>
        <w:instrText>"</w:instrText>
      </w:r>
      <w:r>
        <w:rPr>
          <w:b/>
        </w:rPr>
        <w:instrText xml:space="preserve"> = "-" ""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AE05460" w14:textId="77777777" w:rsidR="00E0653A" w:rsidRDefault="00D040D7" w:rsidP="00C8338E">
      <w:r>
        <w:instrText>"</w:instrText>
      </w:r>
      <w:r>
        <w:rPr>
          <w:b/>
        </w:rPr>
        <w:instrText xml:space="preserve"> </w:instrText>
      </w:r>
      <w:r>
        <w:rPr>
          <w:b/>
        </w:rPr>
        <w:fldChar w:fldCharType="end"/>
      </w:r>
      <w:r>
        <w:rPr>
          <w:b/>
        </w:rPr>
        <w:instrText xml:space="preserve"> </w:instrText>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AE05461" w14:textId="77777777" w:rsidR="00E0653A" w:rsidRDefault="00D040D7" w:rsidP="00C8338E">
      <w:pPr>
        <w:rPr>
          <w:noProof/>
        </w:rPr>
      </w:pPr>
      <w:r>
        <w:instrText>"</w:instrText>
      </w:r>
      <w:r>
        <w:rPr>
          <w:b/>
        </w:rPr>
        <w:instrText xml:space="preserve"> </w:instrText>
      </w:r>
      <w:r>
        <w:rPr>
          <w:b/>
        </w:rPr>
        <w:fldChar w:fldCharType="end"/>
      </w:r>
      <w:r>
        <w:rPr>
          <w:b/>
        </w:rPr>
        <w:instrText xml:space="preserve"> </w:instrText>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AE05462" w14:textId="77777777" w:rsidR="00E0653A" w:rsidRDefault="00D040D7"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w:instrText>
      </w:r>
      <w:r>
        <w:rPr>
          <w:b/>
        </w:rPr>
        <w:instrText xml:space="preserve">" = "-" "" "Tidigare behandlat i </w:instrText>
      </w:r>
      <w:r w:rsidRPr="00643D86">
        <w:rPr>
          <w:b/>
        </w:rPr>
        <w:instrText>råde</w:instrText>
      </w:r>
      <w:r>
        <w:rPr>
          <w:b/>
        </w:rPr>
        <w:instrText xml:space="preserve">t </w:instrText>
      </w:r>
      <w:r>
        <w:rPr>
          <w:b/>
        </w:rPr>
        <w:br/>
      </w:r>
      <w:r w:rsidRPr="002F0461">
        <w:instrText>-</w:instrText>
      </w:r>
    </w:p>
    <w:p w14:paraId="3AE05463" w14:textId="77777777" w:rsidR="00E0653A" w:rsidRDefault="00D040D7"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AE05464" w14:textId="77777777" w:rsidR="00E0653A" w:rsidRDefault="00D040D7"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AE05465" w14:textId="77777777" w:rsidR="00E0653A" w:rsidRDefault="00D040D7"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AE05466" w14:textId="77777777" w:rsidR="00E0653A" w:rsidRDefault="00D040D7"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AE05467" w14:textId="77777777" w:rsidR="00E0653A" w:rsidRDefault="00D040D7" w:rsidP="00C8338E">
      <w:pPr>
        <w:rPr>
          <w:noProof/>
        </w:rPr>
      </w:pPr>
      <w:r>
        <w:instrText>"</w:instrText>
      </w:r>
      <w:r>
        <w:rPr>
          <w:b/>
        </w:rPr>
        <w:instrText xml:space="preserve"> </w:instrText>
      </w:r>
      <w:r>
        <w:rPr>
          <w:b/>
        </w:rPr>
        <w:fldChar w:fldCharType="end"/>
      </w:r>
      <w:r>
        <w:rPr>
          <w:b/>
        </w:rPr>
        <w:instrText xml:space="preserve">  "Tidigare beha</w:instrText>
      </w:r>
      <w:r>
        <w:rPr>
          <w:b/>
        </w:rPr>
        <w:instrText>ndlat i utskottet</w:instrText>
      </w:r>
      <w:r>
        <w:rPr>
          <w:b/>
        </w:rPr>
        <w:br/>
      </w:r>
      <w:r>
        <w:instrText>-</w:instrText>
      </w:r>
    </w:p>
    <w:p w14:paraId="3AE05469" w14:textId="3ACB9423" w:rsidR="00CB1191" w:rsidRDefault="00D040D7" w:rsidP="00B254E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t>Antagande av rådsslutsatser</w:t>
      </w:r>
    </w:p>
    <w:p w14:paraId="3AE0546A" w14:textId="2EFECB06" w:rsidR="00CB1191" w:rsidRDefault="00D040D7">
      <w:pPr>
        <w:spacing w:after="280" w:afterAutospacing="1"/>
      </w:pPr>
      <w:r>
        <w:rPr>
          <w:b/>
          <w:bCs/>
        </w:rPr>
        <w:t>Hur regeringen ställer sig till den blivande A-punkten:</w:t>
      </w:r>
      <w:r>
        <w:t xml:space="preserve"> </w:t>
      </w:r>
      <w:r>
        <w:t>Godtar utan kommentarer.</w:t>
      </w:r>
    </w:p>
    <w:p w14:paraId="3AE0546C" w14:textId="72B071D3" w:rsidR="00FB32B9" w:rsidRDefault="00D040D7">
      <w:pPr>
        <w:spacing w:after="280" w:afterAutospacing="1"/>
        <w:rPr>
          <w:noProof/>
        </w:rPr>
      </w:pPr>
      <w:r>
        <w:rPr>
          <w:b/>
          <w:bCs/>
        </w:rPr>
        <w:t>Bakgrund:</w:t>
      </w:r>
      <w:r>
        <w:t xml:space="preserve"> </w:t>
      </w:r>
      <w:r>
        <w:t xml:space="preserve">Europeiska revisionsrätten har granskat om medlemsstaternas </w:t>
      </w:r>
      <w:r>
        <w:t>genomförande av förvaltningsplaner för Danubes avrinningsområde, i relation till kraven i ramdirektivet för vatten, har lett till förbättring av vattenkvaliteten. Efter antagande av rapporten har rådsslutsatser tagits fram och förhandlats under ett möte. S</w:t>
      </w:r>
      <w:r>
        <w:t>verige har inte lämnat några synpunkter på rådsslutsatserna.</w:t>
      </w:r>
    </w:p>
    <w:bookmarkEnd w:id="0"/>
    <w:p w14:paraId="3AE0546D" w14:textId="77777777" w:rsidR="00643D86" w:rsidRPr="00377012" w:rsidRDefault="00D040D7" w:rsidP="00643D86">
      <w:pPr>
        <w:ind w:left="0"/>
      </w:pPr>
    </w:p>
    <w:sectPr w:rsidR="00643D86" w:rsidRPr="00377012"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05487" w14:textId="77777777" w:rsidR="00000000" w:rsidRDefault="00D040D7">
      <w:pPr>
        <w:spacing w:after="0" w:line="240" w:lineRule="auto"/>
      </w:pPr>
      <w:r>
        <w:separator/>
      </w:r>
    </w:p>
  </w:endnote>
  <w:endnote w:type="continuationSeparator" w:id="0">
    <w:p w14:paraId="3AE05489" w14:textId="77777777" w:rsidR="00000000" w:rsidRDefault="00D0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5471" w14:textId="77777777" w:rsidR="002F3A5A" w:rsidRDefault="00D040D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3AE05472" w14:textId="77777777" w:rsidR="00283DF3" w:rsidRDefault="00D040D7">
        <w:pPr>
          <w:pStyle w:val="Sidfot"/>
          <w:jc w:val="right"/>
        </w:pPr>
      </w:p>
    </w:sdtContent>
  </w:sdt>
  <w:p w14:paraId="3AE05473" w14:textId="77777777" w:rsidR="00283DF3" w:rsidRDefault="00D040D7">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5481" w14:textId="77777777" w:rsidR="00283DF3" w:rsidRDefault="00D040D7">
    <w:pPr>
      <w:pStyle w:val="Sidfot"/>
      <w:jc w:val="right"/>
    </w:pPr>
  </w:p>
  <w:p w14:paraId="3AE05482" w14:textId="77777777" w:rsidR="00283DF3" w:rsidRDefault="00D040D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05483" w14:textId="77777777" w:rsidR="00000000" w:rsidRDefault="00D040D7">
      <w:pPr>
        <w:spacing w:after="0" w:line="240" w:lineRule="auto"/>
      </w:pPr>
      <w:r>
        <w:separator/>
      </w:r>
    </w:p>
  </w:footnote>
  <w:footnote w:type="continuationSeparator" w:id="0">
    <w:p w14:paraId="3AE05485" w14:textId="77777777" w:rsidR="00000000" w:rsidRDefault="00D040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546E" w14:textId="77777777" w:rsidR="002F3A5A" w:rsidRDefault="00D040D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3AE0546F" w14:textId="77777777" w:rsidR="002F3A5A" w:rsidRDefault="00D040D7" w:rsidP="002F3A5A">
        <w:pPr>
          <w:pStyle w:val="Sidhuvud"/>
          <w:jc w:val="right"/>
        </w:pPr>
        <w:r>
          <w:fldChar w:fldCharType="begin"/>
        </w:r>
        <w:r>
          <w:instrText xml:space="preserve"> PAGE   \* MERGEFORMAT </w:instrText>
        </w:r>
        <w:r>
          <w:fldChar w:fldCharType="separate"/>
        </w:r>
        <w:r>
          <w:rPr>
            <w:noProof/>
          </w:rPr>
          <w:t>4</w:t>
        </w:r>
        <w:r>
          <w:rPr>
            <w:noProof/>
          </w:rPr>
          <w:fldChar w:fldCharType="end"/>
        </w:r>
      </w:p>
    </w:sdtContent>
  </w:sdt>
  <w:p w14:paraId="3AE05470" w14:textId="77777777" w:rsidR="006F1C0D" w:rsidRDefault="00D040D7"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B1191" w14:paraId="3AE0547B" w14:textId="77777777" w:rsidTr="006E71D7">
      <w:tc>
        <w:tcPr>
          <w:tcW w:w="4606" w:type="dxa"/>
        </w:tcPr>
        <w:p w14:paraId="3AE05474" w14:textId="77777777" w:rsidR="006E71D7" w:rsidRDefault="00D040D7" w:rsidP="00752770">
          <w:pPr>
            <w:pStyle w:val="Sidhuvud"/>
            <w:ind w:left="0"/>
          </w:pPr>
          <w:r>
            <w:rPr>
              <w:noProof/>
              <w:lang w:eastAsia="sv-SE"/>
            </w:rPr>
            <w:drawing>
              <wp:inline distT="0" distB="0" distL="0" distR="0" wp14:anchorId="3AE05483" wp14:editId="3AE05484">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AE05475" w14:textId="77777777" w:rsidR="00FB32B9" w:rsidRDefault="00D040D7"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CB1191" w14:paraId="3AE05478" w14:textId="77777777" w:rsidTr="00623763">
            <w:tc>
              <w:tcPr>
                <w:tcW w:w="1833" w:type="dxa"/>
              </w:tcPr>
              <w:p w14:paraId="3AE05476" w14:textId="77777777" w:rsidR="00623763" w:rsidRPr="00623763" w:rsidRDefault="00D040D7" w:rsidP="00623763">
                <w:pPr>
                  <w:ind w:left="0"/>
                </w:pPr>
                <w:r w:rsidRPr="00623763">
                  <w:rPr>
                    <w:rFonts w:ascii="TradeGothic" w:hAnsi="TradeGothic"/>
                    <w:b/>
                  </w:rPr>
                  <w:t>Promemoria</w:t>
                </w:r>
              </w:p>
            </w:tc>
            <w:tc>
              <w:tcPr>
                <w:tcW w:w="1833" w:type="dxa"/>
              </w:tcPr>
              <w:p w14:paraId="3AE05477" w14:textId="77777777" w:rsidR="00623763" w:rsidRPr="00623763" w:rsidRDefault="00D040D7"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12</w:t>
                </w:r>
                <w:r w:rsidRPr="00623763">
                  <w:rPr>
                    <w:rFonts w:ascii="TradeGothic" w:hAnsi="TradeGothic"/>
                    <w:b/>
                  </w:rPr>
                  <w:t>]</w:t>
                </w:r>
              </w:p>
            </w:tc>
          </w:tr>
        </w:tbl>
        <w:p w14:paraId="3AE05479" w14:textId="77777777" w:rsidR="00FB32B9" w:rsidRDefault="00D040D7" w:rsidP="00FB32B9">
          <w:pPr>
            <w:jc w:val="right"/>
          </w:pPr>
        </w:p>
        <w:p w14:paraId="3AE0547A" w14:textId="77777777" w:rsidR="006E71D7" w:rsidRDefault="00D040D7" w:rsidP="00FB32B9">
          <w:pPr>
            <w:ind w:right="916"/>
          </w:pPr>
          <w:r>
            <w:rPr>
              <w:rFonts w:ascii="TradeGothic" w:hAnsi="TradeGothic"/>
              <w:b/>
              <w:noProof/>
            </w:rPr>
            <w:t>2016-03-22</w:t>
          </w:r>
          <w:r w:rsidRPr="00934953">
            <w:t xml:space="preserve"> </w:t>
          </w:r>
        </w:p>
      </w:tc>
    </w:tr>
  </w:tbl>
  <w:p w14:paraId="3AE0547C" w14:textId="77777777" w:rsidR="00FB32B9" w:rsidRDefault="00D040D7" w:rsidP="00FB32B9">
    <w:pPr>
      <w:pStyle w:val="Avsndare"/>
      <w:framePr w:w="0" w:hRule="auto" w:hSpace="0" w:wrap="auto" w:vAnchor="margin" w:hAnchor="text" w:xAlign="left" w:yAlign="inline"/>
      <w:rPr>
        <w:b/>
        <w:i w:val="0"/>
        <w:sz w:val="22"/>
      </w:rPr>
    </w:pPr>
  </w:p>
  <w:p w14:paraId="3AE0547D" w14:textId="77777777" w:rsidR="00FB32B9" w:rsidRDefault="00D040D7" w:rsidP="00FB32B9">
    <w:pPr>
      <w:pStyle w:val="Avsndare"/>
      <w:framePr w:w="0" w:hRule="auto" w:hSpace="0" w:wrap="auto" w:vAnchor="margin" w:hAnchor="text" w:xAlign="left" w:yAlign="inline"/>
      <w:rPr>
        <w:b/>
        <w:i w:val="0"/>
        <w:sz w:val="22"/>
      </w:rPr>
    </w:pPr>
    <w:r>
      <w:rPr>
        <w:b/>
        <w:i w:val="0"/>
        <w:sz w:val="22"/>
      </w:rPr>
      <w:t>Statsrådsberedningen</w:t>
    </w:r>
  </w:p>
  <w:p w14:paraId="3AE0547E" w14:textId="77777777" w:rsidR="00FB32B9" w:rsidRDefault="00D040D7" w:rsidP="00FB32B9">
    <w:pPr>
      <w:pStyle w:val="Avsndare"/>
      <w:framePr w:w="0" w:hRule="auto" w:hSpace="0" w:wrap="auto" w:vAnchor="margin" w:hAnchor="text" w:xAlign="left" w:yAlign="inline"/>
    </w:pPr>
  </w:p>
  <w:p w14:paraId="3AE0547F" w14:textId="77777777" w:rsidR="00FB32B9" w:rsidRDefault="00D040D7" w:rsidP="00FB32B9">
    <w:pPr>
      <w:pStyle w:val="Avsndare"/>
      <w:framePr w:w="0" w:hRule="auto" w:hSpace="0" w:wrap="auto" w:vAnchor="margin" w:hAnchor="text" w:xAlign="left" w:yAlign="inline"/>
    </w:pPr>
    <w:r>
      <w:t>EU-kansliet</w:t>
    </w:r>
  </w:p>
  <w:p w14:paraId="3AE05480" w14:textId="77777777" w:rsidR="0012376B" w:rsidRDefault="00D040D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EE9C5F18">
      <w:start w:val="1"/>
      <w:numFmt w:val="decimal"/>
      <w:pStyle w:val="Rubrik1"/>
      <w:lvlText w:val="%1."/>
      <w:lvlJc w:val="left"/>
      <w:pPr>
        <w:ind w:left="720" w:hanging="360"/>
      </w:pPr>
    </w:lvl>
    <w:lvl w:ilvl="1" w:tplc="79A06AA8" w:tentative="1">
      <w:start w:val="1"/>
      <w:numFmt w:val="lowerLetter"/>
      <w:lvlText w:val="%2."/>
      <w:lvlJc w:val="left"/>
      <w:pPr>
        <w:ind w:left="1440" w:hanging="360"/>
      </w:pPr>
    </w:lvl>
    <w:lvl w:ilvl="2" w:tplc="1388B9DC" w:tentative="1">
      <w:start w:val="1"/>
      <w:numFmt w:val="lowerRoman"/>
      <w:lvlText w:val="%3."/>
      <w:lvlJc w:val="right"/>
      <w:pPr>
        <w:ind w:left="2160" w:hanging="180"/>
      </w:pPr>
    </w:lvl>
    <w:lvl w:ilvl="3" w:tplc="A394CCAA" w:tentative="1">
      <w:start w:val="1"/>
      <w:numFmt w:val="decimal"/>
      <w:lvlText w:val="%4."/>
      <w:lvlJc w:val="left"/>
      <w:pPr>
        <w:ind w:left="2880" w:hanging="360"/>
      </w:pPr>
    </w:lvl>
    <w:lvl w:ilvl="4" w:tplc="46163C5C" w:tentative="1">
      <w:start w:val="1"/>
      <w:numFmt w:val="lowerLetter"/>
      <w:lvlText w:val="%5."/>
      <w:lvlJc w:val="left"/>
      <w:pPr>
        <w:ind w:left="3600" w:hanging="360"/>
      </w:pPr>
    </w:lvl>
    <w:lvl w:ilvl="5" w:tplc="EE14FB78" w:tentative="1">
      <w:start w:val="1"/>
      <w:numFmt w:val="lowerRoman"/>
      <w:lvlText w:val="%6."/>
      <w:lvlJc w:val="right"/>
      <w:pPr>
        <w:ind w:left="4320" w:hanging="180"/>
      </w:pPr>
    </w:lvl>
    <w:lvl w:ilvl="6" w:tplc="BF547AB8" w:tentative="1">
      <w:start w:val="1"/>
      <w:numFmt w:val="decimal"/>
      <w:lvlText w:val="%7."/>
      <w:lvlJc w:val="left"/>
      <w:pPr>
        <w:ind w:left="5040" w:hanging="360"/>
      </w:pPr>
    </w:lvl>
    <w:lvl w:ilvl="7" w:tplc="766A5B46" w:tentative="1">
      <w:start w:val="1"/>
      <w:numFmt w:val="lowerLetter"/>
      <w:lvlText w:val="%8."/>
      <w:lvlJc w:val="left"/>
      <w:pPr>
        <w:ind w:left="5760" w:hanging="360"/>
      </w:pPr>
    </w:lvl>
    <w:lvl w:ilvl="8" w:tplc="FD9CE61E" w:tentative="1">
      <w:start w:val="1"/>
      <w:numFmt w:val="lowerRoman"/>
      <w:lvlText w:val="%9."/>
      <w:lvlJc w:val="right"/>
      <w:pPr>
        <w:ind w:left="6480" w:hanging="180"/>
      </w:pPr>
    </w:lvl>
  </w:abstractNum>
  <w:abstractNum w:abstractNumId="1">
    <w:nsid w:val="73990993"/>
    <w:multiLevelType w:val="hybridMultilevel"/>
    <w:tmpl w:val="3BD822EE"/>
    <w:lvl w:ilvl="0" w:tplc="E070A416">
      <w:start w:val="1"/>
      <w:numFmt w:val="decimal"/>
      <w:lvlText w:val="%1."/>
      <w:lvlJc w:val="left"/>
      <w:pPr>
        <w:ind w:left="360" w:hanging="360"/>
      </w:pPr>
      <w:rPr>
        <w:b w:val="0"/>
      </w:rPr>
    </w:lvl>
    <w:lvl w:ilvl="1" w:tplc="4EFC898E" w:tentative="1">
      <w:start w:val="1"/>
      <w:numFmt w:val="lowerLetter"/>
      <w:lvlText w:val="%2."/>
      <w:lvlJc w:val="left"/>
      <w:pPr>
        <w:ind w:left="1080" w:hanging="360"/>
      </w:pPr>
    </w:lvl>
    <w:lvl w:ilvl="2" w:tplc="98044068" w:tentative="1">
      <w:start w:val="1"/>
      <w:numFmt w:val="lowerRoman"/>
      <w:lvlText w:val="%3."/>
      <w:lvlJc w:val="right"/>
      <w:pPr>
        <w:ind w:left="1800" w:hanging="180"/>
      </w:pPr>
    </w:lvl>
    <w:lvl w:ilvl="3" w:tplc="20108604" w:tentative="1">
      <w:start w:val="1"/>
      <w:numFmt w:val="decimal"/>
      <w:lvlText w:val="%4."/>
      <w:lvlJc w:val="left"/>
      <w:pPr>
        <w:ind w:left="2520" w:hanging="360"/>
      </w:pPr>
    </w:lvl>
    <w:lvl w:ilvl="4" w:tplc="B3401E54" w:tentative="1">
      <w:start w:val="1"/>
      <w:numFmt w:val="lowerLetter"/>
      <w:lvlText w:val="%5."/>
      <w:lvlJc w:val="left"/>
      <w:pPr>
        <w:ind w:left="3240" w:hanging="360"/>
      </w:pPr>
    </w:lvl>
    <w:lvl w:ilvl="5" w:tplc="FA2C3408" w:tentative="1">
      <w:start w:val="1"/>
      <w:numFmt w:val="lowerRoman"/>
      <w:lvlText w:val="%6."/>
      <w:lvlJc w:val="right"/>
      <w:pPr>
        <w:ind w:left="3960" w:hanging="180"/>
      </w:pPr>
    </w:lvl>
    <w:lvl w:ilvl="6" w:tplc="6B3423E8" w:tentative="1">
      <w:start w:val="1"/>
      <w:numFmt w:val="decimal"/>
      <w:lvlText w:val="%7."/>
      <w:lvlJc w:val="left"/>
      <w:pPr>
        <w:ind w:left="4680" w:hanging="360"/>
      </w:pPr>
    </w:lvl>
    <w:lvl w:ilvl="7" w:tplc="CD3C35C2" w:tentative="1">
      <w:start w:val="1"/>
      <w:numFmt w:val="lowerLetter"/>
      <w:lvlText w:val="%8."/>
      <w:lvlJc w:val="left"/>
      <w:pPr>
        <w:ind w:left="5400" w:hanging="360"/>
      </w:pPr>
    </w:lvl>
    <w:lvl w:ilvl="8" w:tplc="A5403B5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191"/>
    <w:rsid w:val="00B254E9"/>
    <w:rsid w:val="00CB1191"/>
    <w:rsid w:val="00D040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272291">
      <w:bodyDiv w:val="1"/>
      <w:marLeft w:val="0"/>
      <w:marRight w:val="0"/>
      <w:marTop w:val="0"/>
      <w:marBottom w:val="0"/>
      <w:divBdr>
        <w:top w:val="none" w:sz="0" w:space="0" w:color="auto"/>
        <w:left w:val="none" w:sz="0" w:space="0" w:color="auto"/>
        <w:bottom w:val="none" w:sz="0" w:space="0" w:color="auto"/>
        <w:right w:val="none" w:sz="0" w:space="0" w:color="auto"/>
      </w:divBdr>
    </w:div>
    <w:div w:id="99302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JE6N4JFJXNNF-17-41556</_dlc_DocId>
    <_dlc_DocIdUrl xmlns="8b66ae41-1ec6-402e-b662-35d1932ca064">
      <Url>http://rkdhs-sb/enhet/EUKansli/_layouts/DocIdRedir.aspx?ID=JE6N4JFJXNNF-17-41556</Url>
      <Description>JE6N4JFJXNNF-17-41556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6001E-E081-499F-926F-878CCC20AB2D}"/>
</file>

<file path=customXml/itemProps2.xml><?xml version="1.0" encoding="utf-8"?>
<ds:datastoreItem xmlns:ds="http://schemas.openxmlformats.org/officeDocument/2006/customXml" ds:itemID="{4845E377-357A-484B-B3DA-646F70DCBE0C}"/>
</file>

<file path=customXml/itemProps3.xml><?xml version="1.0" encoding="utf-8"?>
<ds:datastoreItem xmlns:ds="http://schemas.openxmlformats.org/officeDocument/2006/customXml" ds:itemID="{7A89CE1C-1F83-441B-A1DC-A1BC8F304987}"/>
</file>

<file path=customXml/itemProps4.xml><?xml version="1.0" encoding="utf-8"?>
<ds:datastoreItem xmlns:ds="http://schemas.openxmlformats.org/officeDocument/2006/customXml" ds:itemID="{17110B6A-4F39-43D0-8EB8-489D7B98E777}"/>
</file>

<file path=customXml/itemProps5.xml><?xml version="1.0" encoding="utf-8"?>
<ds:datastoreItem xmlns:ds="http://schemas.openxmlformats.org/officeDocument/2006/customXml" ds:itemID="{265D6828-3F15-4C56-B9C9-46B465E44543}"/>
</file>

<file path=customXml/itemProps6.xml><?xml version="1.0" encoding="utf-8"?>
<ds:datastoreItem xmlns:ds="http://schemas.openxmlformats.org/officeDocument/2006/customXml" ds:itemID="{D2AE1944-40A4-448C-92CC-DBD2C31C4028}"/>
</file>

<file path=customXml/itemProps7.xml><?xml version="1.0" encoding="utf-8"?>
<ds:datastoreItem xmlns:ds="http://schemas.openxmlformats.org/officeDocument/2006/customXml" ds:itemID="{65BFA461-C933-41DA-B85D-F12875A9B386}"/>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7604</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2016-03-22T12:36:00Z</dcterms:created>
  <dcterms:modified xsi:type="dcterms:W3CDTF">2016-03-22T12:36:00Z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1,2,3,4,5</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5dc8ef26-78bd-4a55-9b9a-55a692708cee</vt:lpwstr>
  </property>
</Properties>
</file>