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02B" w:rsidRDefault="009704C5"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alias w:val="Yrkande 1"/>
        <w:tag w:val="6d08473b-78a8-420c-903b-2d29cdd916dd"/>
        <w:id w:val="379828243"/>
        <w:lock w:val="sdtLocked"/>
      </w:sdtPr>
      <w:sdtEndPr/>
      <w:sdtContent>
        <w:p w:rsidR="00F864BC" w:rsidRDefault="00B53A9A" w14:paraId="39F05560"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282cabde-21e0-45d4-bc3a-5f784301275b"/>
        <w:id w:val="-8916393"/>
        <w:lock w:val="sdtLocked"/>
      </w:sdtPr>
      <w:sdtEndPr/>
      <w:sdtContent>
        <w:p w:rsidR="00F864BC" w:rsidRDefault="00B53A9A" w14:paraId="0E9831D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06826524-922a-42b6-8e1f-512063e33c1d"/>
        <w:id w:val="1414596069"/>
        <w:lock w:val="sdtLocked"/>
      </w:sdtPr>
      <w:sdtEndPr/>
      <w:sdtContent>
        <w:p w:rsidR="00F864BC" w:rsidRDefault="00B53A9A" w14:paraId="390FB1E9"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4660a196-5f1b-44f1-b5dc-da1ddfd27235"/>
        <w:id w:val="970246614"/>
        <w:lock w:val="sdtLocked"/>
      </w:sdtPr>
      <w:sdtEndPr/>
      <w:sdtContent>
        <w:p w:rsidR="00F864BC" w:rsidRDefault="00B53A9A" w14:paraId="31E442FB"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ca507252-bc9e-48ef-9d20-7d6fe8b97d53"/>
        <w:id w:val="544645836"/>
        <w:lock w:val="sdtLocked"/>
      </w:sdtPr>
      <w:sdtEndPr/>
      <w:sdtContent>
        <w:p w:rsidR="00F864BC" w:rsidRDefault="00B53A9A" w14:paraId="366D0A9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4569eee2-df0c-498f-9e97-fbb790b1046d"/>
        <w:id w:val="-1916769432"/>
        <w:lock w:val="sdtLocked"/>
      </w:sdtPr>
      <w:sdtEndPr/>
      <w:sdtContent>
        <w:p w:rsidR="00F864BC" w:rsidRDefault="00B53A9A" w14:paraId="6F5C66CD"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a0ae56-6550-486d-ab9e-6d5a0c7819bb"/>
        <w:id w:val="-2064700561"/>
        <w:lock w:val="sdtLocked"/>
      </w:sdtPr>
      <w:sdtEndPr/>
      <w:sdtContent>
        <w:p w:rsidR="00F864BC" w:rsidRDefault="00B53A9A" w14:paraId="6A044FD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eaf6c0da-acef-4d63-8c10-3ab5a7670b13"/>
        <w:id w:val="-1292440232"/>
        <w:lock w:val="sdtLocked"/>
      </w:sdtPr>
      <w:sdtEndPr/>
      <w:sdtContent>
        <w:p w:rsidR="00F864BC" w:rsidRDefault="00B53A9A" w14:paraId="41E3C14E"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w:rsidRPr="009B062B" w:rsidR="006D79C9" w:rsidP="00333E95" w:rsidRDefault="006D79C9" w14:paraId="748B5F13" w14:textId="77777777">
          <w:pPr>
            <w:pStyle w:val="Rubrik1"/>
          </w:pPr>
          <w:r>
            <w:t>Motivering</w:t>
          </w:r>
        </w:p>
      </w:sdtContent>
    </w:sdt>
    <w:bookmarkEnd w:displacedByCustomXml="prev" w:id="3"/>
    <w:bookmarkEnd w:displacedByCustomXml="prev" w:id="4"/>
    <w:p w:rsidR="003312F5" w:rsidP="009704C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3312F5" w:rsidP="003312F5" w:rsidRDefault="003312F5" w14:paraId="63E8BAF5" w14:textId="2E86D554">
      <w:r>
        <w:t>Genom Skatteverket finns möjligheten att, om hotbilden bedöms tillräckligt stark, få skyddade personuppgifter genom antingen sekretessmarkering, skyddad folkbokföring eller fingerade personuppgifter. Sekretessmarkering, som är den lägre graden av skyd</w:t>
      </w:r>
      <w:r w:rsidR="009704C5">
        <w:softHyphen/>
      </w:r>
      <w:r>
        <w:t>dade uppgifter, innebär att det är svårare att ta del av dina uppgifter i folkbokförings</w:t>
      </w:r>
      <w:r w:rsidR="009704C5">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3312F5" w:rsidP="003312F5" w:rsidRDefault="003312F5" w14:paraId="61D99BC9" w14:textId="40F7BED0">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3312F5" w:rsidP="003312F5" w:rsidRDefault="003312F5" w14:paraId="1DEB29DE" w14:textId="05B2C24C">
      <w:r>
        <w:t>Många gömda kvinnor vittnar om svårigheten att få ett arbete med skyddade upp</w:t>
      </w:r>
      <w:r w:rsidR="009704C5">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3312F5" w:rsidP="003312F5" w:rsidRDefault="003312F5" w14:paraId="03795864" w14:textId="54160DBB">
      <w:r>
        <w:t xml:space="preserve">I dagsläget finns inga uppgifter om hur ofta skyddade uppgifter röjs. Myndigheter har i uppgift att rapportera till Datainspektionen om personuppgifter kommit i fel händer, men i statistiken syns inte hur många av dessa fall som rör personer med </w:t>
      </w:r>
      <w:r w:rsidRPr="009704C5">
        <w:rPr>
          <w:spacing w:val="-1"/>
        </w:rPr>
        <w:t>skyd</w:t>
      </w:r>
      <w:r w:rsidR="009704C5">
        <w:rPr>
          <w:spacing w:val="-1"/>
        </w:rPr>
        <w:softHyphen/>
      </w:r>
      <w:r w:rsidRPr="009704C5">
        <w:rPr>
          <w:spacing w:val="-1"/>
        </w:rPr>
        <w:t>dade uppgifter. Inte heller Integritetsskyddsmyndigheten har någon sammanställning</w:t>
      </w:r>
      <w:r>
        <w:t xml:space="preserve"> av hur många klagomål respektive incidentanmälningar som rör just röjande av skyddade personuppgifter. Bristen på sammanställning av hur vanligt det är att skyddade person</w:t>
      </w:r>
      <w:r w:rsidR="009704C5">
        <w:softHyphen/>
      </w:r>
      <w:r>
        <w:t>uppgifter röjs skapar hinder för att säkerställa att problemen åtgärdas.</w:t>
      </w:r>
    </w:p>
    <w:p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3312F5" w:rsidP="003312F5" w:rsidRDefault="003312F5" w14:paraId="3EF7F36B" w14:textId="72865925">
      <w:r>
        <w:lastRenderedPageBreak/>
        <w:t xml:space="preserve">För att stärka barnens skydd beslutade riksdagen våren 2021, efter förslag från den dåvarande regeringen, att införa ett barnfridsbrott. Det innebär att det sedan juli 2021 är </w:t>
      </w:r>
      <w:r w:rsidRPr="009704C5">
        <w:rPr>
          <w:spacing w:val="-1"/>
        </w:rPr>
        <w:t>straffbart att utsätta barn för att bevittna våld i nära relation. Det ger barnet ett ökat rätts</w:t>
      </w:r>
      <w:r w:rsidRPr="009704C5" w:rsidR="009704C5">
        <w:rPr>
          <w:spacing w:val="-1"/>
        </w:rPr>
        <w:softHyphen/>
      </w:r>
      <w:r w:rsidRPr="009704C5">
        <w:rPr>
          <w:spacing w:val="-1"/>
        </w:rPr>
        <w:t>skydd</w:t>
      </w:r>
      <w:r>
        <w:t xml:space="preserve">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w:rsidR="003312F5" w:rsidP="003312F5" w:rsidRDefault="003312F5" w14:paraId="0780FCBC" w14:textId="77777777">
      <w:r>
        <w:t>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3312F5" w:rsidP="003312F5" w:rsidRDefault="003312F5" w14:paraId="2F6EDA13" w14:textId="48356156">
      <w:r>
        <w:t>För en förövare finns det fortfarande många sätt att utöva eftervåld. Dagens system med betänketid vid skilsmässor, där barn i hushållet under 16 år eller bara att den ena parten ber om det som regel innebär att skilsmässan fördröjs med minst 6</w:t>
      </w:r>
      <w:r w:rsidR="00D63780">
        <w:t> </w:t>
      </w:r>
      <w:r>
        <w:t>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3312F5" w:rsidP="003312F5" w:rsidRDefault="003312F5" w14:paraId="7B4A8C79" w14:textId="2F6DBD0A">
      <w:r>
        <w:t>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w:t>
      </w:r>
      <w:r w:rsidR="009704C5">
        <w:softHyphen/>
      </w:r>
      <w:r>
        <w:t>tiva verktyg när en part aktivt motverkar och försvårar en bodelning. Konsekven</w:t>
      </w:r>
      <w:r w:rsidR="009704C5">
        <w:softHyphen/>
      </w:r>
      <w:r>
        <w:t>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3312F5" w:rsidP="003312F5" w:rsidRDefault="003312F5" w14:paraId="5F693B9B" w14:textId="405BDE33">
      <w:r>
        <w:t>Den som blivit utsatt för grövre brott som kan ge fängelse för den som begått det har möjlighet att få ett målsägarbiträde utsett av domstol. En advokat som tillvaratar måls</w:t>
      </w:r>
      <w:r w:rsidR="009704C5">
        <w:softHyphen/>
      </w:r>
      <w:r>
        <w:t>ägandes (brottsoffrets) intresse i domstolen, är till stöd under förundersökning och rätte</w:t>
      </w:r>
      <w:r w:rsidR="009704C5">
        <w:softHyphen/>
      </w:r>
      <w:r>
        <w:t>gång samt eventuellt hjälper till att begära ersättning eller skadestånd. Målsägande</w:t>
      </w:r>
      <w:r w:rsidR="009704C5">
        <w:softHyphen/>
      </w:r>
      <w:r>
        <w:t>biträdet har uppdraget så länge förundersökning pågår och till dess eventuell tings</w:t>
      </w:r>
      <w:r>
        <w:softHyphen/>
        <w:t>rätts</w:t>
      </w:r>
      <w:r>
        <w:softHyphen/>
        <w:t>doms överklagandetid gått ut. Om domen överklagas till hovrätten måste målsägande eller målsägandebiträdet ansöka om tillstånd för målsägandebiträde att fortsätta represe</w:t>
      </w:r>
      <w:r w:rsidR="009704C5">
        <w:softHyphen/>
      </w:r>
      <w:r>
        <w:t>ntera den målsägande, det vill säga brottsoffret. I flera fall ges inget sådant till</w:t>
      </w:r>
      <w:r w:rsidR="009704C5">
        <w:softHyphen/>
      </w:r>
      <w:r>
        <w:t>stånd och brottsoffret står därför utan målsägandebiträde i</w:t>
      </w:r>
      <w:r w:rsidR="00D63780">
        <w:t xml:space="preserve"> </w:t>
      </w:r>
      <w:r>
        <w:t xml:space="preserve">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w:t>
      </w:r>
      <w:r>
        <w:lastRenderedPageBreak/>
        <w:t xml:space="preserve">släppts och därmed utgör ett direkt hot mot kvinnan. Samtidigt har den åtalade rätt till </w:t>
      </w:r>
      <w:r w:rsidRPr="009704C5">
        <w:rPr>
          <w:spacing w:val="-1"/>
        </w:rPr>
        <w:t>advokat genom hela rättsprocessen. Det nuvarande regelverket för rätten till målsägande</w:t>
      </w:r>
      <w:r w:rsidRPr="009704C5" w:rsidR="009704C5">
        <w:rPr>
          <w:spacing w:val="-1"/>
        </w:rPr>
        <w:softHyphen/>
      </w:r>
      <w:r w:rsidRPr="009704C5">
        <w:rPr>
          <w:spacing w:val="-1"/>
        </w:rPr>
        <w:t>biträde</w:t>
      </w:r>
      <w:r>
        <w:t xml:space="preserve"> bör ses över för att i större utsträckning ta hänsyn till brottsoffers utsatthet och rättigheter.</w:t>
      </w:r>
    </w:p>
    <w:p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3312F5" w:rsidP="003312F5" w:rsidRDefault="003312F5" w14:paraId="79F48719" w14:textId="2C72FAAB">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9704C5">
        <w:softHyphen/>
      </w:r>
      <w:r>
        <w:t>väsendet och skolväsendet som olika myndigheter.</w:t>
      </w:r>
    </w:p>
    <w:p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0591FBB6552F4195804916D5A1C0E442"/>
        </w:placeholder>
      </w:sdtPr>
      <w:sdtEndPr/>
      <w:sdtContent>
        <w:p w:rsidR="00EE302B" w:rsidP="00EE302B" w:rsidRDefault="00EE302B" w14:paraId="1EC06407" w14:textId="77777777"/>
        <w:p w:rsidR="00EE302B" w:rsidP="00EE302B" w:rsidRDefault="009704C5" w14:paraId="052F7112" w14:textId="0A4D35EA"/>
      </w:sdtContent>
    </w:sdt>
    <w:tbl>
      <w:tblPr>
        <w:tblW w:w="5000" w:type="pct"/>
        <w:tblLook w:val="04A0" w:firstRow="1" w:lastRow="0" w:firstColumn="1" w:lastColumn="0" w:noHBand="0" w:noVBand="1"/>
        <w:tblCaption w:val="underskrifter"/>
      </w:tblPr>
      <w:tblGrid>
        <w:gridCol w:w="4252"/>
        <w:gridCol w:w="4252"/>
      </w:tblGrid>
      <w:tr w:rsidR="00F864BC" w14:paraId="127D5BA6" w14:textId="77777777">
        <w:trPr>
          <w:cantSplit/>
        </w:trPr>
        <w:tc>
          <w:tcPr>
            <w:tcW w:w="50" w:type="pct"/>
            <w:vAlign w:val="bottom"/>
          </w:tcPr>
          <w:p w:rsidR="00F864BC" w:rsidRDefault="00B53A9A" w14:paraId="58AF1507" w14:textId="77777777">
            <w:pPr>
              <w:pStyle w:val="Underskrifter"/>
              <w:spacing w:after="0"/>
            </w:pPr>
            <w:r>
              <w:t>Alexandra Völker (S)</w:t>
            </w:r>
          </w:p>
        </w:tc>
        <w:tc>
          <w:tcPr>
            <w:tcW w:w="50" w:type="pct"/>
            <w:vAlign w:val="bottom"/>
          </w:tcPr>
          <w:p w:rsidR="00F864BC" w:rsidRDefault="00B53A9A" w14:paraId="4FC6A38E" w14:textId="77777777">
            <w:pPr>
              <w:pStyle w:val="Underskrifter"/>
              <w:spacing w:after="0"/>
            </w:pPr>
            <w:r>
              <w:t>Azadeh Rojhan (S)</w:t>
            </w:r>
          </w:p>
        </w:tc>
      </w:tr>
    </w:tbl>
    <w:p w:rsidRPr="008E0FE2" w:rsidR="004801AC" w:rsidP="00DF3554" w:rsidRDefault="004801AC" w14:paraId="445CA724" w14:textId="081181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B3A10" wp14:editId="2F6F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B3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14:paraId="17FA4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5AE" w14:textId="77777777" w:rsidR="00262EA3" w:rsidRDefault="00262EA3" w:rsidP="008563AC">
    <w:pPr>
      <w:jc w:val="right"/>
    </w:pPr>
  </w:p>
  <w:p w14:paraId="4A605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71F9" w14:textId="77777777" w:rsidR="00262EA3" w:rsidRDefault="009704C5" w:rsidP="008563AC">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anchorId="59E1C4C4" wp14:editId="4546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0FD9A" w14:textId="45134106" w:rsidR="00262EA3" w:rsidRDefault="009704C5" w:rsidP="00A314CF">
    <w:pPr>
      <w:pStyle w:val="FSHNormal"/>
      <w:spacing w:before="40"/>
    </w:pPr>
    <w:sdt>
      <w:sdtPr>
        <w:alias w:val="CC_Noformat_Motionstyp"/>
        <w:tag w:val="CC_Noformat_Motionstyp"/>
        <w:id w:val="1162973129"/>
        <w:lock w:val="sdtContentLocked"/>
        <w15:appearance w15:val="hidden"/>
        <w:text/>
      </w:sdtPr>
      <w:sdtEndPr/>
      <w:sdtContent>
        <w:r w:rsidR="00EE302B">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14:paraId="112DD3DE" w14:textId="77777777" w:rsidR="00262EA3" w:rsidRPr="008227B3" w:rsidRDefault="00970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93BD" w14:textId="4698C4E8" w:rsidR="00262EA3" w:rsidRPr="008227B3" w:rsidRDefault="009704C5" w:rsidP="00B37A37">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rsidR="00EE30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02B">
          <w:t>:907</w:t>
        </w:r>
      </w:sdtContent>
    </w:sdt>
  </w:p>
  <w:p w14:paraId="0AA173F5" w14:textId="06540BE2" w:rsidR="00262EA3" w:rsidRDefault="009704C5" w:rsidP="00E03A3D">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rsidR="00EE302B">
          <w:t>av Alexandra Völker och Azadeh Rojhan (båda S)</w:t>
        </w:r>
      </w:sdtContent>
    </w:sdt>
  </w:p>
  <w:sdt>
    <w:sdtPr>
      <w:alias w:val="CC_Noformat_Rubtext"/>
      <w:tag w:val="CC_Noformat_Rubtext"/>
      <w:id w:val="-218060500"/>
      <w:lock w:val="sdtLocked"/>
      <w:placeholder>
        <w:docPart w:val="E5A7179FD5B344709E8F5BA4EDCF1251"/>
      </w:placeholder>
      <w:text/>
    </w:sdtPr>
    <w:sdtEndPr/>
    <w:sdtContent>
      <w:p w14:paraId="6EEA3D9E" w14:textId="6B0CD72D" w:rsidR="00262EA3" w:rsidRDefault="003312F5" w:rsidP="00283E0F">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14:paraId="2B4AB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F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7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9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BC"/>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
      <w:docPartPr>
        <w:name w:val="0591FBB6552F4195804916D5A1C0E442"/>
        <w:category>
          <w:name w:val="Allmänt"/>
          <w:gallery w:val="placeholder"/>
        </w:category>
        <w:types>
          <w:type w:val="bbPlcHdr"/>
        </w:types>
        <w:behaviors>
          <w:behavior w:val="content"/>
        </w:behaviors>
        <w:guid w:val="{7BBC8DF4-9044-4414-B39C-9AE1EDB30CD8}"/>
      </w:docPartPr>
      <w:docPartBody>
        <w:p w:rsidR="00BA595B" w:rsidRDefault="00BA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946B9E"/>
    <w:rsid w:val="00BA595B"/>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82803E0460C343DB8E569F9784D1D9CB">
    <w:name w:val="82803E0460C343DB8E569F9784D1D9CB"/>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3A075-C5B8-4895-9565-283BC25F5F86}"/>
</file>

<file path=customXml/itemProps2.xml><?xml version="1.0" encoding="utf-8"?>
<ds:datastoreItem xmlns:ds="http://schemas.openxmlformats.org/officeDocument/2006/customXml" ds:itemID="{8B8975B2-5B07-4375-A090-B1E18016AF75}"/>
</file>

<file path=customXml/itemProps3.xml><?xml version="1.0" encoding="utf-8"?>
<ds:datastoreItem xmlns:ds="http://schemas.openxmlformats.org/officeDocument/2006/customXml" ds:itemID="{58B6F363-A800-4853-9C07-9144103246E7}"/>
</file>

<file path=docProps/app.xml><?xml version="1.0" encoding="utf-8"?>
<Properties xmlns="http://schemas.openxmlformats.org/officeDocument/2006/extended-properties" xmlns:vt="http://schemas.openxmlformats.org/officeDocument/2006/docPropsVTypes">
  <Template>Normal</Template>
  <TotalTime>63</TotalTime>
  <Pages>4</Pages>
  <Words>1807</Words>
  <Characters>9889</Characters>
  <Application>Microsoft Office Word</Application>
  <DocSecurity>0</DocSecurity>
  <Lines>156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S730 Män som utövar våld mot kvinnor</vt:lpstr>
      <vt:lpstr>
      </vt:lpstr>
    </vt:vector>
  </TitlesOfParts>
  <Company>Sveriges riksdag</Company>
  <LinksUpToDate>false</LinksUpToDate>
  <CharactersWithSpaces>11663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