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3244" w:rsidRPr="00C63500" w:rsidRDefault="00F53244" w:rsidP="000D6FB3">
      <w:pPr>
        <w:pStyle w:val="Hemstlrubrik"/>
      </w:pPr>
      <w:r w:rsidRPr="00C63500">
        <w:t>Förslag till riksdagsbeslut</w:t>
      </w:r>
    </w:p>
    <w:p w:rsidR="00F53244" w:rsidRPr="00C63500" w:rsidRDefault="00F53244" w:rsidP="007E2BE2">
      <w:pPr>
        <w:pStyle w:val="Hemstlatt"/>
        <w:spacing w:after="40"/>
      </w:pPr>
      <w:r w:rsidRPr="00C63500">
        <w:t>Riksdagen anvisar med följande ändringar i förhållande till regeringens förslag anslagen under utgiftsområde 19 Regional utveckling enligt fö</w:t>
      </w:r>
      <w:r w:rsidRPr="00C63500">
        <w:t>l</w:t>
      </w:r>
      <w:r w:rsidRPr="00C63500">
        <w:t>jande uppställning:</w:t>
      </w:r>
    </w:p>
    <w:tbl>
      <w:tblPr>
        <w:tblW w:w="5954" w:type="dxa"/>
        <w:tblInd w:w="70" w:type="dxa"/>
        <w:tblLayout w:type="fixed"/>
        <w:tblCellMar>
          <w:left w:w="70" w:type="dxa"/>
          <w:right w:w="70" w:type="dxa"/>
        </w:tblCellMar>
        <w:tblLook w:val="0000" w:firstRow="0" w:lastRow="0" w:firstColumn="0" w:lastColumn="0" w:noHBand="0" w:noVBand="0"/>
      </w:tblPr>
      <w:tblGrid>
        <w:gridCol w:w="2536"/>
        <w:gridCol w:w="1709"/>
        <w:gridCol w:w="1709"/>
      </w:tblGrid>
      <w:tr w:rsidR="00F53244" w:rsidRPr="00C63500">
        <w:tblPrEx>
          <w:tblCellMar>
            <w:top w:w="0" w:type="dxa"/>
            <w:bottom w:w="0" w:type="dxa"/>
          </w:tblCellMar>
        </w:tblPrEx>
        <w:tc>
          <w:tcPr>
            <w:tcW w:w="2536" w:type="dxa"/>
            <w:tcBorders>
              <w:top w:val="single" w:sz="4" w:space="0" w:color="auto"/>
              <w:bottom w:val="single" w:sz="4" w:space="0" w:color="auto"/>
            </w:tcBorders>
          </w:tcPr>
          <w:p w:rsidR="00F53244" w:rsidRPr="00C63500" w:rsidRDefault="00015BD2" w:rsidP="007E2BE2">
            <w:pPr>
              <w:tabs>
                <w:tab w:val="num" w:pos="340"/>
                <w:tab w:val="right" w:pos="4253"/>
                <w:tab w:val="right" w:pos="5953"/>
                <w:tab w:val="right" w:pos="6379"/>
                <w:tab w:val="right" w:pos="8789"/>
              </w:tabs>
              <w:spacing w:before="0" w:line="200" w:lineRule="exact"/>
              <w:rPr>
                <w:b/>
                <w:sz w:val="16"/>
                <w:szCs w:val="16"/>
              </w:rPr>
            </w:pPr>
            <w:r w:rsidRPr="00C63500">
              <w:rPr>
                <w:b/>
                <w:sz w:val="16"/>
                <w:szCs w:val="16"/>
              </w:rPr>
              <w:t>Anslag</w:t>
            </w:r>
          </w:p>
        </w:tc>
        <w:tc>
          <w:tcPr>
            <w:tcW w:w="1709" w:type="dxa"/>
            <w:tcBorders>
              <w:top w:val="single" w:sz="4" w:space="0" w:color="auto"/>
              <w:bottom w:val="single" w:sz="4" w:space="0" w:color="auto"/>
            </w:tcBorders>
          </w:tcPr>
          <w:p w:rsidR="00F53244" w:rsidRPr="00C63500" w:rsidRDefault="00F53244" w:rsidP="007E2BE2">
            <w:pPr>
              <w:spacing w:before="0" w:line="200" w:lineRule="exact"/>
              <w:ind w:left="113"/>
              <w:rPr>
                <w:b/>
                <w:sz w:val="16"/>
                <w:szCs w:val="16"/>
              </w:rPr>
            </w:pPr>
            <w:r w:rsidRPr="00C63500">
              <w:rPr>
                <w:b/>
                <w:sz w:val="16"/>
                <w:szCs w:val="16"/>
              </w:rPr>
              <w:t xml:space="preserve">Regeringens </w:t>
            </w:r>
            <w:r w:rsidR="007E2BE2" w:rsidRPr="00C63500">
              <w:rPr>
                <w:b/>
                <w:sz w:val="16"/>
                <w:szCs w:val="16"/>
              </w:rPr>
              <w:br/>
            </w:r>
            <w:r w:rsidRPr="00C63500">
              <w:rPr>
                <w:b/>
                <w:sz w:val="16"/>
                <w:szCs w:val="16"/>
              </w:rPr>
              <w:t>förslag</w:t>
            </w:r>
            <w:r w:rsidR="000D6FB3" w:rsidRPr="00C63500">
              <w:rPr>
                <w:b/>
                <w:sz w:val="16"/>
                <w:szCs w:val="16"/>
              </w:rPr>
              <w:t xml:space="preserve"> </w:t>
            </w:r>
            <w:r w:rsidR="00015BD2" w:rsidRPr="00C63500">
              <w:rPr>
                <w:b/>
                <w:sz w:val="16"/>
                <w:szCs w:val="16"/>
              </w:rPr>
              <w:t>(tkr)</w:t>
            </w:r>
          </w:p>
        </w:tc>
        <w:tc>
          <w:tcPr>
            <w:tcW w:w="1709" w:type="dxa"/>
            <w:tcBorders>
              <w:top w:val="single" w:sz="4" w:space="0" w:color="auto"/>
              <w:bottom w:val="single" w:sz="4" w:space="0" w:color="auto"/>
            </w:tcBorders>
          </w:tcPr>
          <w:p w:rsidR="00F53244" w:rsidRPr="00C63500" w:rsidRDefault="00F53244" w:rsidP="007E2BE2">
            <w:pPr>
              <w:spacing w:before="0" w:line="200" w:lineRule="exact"/>
              <w:ind w:left="113"/>
              <w:rPr>
                <w:b/>
                <w:sz w:val="16"/>
                <w:szCs w:val="16"/>
              </w:rPr>
            </w:pPr>
            <w:r w:rsidRPr="00C63500">
              <w:rPr>
                <w:b/>
                <w:sz w:val="16"/>
                <w:szCs w:val="16"/>
              </w:rPr>
              <w:t>Anslags</w:t>
            </w:r>
            <w:r w:rsidR="007E2BE2" w:rsidRPr="00C63500">
              <w:rPr>
                <w:b/>
                <w:sz w:val="16"/>
                <w:szCs w:val="16"/>
              </w:rPr>
              <w:softHyphen/>
              <w:t>-</w:t>
            </w:r>
            <w:r w:rsidR="007E2BE2" w:rsidRPr="00C63500">
              <w:rPr>
                <w:b/>
                <w:sz w:val="16"/>
                <w:szCs w:val="16"/>
              </w:rPr>
              <w:br/>
            </w:r>
            <w:r w:rsidRPr="00C63500">
              <w:rPr>
                <w:b/>
                <w:sz w:val="16"/>
                <w:szCs w:val="16"/>
              </w:rPr>
              <w:t>förändring</w:t>
            </w:r>
            <w:r w:rsidR="000D6FB3" w:rsidRPr="00C63500">
              <w:rPr>
                <w:b/>
                <w:sz w:val="16"/>
                <w:szCs w:val="16"/>
              </w:rPr>
              <w:t xml:space="preserve"> </w:t>
            </w:r>
            <w:r w:rsidR="00015BD2" w:rsidRPr="00C63500">
              <w:rPr>
                <w:b/>
                <w:sz w:val="16"/>
                <w:szCs w:val="16"/>
              </w:rPr>
              <w:t>(tkr)</w:t>
            </w:r>
          </w:p>
        </w:tc>
      </w:tr>
      <w:tr w:rsidR="00F53244" w:rsidRPr="00C63500">
        <w:tblPrEx>
          <w:tblCellMar>
            <w:top w:w="0" w:type="dxa"/>
            <w:bottom w:w="0" w:type="dxa"/>
          </w:tblCellMar>
        </w:tblPrEx>
        <w:tc>
          <w:tcPr>
            <w:tcW w:w="2536" w:type="dxa"/>
            <w:tcBorders>
              <w:top w:val="single" w:sz="4" w:space="0" w:color="auto"/>
            </w:tcBorders>
            <w:vAlign w:val="bottom"/>
          </w:tcPr>
          <w:p w:rsidR="00F53244" w:rsidRPr="00C63500" w:rsidRDefault="00F53244" w:rsidP="000D6FB3">
            <w:pPr>
              <w:tabs>
                <w:tab w:val="num" w:pos="340"/>
                <w:tab w:val="right" w:pos="4253"/>
                <w:tab w:val="right" w:pos="5953"/>
                <w:tab w:val="right" w:pos="6379"/>
                <w:tab w:val="right" w:pos="8789"/>
              </w:tabs>
              <w:spacing w:before="60" w:line="200" w:lineRule="exact"/>
              <w:jc w:val="left"/>
              <w:rPr>
                <w:b/>
                <w:sz w:val="16"/>
                <w:szCs w:val="16"/>
              </w:rPr>
            </w:pPr>
            <w:r w:rsidRPr="00C63500">
              <w:rPr>
                <w:sz w:val="16"/>
                <w:szCs w:val="16"/>
              </w:rPr>
              <w:t>33:1 Allmänna regionalpol</w:t>
            </w:r>
            <w:r w:rsidRPr="00C63500">
              <w:rPr>
                <w:sz w:val="16"/>
                <w:szCs w:val="16"/>
              </w:rPr>
              <w:t>i</w:t>
            </w:r>
            <w:r w:rsidRPr="00C63500">
              <w:rPr>
                <w:sz w:val="16"/>
                <w:szCs w:val="16"/>
              </w:rPr>
              <w:t>tiska åtgärder</w:t>
            </w:r>
          </w:p>
        </w:tc>
        <w:tc>
          <w:tcPr>
            <w:tcW w:w="1709" w:type="dxa"/>
            <w:tcBorders>
              <w:top w:val="single" w:sz="4" w:space="0" w:color="auto"/>
            </w:tcBorders>
            <w:vAlign w:val="bottom"/>
          </w:tcPr>
          <w:p w:rsidR="00F53244" w:rsidRPr="00C63500" w:rsidRDefault="00F53244" w:rsidP="007E2BE2">
            <w:pPr>
              <w:tabs>
                <w:tab w:val="num" w:pos="340"/>
                <w:tab w:val="right" w:pos="4253"/>
                <w:tab w:val="right" w:pos="5953"/>
                <w:tab w:val="right" w:pos="6379"/>
                <w:tab w:val="right" w:pos="8789"/>
              </w:tabs>
              <w:spacing w:before="60" w:line="200" w:lineRule="exact"/>
              <w:ind w:right="660" w:hanging="340"/>
              <w:jc w:val="right"/>
              <w:rPr>
                <w:sz w:val="16"/>
                <w:szCs w:val="16"/>
              </w:rPr>
            </w:pPr>
            <w:r w:rsidRPr="00C63500">
              <w:rPr>
                <w:sz w:val="16"/>
                <w:szCs w:val="16"/>
              </w:rPr>
              <w:t>1 460 837</w:t>
            </w:r>
          </w:p>
        </w:tc>
        <w:tc>
          <w:tcPr>
            <w:tcW w:w="1709" w:type="dxa"/>
            <w:tcBorders>
              <w:top w:val="single" w:sz="4" w:space="0" w:color="auto"/>
            </w:tcBorders>
            <w:vAlign w:val="bottom"/>
          </w:tcPr>
          <w:p w:rsidR="00F53244" w:rsidRPr="00C63500" w:rsidRDefault="00F53244" w:rsidP="001B200B">
            <w:pPr>
              <w:tabs>
                <w:tab w:val="num" w:pos="340"/>
                <w:tab w:val="right" w:pos="4253"/>
                <w:tab w:val="right" w:pos="5953"/>
                <w:tab w:val="right" w:pos="6379"/>
                <w:tab w:val="right" w:pos="8789"/>
              </w:tabs>
              <w:spacing w:before="60" w:line="200" w:lineRule="exact"/>
              <w:ind w:right="564" w:hanging="340"/>
              <w:jc w:val="right"/>
              <w:rPr>
                <w:b/>
                <w:sz w:val="16"/>
                <w:szCs w:val="16"/>
              </w:rPr>
            </w:pPr>
            <w:r w:rsidRPr="00C63500">
              <w:rPr>
                <w:sz w:val="16"/>
                <w:szCs w:val="16"/>
              </w:rPr>
              <w:t>+400 000</w:t>
            </w:r>
          </w:p>
        </w:tc>
      </w:tr>
      <w:tr w:rsidR="00F53244" w:rsidRPr="00C63500">
        <w:tblPrEx>
          <w:tblCellMar>
            <w:top w:w="0" w:type="dxa"/>
            <w:bottom w:w="0" w:type="dxa"/>
          </w:tblCellMar>
        </w:tblPrEx>
        <w:tc>
          <w:tcPr>
            <w:tcW w:w="2536" w:type="dxa"/>
            <w:vAlign w:val="bottom"/>
          </w:tcPr>
          <w:p w:rsidR="00F53244" w:rsidRPr="00C63500" w:rsidRDefault="00F53244" w:rsidP="000D6FB3">
            <w:pPr>
              <w:tabs>
                <w:tab w:val="num" w:pos="340"/>
                <w:tab w:val="right" w:pos="4253"/>
                <w:tab w:val="right" w:pos="5953"/>
                <w:tab w:val="right" w:pos="6379"/>
                <w:tab w:val="right" w:pos="8789"/>
              </w:tabs>
              <w:spacing w:before="60" w:line="200" w:lineRule="exact"/>
              <w:jc w:val="left"/>
              <w:rPr>
                <w:sz w:val="16"/>
                <w:szCs w:val="16"/>
              </w:rPr>
            </w:pPr>
            <w:r w:rsidRPr="00C63500">
              <w:rPr>
                <w:sz w:val="16"/>
                <w:szCs w:val="16"/>
              </w:rPr>
              <w:t>33:4 Glesbygdsverket</w:t>
            </w:r>
          </w:p>
        </w:tc>
        <w:tc>
          <w:tcPr>
            <w:tcW w:w="1709" w:type="dxa"/>
            <w:vAlign w:val="bottom"/>
          </w:tcPr>
          <w:p w:rsidR="00F53244" w:rsidRPr="00C63500" w:rsidRDefault="00F53244" w:rsidP="007E2BE2">
            <w:pPr>
              <w:tabs>
                <w:tab w:val="num" w:pos="340"/>
                <w:tab w:val="right" w:pos="4253"/>
                <w:tab w:val="right" w:pos="5953"/>
                <w:tab w:val="right" w:pos="6379"/>
                <w:tab w:val="right" w:pos="8789"/>
              </w:tabs>
              <w:spacing w:before="60" w:line="200" w:lineRule="exact"/>
              <w:ind w:right="660" w:hanging="340"/>
              <w:jc w:val="right"/>
              <w:rPr>
                <w:sz w:val="16"/>
                <w:szCs w:val="16"/>
              </w:rPr>
            </w:pPr>
            <w:r w:rsidRPr="00C63500">
              <w:rPr>
                <w:sz w:val="16"/>
                <w:szCs w:val="16"/>
              </w:rPr>
              <w:t>26 302</w:t>
            </w:r>
          </w:p>
        </w:tc>
        <w:tc>
          <w:tcPr>
            <w:tcW w:w="1709" w:type="dxa"/>
            <w:vAlign w:val="bottom"/>
          </w:tcPr>
          <w:p w:rsidR="00F53244" w:rsidRPr="00C63500" w:rsidRDefault="00015BD2" w:rsidP="001B200B">
            <w:pPr>
              <w:tabs>
                <w:tab w:val="num" w:pos="340"/>
                <w:tab w:val="right" w:pos="4253"/>
                <w:tab w:val="right" w:pos="5953"/>
                <w:tab w:val="right" w:pos="6379"/>
                <w:tab w:val="right" w:pos="8789"/>
              </w:tabs>
              <w:spacing w:before="60" w:line="200" w:lineRule="exact"/>
              <w:ind w:right="564" w:hanging="340"/>
              <w:jc w:val="right"/>
              <w:rPr>
                <w:sz w:val="16"/>
                <w:szCs w:val="16"/>
              </w:rPr>
            </w:pPr>
            <w:r w:rsidRPr="00C63500">
              <w:rPr>
                <w:sz w:val="16"/>
                <w:szCs w:val="16"/>
              </w:rPr>
              <w:t>–</w:t>
            </w:r>
            <w:r w:rsidR="00F53244" w:rsidRPr="00C63500">
              <w:rPr>
                <w:sz w:val="16"/>
                <w:szCs w:val="16"/>
              </w:rPr>
              <w:t>2 000</w:t>
            </w:r>
          </w:p>
        </w:tc>
      </w:tr>
      <w:tr w:rsidR="00F53244" w:rsidRPr="00C63500">
        <w:tblPrEx>
          <w:tblCellMar>
            <w:top w:w="0" w:type="dxa"/>
            <w:bottom w:w="0" w:type="dxa"/>
          </w:tblCellMar>
        </w:tblPrEx>
        <w:tc>
          <w:tcPr>
            <w:tcW w:w="2536" w:type="dxa"/>
            <w:vAlign w:val="bottom"/>
          </w:tcPr>
          <w:p w:rsidR="00F53244" w:rsidRPr="00C63500" w:rsidRDefault="00F53244" w:rsidP="000D6FB3">
            <w:pPr>
              <w:tabs>
                <w:tab w:val="num" w:pos="340"/>
                <w:tab w:val="right" w:pos="4253"/>
                <w:tab w:val="right" w:pos="5953"/>
                <w:tab w:val="right" w:pos="6379"/>
                <w:tab w:val="right" w:pos="8789"/>
              </w:tabs>
              <w:spacing w:before="60" w:line="200" w:lineRule="exact"/>
              <w:jc w:val="left"/>
              <w:rPr>
                <w:sz w:val="16"/>
                <w:szCs w:val="16"/>
              </w:rPr>
            </w:pPr>
            <w:r w:rsidRPr="00C63500">
              <w:rPr>
                <w:sz w:val="16"/>
                <w:szCs w:val="16"/>
              </w:rPr>
              <w:t>33:5 Europeiska regionala u</w:t>
            </w:r>
            <w:r w:rsidR="00015BD2" w:rsidRPr="00C63500">
              <w:rPr>
                <w:sz w:val="16"/>
                <w:szCs w:val="16"/>
              </w:rPr>
              <w:t>tvec</w:t>
            </w:r>
            <w:r w:rsidR="00015BD2" w:rsidRPr="00C63500">
              <w:rPr>
                <w:sz w:val="16"/>
                <w:szCs w:val="16"/>
              </w:rPr>
              <w:t>k</w:t>
            </w:r>
            <w:r w:rsidR="00015BD2" w:rsidRPr="00C63500">
              <w:rPr>
                <w:sz w:val="16"/>
                <w:szCs w:val="16"/>
              </w:rPr>
              <w:t>lingsfonden perioden 2000–</w:t>
            </w:r>
            <w:r w:rsidRPr="00C63500">
              <w:rPr>
                <w:sz w:val="16"/>
                <w:szCs w:val="16"/>
              </w:rPr>
              <w:t>2006</w:t>
            </w:r>
          </w:p>
        </w:tc>
        <w:tc>
          <w:tcPr>
            <w:tcW w:w="1709" w:type="dxa"/>
            <w:vAlign w:val="bottom"/>
          </w:tcPr>
          <w:p w:rsidR="00F53244" w:rsidRPr="00C63500" w:rsidRDefault="00F53244" w:rsidP="007E2BE2">
            <w:pPr>
              <w:tabs>
                <w:tab w:val="num" w:pos="340"/>
                <w:tab w:val="right" w:pos="4253"/>
                <w:tab w:val="right" w:pos="5953"/>
                <w:tab w:val="right" w:pos="6379"/>
                <w:tab w:val="right" w:pos="8789"/>
              </w:tabs>
              <w:spacing w:before="60" w:line="200" w:lineRule="exact"/>
              <w:ind w:right="660" w:hanging="340"/>
              <w:jc w:val="right"/>
              <w:rPr>
                <w:b/>
                <w:sz w:val="16"/>
                <w:szCs w:val="16"/>
              </w:rPr>
            </w:pPr>
            <w:r w:rsidRPr="00C63500">
              <w:rPr>
                <w:sz w:val="16"/>
                <w:szCs w:val="16"/>
              </w:rPr>
              <w:t>1 132 000</w:t>
            </w:r>
          </w:p>
        </w:tc>
        <w:tc>
          <w:tcPr>
            <w:tcW w:w="1709" w:type="dxa"/>
            <w:vAlign w:val="bottom"/>
          </w:tcPr>
          <w:p w:rsidR="00F53244" w:rsidRPr="00C63500" w:rsidRDefault="00F53244" w:rsidP="001B200B">
            <w:pPr>
              <w:tabs>
                <w:tab w:val="num" w:pos="340"/>
                <w:tab w:val="right" w:pos="4253"/>
                <w:tab w:val="right" w:pos="5953"/>
                <w:tab w:val="right" w:pos="6379"/>
                <w:tab w:val="right" w:pos="8789"/>
              </w:tabs>
              <w:spacing w:before="60" w:line="200" w:lineRule="exact"/>
              <w:ind w:right="564" w:hanging="340"/>
              <w:jc w:val="right"/>
              <w:rPr>
                <w:b/>
                <w:sz w:val="16"/>
                <w:szCs w:val="16"/>
              </w:rPr>
            </w:pPr>
            <w:r w:rsidRPr="00C63500">
              <w:rPr>
                <w:sz w:val="16"/>
                <w:szCs w:val="16"/>
              </w:rPr>
              <w:t>+850 000</w:t>
            </w:r>
          </w:p>
        </w:tc>
      </w:tr>
      <w:tr w:rsidR="00F53244" w:rsidRPr="00C63500">
        <w:tblPrEx>
          <w:tblCellMar>
            <w:top w:w="0" w:type="dxa"/>
            <w:bottom w:w="0" w:type="dxa"/>
          </w:tblCellMar>
        </w:tblPrEx>
        <w:tc>
          <w:tcPr>
            <w:tcW w:w="2536" w:type="dxa"/>
            <w:tcBorders>
              <w:bottom w:val="single" w:sz="4" w:space="0" w:color="auto"/>
            </w:tcBorders>
            <w:vAlign w:val="bottom"/>
          </w:tcPr>
          <w:p w:rsidR="00F53244" w:rsidRPr="00C63500" w:rsidRDefault="00F53244" w:rsidP="000D6FB3">
            <w:pPr>
              <w:tabs>
                <w:tab w:val="num" w:pos="340"/>
                <w:tab w:val="right" w:pos="4253"/>
                <w:tab w:val="right" w:pos="5953"/>
                <w:tab w:val="right" w:pos="6379"/>
                <w:tab w:val="right" w:pos="8789"/>
              </w:tabs>
              <w:spacing w:before="60" w:line="200" w:lineRule="exact"/>
              <w:jc w:val="left"/>
              <w:rPr>
                <w:b/>
                <w:sz w:val="16"/>
                <w:szCs w:val="16"/>
              </w:rPr>
            </w:pPr>
            <w:r w:rsidRPr="00C63500">
              <w:rPr>
                <w:b/>
                <w:sz w:val="16"/>
                <w:szCs w:val="16"/>
              </w:rPr>
              <w:t>Summa för utgiftso</w:t>
            </w:r>
            <w:r w:rsidRPr="00C63500">
              <w:rPr>
                <w:b/>
                <w:sz w:val="16"/>
                <w:szCs w:val="16"/>
              </w:rPr>
              <w:t>m</w:t>
            </w:r>
            <w:r w:rsidRPr="00C63500">
              <w:rPr>
                <w:b/>
                <w:sz w:val="16"/>
                <w:szCs w:val="16"/>
              </w:rPr>
              <w:t>rådet</w:t>
            </w:r>
          </w:p>
        </w:tc>
        <w:tc>
          <w:tcPr>
            <w:tcW w:w="1709" w:type="dxa"/>
            <w:tcBorders>
              <w:bottom w:val="single" w:sz="4" w:space="0" w:color="auto"/>
            </w:tcBorders>
            <w:vAlign w:val="bottom"/>
          </w:tcPr>
          <w:p w:rsidR="00F53244" w:rsidRPr="00C63500" w:rsidRDefault="00F53244" w:rsidP="007E2BE2">
            <w:pPr>
              <w:tabs>
                <w:tab w:val="right" w:pos="4253"/>
                <w:tab w:val="right" w:pos="5953"/>
                <w:tab w:val="right" w:pos="6379"/>
                <w:tab w:val="right" w:pos="8789"/>
              </w:tabs>
              <w:spacing w:before="60" w:line="200" w:lineRule="exact"/>
              <w:ind w:right="660" w:hanging="340"/>
              <w:jc w:val="right"/>
              <w:rPr>
                <w:b/>
                <w:sz w:val="16"/>
                <w:szCs w:val="16"/>
              </w:rPr>
            </w:pPr>
            <w:r w:rsidRPr="00C63500">
              <w:rPr>
                <w:b/>
                <w:sz w:val="16"/>
                <w:szCs w:val="16"/>
              </w:rPr>
              <w:t>3 332 913</w:t>
            </w:r>
          </w:p>
        </w:tc>
        <w:tc>
          <w:tcPr>
            <w:tcW w:w="1709" w:type="dxa"/>
            <w:tcBorders>
              <w:bottom w:val="single" w:sz="4" w:space="0" w:color="auto"/>
            </w:tcBorders>
            <w:vAlign w:val="bottom"/>
          </w:tcPr>
          <w:p w:rsidR="00F53244" w:rsidRPr="00C63500" w:rsidRDefault="00F53244" w:rsidP="001B200B">
            <w:pPr>
              <w:tabs>
                <w:tab w:val="num" w:pos="340"/>
                <w:tab w:val="right" w:pos="4253"/>
                <w:tab w:val="right" w:pos="5953"/>
                <w:tab w:val="right" w:pos="6379"/>
                <w:tab w:val="right" w:pos="8789"/>
              </w:tabs>
              <w:spacing w:before="60" w:line="200" w:lineRule="exact"/>
              <w:ind w:right="564" w:hanging="340"/>
              <w:jc w:val="right"/>
              <w:rPr>
                <w:b/>
                <w:sz w:val="16"/>
                <w:szCs w:val="16"/>
              </w:rPr>
            </w:pPr>
            <w:r w:rsidRPr="00C63500">
              <w:rPr>
                <w:b/>
                <w:sz w:val="16"/>
                <w:szCs w:val="16"/>
              </w:rPr>
              <w:t>+1 248 000</w:t>
            </w:r>
          </w:p>
        </w:tc>
      </w:tr>
    </w:tbl>
    <w:p w:rsidR="00F53244" w:rsidRPr="00C63500" w:rsidRDefault="00F53244" w:rsidP="001B200B">
      <w:pPr>
        <w:pStyle w:val="Hemstlatt"/>
        <w:spacing w:before="40"/>
      </w:pPr>
      <w:r w:rsidRPr="00C63500">
        <w:t xml:space="preserve">Riksdagen </w:t>
      </w:r>
      <w:r w:rsidR="00015BD2" w:rsidRPr="00C63500">
        <w:t>tillkännager för re</w:t>
      </w:r>
      <w:r w:rsidRPr="00C63500">
        <w:t xml:space="preserve">geringen </w:t>
      </w:r>
      <w:r w:rsidR="00015BD2" w:rsidRPr="00C63500">
        <w:t xml:space="preserve">som sin mening </w:t>
      </w:r>
      <w:r w:rsidRPr="00C63500">
        <w:t xml:space="preserve">vad </w:t>
      </w:r>
      <w:r w:rsidR="007E2BE2" w:rsidRPr="00C63500">
        <w:t xml:space="preserve">som </w:t>
      </w:r>
      <w:r w:rsidRPr="00C63500">
        <w:t xml:space="preserve">anförs </w:t>
      </w:r>
      <w:r w:rsidR="00C22199" w:rsidRPr="00C63500">
        <w:t xml:space="preserve">i motionen </w:t>
      </w:r>
      <w:r w:rsidRPr="00C63500">
        <w:t>om att besluten för företagsstöden, sysselsättningsbidrag och regionalt utvecklingsbidrag, som har centraliserats till Nutek, ska</w:t>
      </w:r>
      <w:r w:rsidR="00015BD2" w:rsidRPr="00C63500">
        <w:t>ll</w:t>
      </w:r>
      <w:r w:rsidRPr="00C63500">
        <w:t xml:space="preserve"> åte</w:t>
      </w:r>
      <w:r w:rsidRPr="00C63500">
        <w:t>r</w:t>
      </w:r>
      <w:r w:rsidRPr="00C63500">
        <w:t>föras till l</w:t>
      </w:r>
      <w:r w:rsidRPr="00C63500">
        <w:t>ä</w:t>
      </w:r>
      <w:r w:rsidRPr="00C63500">
        <w:t>nen/regionerna.</w:t>
      </w:r>
    </w:p>
    <w:p w:rsidR="00F53244" w:rsidRPr="00C63500" w:rsidRDefault="00F53244" w:rsidP="00015BD2">
      <w:pPr>
        <w:pStyle w:val="Hemstlatt"/>
      </w:pPr>
      <w:r w:rsidRPr="00C63500">
        <w:t xml:space="preserve">Riksdagen </w:t>
      </w:r>
      <w:r w:rsidR="00015BD2" w:rsidRPr="00C63500">
        <w:t xml:space="preserve">tillkännager för </w:t>
      </w:r>
      <w:r w:rsidRPr="00C63500">
        <w:t xml:space="preserve">regeringen </w:t>
      </w:r>
      <w:r w:rsidR="00015BD2" w:rsidRPr="00C63500">
        <w:t xml:space="preserve">som sin mening </w:t>
      </w:r>
      <w:r w:rsidRPr="00C63500">
        <w:t xml:space="preserve">vad </w:t>
      </w:r>
      <w:r w:rsidR="007E2BE2" w:rsidRPr="00C63500">
        <w:t xml:space="preserve">som </w:t>
      </w:r>
      <w:r w:rsidRPr="00C63500">
        <w:rPr>
          <w:color w:val="000000"/>
          <w:szCs w:val="24"/>
        </w:rPr>
        <w:t xml:space="preserve">anförs </w:t>
      </w:r>
      <w:r w:rsidR="00C22199" w:rsidRPr="00C63500">
        <w:t>i m</w:t>
      </w:r>
      <w:r w:rsidR="00C22199" w:rsidRPr="00C63500">
        <w:t>o</w:t>
      </w:r>
      <w:r w:rsidR="00C22199" w:rsidRPr="00C63500">
        <w:t xml:space="preserve">tionen </w:t>
      </w:r>
      <w:r w:rsidRPr="00C63500">
        <w:rPr>
          <w:color w:val="000000"/>
          <w:szCs w:val="24"/>
        </w:rPr>
        <w:t>om att formerna för utgiftstaken bör ses över så att Sverige kan ta hem de EU-medel vi är berättigade till.</w:t>
      </w:r>
      <w:r w:rsidR="00840924" w:rsidRPr="00C63500">
        <w:rPr>
          <w:color w:val="000000"/>
          <w:szCs w:val="24"/>
          <w:vertAlign w:val="superscript"/>
        </w:rPr>
        <w:t>1</w:t>
      </w:r>
    </w:p>
    <w:p w:rsidR="00840924" w:rsidRPr="00C63500" w:rsidRDefault="00840924" w:rsidP="00840924"/>
    <w:p w:rsidR="000D6FB3" w:rsidRPr="00C63500" w:rsidRDefault="000D6FB3" w:rsidP="000D6FB3">
      <w:pPr>
        <w:pStyle w:val="Normaltindrag"/>
      </w:pPr>
    </w:p>
    <w:p w:rsidR="000D6FB3" w:rsidRPr="00C63500" w:rsidRDefault="000D6FB3" w:rsidP="000D6FB3">
      <w:pPr>
        <w:pStyle w:val="Normaltindrag"/>
      </w:pPr>
    </w:p>
    <w:p w:rsidR="000D6FB3" w:rsidRPr="00C63500" w:rsidRDefault="000D6FB3" w:rsidP="000D6FB3">
      <w:pPr>
        <w:pStyle w:val="Normaltindrag"/>
      </w:pPr>
    </w:p>
    <w:p w:rsidR="000D6FB3" w:rsidRPr="00C63500" w:rsidRDefault="000D6FB3" w:rsidP="000D6FB3">
      <w:pPr>
        <w:pStyle w:val="Normaltindrag"/>
      </w:pPr>
    </w:p>
    <w:p w:rsidR="000D6FB3" w:rsidRPr="00C63500" w:rsidRDefault="000D6FB3" w:rsidP="000D6FB3">
      <w:pPr>
        <w:pStyle w:val="Normaltindrag"/>
      </w:pPr>
    </w:p>
    <w:p w:rsidR="00840924" w:rsidRPr="00C63500" w:rsidRDefault="00840924" w:rsidP="00840924">
      <w:pPr>
        <w:pStyle w:val="Normaltindrag"/>
      </w:pPr>
    </w:p>
    <w:p w:rsidR="00F53244" w:rsidRPr="00C63500" w:rsidRDefault="00840924" w:rsidP="00840924">
      <w:r w:rsidRPr="00C63500">
        <w:rPr>
          <w:szCs w:val="19"/>
          <w:vertAlign w:val="superscript"/>
        </w:rPr>
        <w:t>1</w:t>
      </w:r>
      <w:r w:rsidRPr="00C63500">
        <w:t xml:space="preserve"> </w:t>
      </w:r>
      <w:r w:rsidRPr="00C63500">
        <w:rPr>
          <w:sz w:val="16"/>
          <w:szCs w:val="16"/>
        </w:rPr>
        <w:t>Yrkande 3 hänvisat till FiU.</w:t>
      </w:r>
    </w:p>
    <w:p w:rsidR="00F53244" w:rsidRPr="00C63500" w:rsidRDefault="00F53244" w:rsidP="000D6FB3">
      <w:pPr>
        <w:pStyle w:val="Rubrik1"/>
        <w:pageBreakBefore/>
        <w:spacing w:before="0"/>
      </w:pPr>
      <w:r w:rsidRPr="00C63500">
        <w:lastRenderedPageBreak/>
        <w:t>Anslagsberäkning</w:t>
      </w:r>
    </w:p>
    <w:p w:rsidR="00F53244" w:rsidRPr="00C63500" w:rsidRDefault="00F53244" w:rsidP="009E554C">
      <w:r w:rsidRPr="00C63500">
        <w:t>Tillväxt utvecklas i första hand regionalt samtidigt som tillväxtförutsättningar ser olika ut på olika platser och måste få utformas därefter. Centerpartiet anser därför att en betydligt ökad självständighet för regioner ger en ökad tillväxt för Sverige. Den regionala utvecklingen är alltså avhängig en omfö</w:t>
      </w:r>
      <w:r w:rsidRPr="00C63500">
        <w:t>r</w:t>
      </w:r>
      <w:r w:rsidRPr="00C63500">
        <w:t>delning av makt, makten över resurser och beslut. I enlighet med federali</w:t>
      </w:r>
      <w:r w:rsidRPr="00C63500">
        <w:t>s</w:t>
      </w:r>
      <w:r w:rsidRPr="00C63500">
        <w:t>mens principer menar Centerpartiet att lokala och regionala organ har ett betydligt bättre beslutsunderlag än centrala myndigheter, och samtidigt kan uppnå större effektivitet, när det gäller att ta beslut rörande lokala och regi</w:t>
      </w:r>
      <w:r w:rsidRPr="00C63500">
        <w:t>o</w:t>
      </w:r>
      <w:r w:rsidRPr="00C63500">
        <w:t>nala frågor. Regionalpolitiken har traditionellt kännetecknats av omfattande program för omflyttningar av pengar, centralstyrda direktiv och massiva myndighetsstrukturer för att behandla processen. Centerpartiet vill bryta ner ineffektiva myndighetsstrukturer, eliminera skadlig centralstyrning och fö</w:t>
      </w:r>
      <w:r w:rsidRPr="00C63500">
        <w:t>r</w:t>
      </w:r>
      <w:r w:rsidRPr="00C63500">
        <w:t xml:space="preserve">enkla de regionala finansieringsprogrammen. </w:t>
      </w:r>
      <w:r w:rsidRPr="00C63500">
        <w:rPr>
          <w:szCs w:val="24"/>
        </w:rPr>
        <w:t>Målsättningen är att</w:t>
      </w:r>
      <w:r w:rsidRPr="00C63500">
        <w:rPr>
          <w:color w:val="000000"/>
          <w:szCs w:val="24"/>
        </w:rPr>
        <w:t xml:space="preserve"> d</w:t>
      </w:r>
      <w:r w:rsidRPr="00C63500">
        <w:t xml:space="preserve">irektvalda regionala organ ska ansvara för de medel som anslås under 33:1 Allmänna regionalpolitiska åtgärder. Centerpartiet anslår även 400 miljoner kronor mer än regeringen under 33:1 Allmänna regionalpolitiska åtgärder </w:t>
      </w:r>
      <w:r w:rsidRPr="00C63500">
        <w:rPr>
          <w:szCs w:val="24"/>
        </w:rPr>
        <w:t>för lokalt och regionalt utvecklingsarbete.</w:t>
      </w:r>
    </w:p>
    <w:p w:rsidR="00F53244" w:rsidRPr="00C63500" w:rsidRDefault="00F53244" w:rsidP="00F53244">
      <w:pPr>
        <w:pStyle w:val="Normaltindrag"/>
        <w:rPr>
          <w:iCs/>
          <w:color w:val="000000"/>
          <w:szCs w:val="24"/>
        </w:rPr>
      </w:pPr>
      <w:r w:rsidRPr="00C63500">
        <w:rPr>
          <w:color w:val="000000"/>
          <w:szCs w:val="24"/>
        </w:rPr>
        <w:t>Centerpartiet anser vidare att besluten när det gäller företagsstöden sysse</w:t>
      </w:r>
      <w:r w:rsidRPr="00C63500">
        <w:rPr>
          <w:color w:val="000000"/>
          <w:szCs w:val="24"/>
        </w:rPr>
        <w:t>l</w:t>
      </w:r>
      <w:r w:rsidRPr="00C63500">
        <w:rPr>
          <w:color w:val="000000"/>
          <w:szCs w:val="24"/>
        </w:rPr>
        <w:t xml:space="preserve">sättningsbidrag och regionalt utvecklingsbidrag, som har centraliserats till Nutek, ska återföras till länen/regionerna. </w:t>
      </w:r>
      <w:r w:rsidRPr="00C63500">
        <w:rPr>
          <w:iCs/>
          <w:color w:val="000000"/>
          <w:szCs w:val="24"/>
        </w:rPr>
        <w:t>Detta bör riksdagen ge regeringen till</w:t>
      </w:r>
      <w:r w:rsidR="000D6FB3" w:rsidRPr="00C63500">
        <w:rPr>
          <w:iCs/>
          <w:color w:val="000000"/>
          <w:szCs w:val="24"/>
        </w:rPr>
        <w:t xml:space="preserve"> </w:t>
      </w:r>
      <w:r w:rsidRPr="00C63500">
        <w:rPr>
          <w:iCs/>
          <w:color w:val="000000"/>
          <w:szCs w:val="24"/>
        </w:rPr>
        <w:t>känna.</w:t>
      </w:r>
    </w:p>
    <w:p w:rsidR="00F53244" w:rsidRPr="00C63500" w:rsidRDefault="00F53244" w:rsidP="000D6FB3">
      <w:pPr>
        <w:pStyle w:val="Normaltindrag"/>
        <w:rPr>
          <w:iCs/>
        </w:rPr>
      </w:pPr>
      <w:r w:rsidRPr="00C63500">
        <w:t>Sverige tar för närvarande inte hem de medel som vårt land har rätt till från EU:s strukturfonder, bland annat genom att ha fastställt en alltför låg växe</w:t>
      </w:r>
      <w:r w:rsidRPr="00C63500">
        <w:t>l</w:t>
      </w:r>
      <w:r w:rsidRPr="00C63500">
        <w:t>kurs mellan krona och euro. Görs ingenting går företag och län i Sverige miste om över 1,2 miljarder kronor som EU har tilldelat vårt land under inn</w:t>
      </w:r>
      <w:r w:rsidRPr="00C63500">
        <w:t>e</w:t>
      </w:r>
      <w:r w:rsidRPr="00C63500">
        <w:t xml:space="preserve">varande programperiod. Centerpartiet vill verklighetsanpassa växelkursen </w:t>
      </w:r>
      <w:r w:rsidRPr="00C63500">
        <w:rPr>
          <w:iCs/>
        </w:rPr>
        <w:t>och föreslår därför att kursen justeras från 8,60 kr till 9,15 kr</w:t>
      </w:r>
      <w:r w:rsidRPr="00C63500">
        <w:t>. På så sätt kan Sv</w:t>
      </w:r>
      <w:r w:rsidRPr="00C63500">
        <w:t>e</w:t>
      </w:r>
      <w:r w:rsidRPr="00C63500">
        <w:t>rige ta hem de medel som vårt land har rätt till från EU:s strukturfonder.</w:t>
      </w:r>
      <w:r w:rsidRPr="00C63500">
        <w:rPr>
          <w:iCs/>
        </w:rPr>
        <w:t xml:space="preserve"> För nästa år beräknar Centerpartiet denna summa till 850 miljoner kronor utöver vad regeringen föreslår.</w:t>
      </w:r>
    </w:p>
    <w:p w:rsidR="00F53244" w:rsidRPr="00C63500" w:rsidRDefault="00F53244" w:rsidP="00F53244">
      <w:pPr>
        <w:pStyle w:val="Normaltindrag"/>
        <w:rPr>
          <w:color w:val="000000"/>
          <w:szCs w:val="24"/>
        </w:rPr>
      </w:pPr>
      <w:r w:rsidRPr="00C63500">
        <w:rPr>
          <w:color w:val="000000"/>
          <w:szCs w:val="24"/>
        </w:rPr>
        <w:t xml:space="preserve">Det är inte bra att utgiftstaket hindrar Sverige att ta hem de EU-medel vi är berättigade till. Centerpartiet anser därför att formerna för utgiftstaken bör ses över i syfte att åtgärda detta. </w:t>
      </w:r>
      <w:r w:rsidRPr="00C63500">
        <w:rPr>
          <w:iCs/>
          <w:color w:val="000000"/>
          <w:szCs w:val="24"/>
        </w:rPr>
        <w:t>Detta bör ges regeringen till</w:t>
      </w:r>
      <w:r w:rsidR="000D6FB3" w:rsidRPr="00C63500">
        <w:rPr>
          <w:iCs/>
          <w:color w:val="000000"/>
          <w:szCs w:val="24"/>
        </w:rPr>
        <w:t xml:space="preserve"> </w:t>
      </w:r>
      <w:r w:rsidRPr="00C63500">
        <w:rPr>
          <w:iCs/>
          <w:color w:val="000000"/>
          <w:szCs w:val="24"/>
        </w:rPr>
        <w:t>känna.</w:t>
      </w:r>
    </w:p>
    <w:p w:rsidR="00F53244" w:rsidRPr="00C63500" w:rsidRDefault="00F53244" w:rsidP="000D6FB3">
      <w:pPr>
        <w:pStyle w:val="Normaltindrag"/>
      </w:pPr>
      <w:r w:rsidRPr="00C63500">
        <w:t>För 2007 beräknar vi att Sverige ska ”ta hem”</w:t>
      </w:r>
      <w:r w:rsidR="000D6FB3" w:rsidRPr="00C63500">
        <w:t xml:space="preserve"> de resterande medel, 400 </w:t>
      </w:r>
      <w:r w:rsidRPr="00C63500">
        <w:t>miljoner kronor, från EU:s strukturfonder som vårt land har rätt till från för</w:t>
      </w:r>
      <w:r w:rsidRPr="00C63500">
        <w:t>e</w:t>
      </w:r>
      <w:r w:rsidRPr="00C63500">
        <w:t>gående programperiod genom att växelkursen mellan krona och euro jus</w:t>
      </w:r>
      <w:r w:rsidR="000D6FB3" w:rsidRPr="00C63500">
        <w:t>teras från 8,60 kr till 9,15 kr</w:t>
      </w:r>
      <w:r w:rsidRPr="00C63500">
        <w:t>.</w:t>
      </w:r>
    </w:p>
    <w:p w:rsidR="00F53244" w:rsidRPr="00C63500" w:rsidRDefault="00F53244" w:rsidP="00F53244">
      <w:pPr>
        <w:pStyle w:val="Normaltindrag"/>
        <w:rPr>
          <w:color w:val="000000"/>
          <w:szCs w:val="24"/>
        </w:rPr>
      </w:pPr>
      <w:r w:rsidRPr="00C63500">
        <w:rPr>
          <w:color w:val="000000"/>
          <w:szCs w:val="24"/>
        </w:rPr>
        <w:t xml:space="preserve">EU:s </w:t>
      </w:r>
      <w:r w:rsidR="000D6FB3" w:rsidRPr="00C63500">
        <w:rPr>
          <w:color w:val="000000"/>
          <w:szCs w:val="24"/>
        </w:rPr>
        <w:t>budget för programperioden 2007–20</w:t>
      </w:r>
      <w:r w:rsidRPr="00C63500">
        <w:rPr>
          <w:color w:val="000000"/>
          <w:szCs w:val="24"/>
        </w:rPr>
        <w:t>13 är ännu inte klar. Därför är det inte möjligt att nu beräkna omfattningen av återflödet till Sverige från EU:s strukturfonder för denna programperiod. Centerpartiet kommer att arb</w:t>
      </w:r>
      <w:r w:rsidRPr="00C63500">
        <w:rPr>
          <w:color w:val="000000"/>
          <w:szCs w:val="24"/>
        </w:rPr>
        <w:t>e</w:t>
      </w:r>
      <w:r w:rsidRPr="00C63500">
        <w:rPr>
          <w:color w:val="000000"/>
          <w:szCs w:val="24"/>
        </w:rPr>
        <w:t xml:space="preserve">ta för att Sverige får del av strukturfonderna även framöver och då använda en verklighetsförankrad växelkurs för </w:t>
      </w:r>
      <w:r w:rsidR="000D6FB3" w:rsidRPr="00C63500">
        <w:rPr>
          <w:color w:val="000000"/>
          <w:szCs w:val="24"/>
        </w:rPr>
        <w:t xml:space="preserve">att </w:t>
      </w:r>
      <w:r w:rsidRPr="00C63500">
        <w:rPr>
          <w:color w:val="000000"/>
          <w:szCs w:val="24"/>
        </w:rPr>
        <w:t>”ta hem” hela den summa vårt land har rätt till.</w:t>
      </w:r>
    </w:p>
    <w:p w:rsidR="00F53244" w:rsidRPr="00C63500" w:rsidRDefault="00F53244" w:rsidP="00F53244">
      <w:pPr>
        <w:pStyle w:val="Normaltindrag"/>
        <w:rPr>
          <w:color w:val="000000"/>
          <w:szCs w:val="24"/>
        </w:rPr>
      </w:pPr>
      <w:r w:rsidRPr="00C63500">
        <w:t>För Glesbygdsverket upprättar Centerpartiet effektiviserings- och besp</w:t>
      </w:r>
      <w:r w:rsidRPr="00C63500">
        <w:t>a</w:t>
      </w:r>
      <w:r w:rsidRPr="00C63500">
        <w:t xml:space="preserve">ringsmål om 2 miljoner kronor för år 2006. </w:t>
      </w:r>
      <w:r w:rsidRPr="00C63500">
        <w:rPr>
          <w:color w:val="000000"/>
          <w:szCs w:val="24"/>
        </w:rPr>
        <w:t>Vidare förslår vi att Glesbygd</w:t>
      </w:r>
      <w:r w:rsidRPr="00C63500">
        <w:rPr>
          <w:color w:val="000000"/>
          <w:szCs w:val="24"/>
        </w:rPr>
        <w:t>s</w:t>
      </w:r>
      <w:r w:rsidRPr="00C63500">
        <w:rPr>
          <w:color w:val="000000"/>
          <w:szCs w:val="24"/>
        </w:rPr>
        <w:t>verket med början 2007 slås samman med Institutet för tillväxtpolitiska stud</w:t>
      </w:r>
      <w:r w:rsidRPr="00C63500">
        <w:rPr>
          <w:color w:val="000000"/>
          <w:szCs w:val="24"/>
        </w:rPr>
        <w:t>i</w:t>
      </w:r>
      <w:r w:rsidRPr="00C63500">
        <w:rPr>
          <w:color w:val="000000"/>
          <w:szCs w:val="24"/>
        </w:rPr>
        <w:t>er (ITPS) och delar av Verket för näringslivsutveckling (Nutek) till ett verk som tillför kunskap genom utredningar, forskning och analys för regionernas utveckling och regional</w:t>
      </w:r>
      <w:r w:rsidR="000D6FB3" w:rsidRPr="00C63500">
        <w:rPr>
          <w:color w:val="000000"/>
          <w:szCs w:val="24"/>
        </w:rPr>
        <w:t>a</w:t>
      </w:r>
      <w:r w:rsidRPr="00C63500">
        <w:rPr>
          <w:color w:val="000000"/>
          <w:szCs w:val="24"/>
        </w:rPr>
        <w:t xml:space="preserve"> tillväxt. Denna myndighet bör få ansvar för att ha</w:t>
      </w:r>
      <w:r w:rsidRPr="00C63500">
        <w:rPr>
          <w:color w:val="000000"/>
          <w:szCs w:val="24"/>
        </w:rPr>
        <w:t>n</w:t>
      </w:r>
      <w:r w:rsidRPr="00C63500">
        <w:rPr>
          <w:color w:val="000000"/>
          <w:szCs w:val="24"/>
        </w:rPr>
        <w:t>tera samtliga EU-program, oavsett om de finansieras av social- eller regiona</w:t>
      </w:r>
      <w:r w:rsidRPr="00C63500">
        <w:rPr>
          <w:color w:val="000000"/>
          <w:szCs w:val="24"/>
        </w:rPr>
        <w:t>l</w:t>
      </w:r>
      <w:r w:rsidRPr="00C63500">
        <w:rPr>
          <w:color w:val="000000"/>
          <w:szCs w:val="24"/>
        </w:rPr>
        <w:t>fonden. För detta anslår Centerpartiet för år 2007 och 2008 134 miljoner kronor/år.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D6FB3" w:rsidRPr="00C63500">
        <w:tblPrEx>
          <w:tblCellMar>
            <w:top w:w="0" w:type="dxa"/>
            <w:bottom w:w="0" w:type="dxa"/>
          </w:tblCellMar>
        </w:tblPrEx>
        <w:trPr>
          <w:cantSplit/>
        </w:trPr>
        <w:tc>
          <w:tcPr>
            <w:tcW w:w="3046" w:type="dxa"/>
          </w:tcPr>
          <w:p w:rsidR="000D6FB3" w:rsidRPr="00C63500" w:rsidRDefault="000D6FB3" w:rsidP="000D6FB3">
            <w:pPr>
              <w:pStyle w:val="UnderskriftDatum"/>
              <w:spacing w:before="240"/>
            </w:pPr>
            <w:r w:rsidRPr="00C63500">
              <w:t>Stockholm den 4 oktober 2005</w:t>
            </w:r>
          </w:p>
        </w:tc>
        <w:tc>
          <w:tcPr>
            <w:tcW w:w="3047" w:type="dxa"/>
          </w:tcPr>
          <w:p w:rsidR="000D6FB3" w:rsidRPr="00C63500" w:rsidRDefault="000D6FB3" w:rsidP="000D6FB3">
            <w:pPr>
              <w:pStyle w:val="Underskrifter"/>
              <w:spacing w:before="240"/>
            </w:pPr>
          </w:p>
        </w:tc>
      </w:tr>
      <w:tr w:rsidR="000D6FB3" w:rsidRPr="00C63500">
        <w:tblPrEx>
          <w:tblCellMar>
            <w:top w:w="0" w:type="dxa"/>
            <w:bottom w:w="0" w:type="dxa"/>
          </w:tblCellMar>
        </w:tblPrEx>
        <w:trPr>
          <w:cantSplit/>
        </w:trPr>
        <w:tc>
          <w:tcPr>
            <w:tcW w:w="3046" w:type="dxa"/>
          </w:tcPr>
          <w:p w:rsidR="000D6FB3" w:rsidRPr="00C63500" w:rsidRDefault="000D6FB3" w:rsidP="000D6FB3">
            <w:pPr>
              <w:pStyle w:val="Underskrifter"/>
            </w:pPr>
            <w:r w:rsidRPr="00C63500">
              <w:t>Åsa Torstensson (c)</w:t>
            </w:r>
          </w:p>
        </w:tc>
        <w:tc>
          <w:tcPr>
            <w:tcW w:w="3047" w:type="dxa"/>
          </w:tcPr>
          <w:p w:rsidR="000D6FB3" w:rsidRPr="00C63500" w:rsidRDefault="000D6FB3" w:rsidP="000D6FB3">
            <w:pPr>
              <w:pStyle w:val="Underskrifter"/>
            </w:pPr>
          </w:p>
        </w:tc>
      </w:tr>
      <w:tr w:rsidR="000D6FB3" w:rsidRPr="00C63500">
        <w:tblPrEx>
          <w:tblCellMar>
            <w:top w:w="0" w:type="dxa"/>
            <w:bottom w:w="0" w:type="dxa"/>
          </w:tblCellMar>
        </w:tblPrEx>
        <w:trPr>
          <w:cantSplit/>
        </w:trPr>
        <w:tc>
          <w:tcPr>
            <w:tcW w:w="3046" w:type="dxa"/>
          </w:tcPr>
          <w:p w:rsidR="000D6FB3" w:rsidRPr="00C63500" w:rsidRDefault="000D6FB3" w:rsidP="000D6FB3">
            <w:pPr>
              <w:pStyle w:val="Underskrifter"/>
            </w:pPr>
            <w:r w:rsidRPr="00C63500">
              <w:t>Håkan Larsson (c)</w:t>
            </w:r>
          </w:p>
        </w:tc>
        <w:tc>
          <w:tcPr>
            <w:tcW w:w="3047" w:type="dxa"/>
          </w:tcPr>
          <w:p w:rsidR="000D6FB3" w:rsidRPr="00C63500" w:rsidRDefault="000D6FB3" w:rsidP="000D6FB3">
            <w:pPr>
              <w:pStyle w:val="Underskrifter"/>
            </w:pPr>
            <w:r w:rsidRPr="00C63500">
              <w:t>Rigmor Stenmark (c)</w:t>
            </w:r>
          </w:p>
        </w:tc>
      </w:tr>
      <w:tr w:rsidR="000D6FB3" w:rsidRPr="00C63500">
        <w:tblPrEx>
          <w:tblCellMar>
            <w:top w:w="0" w:type="dxa"/>
            <w:bottom w:w="0" w:type="dxa"/>
          </w:tblCellMar>
        </w:tblPrEx>
        <w:trPr>
          <w:cantSplit/>
        </w:trPr>
        <w:tc>
          <w:tcPr>
            <w:tcW w:w="3046" w:type="dxa"/>
          </w:tcPr>
          <w:p w:rsidR="000D6FB3" w:rsidRPr="00C63500" w:rsidRDefault="000D6FB3" w:rsidP="000D6FB3">
            <w:pPr>
              <w:pStyle w:val="Underskrifter"/>
            </w:pPr>
            <w:r w:rsidRPr="00C63500">
              <w:t>Jörgen Johansson (c)</w:t>
            </w:r>
          </w:p>
        </w:tc>
        <w:tc>
          <w:tcPr>
            <w:tcW w:w="3047" w:type="dxa"/>
          </w:tcPr>
          <w:p w:rsidR="000D6FB3" w:rsidRPr="00C63500" w:rsidRDefault="000D6FB3" w:rsidP="000D6FB3">
            <w:pPr>
              <w:pStyle w:val="Underskrifter"/>
            </w:pPr>
            <w:r w:rsidRPr="00C63500">
              <w:t>Sven Bergström (c)</w:t>
            </w:r>
          </w:p>
        </w:tc>
      </w:tr>
      <w:tr w:rsidR="000D6FB3" w:rsidRPr="00C63500">
        <w:tblPrEx>
          <w:tblCellMar>
            <w:top w:w="0" w:type="dxa"/>
            <w:bottom w:w="0" w:type="dxa"/>
          </w:tblCellMar>
        </w:tblPrEx>
        <w:trPr>
          <w:cantSplit/>
        </w:trPr>
        <w:tc>
          <w:tcPr>
            <w:tcW w:w="3046" w:type="dxa"/>
          </w:tcPr>
          <w:p w:rsidR="000D6FB3" w:rsidRPr="00C63500" w:rsidRDefault="000D6FB3" w:rsidP="000D6FB3">
            <w:pPr>
              <w:pStyle w:val="Underskrifter"/>
            </w:pPr>
            <w:r w:rsidRPr="00C63500">
              <w:t>Roger Tiefensee (c)</w:t>
            </w:r>
          </w:p>
        </w:tc>
        <w:tc>
          <w:tcPr>
            <w:tcW w:w="3047" w:type="dxa"/>
          </w:tcPr>
          <w:p w:rsidR="000D6FB3" w:rsidRPr="00C63500" w:rsidRDefault="000D6FB3" w:rsidP="000D6FB3">
            <w:pPr>
              <w:pStyle w:val="Underskrifter"/>
            </w:pPr>
          </w:p>
        </w:tc>
      </w:tr>
    </w:tbl>
    <w:p w:rsidR="00F53244" w:rsidRPr="00C63500" w:rsidRDefault="00F53244" w:rsidP="000D6FB3">
      <w:pPr>
        <w:pStyle w:val="Normaltindrag"/>
      </w:pPr>
    </w:p>
    <w:sectPr w:rsidR="00F53244" w:rsidRPr="00C63500" w:rsidSect="000D6F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790E" w:rsidRPr="00C63500" w:rsidRDefault="0012790E">
      <w:r w:rsidRPr="00C63500">
        <w:separator/>
      </w:r>
    </w:p>
  </w:endnote>
  <w:endnote w:type="continuationSeparator" w:id="0">
    <w:p w:rsidR="0012790E" w:rsidRPr="00C63500" w:rsidRDefault="0012790E">
      <w:r w:rsidRPr="00C635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54C" w:rsidRPr="00C63500" w:rsidRDefault="00C63500" w:rsidP="000D6FB3">
    <w:pPr>
      <w:pStyle w:val="Sidfot"/>
    </w:pPr>
    <w:r w:rsidRPr="00C635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84441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54C" w:rsidRDefault="009E554C">
                          <w:pPr>
                            <w:pStyle w:val="NormalS5sidnrV"/>
                          </w:pPr>
                          <w:r>
                            <w:fldChar w:fldCharType="begin"/>
                          </w:r>
                          <w:r>
                            <w:instrText xml:space="preserve"> PAGE *\charformat</w:instrText>
                          </w:r>
                          <w:r>
                            <w:fldChar w:fldCharType="separate"/>
                          </w:r>
                          <w:r w:rsidR="0042318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554C" w:rsidRDefault="009E554C">
                    <w:pPr>
                      <w:pStyle w:val="NormalS5sidnrV"/>
                    </w:pPr>
                    <w:r>
                      <w:fldChar w:fldCharType="begin"/>
                    </w:r>
                    <w:r>
                      <w:instrText xml:space="preserve"> PAGE *\charformat</w:instrText>
                    </w:r>
                    <w:r>
                      <w:fldChar w:fldCharType="separate"/>
                    </w:r>
                    <w:r w:rsidR="0042318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54C" w:rsidRPr="00C63500" w:rsidRDefault="00C63500" w:rsidP="000D6FB3">
    <w:pPr>
      <w:pStyle w:val="Sidfot"/>
    </w:pPr>
    <w:r w:rsidRPr="00C635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78146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54C" w:rsidRDefault="009E554C">
                          <w:pPr>
                            <w:pStyle w:val="NormalS5sidnrH"/>
                            <w:ind w:right="0"/>
                          </w:pPr>
                          <w:r>
                            <w:fldChar w:fldCharType="begin"/>
                          </w:r>
                          <w:r>
                            <w:instrText xml:space="preserve"> PAGE *\charformat</w:instrText>
                          </w:r>
                          <w:r>
                            <w:fldChar w:fldCharType="separate"/>
                          </w:r>
                          <w:r w:rsidR="0042318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554C" w:rsidRDefault="009E554C">
                    <w:pPr>
                      <w:pStyle w:val="NormalS5sidnrH"/>
                      <w:ind w:right="0"/>
                    </w:pPr>
                    <w:r>
                      <w:fldChar w:fldCharType="begin"/>
                    </w:r>
                    <w:r>
                      <w:instrText xml:space="preserve"> PAGE *\charformat</w:instrText>
                    </w:r>
                    <w:r>
                      <w:fldChar w:fldCharType="separate"/>
                    </w:r>
                    <w:r w:rsidR="0042318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54C" w:rsidRPr="00C63500" w:rsidRDefault="00C63500" w:rsidP="000D6FB3">
    <w:pPr>
      <w:pStyle w:val="Sidfot"/>
    </w:pPr>
    <w:r w:rsidRPr="00C635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11854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54C" w:rsidRDefault="009E554C">
                          <w:pPr>
                            <w:pStyle w:val="NormalS5sidnrH"/>
                            <w:ind w:right="0"/>
                          </w:pPr>
                          <w:r>
                            <w:fldChar w:fldCharType="begin"/>
                          </w:r>
                          <w:r>
                            <w:instrText xml:space="preserve"> PAGE *\charformat</w:instrText>
                          </w:r>
                          <w:r>
                            <w:fldChar w:fldCharType="separate"/>
                          </w:r>
                          <w:r w:rsidR="0042318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554C" w:rsidRDefault="009E554C">
                    <w:pPr>
                      <w:pStyle w:val="NormalS5sidnrH"/>
                      <w:ind w:right="0"/>
                    </w:pPr>
                    <w:r>
                      <w:fldChar w:fldCharType="begin"/>
                    </w:r>
                    <w:r>
                      <w:instrText xml:space="preserve"> PAGE *\charformat</w:instrText>
                    </w:r>
                    <w:r>
                      <w:fldChar w:fldCharType="separate"/>
                    </w:r>
                    <w:r w:rsidR="0042318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790E" w:rsidRPr="00C63500" w:rsidRDefault="0012790E">
      <w:r w:rsidRPr="00C63500">
        <w:separator/>
      </w:r>
    </w:p>
  </w:footnote>
  <w:footnote w:type="continuationSeparator" w:id="0">
    <w:p w:rsidR="0012790E" w:rsidRPr="00C63500" w:rsidRDefault="0012790E">
      <w:r w:rsidRPr="00C635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54C" w:rsidRPr="00C63500" w:rsidRDefault="00C63500" w:rsidP="000D6FB3">
    <w:pPr>
      <w:pStyle w:val="Sidhuvud"/>
    </w:pPr>
    <w:r w:rsidRPr="00C635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11138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54C" w:rsidRDefault="009E554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554C" w:rsidRDefault="009E554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54C" w:rsidRPr="00C63500" w:rsidRDefault="00C63500" w:rsidP="000D6FB3">
    <w:pPr>
      <w:pStyle w:val="Sidhuvud"/>
    </w:pPr>
    <w:r w:rsidRPr="00C635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11901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54C" w:rsidRDefault="009E554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554C" w:rsidRDefault="009E554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54C" w:rsidRPr="00C63500" w:rsidRDefault="009E554C">
    <w:pPr>
      <w:pStyle w:val="FSHNormal"/>
      <w:tabs>
        <w:tab w:val="right" w:pos="5840"/>
      </w:tabs>
    </w:pPr>
    <w:r w:rsidRPr="00C63500">
      <w:br/>
    </w:r>
    <w:r w:rsidRPr="00C63500">
      <w:fldChar w:fldCharType="begin" w:fldLock="1"/>
    </w:r>
    <w:r w:rsidRPr="00C63500">
      <w:instrText xml:space="preserve"> DOCPROPERTY</w:instrText>
    </w:r>
    <w:r w:rsidRPr="00C63500">
      <w:rPr>
        <w:sz w:val="18"/>
      </w:rPr>
      <w:instrText xml:space="preserve"> "YearUser" *\charformat </w:instrText>
    </w:r>
    <w:r w:rsidRPr="00C63500">
      <w:fldChar w:fldCharType="separate"/>
    </w:r>
    <w:r w:rsidRPr="00C63500">
      <w:t>2005/06</w:t>
    </w:r>
    <w:r w:rsidRPr="00C63500">
      <w:fldChar w:fldCharType="end"/>
    </w:r>
    <w:r w:rsidRPr="00C63500">
      <w:t xml:space="preserve"> </w:t>
    </w:r>
    <w:r w:rsidRPr="00C63500">
      <w:tab/>
      <w:t xml:space="preserve">mnr: </w:t>
    </w:r>
    <w:r w:rsidRPr="00C63500">
      <w:fldChar w:fldCharType="begin" w:fldLock="1"/>
    </w:r>
    <w:r w:rsidRPr="00C63500">
      <w:instrText xml:space="preserve"> DOCPROPERTY</w:instrText>
    </w:r>
    <w:r w:rsidRPr="00C63500">
      <w:rPr>
        <w:sz w:val="18"/>
      </w:rPr>
      <w:instrText xml:space="preserve"> "Motionsnummer" *\charformat </w:instrText>
    </w:r>
    <w:r w:rsidRPr="00C63500">
      <w:fldChar w:fldCharType="separate"/>
    </w:r>
    <w:r w:rsidRPr="00C63500">
      <w:t>N475</w:t>
    </w:r>
    <w:r w:rsidRPr="00C63500">
      <w:fldChar w:fldCharType="end"/>
    </w:r>
    <w:r w:rsidRPr="00C63500">
      <w:br/>
    </w:r>
    <w:r w:rsidRPr="00C63500">
      <w:fldChar w:fldCharType="begin" w:fldLock="1"/>
    </w:r>
    <w:r w:rsidRPr="00C63500">
      <w:instrText xml:space="preserve"> DOCPROPERTY</w:instrText>
    </w:r>
    <w:r w:rsidRPr="00C63500">
      <w:rPr>
        <w:sz w:val="18"/>
      </w:rPr>
      <w:instrText xml:space="preserve"> "Samling" *\charformat </w:instrText>
    </w:r>
    <w:r w:rsidRPr="00C63500">
      <w:fldChar w:fldCharType="end"/>
    </w:r>
    <w:r w:rsidRPr="00C63500">
      <w:tab/>
      <w:t xml:space="preserve">pnr: </w:t>
    </w:r>
    <w:r w:rsidRPr="00C63500">
      <w:fldChar w:fldCharType="begin" w:fldLock="1"/>
    </w:r>
    <w:r w:rsidRPr="00C63500">
      <w:instrText xml:space="preserve"> DOCPROPERTY</w:instrText>
    </w:r>
    <w:r w:rsidRPr="00C63500">
      <w:rPr>
        <w:sz w:val="18"/>
      </w:rPr>
      <w:instrText xml:space="preserve"> "Partinummer" *\charformat </w:instrText>
    </w:r>
    <w:r w:rsidRPr="00C63500">
      <w:fldChar w:fldCharType="separate"/>
    </w:r>
    <w:r w:rsidRPr="00C63500">
      <w:t>c125</w:t>
    </w:r>
    <w:r w:rsidRPr="00C63500">
      <w:fldChar w:fldCharType="end"/>
    </w:r>
  </w:p>
  <w:p w:rsidR="009E554C" w:rsidRPr="00C63500" w:rsidRDefault="009E554C">
    <w:pPr>
      <w:pStyle w:val="FSHRub1"/>
    </w:pPr>
    <w:r w:rsidRPr="00C63500">
      <w:t>Motion till riksdagen</w:t>
    </w:r>
    <w:r w:rsidRPr="00C63500">
      <w:br/>
    </w:r>
    <w:r w:rsidRPr="00C63500">
      <w:fldChar w:fldCharType="begin" w:fldLock="1"/>
    </w:r>
    <w:r w:rsidRPr="00C63500">
      <w:instrText xml:space="preserve"> DOCPROPERTY "YearUser" *\charformat </w:instrText>
    </w:r>
    <w:r w:rsidRPr="00C63500">
      <w:fldChar w:fldCharType="separate"/>
    </w:r>
    <w:r w:rsidRPr="00C63500">
      <w:t>2005/06</w:t>
    </w:r>
    <w:r w:rsidRPr="00C63500">
      <w:fldChar w:fldCharType="end"/>
    </w:r>
    <w:r w:rsidRPr="00C63500">
      <w:t>:</w:t>
    </w:r>
    <w:r w:rsidRPr="00C63500">
      <w:fldChar w:fldCharType="begin" w:fldLock="1"/>
    </w:r>
    <w:r w:rsidRPr="00C63500">
      <w:instrText xml:space="preserve"> DOCPROPERTY "Motionsnummer" *\charformat </w:instrText>
    </w:r>
    <w:r w:rsidRPr="00C63500">
      <w:fldChar w:fldCharType="separate"/>
    </w:r>
    <w:r w:rsidRPr="00C63500">
      <w:t>N475</w:t>
    </w:r>
    <w:r w:rsidRPr="00C63500">
      <w:fldChar w:fldCharType="end"/>
    </w:r>
  </w:p>
  <w:p w:rsidR="009E554C" w:rsidRPr="00C63500" w:rsidRDefault="009E554C">
    <w:pPr>
      <w:pStyle w:val="FSHNormalS5"/>
    </w:pPr>
    <w:r w:rsidRPr="00C63500">
      <w:fldChar w:fldCharType="begin" w:fldLock="1"/>
    </w:r>
    <w:r w:rsidRPr="00C63500">
      <w:instrText xml:space="preserve"> DOCPROPERTY "MotionarText" *\charformat </w:instrText>
    </w:r>
    <w:r w:rsidRPr="00C63500">
      <w:fldChar w:fldCharType="separate"/>
    </w:r>
    <w:r w:rsidRPr="00C63500">
      <w:t>av Åsa Torstensson m.fl. (c)</w:t>
    </w:r>
    <w:r w:rsidRPr="00C63500">
      <w:fldChar w:fldCharType="end"/>
    </w:r>
    <w:r w:rsidRPr="00C63500">
      <w:br/>
    </w:r>
    <w:r w:rsidRPr="00C63500">
      <w:fldChar w:fldCharType="begin" w:fldLock="1"/>
    </w:r>
    <w:r w:rsidRPr="00C63500">
      <w:instrText xml:space="preserve"> DOCPROPERTY "SvarFrasKort" *\charformat </w:instrText>
    </w:r>
    <w:r w:rsidRPr="00C63500">
      <w:fldChar w:fldCharType="end"/>
    </w:r>
  </w:p>
  <w:p w:rsidR="009E554C" w:rsidRPr="00C63500" w:rsidRDefault="009E554C">
    <w:pPr>
      <w:pStyle w:val="FSHTitel"/>
    </w:pPr>
    <w:r w:rsidRPr="00C63500">
      <w:fldChar w:fldCharType="begin" w:fldLock="1"/>
    </w:r>
    <w:r w:rsidRPr="00C63500">
      <w:instrText xml:space="preserve"> DOCPROPERTY</w:instrText>
    </w:r>
    <w:r w:rsidRPr="00C63500">
      <w:rPr>
        <w:sz w:val="18"/>
      </w:rPr>
      <w:instrText xml:space="preserve"> "RubrikSvar" *\charformat </w:instrText>
    </w:r>
    <w:r w:rsidRPr="00C63500">
      <w:fldChar w:fldCharType="separate"/>
    </w:r>
    <w:r w:rsidRPr="00C63500">
      <w:t>Utgiftsområde 19 Regional utveckling</w:t>
    </w:r>
    <w:r w:rsidRPr="00C63500">
      <w:fldChar w:fldCharType="end"/>
    </w:r>
  </w:p>
  <w:p w:rsidR="009E554C" w:rsidRPr="00C63500" w:rsidRDefault="009E554C" w:rsidP="000D6FB3">
    <w:pPr>
      <w:pStyle w:val="Normal00"/>
      <w:rPr>
        <w:i/>
      </w:rPr>
    </w:pPr>
    <w:r w:rsidRPr="00C63500">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7E6730"/>
    <w:multiLevelType w:val="hybridMultilevel"/>
    <w:tmpl w:val="CEB8190C"/>
    <w:lvl w:ilvl="0" w:tplc="C3507CE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B32076B"/>
    <w:multiLevelType w:val="hybridMultilevel"/>
    <w:tmpl w:val="C9E02186"/>
    <w:lvl w:ilvl="0" w:tplc="1012E4D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4C96092"/>
    <w:multiLevelType w:val="hybridMultilevel"/>
    <w:tmpl w:val="F9FA90AE"/>
    <w:lvl w:ilvl="0" w:tplc="DD1045E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8A967C1"/>
    <w:multiLevelType w:val="hybridMultilevel"/>
    <w:tmpl w:val="2D3A8FA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96257B5"/>
    <w:multiLevelType w:val="hybridMultilevel"/>
    <w:tmpl w:val="EA5C64C0"/>
    <w:lvl w:ilvl="0" w:tplc="EE806B7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95723378">
    <w:abstractNumId w:val="17"/>
  </w:num>
  <w:num w:numId="2" w16cid:durableId="700399216">
    <w:abstractNumId w:val="10"/>
  </w:num>
  <w:num w:numId="3" w16cid:durableId="130640868">
    <w:abstractNumId w:val="13"/>
  </w:num>
  <w:num w:numId="4" w16cid:durableId="1510175045">
    <w:abstractNumId w:val="16"/>
  </w:num>
  <w:num w:numId="5" w16cid:durableId="654334024">
    <w:abstractNumId w:val="8"/>
  </w:num>
  <w:num w:numId="6" w16cid:durableId="385419252">
    <w:abstractNumId w:val="3"/>
  </w:num>
  <w:num w:numId="7" w16cid:durableId="1464082406">
    <w:abstractNumId w:val="2"/>
  </w:num>
  <w:num w:numId="8" w16cid:durableId="1656253401">
    <w:abstractNumId w:val="1"/>
  </w:num>
  <w:num w:numId="9" w16cid:durableId="595140694">
    <w:abstractNumId w:val="0"/>
  </w:num>
  <w:num w:numId="10" w16cid:durableId="1213079205">
    <w:abstractNumId w:val="9"/>
  </w:num>
  <w:num w:numId="11" w16cid:durableId="1769620919">
    <w:abstractNumId w:val="7"/>
  </w:num>
  <w:num w:numId="12" w16cid:durableId="980228104">
    <w:abstractNumId w:val="6"/>
  </w:num>
  <w:num w:numId="13" w16cid:durableId="302345567">
    <w:abstractNumId w:val="5"/>
  </w:num>
  <w:num w:numId="14" w16cid:durableId="533619474">
    <w:abstractNumId w:val="4"/>
  </w:num>
  <w:num w:numId="15" w16cid:durableId="2008628632">
    <w:abstractNumId w:val="18"/>
  </w:num>
  <w:num w:numId="16" w16cid:durableId="1073546278">
    <w:abstractNumId w:val="15"/>
  </w:num>
  <w:num w:numId="17" w16cid:durableId="1127894341">
    <w:abstractNumId w:val="14"/>
  </w:num>
  <w:num w:numId="18" w16cid:durableId="638995424">
    <w:abstractNumId w:val="11"/>
  </w:num>
  <w:num w:numId="19" w16cid:durableId="4336746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6"/>
  </w:docVars>
  <w:rsids>
    <w:rsidRoot w:val="00563E93"/>
    <w:rsid w:val="00015BD2"/>
    <w:rsid w:val="0004381F"/>
    <w:rsid w:val="00064BC3"/>
    <w:rsid w:val="00066775"/>
    <w:rsid w:val="00072FB9"/>
    <w:rsid w:val="000D6FB3"/>
    <w:rsid w:val="00100531"/>
    <w:rsid w:val="0012790E"/>
    <w:rsid w:val="001B200B"/>
    <w:rsid w:val="00201DFB"/>
    <w:rsid w:val="00204A63"/>
    <w:rsid w:val="00212FF1"/>
    <w:rsid w:val="00230193"/>
    <w:rsid w:val="0025068A"/>
    <w:rsid w:val="002818D3"/>
    <w:rsid w:val="002D11A8"/>
    <w:rsid w:val="00423186"/>
    <w:rsid w:val="00445271"/>
    <w:rsid w:val="004A0504"/>
    <w:rsid w:val="004E38D9"/>
    <w:rsid w:val="00563E93"/>
    <w:rsid w:val="005B145B"/>
    <w:rsid w:val="00740D6D"/>
    <w:rsid w:val="00794149"/>
    <w:rsid w:val="007B67A7"/>
    <w:rsid w:val="007C6092"/>
    <w:rsid w:val="007E2BE2"/>
    <w:rsid w:val="00840924"/>
    <w:rsid w:val="008D4644"/>
    <w:rsid w:val="009C3D32"/>
    <w:rsid w:val="009E554C"/>
    <w:rsid w:val="00A053C6"/>
    <w:rsid w:val="00B13BF0"/>
    <w:rsid w:val="00C1285C"/>
    <w:rsid w:val="00C22199"/>
    <w:rsid w:val="00C27B7D"/>
    <w:rsid w:val="00C30DDA"/>
    <w:rsid w:val="00C57C5B"/>
    <w:rsid w:val="00C63500"/>
    <w:rsid w:val="00CF7A43"/>
    <w:rsid w:val="00D1174F"/>
    <w:rsid w:val="00DC6C70"/>
    <w:rsid w:val="00E22893"/>
    <w:rsid w:val="00E360DE"/>
    <w:rsid w:val="00E75D28"/>
    <w:rsid w:val="00E84F25"/>
    <w:rsid w:val="00F53244"/>
    <w:rsid w:val="00FA3374"/>
    <w:rsid w:val="00FD04E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0B7FEE-D468-46B6-8AF6-B62CE45F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563E93"/>
    <w:rPr>
      <w:rFonts w:ascii="Tahoma" w:hAnsi="Tahoma" w:cs="Tahoma"/>
      <w:sz w:val="16"/>
      <w:szCs w:val="16"/>
    </w:rPr>
  </w:style>
  <w:style w:type="paragraph" w:customStyle="1" w:styleId="Hemstlrubrik">
    <w:name w:val="Hemstl_rubrik"/>
    <w:basedOn w:val="Rubrik1"/>
    <w:next w:val="Normal"/>
    <w:rsid w:val="000D6FB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D6FB3"/>
    <w:pPr>
      <w:keepLines/>
      <w:numPr>
        <w:numId w:val="19"/>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675</Words>
  <Characters>4062</Characters>
  <Application>Microsoft Office Word</Application>
  <DocSecurity>4</DocSecurity>
  <Lines>101</Lines>
  <Paragraphs>40</Paragraphs>
  <ScaleCrop>false</ScaleCrop>
  <HeadingPairs>
    <vt:vector size="2" baseType="variant">
      <vt:variant>
        <vt:lpstr>Rubrik</vt:lpstr>
      </vt:variant>
      <vt:variant>
        <vt:i4>1</vt:i4>
      </vt:variant>
    </vt:vector>
  </HeadingPairs>
  <TitlesOfParts>
    <vt:vector size="1" baseType="lpstr">
      <vt:lpstr>N475</vt:lpstr>
    </vt:vector>
  </TitlesOfParts>
  <Company>Riksdagen</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N475</dc:title>
  <dc:subject>N475</dc:subject>
  <dc:creator>Riksdagen</dc:creator>
  <cp:keywords>Riksdagen</cp:keywords>
  <dc:description/>
  <cp:lastModifiedBy>Lars Brink</cp:lastModifiedBy>
  <cp:revision>2</cp:revision>
  <cp:lastPrinted>2006-01-12T13:19:00Z</cp:lastPrinted>
  <dcterms:created xsi:type="dcterms:W3CDTF">2025-12-16T20:30:00Z</dcterms:created>
  <dcterms:modified xsi:type="dcterms:W3CDTF">2025-12-16T20:30:00Z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mot2000_430_2006-02-06</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19 Regional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19 Regional utveckling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c125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Åsa Torstensson m.fl. (c)</vt:lpwstr>
  </property>
  <property fmtid="{D5CDD505-2E9C-101B-9397-08002B2CF9AE}" pid="26" name="MotionarLista">
    <vt:lpwstr>Torstensson, Åsa (c)\Larsson, Håkan (c)\Stenmark, Rigmor (c)\Johansson, Jörgen (c)\Bergström, Sven (c)\Tiefensee, Roger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Torstensson (c), Håkan Larsson (c), Rigmor Stenmark (c), Jörgen Johansson (c), Sven Bergström (c), Roger Tiefensee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N475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hannes.borg@riksdagen.se</vt:lpwstr>
  </property>
  <property fmtid="{D5CDD505-2E9C-101B-9397-08002B2CF9AE}" pid="45" name="ReservUID">
    <vt:lpwstr>birgitta lundblad</vt:lpwstr>
  </property>
  <property fmtid="{D5CDD505-2E9C-101B-9397-08002B2CF9AE}" pid="46" name="MotionID">
    <vt:lpwstr>20052006000000000099000001250075</vt:lpwstr>
  </property>
  <property fmtid="{D5CDD505-2E9C-101B-9397-08002B2CF9AE}" pid="47" name="datum">
    <vt:lpwstr>051004</vt:lpwstr>
  </property>
  <property fmtid="{D5CDD505-2E9C-101B-9397-08002B2CF9AE}" pid="48" name="avsändar-e-post">
    <vt:lpwstr>hannes.borg@riksdagen.se</vt:lpwstr>
  </property>
  <property fmtid="{D5CDD505-2E9C-101B-9397-08002B2CF9AE}" pid="49" name="id">
    <vt:lpwstr>20052006000000000099000001250075</vt:lpwstr>
  </property>
  <property fmtid="{D5CDD505-2E9C-101B-9397-08002B2CF9AE}" pid="50" name="nummer">
    <vt:lpwstr>475</vt:lpwstr>
  </property>
  <property fmtid="{D5CDD505-2E9C-101B-9397-08002B2CF9AE}" pid="51" name="utskottsbeteckning">
    <vt:lpwstr>N</vt:lpwstr>
  </property>
  <property fmtid="{D5CDD505-2E9C-101B-9397-08002B2CF9AE}" pid="52" name="GlobalUID">
    <vt:lpwstr>nej</vt:lpwstr>
  </property>
  <property fmtid="{D5CDD505-2E9C-101B-9397-08002B2CF9AE}" pid="53" name="Överföringar">
    <vt:i4>0</vt:i4>
  </property>
</Properties>
</file>