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6024"/>
        <w:gridCol w:w="1418"/>
      </w:tblGrid>
      <w:tr w:rsidR="00000000" w:rsidRPr="00392EFF">
        <w:tblPrEx>
          <w:tblCellMar>
            <w:top w:w="0" w:type="dxa"/>
            <w:bottom w:w="0" w:type="dxa"/>
          </w:tblCellMar>
        </w:tblPrEx>
        <w:trPr>
          <w:cantSplit/>
          <w:trHeight w:val="1720"/>
        </w:trPr>
        <w:tc>
          <w:tcPr>
            <w:tcW w:w="6024" w:type="dxa"/>
          </w:tcPr>
          <w:p w:rsidR="00FB62DB" w:rsidRPr="00392EFF" w:rsidRDefault="00FB62DB">
            <w:pPr>
              <w:pStyle w:val="Rubrik1"/>
              <w:spacing w:after="0"/>
              <w:rPr>
                <w:noProof w:val="0"/>
              </w:rPr>
            </w:pPr>
            <w:r w:rsidRPr="00392EFF">
              <w:rPr>
                <w:noProof w:val="0"/>
              </w:rPr>
              <w:t>Arbetsmarknadsutskottets yttrande</w:t>
            </w:r>
          </w:p>
          <w:p w:rsidR="00FB62DB" w:rsidRPr="00392EFF" w:rsidRDefault="00FB62DB">
            <w:pPr>
              <w:pStyle w:val="HuvudRubrikRad2"/>
            </w:pPr>
            <w:r w:rsidRPr="00392EFF">
              <w:t>2002/03:AU1y</w:t>
            </w:r>
          </w:p>
        </w:tc>
        <w:tc>
          <w:tcPr>
            <w:tcW w:w="1418" w:type="dxa"/>
            <w:tcBorders>
              <w:bottom w:val="nil"/>
            </w:tcBorders>
          </w:tcPr>
          <w:p w:rsidR="00FB62DB" w:rsidRPr="00392EFF" w:rsidRDefault="00392EFF">
            <w:pPr>
              <w:spacing w:line="230" w:lineRule="auto"/>
              <w:jc w:val="center"/>
            </w:pPr>
            <w:r w:rsidRPr="00392EF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B62DB" w:rsidRPr="00392EFF" w:rsidRDefault="00FB62DB">
            <w:pPr>
              <w:pStyle w:val="Normaltindrag"/>
              <w:jc w:val="center"/>
            </w:pPr>
          </w:p>
          <w:p w:rsidR="00FB62DB" w:rsidRPr="00392EFF" w:rsidRDefault="00FB62DB">
            <w:pPr>
              <w:pStyle w:val="StatusSida1"/>
            </w:pPr>
          </w:p>
          <w:p w:rsidR="00FB62DB" w:rsidRPr="00392EFF" w:rsidRDefault="00FB62DB">
            <w:pPr>
              <w:pStyle w:val="UtskriftsdatumSida1"/>
              <w:framePr w:wrap="around"/>
            </w:pPr>
          </w:p>
        </w:tc>
      </w:tr>
      <w:tr w:rsidR="00000000" w:rsidRPr="00392EFF">
        <w:tblPrEx>
          <w:tblCellMar>
            <w:top w:w="0" w:type="dxa"/>
            <w:bottom w:w="0" w:type="dxa"/>
          </w:tblCellMar>
        </w:tblPrEx>
        <w:trPr>
          <w:cantSplit/>
        </w:trPr>
        <w:tc>
          <w:tcPr>
            <w:tcW w:w="6024" w:type="dxa"/>
          </w:tcPr>
          <w:p w:rsidR="00FB62DB" w:rsidRPr="00392EFF" w:rsidRDefault="00FB62DB">
            <w:pPr>
              <w:pStyle w:val="DokumentRubrik"/>
              <w:rPr>
                <w:noProof w:val="0"/>
              </w:rPr>
            </w:pPr>
            <w:r w:rsidRPr="00392EFF">
              <w:rPr>
                <w:noProof w:val="0"/>
              </w:rPr>
              <w:t xml:space="preserve">Ramar för utgiftsområdena </w:t>
            </w:r>
            <w:r w:rsidRPr="00392EFF">
              <w:rPr>
                <w:noProof w:val="0"/>
              </w:rPr>
              <w:br/>
              <w:t>13 Arbetsmarknad och 14 Arbetsliv</w:t>
            </w:r>
          </w:p>
        </w:tc>
        <w:tc>
          <w:tcPr>
            <w:tcW w:w="1418" w:type="dxa"/>
          </w:tcPr>
          <w:p w:rsidR="00FB62DB" w:rsidRPr="00392EFF" w:rsidRDefault="00FB62DB"/>
        </w:tc>
      </w:tr>
      <w:tr w:rsidR="00000000" w:rsidRPr="00392EFF">
        <w:tblPrEx>
          <w:tblCellMar>
            <w:top w:w="0" w:type="dxa"/>
            <w:bottom w:w="0" w:type="dxa"/>
          </w:tblCellMar>
        </w:tblPrEx>
        <w:trPr>
          <w:cantSplit/>
        </w:trPr>
        <w:tc>
          <w:tcPr>
            <w:tcW w:w="6024" w:type="dxa"/>
            <w:tcBorders>
              <w:bottom w:val="single" w:sz="4" w:space="0" w:color="auto"/>
            </w:tcBorders>
          </w:tcPr>
          <w:p w:rsidR="00FB62DB" w:rsidRPr="00392EFF" w:rsidRDefault="00FB62DB">
            <w:pPr>
              <w:pStyle w:val="DokumentRubrik"/>
              <w:rPr>
                <w:noProof w:val="0"/>
              </w:rPr>
            </w:pPr>
          </w:p>
        </w:tc>
        <w:tc>
          <w:tcPr>
            <w:tcW w:w="1418" w:type="dxa"/>
            <w:tcBorders>
              <w:bottom w:val="nil"/>
            </w:tcBorders>
          </w:tcPr>
          <w:p w:rsidR="00FB62DB" w:rsidRPr="00392EFF" w:rsidRDefault="00FB62DB"/>
        </w:tc>
      </w:tr>
    </w:tbl>
    <w:p w:rsidR="00FB62DB" w:rsidRPr="00392EFF" w:rsidRDefault="00FB62DB">
      <w:pPr>
        <w:pStyle w:val="R1"/>
        <w:spacing w:after="250"/>
        <w:rPr>
          <w:sz w:val="19"/>
        </w:rPr>
      </w:pPr>
    </w:p>
    <w:p w:rsidR="00FB62DB" w:rsidRPr="00392EFF" w:rsidRDefault="00FB62DB">
      <w:pPr>
        <w:pStyle w:val="R1"/>
      </w:pPr>
      <w:r w:rsidRPr="00392EFF">
        <w:t>Till finansutskottet</w:t>
      </w:r>
    </w:p>
    <w:p w:rsidR="00FB62DB" w:rsidRPr="00392EFF" w:rsidRDefault="00FB62DB">
      <w:bookmarkStart w:id="0" w:name="TextStart"/>
      <w:bookmarkEnd w:id="0"/>
      <w:r w:rsidRPr="00392EFF">
        <w:t>Finansutskottet har berett berörda utskott tillfälle att yttra sig över budgetpr</w:t>
      </w:r>
      <w:r w:rsidRPr="00392EFF">
        <w:t>o</w:t>
      </w:r>
      <w:r w:rsidRPr="00392EFF">
        <w:t>positionen för år 2003 bl.a. avseende den ekonomiska politiken och förslag till statsbudgeten för budgetåret 2003, utgifternas fördelning på utgiftsomr</w:t>
      </w:r>
      <w:r w:rsidRPr="00392EFF">
        <w:t>å</w:t>
      </w:r>
      <w:r w:rsidRPr="00392EFF">
        <w:t xml:space="preserve">den och beräkningen av statsinkomsterna i de delar som berör respektive utskotts beredningsområde. </w:t>
      </w:r>
    </w:p>
    <w:p w:rsidR="00FB62DB" w:rsidRPr="00392EFF" w:rsidRDefault="00FB62DB">
      <w:pPr>
        <w:pStyle w:val="Normaltindrag"/>
      </w:pPr>
      <w:r w:rsidRPr="00392EFF">
        <w:t>Arbetsmarknadsutskottet, som har beredningsansvaret för utgiftsområdena 13 Arbetsmarknad och 14 Arbetsliv, yttrar sig i det följande om utvecklingen på arbetsmarknaden m.m. Utskottet kommenterar även oppositionens förslag till ramar i respektive partimotion F</w:t>
      </w:r>
      <w:r w:rsidRPr="00392EFF">
        <w:t xml:space="preserve">i231, Fi232, Fi233 och Fi234. I yttrandet berörs även motion Fi230 till den del som den berör ramen för utgiftsområde 14.  </w:t>
      </w:r>
    </w:p>
    <w:p w:rsidR="00FB62DB" w:rsidRPr="00392EFF" w:rsidRDefault="00FB62DB">
      <w:pPr>
        <w:pStyle w:val="Rubrik2"/>
      </w:pPr>
      <w:r w:rsidRPr="00392EFF">
        <w:t>Utvecklingen på arbetsmarknaden m.m.</w:t>
      </w:r>
    </w:p>
    <w:p w:rsidR="00FB62DB" w:rsidRPr="00392EFF" w:rsidRDefault="00FB62DB">
      <w:pPr>
        <w:pStyle w:val="R3"/>
      </w:pPr>
      <w:r w:rsidRPr="00392EFF">
        <w:t>Budgetpropositionen</w:t>
      </w:r>
    </w:p>
    <w:p w:rsidR="00FB62DB" w:rsidRPr="00392EFF" w:rsidRDefault="00FB62DB">
      <w:r w:rsidRPr="00392EFF">
        <w:t xml:space="preserve">De makroekonomiska förutsättningar som förslagen i budgetpropositionen bygger på utgår från beräkningar som baseras på information t.o.m. den </w:t>
      </w:r>
      <w:r w:rsidRPr="00392EFF">
        <w:br/>
        <w:t>4 oktober. Sysselsättningen väntas öka nästa år i takt med att produktionen stiger, men till följd av en stark ökning av antalet personer mellan 20 och 64 år bedöms den reguljära sysselsättningsgraden falla till 78,0 %. Den progn</w:t>
      </w:r>
      <w:r w:rsidRPr="00392EFF">
        <w:t>o</w:t>
      </w:r>
      <w:r w:rsidRPr="00392EFF">
        <w:t>stiserade utvecklingen av sysselsättningen och arbetskraftsutbudet antas me</w:t>
      </w:r>
      <w:r w:rsidRPr="00392EFF">
        <w:t>d</w:t>
      </w:r>
      <w:r w:rsidRPr="00392EFF">
        <w:t>föra att arbetslösheten, mätt som årsgenomsnitt, i riket som helhet sjunker till 3,8 % nästa år. Regeringen framhåller dock att osäkerheten om den intern</w:t>
      </w:r>
      <w:r w:rsidRPr="00392EFF">
        <w:t>a</w:t>
      </w:r>
      <w:r w:rsidRPr="00392EFF">
        <w:t>tionella ko</w:t>
      </w:r>
      <w:r w:rsidRPr="00392EFF">
        <w:t>n</w:t>
      </w:r>
      <w:r w:rsidRPr="00392EFF">
        <w:t xml:space="preserve">junkturen är stor. </w:t>
      </w:r>
    </w:p>
    <w:p w:rsidR="00FB62DB" w:rsidRPr="00392EFF" w:rsidRDefault="00FB62DB">
      <w:pPr>
        <w:pStyle w:val="Normaltindrag"/>
      </w:pPr>
      <w:r w:rsidRPr="00392EFF">
        <w:lastRenderedPageBreak/>
        <w:t>För år 2004 görs in</w:t>
      </w:r>
      <w:r w:rsidRPr="00392EFF">
        <w:t>gen bedömning av konjunkturläget. Med hänsyn till osäkerheten i bedömningen av den framtida konjunkturutvecklingen present</w:t>
      </w:r>
      <w:r w:rsidRPr="00392EFF">
        <w:t>e</w:t>
      </w:r>
      <w:r w:rsidRPr="00392EFF">
        <w:t>ras i stället tre scenarier med en baskalkyl och ett låg- respektive högtillväx</w:t>
      </w:r>
      <w:r w:rsidRPr="00392EFF">
        <w:t>t</w:t>
      </w:r>
      <w:r w:rsidRPr="00392EFF">
        <w:t>alternativ. I baskalkylen återhämtar sig den svenska ekonomin successivt med en BNP-tillväxt med 2,5 % både 2003 och 2004. Det av regering och riksdag uppsatta sysselsättningsmålet om 80 % sysselsatta i dessa åldrar år 2004 nås inte i denna kalkyl utan sysselsättning</w:t>
      </w:r>
      <w:r w:rsidRPr="00392EFF">
        <w:t>s</w:t>
      </w:r>
      <w:r w:rsidRPr="00392EFF">
        <w:t>graden stannar på 78 %.</w:t>
      </w:r>
    </w:p>
    <w:p w:rsidR="00FB62DB" w:rsidRPr="00392EFF" w:rsidRDefault="00FB62DB">
      <w:pPr>
        <w:pStyle w:val="Normaltindrag"/>
      </w:pPr>
      <w:r w:rsidRPr="00392EFF">
        <w:t>I lågtillväxtalte</w:t>
      </w:r>
      <w:r w:rsidRPr="00392EFF">
        <w:t>rnativet blir sysselsättningsnivån betydligt lägre än i ba</w:t>
      </w:r>
      <w:r w:rsidRPr="00392EFF">
        <w:t>s</w:t>
      </w:r>
      <w:r w:rsidRPr="00392EFF">
        <w:t>kalkylen och den öppna arbetslösheten stiger. I högtillväxtkalkylen fortsätter sysselsättningen att stiga och sysselsättningsmålet år 2004 uppnås. Regerin</w:t>
      </w:r>
      <w:r w:rsidRPr="00392EFF">
        <w:t>g</w:t>
      </w:r>
      <w:r w:rsidRPr="00392EFF">
        <w:t>en avser att fortlöpande vidta åtgärder så att denna utvec</w:t>
      </w:r>
      <w:r w:rsidRPr="00392EFF">
        <w:t>k</w:t>
      </w:r>
      <w:r w:rsidRPr="00392EFF">
        <w:t xml:space="preserve">ling blir möjlig. </w:t>
      </w:r>
    </w:p>
    <w:p w:rsidR="00FB62DB" w:rsidRPr="00392EFF" w:rsidRDefault="00FB62DB"/>
    <w:p w:rsidR="00FB62DB" w:rsidRPr="00392EFF" w:rsidRDefault="00FB62DB">
      <w:pPr>
        <w:pStyle w:val="R3"/>
      </w:pPr>
      <w:r w:rsidRPr="00392EFF">
        <w:t>Den senaste månadsstatistiken från AMS och SCB samt KI:s månadsbarometer</w:t>
      </w:r>
    </w:p>
    <w:p w:rsidR="00FB62DB" w:rsidRPr="00392EFF" w:rsidRDefault="00FB62DB">
      <w:pPr>
        <w:rPr>
          <w:i/>
        </w:rPr>
      </w:pPr>
      <w:r w:rsidRPr="00392EFF">
        <w:rPr>
          <w:i/>
        </w:rPr>
        <w:t xml:space="preserve">AMS </w:t>
      </w:r>
      <w:r w:rsidRPr="00392EFF">
        <w:t>har den 7 november presenterat månadsstatistiken för oktober. Där konstateras att konjunkturuppgången dröjer. Trots det är arbetsmarknaden fortsatt stabil. Den öppna arbetslösheten fortsätter att gå ned trots den svaga konjunkturen och låg i slutet av oktober på 3,8 % av arbetskraften. Motsv</w:t>
      </w:r>
      <w:r w:rsidRPr="00392EFF">
        <w:t>a</w:t>
      </w:r>
      <w:r w:rsidRPr="00392EFF">
        <w:t>rande tal för ett år sedan var 3,9 %. Det s.k. obalanstalet, dvs. öppet arbetslösa och deltagare i arbetsmarknadspolitiska program, uppgick i oktober till 6,6 % av arbetskraften, motsvarande 292 000 personer. På Stockho</w:t>
      </w:r>
      <w:r w:rsidRPr="00392EFF">
        <w:t>lms arbetsmar</w:t>
      </w:r>
      <w:r w:rsidRPr="00392EFF">
        <w:t>k</w:t>
      </w:r>
      <w:r w:rsidRPr="00392EFF">
        <w:t>nad är andelen arbetslösa och programdeltagare närmare 1 procentenhet högre än samma månad förra året, 4,1 % av arbetskraften. 53 000 personer har hittills i år varslats om uppsägning, vilket är lika många som samma period förra året. I oktober varslades 7 900 personer. Det är den näst högsta oktobe</w:t>
      </w:r>
      <w:r w:rsidRPr="00392EFF">
        <w:t>r</w:t>
      </w:r>
      <w:r w:rsidRPr="00392EFF">
        <w:t>siffran sedan 1993. Arbetslösheten har minskat främst bland kvinnor och motsvarar 3,4 % jämfört med 4,2 % för männen. Arbetslösheten har även sjunkit för äldre och långtidsinskrivna. 38 000 nya pla</w:t>
      </w:r>
      <w:r w:rsidRPr="00392EFF">
        <w:t>tser anmäldes till a</w:t>
      </w:r>
      <w:r w:rsidRPr="00392EFF">
        <w:t>r</w:t>
      </w:r>
      <w:r w:rsidRPr="00392EFF">
        <w:t>betsförmedlingarna under oktober, vilket är en uppgång med 2 700 jämfört med oktober 2001. Det är uteslutande visstidsanställningar som står för ö</w:t>
      </w:r>
      <w:r w:rsidRPr="00392EFF">
        <w:t>k</w:t>
      </w:r>
      <w:r w:rsidRPr="00392EFF">
        <w:t>ningen. De tre storstadsl</w:t>
      </w:r>
      <w:r w:rsidRPr="00392EFF">
        <w:t>ä</w:t>
      </w:r>
      <w:r w:rsidRPr="00392EFF">
        <w:t>nen står för drygt 60 % av de nyanmälda platserna.</w:t>
      </w:r>
      <w:r w:rsidRPr="00392EFF">
        <w:rPr>
          <w:b/>
          <w:i/>
        </w:rPr>
        <w:t xml:space="preserve"> </w:t>
      </w:r>
    </w:p>
    <w:p w:rsidR="00FB62DB" w:rsidRPr="00392EFF" w:rsidRDefault="00FB62DB">
      <w:pPr>
        <w:pStyle w:val="Normaltindrag"/>
      </w:pPr>
      <w:r w:rsidRPr="00392EFF">
        <w:rPr>
          <w:i/>
        </w:rPr>
        <w:t xml:space="preserve">SCB:s </w:t>
      </w:r>
      <w:r w:rsidRPr="00392EFF">
        <w:t>arbetskraftsundersökningar (AKU) för september redovisar en viss ökning av antalet sysselsatta. Den relativa arbetslösheten hade dock ökat till 4,2 %, en uppgång med två tiondels procentenheter jämfört med ett år tidig</w:t>
      </w:r>
      <w:r w:rsidRPr="00392EFF">
        <w:t>a</w:t>
      </w:r>
      <w:r w:rsidRPr="00392EFF">
        <w:t>re. Arbetskraften motsvarade 78,3 % av befolkningen mellan 16 och 64 år, vilket är samma tal som ett år tidigare. Antalet utförda arbetstimmar i geno</w:t>
      </w:r>
      <w:r w:rsidRPr="00392EFF">
        <w:t>m</w:t>
      </w:r>
      <w:r w:rsidRPr="00392EFF">
        <w:t>snitt per vecka var något lägre än året före. SCB följer också upp regeringens sysselsättningsmål, dvs. andelen sysselsatta på den reguljära ar</w:t>
      </w:r>
      <w:r w:rsidRPr="00392EFF">
        <w:t xml:space="preserve">betsmarknaden i åldersgruppen 20–64 år. I september 2002 uppgick andelen till 78,4 %. </w:t>
      </w:r>
    </w:p>
    <w:p w:rsidR="00FB62DB" w:rsidRPr="00392EFF" w:rsidRDefault="00FB62DB">
      <w:pPr>
        <w:pStyle w:val="Normaltindrag"/>
      </w:pPr>
      <w:r w:rsidRPr="00392EFF">
        <w:rPr>
          <w:i/>
        </w:rPr>
        <w:t xml:space="preserve">Konjunkturinstitutets (KI) </w:t>
      </w:r>
      <w:r w:rsidRPr="00392EFF">
        <w:t>månadsbarometer för september anger att flera branscher redovisar eller förutser fallande sysselsättning, men det finns vari</w:t>
      </w:r>
      <w:r w:rsidRPr="00392EFF">
        <w:t>a</w:t>
      </w:r>
      <w:r w:rsidRPr="00392EFF">
        <w:t xml:space="preserve">tioner, och några branscher planerar för fortsatt ökad sysselsättning. </w:t>
      </w:r>
    </w:p>
    <w:p w:rsidR="00FB62DB" w:rsidRPr="00392EFF" w:rsidRDefault="00FB62DB">
      <w:pPr>
        <w:pStyle w:val="R3"/>
      </w:pPr>
      <w:r w:rsidRPr="00392EFF">
        <w:t>Övriga mätningar och prognoser</w:t>
      </w:r>
    </w:p>
    <w:p w:rsidR="00FB62DB" w:rsidRPr="00392EFF" w:rsidRDefault="00FB62DB">
      <w:r w:rsidRPr="00392EFF">
        <w:t xml:space="preserve">Enligt TCO:s s.k. platsannonsindex som publicerades den 22 oktober sjönk  antalet orubricerade annonser under årets första nio månader med 31 % i förhållande till året innan. </w:t>
      </w:r>
    </w:p>
    <w:p w:rsidR="00FB62DB" w:rsidRPr="00392EFF" w:rsidRDefault="00FB62DB">
      <w:pPr>
        <w:pStyle w:val="Normaltindrag"/>
      </w:pPr>
      <w:r w:rsidRPr="00392EFF">
        <w:t>För någon tid sedan skrev Riksbanken ned tillväxtprognosen något för de kommande åren bl.a. med hänvisning till den osäkerhet om tillväxtutsikterna som den fortsatta börsnedgången och de ökade säkerhetspolitiska riskerna givit upphov till. Riksbanken gör antaganden om lägre tillväxtsiffror än r</w:t>
      </w:r>
      <w:r w:rsidRPr="00392EFF">
        <w:t>e</w:t>
      </w:r>
      <w:r w:rsidRPr="00392EFF">
        <w:t xml:space="preserve">geringen i sin baskalkyl. </w:t>
      </w:r>
    </w:p>
    <w:p w:rsidR="00FB62DB" w:rsidRPr="00392EFF" w:rsidRDefault="00FB62DB">
      <w:pPr>
        <w:pStyle w:val="Normaltindrag"/>
      </w:pPr>
      <w:r w:rsidRPr="00392EFF">
        <w:t>Även ett antal privata prognosinstitut, som presenterat prognoser i tiden efter budgetpropositionens avlämnande, gör antaganden om klart lägre til</w:t>
      </w:r>
      <w:r w:rsidRPr="00392EFF">
        <w:t>l</w:t>
      </w:r>
      <w:r w:rsidRPr="00392EFF">
        <w:t>växtsiffror än regeringen för år 2002, men i huvudsak i nivå med regeringens antaganden för åren 2003 och 2004. I fråga om arbetslöshetsnivån under 2003 varierar dessa bedömningar mellan någon tiondels procentenhet lägre arbet</w:t>
      </w:r>
      <w:r w:rsidRPr="00392EFF">
        <w:t>s</w:t>
      </w:r>
      <w:r w:rsidRPr="00392EFF">
        <w:t>löshet och ett par tiondels procentenheter högre arbetslöshet än propositi</w:t>
      </w:r>
      <w:r w:rsidRPr="00392EFF">
        <w:t>o</w:t>
      </w:r>
      <w:r w:rsidRPr="00392EFF">
        <w:t>nens antagande om 3,8 %.</w:t>
      </w:r>
    </w:p>
    <w:p w:rsidR="00FB62DB" w:rsidRPr="00392EFF" w:rsidRDefault="00FB62DB">
      <w:pPr>
        <w:pStyle w:val="Normaltindrag"/>
      </w:pPr>
      <w:r w:rsidRPr="00392EFF">
        <w:t>I den årliga rapporten "Lönebildningen, Samhällsekonomiska förutsät</w:t>
      </w:r>
      <w:r w:rsidRPr="00392EFF">
        <w:t>t</w:t>
      </w:r>
      <w:r w:rsidRPr="00392EFF">
        <w:t>ningar i Sverige 2002", som KI publicerade i oktober 2002, framhålls att konjunkturutsikterna försämrats sedan sommaren och att osäkerheten ökat. Den öppna arbetslösheten väntas öka från 4,0 till 4,3 % främst beroende på en svagare efterfrågan på arbetskraft. Även sysselsättningen bedöms minska med 0,2 % under nästa år huvudsakligen beroende på företagens fortsatta rational</w:t>
      </w:r>
      <w:r w:rsidRPr="00392EFF">
        <w:t>i</w:t>
      </w:r>
      <w:r w:rsidRPr="00392EFF">
        <w:t>seringsåtgärder, men den väntas återhämta sig till slutet av 2003. Sysselsät</w:t>
      </w:r>
      <w:r w:rsidRPr="00392EFF">
        <w:t>t</w:t>
      </w:r>
      <w:r w:rsidRPr="00392EFF">
        <w:t>ningsgraden bland befolkningen i åldern 20–64 år bedöms s</w:t>
      </w:r>
      <w:r w:rsidRPr="00392EFF">
        <w:t>junka från 78,1 till 77,6 % under 2003.</w:t>
      </w:r>
    </w:p>
    <w:p w:rsidR="00FB62DB" w:rsidRPr="00392EFF" w:rsidRDefault="00FB62DB">
      <w:pPr>
        <w:pStyle w:val="Normaltindrag"/>
        <w:rPr>
          <w:b/>
        </w:rPr>
      </w:pPr>
    </w:p>
    <w:p w:rsidR="00FB62DB" w:rsidRPr="00392EFF" w:rsidRDefault="00FB62DB">
      <w:pPr>
        <w:pStyle w:val="R3"/>
      </w:pPr>
      <w:r w:rsidRPr="00392EFF">
        <w:t>Upplysningar av AMS respektive Medlingsinstitutet</w:t>
      </w:r>
    </w:p>
    <w:p w:rsidR="00FB62DB" w:rsidRPr="00392EFF" w:rsidRDefault="00FB62DB">
      <w:r w:rsidRPr="00392EFF">
        <w:t>I anslutning till utskottets beredning av budgetpropositionen har AMS gen</w:t>
      </w:r>
      <w:r w:rsidRPr="00392EFF">
        <w:t>e</w:t>
      </w:r>
      <w:r w:rsidRPr="00392EFF">
        <w:t>raldirektör lämnat upplysningar. Det har skett en inbromsning under tredje kvartalet i år till följd av nedskärningarna inom telekom- och IT-sektorn men även inom byggbranschen. De drabbade inom telekom och IT har enligt AMS i allmänhet bra utbildningsbakgrund och därmed en relativt stark ställning på arbetsmarknaden, varför nedskärningar tidigare inte lett till en ökad arbetslö</w:t>
      </w:r>
      <w:r w:rsidRPr="00392EFF">
        <w:t>s</w:t>
      </w:r>
      <w:r w:rsidRPr="00392EFF">
        <w:t>het. Nu går dock arbetslöshetsnivån upp i Mälardalsområdet. Till bilden hör att många kommuner i landet har begränsat utrymme att</w:t>
      </w:r>
      <w:r w:rsidRPr="00392EFF">
        <w:t xml:space="preserve"> expandera. Den konjunkturuppgång som många räknat med har inte infunnit sig, och inge</w:t>
      </w:r>
      <w:r w:rsidRPr="00392EFF">
        <w:t>n</w:t>
      </w:r>
      <w:r w:rsidRPr="00392EFF">
        <w:t>ting i den amerikanska eller tyska ekonomin talar för en rejäl omsvängning under överskådlig tid. Enligt AMS får man räkna med fortsatta varsel under den närmaste tiden. Varslen är både konjunktur- och strukturbetingade. Inom telekom- och IT-branschen finns en överetablering och det pågår nu en nö</w:t>
      </w:r>
      <w:r w:rsidRPr="00392EFF">
        <w:t>d</w:t>
      </w:r>
      <w:r w:rsidRPr="00392EFF">
        <w:t>vändig anpassning. Till detta skall läggas att underleverantörer utsätts för prispress från utlandet. Arbeten flyttas bl.a. ti</w:t>
      </w:r>
      <w:r w:rsidRPr="00392EFF">
        <w:t>ll de baltiska länderna. – Enligt AMS generaldirektör är arbetsmarknaden trots detta ganska stabil, och inga dramatiska förändringar är att vänta under det närmaste kvartalet. Det stora problemet på längre sikt är inte arbetslösheten, utan risken för en allt större brist på arbetskraft och det faktum att många personer står utanför den regu</w:t>
      </w:r>
      <w:r w:rsidRPr="00392EFF">
        <w:t>l</w:t>
      </w:r>
      <w:r w:rsidRPr="00392EFF">
        <w:t>jära arbetsmarknaden. Medelåldern är hög bland de offentliganställda. Det kommer att bli stora pensionsavgångar under de kommande 10–15 åren. Det gäller t.ex. grund- och</w:t>
      </w:r>
      <w:r w:rsidRPr="00392EFF">
        <w:t xml:space="preserve"> gymnasieskolan och hälso- och sjukvården. Rekryt</w:t>
      </w:r>
      <w:r w:rsidRPr="00392EFF">
        <w:t>e</w:t>
      </w:r>
      <w:r w:rsidRPr="00392EFF">
        <w:t>ringsproblemen kan bli påtagliga vid en konjunkturuppgång. Problemen kommer att förstärkas om det inte går att minska antalet förtidspensioneringar och hålla tillbaka långtidssjukskrivnin</w:t>
      </w:r>
      <w:r w:rsidRPr="00392EFF">
        <w:t>g</w:t>
      </w:r>
      <w:r w:rsidRPr="00392EFF">
        <w:t xml:space="preserve">arna. </w:t>
      </w:r>
    </w:p>
    <w:p w:rsidR="00FB62DB" w:rsidRPr="00392EFF" w:rsidRDefault="00FB62DB">
      <w:r w:rsidRPr="00392EFF">
        <w:t>Även Medlingsinstitutets generaldirektör har informerat utskottet. I år ligger löneutvecklingen i Sverige klart över genomsnittet i EU. Ännu är detta inte något stort problem. Men många och stora grupper av löntagare anser sig ha berättigade krav på bättre betalt. En</w:t>
      </w:r>
      <w:r w:rsidRPr="00392EFF">
        <w:t>ligt Medlingsinstitutet råder det betydande osäkerhet om 2003 med tanke på att den förväntade konjunkturuppgången dröjer. Stora löneökningar till dessa grupper kan leda till att industrin får svårare att hävda sin lönenormerande roll, samtidigt som många av de offen</w:t>
      </w:r>
      <w:r w:rsidRPr="00392EFF">
        <w:t>t</w:t>
      </w:r>
      <w:r w:rsidRPr="00392EFF">
        <w:t>liganställda har en alternativ arbetsmarknad i den privata sektorn. Detta kan få en överspillningseffekt på den privata sidan när nya avtal skall träffas till 2004. Genomsnittliga  löneökningar på en hög nivå under en konjunkturup</w:t>
      </w:r>
      <w:r w:rsidRPr="00392EFF">
        <w:t>p</w:t>
      </w:r>
      <w:r w:rsidRPr="00392EFF">
        <w:t>gång i kombina</w:t>
      </w:r>
      <w:r w:rsidRPr="00392EFF">
        <w:t>tion med brist på arbetskraft i många yrken skulle ställa stora krav på AMS och arbetsmarknadspolitiken. För att lönerna inte skall pressas upp är det enligt Medlingsinstitutet avgörande att det finns tillgång till utbi</w:t>
      </w:r>
      <w:r w:rsidRPr="00392EFF">
        <w:t>l</w:t>
      </w:r>
      <w:r w:rsidRPr="00392EFF">
        <w:t>dad arbet</w:t>
      </w:r>
      <w:r w:rsidRPr="00392EFF">
        <w:t>s</w:t>
      </w:r>
      <w:r w:rsidRPr="00392EFF">
        <w:t>kraft.</w:t>
      </w:r>
    </w:p>
    <w:p w:rsidR="00FB62DB" w:rsidRPr="00392EFF" w:rsidRDefault="00FB62DB">
      <w:pPr>
        <w:pStyle w:val="R3"/>
      </w:pPr>
      <w:r w:rsidRPr="00392EFF">
        <w:t>Arbetsmarknadsutskottets kommentarer till arbetsmarknadsläget m.m.</w:t>
      </w:r>
    </w:p>
    <w:p w:rsidR="00FB62DB" w:rsidRPr="00392EFF" w:rsidRDefault="00FB62DB">
      <w:r w:rsidRPr="00392EFF">
        <w:t>Som framhållits i budgetpropositionen är den framtida konjunkturutvecklin</w:t>
      </w:r>
      <w:r w:rsidRPr="00392EFF">
        <w:t>g</w:t>
      </w:r>
      <w:r w:rsidRPr="00392EFF">
        <w:t>en såväl i Sverige som i omvärlden alltjämt mycket svårbedömd. Regeringen räknar med en svag uppgång i sysselsättningen nästa år medan KI spår en svag nedgång. Bilden av en mera långsamt växande eller stagnerande sysse</w:t>
      </w:r>
      <w:r w:rsidRPr="00392EFF">
        <w:t>l</w:t>
      </w:r>
      <w:r w:rsidRPr="00392EFF">
        <w:t>sättning bekräftas eller förstärks av de rapporter och bedömningar som red</w:t>
      </w:r>
      <w:r w:rsidRPr="00392EFF">
        <w:t>o</w:t>
      </w:r>
      <w:r w:rsidRPr="00392EFF">
        <w:t xml:space="preserve">visats ovan. </w:t>
      </w:r>
    </w:p>
    <w:p w:rsidR="00FB62DB" w:rsidRPr="00392EFF" w:rsidRDefault="00FB62DB">
      <w:pPr>
        <w:pStyle w:val="Normaltindrag"/>
      </w:pPr>
      <w:r w:rsidRPr="00392EFF">
        <w:t>Propositionen utgår som nämnts från en arbetslöshetsnivå på 3,8 % nästa år. KI:s prognos pekar dock på en arbetslöshet som överstiger regeringens prognos med en halv procentenhet. SCB:s statistik för sep</w:t>
      </w:r>
      <w:r w:rsidRPr="00392EFF">
        <w:t>tember tyder på en liknande trend. En ökning av arbetslösheten med 1 procentenhet höjer de takbegränsade utgifterna med drygt 7 miljarder kronor. Redan en arbetslöshet som är några tiondels procentenheter högre än vad som antagits skulle alltså innebära påfrestningar på statsfinanserna. Till detta kommer att man över tid kan notera att minskande sjukfrånvaro motsvaras av ökande arbetslöshet och vice versa. Utskottet ställer sig bakom regeringens mål för ohälsoarbetet, dvs. att antalet sjukdagar skall halver</w:t>
      </w:r>
      <w:r w:rsidRPr="00392EFF">
        <w:t>as till 2008. I budgetpropositionen räknar man med en minskning med 10 % redan mellan 2002 och 2003. Man måste enligt utskottet vara observant på att en minskad sjukfrånvaro inte leder till att arbetslösheten ökar. En beredskap måste finnas för att så långt som möjligt förhindra att den öppna arbetslösheten ökar till följd av minskad sjukfrå</w:t>
      </w:r>
      <w:r w:rsidRPr="00392EFF">
        <w:t>n</w:t>
      </w:r>
      <w:r w:rsidRPr="00392EFF">
        <w:t xml:space="preserve">varo. </w:t>
      </w:r>
    </w:p>
    <w:p w:rsidR="00FB62DB" w:rsidRPr="00392EFF" w:rsidRDefault="00FB62DB">
      <w:pPr>
        <w:pStyle w:val="Normaltindrag"/>
      </w:pPr>
      <w:r w:rsidRPr="00392EFF">
        <w:t>Som framgått utgår regeringen från att den reguljära sysselsättningen i ål</w:t>
      </w:r>
      <w:r w:rsidRPr="00392EFF">
        <w:t>d</w:t>
      </w:r>
      <w:r w:rsidRPr="00392EFF">
        <w:t>rarna 20–64 år faller till 78,0 % nästa år för att stanna på samma nivå 2004, det år då sysselsättningsmålet skulle nås. Regeringen uttalar dock att målet ligger inom räckhåll. För arbetsmarknadsutskottet är det av stor vikt att a</w:t>
      </w:r>
      <w:r w:rsidRPr="00392EFF">
        <w:t>n</w:t>
      </w:r>
      <w:r w:rsidRPr="00392EFF">
        <w:t>strängningar görs för att nå målet. Sysselsättningsmålet är ett uttryck för en högre ambitionsnivå än det s.k. halveringsmålet om 4 % arbetslöshet som uppnåddes i slutet av år 2000. En hög sysselsättningsnivå i kombination med låg arbetslöshet innebär stärkta statsfinanser som ka</w:t>
      </w:r>
      <w:r w:rsidRPr="00392EFF">
        <w:t>n användas för satsningar på välfärden. Lika viktigt är att en ökad sysselsättning innebär att personer som i dag försörjs genom sociala bidrag och ersättningar kan bli självförsö</w:t>
      </w:r>
      <w:r w:rsidRPr="00392EFF">
        <w:t>r</w:t>
      </w:r>
      <w:r w:rsidRPr="00392EFF">
        <w:t>jande. Ett arbete stärker individens självkänsla. Fler i arbete innebär minskade sociala klyftor. Sysselsättningsgraden bland vissa grupper är i dag oaccept</w:t>
      </w:r>
      <w:r w:rsidRPr="00392EFF">
        <w:t>a</w:t>
      </w:r>
      <w:r w:rsidRPr="00392EFF">
        <w:t>belt låg. Det handlar bl.a. om att fler personer med utländsk bakgrund, fler äldre och fler personer med funktionshinder måste komma ut på den reguljära arbetsmarknaden. Att n</w:t>
      </w:r>
      <w:r w:rsidRPr="00392EFF">
        <w:t>å sysselsättningsmålet är också nödvändigt för att klara det s.k. socialbidragsmålet. Sysselsättningsmålet är också viktigt med tanke på en framtida hotande brist på arbetskraft. Sysselsättningsgraden bland personer över 55 år måste öka och antalet nya förtidspensioneringar måste hållas tillbaka. För att sysselsättningsmålet, och på längre sikt målet om full sysselsättning, skall kunna bli verklighet krävs en stark ekonomi med tillväxt i alla delar av landet. Som framhållits av Konjunkturinstitutet i den ov</w:t>
      </w:r>
      <w:r w:rsidRPr="00392EFF">
        <w:t>a</w:t>
      </w:r>
      <w:r w:rsidRPr="00392EFF">
        <w:t>n</w:t>
      </w:r>
      <w:r w:rsidRPr="00392EFF">
        <w:t>nämnda rapporten är även förhållandevis långsamt ökande arbetskraftskos</w:t>
      </w:r>
      <w:r w:rsidRPr="00392EFF">
        <w:t>t</w:t>
      </w:r>
      <w:r w:rsidRPr="00392EFF">
        <w:t xml:space="preserve">nader en faktor för att 80-procentsmålet skall kunna uppnås.    </w:t>
      </w:r>
    </w:p>
    <w:p w:rsidR="00FB62DB" w:rsidRPr="00392EFF" w:rsidRDefault="00FB62DB">
      <w:pPr>
        <w:pStyle w:val="Normaltindrag"/>
      </w:pPr>
      <w:r w:rsidRPr="00392EFF">
        <w:t>Sammanfattningsvis kan utskottet konstatera att osäkerheten om utvec</w:t>
      </w:r>
      <w:r w:rsidRPr="00392EFF">
        <w:t>k</w:t>
      </w:r>
      <w:r w:rsidRPr="00392EFF">
        <w:t>lingen på arbetsmarknaden ökat sedan budgetpropositionen lades fram. A</w:t>
      </w:r>
      <w:r w:rsidRPr="00392EFF">
        <w:t>r</w:t>
      </w:r>
      <w:r w:rsidRPr="00392EFF">
        <w:t>betsmarknadsutskottet anser emellertid inte att det för närvarande finns u</w:t>
      </w:r>
      <w:r w:rsidRPr="00392EFF">
        <w:t>n</w:t>
      </w:r>
      <w:r w:rsidRPr="00392EFF">
        <w:t>derlag för att frångå de bedömningar som regeringens förslag grundas på. Det är dock enligt utskottets mening av största vikt att det finns en beredskap för att på olika sätt möta en ökande arbetslöshet. Stora ansträngningar måste också göras för att nå sysselsät</w:t>
      </w:r>
      <w:r w:rsidRPr="00392EFF">
        <w:t>t</w:t>
      </w:r>
      <w:r w:rsidRPr="00392EFF">
        <w:t xml:space="preserve">ningsmålet. </w:t>
      </w:r>
    </w:p>
    <w:p w:rsidR="00FB62DB" w:rsidRPr="00392EFF" w:rsidRDefault="00FB62DB">
      <w:pPr>
        <w:pStyle w:val="Rubrik3"/>
        <w:rPr>
          <w:noProof w:val="0"/>
        </w:rPr>
      </w:pPr>
      <w:r w:rsidRPr="00392EFF">
        <w:rPr>
          <w:noProof w:val="0"/>
        </w:rPr>
        <w:br w:type="page"/>
        <w:t xml:space="preserve">Utskottets synpunkter på oppositionens förslag till ramar m.m.  </w:t>
      </w:r>
    </w:p>
    <w:p w:rsidR="00FB62DB" w:rsidRPr="00392EFF" w:rsidRDefault="00FB62DB">
      <w:pPr>
        <w:rPr>
          <w:sz w:val="16"/>
        </w:rPr>
      </w:pPr>
    </w:p>
    <w:p w:rsidR="00FB62DB" w:rsidRPr="00392EFF" w:rsidRDefault="00FB62DB">
      <w:pPr>
        <w:pStyle w:val="Rubrik4"/>
        <w:rPr>
          <w:noProof w:val="0"/>
        </w:rPr>
      </w:pPr>
      <w:r w:rsidRPr="00392EFF">
        <w:rPr>
          <w:noProof w:val="0"/>
        </w:rPr>
        <w:t>Utgiftsområde 13 Arbetsmarknad</w:t>
      </w:r>
    </w:p>
    <w:p w:rsidR="00FB62DB" w:rsidRPr="00392EFF" w:rsidRDefault="00FB62DB">
      <w:pPr>
        <w:rPr>
          <w:sz w:val="16"/>
        </w:rPr>
      </w:pPr>
      <w:r w:rsidRPr="00392EFF">
        <w:rPr>
          <w:sz w:val="16"/>
        </w:rPr>
        <w:t>Tusental 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1913"/>
        <w:gridCol w:w="1914"/>
      </w:tblGrid>
      <w:tr w:rsidR="00000000" w:rsidRPr="00392EFF">
        <w:tblPrEx>
          <w:tblCellMar>
            <w:top w:w="0" w:type="dxa"/>
            <w:bottom w:w="0" w:type="dxa"/>
          </w:tblCellMar>
        </w:tblPrEx>
        <w:tc>
          <w:tcPr>
            <w:tcW w:w="1913" w:type="dxa"/>
          </w:tcPr>
          <w:p w:rsidR="00FB62DB" w:rsidRPr="00392EFF" w:rsidRDefault="00FB62DB">
            <w:pPr>
              <w:spacing w:before="0"/>
              <w:rPr>
                <w:b/>
              </w:rPr>
            </w:pPr>
          </w:p>
        </w:tc>
        <w:tc>
          <w:tcPr>
            <w:tcW w:w="1913" w:type="dxa"/>
          </w:tcPr>
          <w:p w:rsidR="00FB62DB" w:rsidRPr="00392EFF" w:rsidRDefault="00FB62DB">
            <w:pPr>
              <w:spacing w:before="0"/>
              <w:jc w:val="right"/>
              <w:rPr>
                <w:b/>
              </w:rPr>
            </w:pPr>
            <w:r w:rsidRPr="00392EFF">
              <w:rPr>
                <w:b/>
              </w:rPr>
              <w:t>2003</w:t>
            </w:r>
          </w:p>
        </w:tc>
        <w:tc>
          <w:tcPr>
            <w:tcW w:w="1914" w:type="dxa"/>
          </w:tcPr>
          <w:p w:rsidR="00FB62DB" w:rsidRPr="00392EFF" w:rsidRDefault="00FB62DB">
            <w:pPr>
              <w:spacing w:before="0"/>
              <w:jc w:val="right"/>
              <w:rPr>
                <w:b/>
              </w:rPr>
            </w:pPr>
            <w:r w:rsidRPr="00392EFF">
              <w:rPr>
                <w:b/>
              </w:rPr>
              <w:t>2004</w:t>
            </w:r>
          </w:p>
        </w:tc>
      </w:tr>
      <w:tr w:rsidR="00000000" w:rsidRPr="00392EFF">
        <w:tblPrEx>
          <w:tblCellMar>
            <w:top w:w="0" w:type="dxa"/>
            <w:bottom w:w="0" w:type="dxa"/>
          </w:tblCellMar>
        </w:tblPrEx>
        <w:tc>
          <w:tcPr>
            <w:tcW w:w="1913" w:type="dxa"/>
          </w:tcPr>
          <w:p w:rsidR="00FB62DB" w:rsidRPr="00392EFF" w:rsidRDefault="00FB62DB">
            <w:pPr>
              <w:spacing w:before="0"/>
              <w:rPr>
                <w:b/>
              </w:rPr>
            </w:pPr>
            <w:r w:rsidRPr="00392EFF">
              <w:rPr>
                <w:b/>
              </w:rPr>
              <w:t>Regeringen</w:t>
            </w:r>
          </w:p>
        </w:tc>
        <w:tc>
          <w:tcPr>
            <w:tcW w:w="1913" w:type="dxa"/>
          </w:tcPr>
          <w:p w:rsidR="00FB62DB" w:rsidRPr="00392EFF" w:rsidRDefault="00FB62DB">
            <w:pPr>
              <w:spacing w:before="0"/>
              <w:jc w:val="right"/>
            </w:pPr>
            <w:r w:rsidRPr="00392EFF">
              <w:t>60 307</w:t>
            </w:r>
          </w:p>
        </w:tc>
        <w:tc>
          <w:tcPr>
            <w:tcW w:w="1914" w:type="dxa"/>
          </w:tcPr>
          <w:p w:rsidR="00FB62DB" w:rsidRPr="00392EFF" w:rsidRDefault="00FB62DB">
            <w:pPr>
              <w:spacing w:before="0"/>
              <w:jc w:val="right"/>
            </w:pPr>
            <w:r w:rsidRPr="00392EFF">
              <w:t>59 121</w:t>
            </w:r>
          </w:p>
        </w:tc>
      </w:tr>
      <w:tr w:rsidR="00000000" w:rsidRPr="00392EFF">
        <w:tblPrEx>
          <w:tblCellMar>
            <w:top w:w="0" w:type="dxa"/>
            <w:bottom w:w="0" w:type="dxa"/>
          </w:tblCellMar>
        </w:tblPrEx>
        <w:tc>
          <w:tcPr>
            <w:tcW w:w="1913" w:type="dxa"/>
          </w:tcPr>
          <w:p w:rsidR="00FB62DB" w:rsidRPr="00392EFF" w:rsidRDefault="00FB62DB">
            <w:pPr>
              <w:spacing w:before="0"/>
              <w:rPr>
                <w:b/>
              </w:rPr>
            </w:pPr>
            <w:r w:rsidRPr="00392EFF">
              <w:rPr>
                <w:b/>
              </w:rPr>
              <w:t>M</w:t>
            </w:r>
          </w:p>
        </w:tc>
        <w:tc>
          <w:tcPr>
            <w:tcW w:w="1913" w:type="dxa"/>
          </w:tcPr>
          <w:p w:rsidR="00FB62DB" w:rsidRPr="00392EFF" w:rsidRDefault="00FB62DB">
            <w:pPr>
              <w:spacing w:before="0"/>
              <w:jc w:val="right"/>
            </w:pPr>
            <w:r w:rsidRPr="00392EFF">
              <w:t>-4 462</w:t>
            </w:r>
          </w:p>
        </w:tc>
        <w:tc>
          <w:tcPr>
            <w:tcW w:w="1914" w:type="dxa"/>
          </w:tcPr>
          <w:p w:rsidR="00FB62DB" w:rsidRPr="00392EFF" w:rsidRDefault="00FB62DB">
            <w:pPr>
              <w:spacing w:before="0"/>
              <w:jc w:val="right"/>
            </w:pPr>
            <w:r w:rsidRPr="00392EFF">
              <w:t>-14 626</w:t>
            </w:r>
          </w:p>
        </w:tc>
      </w:tr>
      <w:tr w:rsidR="00000000" w:rsidRPr="00392EFF">
        <w:tblPrEx>
          <w:tblCellMar>
            <w:top w:w="0" w:type="dxa"/>
            <w:bottom w:w="0" w:type="dxa"/>
          </w:tblCellMar>
        </w:tblPrEx>
        <w:tc>
          <w:tcPr>
            <w:tcW w:w="1913" w:type="dxa"/>
          </w:tcPr>
          <w:p w:rsidR="00FB62DB" w:rsidRPr="00392EFF" w:rsidRDefault="00FB62DB">
            <w:pPr>
              <w:spacing w:before="0"/>
              <w:rPr>
                <w:b/>
              </w:rPr>
            </w:pPr>
            <w:r w:rsidRPr="00392EFF">
              <w:rPr>
                <w:b/>
              </w:rPr>
              <w:t>Fp</w:t>
            </w:r>
          </w:p>
        </w:tc>
        <w:tc>
          <w:tcPr>
            <w:tcW w:w="1913" w:type="dxa"/>
          </w:tcPr>
          <w:p w:rsidR="00FB62DB" w:rsidRPr="00392EFF" w:rsidRDefault="00FB62DB">
            <w:pPr>
              <w:spacing w:before="0"/>
              <w:jc w:val="right"/>
            </w:pPr>
            <w:r w:rsidRPr="00392EFF">
              <w:t>-12 900</w:t>
            </w:r>
          </w:p>
        </w:tc>
        <w:tc>
          <w:tcPr>
            <w:tcW w:w="1914" w:type="dxa"/>
          </w:tcPr>
          <w:p w:rsidR="00FB62DB" w:rsidRPr="00392EFF" w:rsidRDefault="00FB62DB">
            <w:pPr>
              <w:spacing w:before="0"/>
              <w:jc w:val="right"/>
            </w:pPr>
            <w:r w:rsidRPr="00392EFF">
              <w:t>-13 900</w:t>
            </w:r>
          </w:p>
        </w:tc>
      </w:tr>
      <w:tr w:rsidR="00000000" w:rsidRPr="00392EFF">
        <w:tblPrEx>
          <w:tblCellMar>
            <w:top w:w="0" w:type="dxa"/>
            <w:bottom w:w="0" w:type="dxa"/>
          </w:tblCellMar>
        </w:tblPrEx>
        <w:tc>
          <w:tcPr>
            <w:tcW w:w="1913" w:type="dxa"/>
          </w:tcPr>
          <w:p w:rsidR="00FB62DB" w:rsidRPr="00392EFF" w:rsidRDefault="00FB62DB">
            <w:pPr>
              <w:spacing w:before="0"/>
              <w:rPr>
                <w:b/>
              </w:rPr>
            </w:pPr>
            <w:r w:rsidRPr="00392EFF">
              <w:rPr>
                <w:b/>
              </w:rPr>
              <w:t>Kd</w:t>
            </w:r>
          </w:p>
        </w:tc>
        <w:tc>
          <w:tcPr>
            <w:tcW w:w="1913" w:type="dxa"/>
          </w:tcPr>
          <w:p w:rsidR="00FB62DB" w:rsidRPr="00392EFF" w:rsidRDefault="00FB62DB">
            <w:pPr>
              <w:spacing w:before="0"/>
              <w:jc w:val="right"/>
            </w:pPr>
            <w:r w:rsidRPr="00392EFF">
              <w:t>-8 355</w:t>
            </w:r>
          </w:p>
        </w:tc>
        <w:tc>
          <w:tcPr>
            <w:tcW w:w="1914" w:type="dxa"/>
          </w:tcPr>
          <w:p w:rsidR="00FB62DB" w:rsidRPr="00392EFF" w:rsidRDefault="00FB62DB">
            <w:pPr>
              <w:spacing w:before="0"/>
              <w:jc w:val="right"/>
            </w:pPr>
            <w:r w:rsidRPr="00392EFF">
              <w:t>-11 555</w:t>
            </w:r>
          </w:p>
        </w:tc>
      </w:tr>
      <w:tr w:rsidR="00000000" w:rsidRPr="00392EFF">
        <w:tblPrEx>
          <w:tblCellMar>
            <w:top w:w="0" w:type="dxa"/>
            <w:bottom w:w="0" w:type="dxa"/>
          </w:tblCellMar>
        </w:tblPrEx>
        <w:tc>
          <w:tcPr>
            <w:tcW w:w="1913" w:type="dxa"/>
          </w:tcPr>
          <w:p w:rsidR="00FB62DB" w:rsidRPr="00392EFF" w:rsidRDefault="00FB62DB">
            <w:pPr>
              <w:spacing w:before="0"/>
              <w:rPr>
                <w:b/>
              </w:rPr>
            </w:pPr>
            <w:r w:rsidRPr="00392EFF">
              <w:rPr>
                <w:b/>
              </w:rPr>
              <w:t>C</w:t>
            </w:r>
          </w:p>
        </w:tc>
        <w:tc>
          <w:tcPr>
            <w:tcW w:w="1913" w:type="dxa"/>
          </w:tcPr>
          <w:p w:rsidR="00FB62DB" w:rsidRPr="00392EFF" w:rsidRDefault="00FB62DB">
            <w:pPr>
              <w:spacing w:before="0"/>
              <w:jc w:val="right"/>
            </w:pPr>
            <w:r w:rsidRPr="00392EFF">
              <w:t>-12 075</w:t>
            </w:r>
          </w:p>
        </w:tc>
        <w:tc>
          <w:tcPr>
            <w:tcW w:w="1914" w:type="dxa"/>
          </w:tcPr>
          <w:p w:rsidR="00FB62DB" w:rsidRPr="00392EFF" w:rsidRDefault="00FB62DB">
            <w:pPr>
              <w:spacing w:before="0"/>
              <w:jc w:val="right"/>
            </w:pPr>
            <w:r w:rsidRPr="00392EFF">
              <w:t>-13 025</w:t>
            </w:r>
          </w:p>
        </w:tc>
      </w:tr>
    </w:tbl>
    <w:p w:rsidR="00FB62DB" w:rsidRPr="00392EFF" w:rsidRDefault="00FB62DB">
      <w:pPr>
        <w:pStyle w:val="Normaltindrag"/>
      </w:pPr>
    </w:p>
    <w:p w:rsidR="00FB62DB" w:rsidRPr="00392EFF" w:rsidRDefault="00FB62DB">
      <w:pPr>
        <w:pStyle w:val="Rubrik4"/>
        <w:rPr>
          <w:noProof w:val="0"/>
        </w:rPr>
      </w:pPr>
      <w:r w:rsidRPr="00392EFF">
        <w:rPr>
          <w:noProof w:val="0"/>
        </w:rPr>
        <w:t>Utgiftsområde 14 Arbetsliv</w:t>
      </w:r>
    </w:p>
    <w:p w:rsidR="00FB62DB" w:rsidRPr="00392EFF" w:rsidRDefault="00FB62DB">
      <w:pPr>
        <w:rPr>
          <w:sz w:val="16"/>
        </w:rPr>
      </w:pPr>
      <w:r w:rsidRPr="00392EFF">
        <w:rPr>
          <w:sz w:val="16"/>
        </w:rPr>
        <w:t>Tusental 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1913"/>
        <w:gridCol w:w="1914"/>
      </w:tblGrid>
      <w:tr w:rsidR="00000000" w:rsidRPr="00392EFF">
        <w:tblPrEx>
          <w:tblCellMar>
            <w:top w:w="0" w:type="dxa"/>
            <w:bottom w:w="0" w:type="dxa"/>
          </w:tblCellMar>
        </w:tblPrEx>
        <w:tc>
          <w:tcPr>
            <w:tcW w:w="1913" w:type="dxa"/>
          </w:tcPr>
          <w:p w:rsidR="00FB62DB" w:rsidRPr="00392EFF" w:rsidRDefault="00FB62DB">
            <w:pPr>
              <w:spacing w:before="0"/>
              <w:rPr>
                <w:b/>
              </w:rPr>
            </w:pPr>
          </w:p>
        </w:tc>
        <w:tc>
          <w:tcPr>
            <w:tcW w:w="1913" w:type="dxa"/>
          </w:tcPr>
          <w:p w:rsidR="00FB62DB" w:rsidRPr="00392EFF" w:rsidRDefault="00FB62DB">
            <w:pPr>
              <w:spacing w:before="0"/>
              <w:jc w:val="right"/>
              <w:rPr>
                <w:b/>
              </w:rPr>
            </w:pPr>
            <w:r w:rsidRPr="00392EFF">
              <w:rPr>
                <w:b/>
              </w:rPr>
              <w:t>2003</w:t>
            </w:r>
          </w:p>
        </w:tc>
        <w:tc>
          <w:tcPr>
            <w:tcW w:w="1914" w:type="dxa"/>
          </w:tcPr>
          <w:p w:rsidR="00FB62DB" w:rsidRPr="00392EFF" w:rsidRDefault="00FB62DB">
            <w:pPr>
              <w:spacing w:before="0"/>
              <w:jc w:val="right"/>
              <w:rPr>
                <w:b/>
              </w:rPr>
            </w:pPr>
            <w:r w:rsidRPr="00392EFF">
              <w:rPr>
                <w:b/>
              </w:rPr>
              <w:t>2004</w:t>
            </w:r>
          </w:p>
        </w:tc>
      </w:tr>
      <w:tr w:rsidR="00000000" w:rsidRPr="00392EFF">
        <w:tblPrEx>
          <w:tblCellMar>
            <w:top w:w="0" w:type="dxa"/>
            <w:bottom w:w="0" w:type="dxa"/>
          </w:tblCellMar>
        </w:tblPrEx>
        <w:tc>
          <w:tcPr>
            <w:tcW w:w="1913" w:type="dxa"/>
          </w:tcPr>
          <w:p w:rsidR="00FB62DB" w:rsidRPr="00392EFF" w:rsidRDefault="00FB62DB">
            <w:pPr>
              <w:spacing w:before="0"/>
              <w:rPr>
                <w:b/>
              </w:rPr>
            </w:pPr>
            <w:r w:rsidRPr="00392EFF">
              <w:rPr>
                <w:b/>
              </w:rPr>
              <w:t>Regeringen</w:t>
            </w:r>
          </w:p>
        </w:tc>
        <w:tc>
          <w:tcPr>
            <w:tcW w:w="1913" w:type="dxa"/>
          </w:tcPr>
          <w:p w:rsidR="00FB62DB" w:rsidRPr="00392EFF" w:rsidRDefault="00FB62DB">
            <w:pPr>
              <w:spacing w:before="0"/>
              <w:jc w:val="right"/>
            </w:pPr>
            <w:r w:rsidRPr="00392EFF">
              <w:t>1 148</w:t>
            </w:r>
            <w:r w:rsidRPr="00392EFF">
              <w:rPr>
                <w:sz w:val="17"/>
                <w:vertAlign w:val="superscript"/>
              </w:rPr>
              <w:t>*</w:t>
            </w:r>
          </w:p>
        </w:tc>
        <w:tc>
          <w:tcPr>
            <w:tcW w:w="1914" w:type="dxa"/>
          </w:tcPr>
          <w:p w:rsidR="00FB62DB" w:rsidRPr="00392EFF" w:rsidRDefault="00FB62DB">
            <w:pPr>
              <w:spacing w:before="0"/>
              <w:jc w:val="right"/>
            </w:pPr>
            <w:r w:rsidRPr="00392EFF">
              <w:t>1 070</w:t>
            </w:r>
          </w:p>
        </w:tc>
      </w:tr>
      <w:tr w:rsidR="00000000" w:rsidRPr="00392EFF">
        <w:tblPrEx>
          <w:tblCellMar>
            <w:top w:w="0" w:type="dxa"/>
            <w:bottom w:w="0" w:type="dxa"/>
          </w:tblCellMar>
        </w:tblPrEx>
        <w:tc>
          <w:tcPr>
            <w:tcW w:w="1913" w:type="dxa"/>
          </w:tcPr>
          <w:p w:rsidR="00FB62DB" w:rsidRPr="00392EFF" w:rsidRDefault="00FB62DB">
            <w:pPr>
              <w:spacing w:before="0"/>
              <w:rPr>
                <w:b/>
              </w:rPr>
            </w:pPr>
            <w:r w:rsidRPr="00392EFF">
              <w:rPr>
                <w:b/>
              </w:rPr>
              <w:t xml:space="preserve">M </w:t>
            </w:r>
          </w:p>
        </w:tc>
        <w:tc>
          <w:tcPr>
            <w:tcW w:w="1913" w:type="dxa"/>
          </w:tcPr>
          <w:p w:rsidR="00FB62DB" w:rsidRPr="00392EFF" w:rsidRDefault="00FB62DB">
            <w:pPr>
              <w:spacing w:before="0"/>
              <w:jc w:val="right"/>
            </w:pPr>
            <w:r w:rsidRPr="00392EFF">
              <w:t>-83</w:t>
            </w:r>
          </w:p>
        </w:tc>
        <w:tc>
          <w:tcPr>
            <w:tcW w:w="1914" w:type="dxa"/>
          </w:tcPr>
          <w:p w:rsidR="00FB62DB" w:rsidRPr="00392EFF" w:rsidRDefault="00FB62DB">
            <w:pPr>
              <w:spacing w:before="0"/>
              <w:jc w:val="right"/>
            </w:pPr>
            <w:r w:rsidRPr="00392EFF">
              <w:t>-234</w:t>
            </w:r>
          </w:p>
        </w:tc>
      </w:tr>
      <w:tr w:rsidR="00000000" w:rsidRPr="00392EFF">
        <w:tblPrEx>
          <w:tblCellMar>
            <w:top w:w="0" w:type="dxa"/>
            <w:bottom w:w="0" w:type="dxa"/>
          </w:tblCellMar>
        </w:tblPrEx>
        <w:tc>
          <w:tcPr>
            <w:tcW w:w="1913" w:type="dxa"/>
          </w:tcPr>
          <w:p w:rsidR="00FB62DB" w:rsidRPr="00392EFF" w:rsidRDefault="00FB62DB">
            <w:pPr>
              <w:spacing w:before="0"/>
              <w:rPr>
                <w:b/>
              </w:rPr>
            </w:pPr>
            <w:r w:rsidRPr="00392EFF">
              <w:rPr>
                <w:b/>
              </w:rPr>
              <w:t xml:space="preserve">Fp </w:t>
            </w:r>
          </w:p>
        </w:tc>
        <w:tc>
          <w:tcPr>
            <w:tcW w:w="1913" w:type="dxa"/>
          </w:tcPr>
          <w:p w:rsidR="00FB62DB" w:rsidRPr="00392EFF" w:rsidRDefault="00FB62DB">
            <w:pPr>
              <w:spacing w:before="0"/>
              <w:jc w:val="right"/>
            </w:pPr>
            <w:r w:rsidRPr="00392EFF">
              <w:t>-211</w:t>
            </w:r>
          </w:p>
        </w:tc>
        <w:tc>
          <w:tcPr>
            <w:tcW w:w="1914" w:type="dxa"/>
          </w:tcPr>
          <w:p w:rsidR="00FB62DB" w:rsidRPr="00392EFF" w:rsidRDefault="00FB62DB">
            <w:pPr>
              <w:spacing w:before="0"/>
              <w:jc w:val="right"/>
            </w:pPr>
            <w:r w:rsidRPr="00392EFF">
              <w:t>-211</w:t>
            </w:r>
          </w:p>
        </w:tc>
      </w:tr>
      <w:tr w:rsidR="00000000" w:rsidRPr="00392EFF">
        <w:tblPrEx>
          <w:tblCellMar>
            <w:top w:w="0" w:type="dxa"/>
            <w:bottom w:w="0" w:type="dxa"/>
          </w:tblCellMar>
        </w:tblPrEx>
        <w:tc>
          <w:tcPr>
            <w:tcW w:w="1913" w:type="dxa"/>
          </w:tcPr>
          <w:p w:rsidR="00FB62DB" w:rsidRPr="00392EFF" w:rsidRDefault="00FB62DB">
            <w:pPr>
              <w:spacing w:before="0"/>
              <w:rPr>
                <w:b/>
              </w:rPr>
            </w:pPr>
            <w:r w:rsidRPr="00392EFF">
              <w:rPr>
                <w:b/>
              </w:rPr>
              <w:t>Kd</w:t>
            </w:r>
          </w:p>
        </w:tc>
        <w:tc>
          <w:tcPr>
            <w:tcW w:w="1913" w:type="dxa"/>
          </w:tcPr>
          <w:p w:rsidR="00FB62DB" w:rsidRPr="00392EFF" w:rsidRDefault="00FB62DB">
            <w:pPr>
              <w:spacing w:before="0"/>
              <w:jc w:val="right"/>
            </w:pPr>
            <w:r w:rsidRPr="00392EFF">
              <w:t>-206</w:t>
            </w:r>
          </w:p>
        </w:tc>
        <w:tc>
          <w:tcPr>
            <w:tcW w:w="1914" w:type="dxa"/>
          </w:tcPr>
          <w:p w:rsidR="00FB62DB" w:rsidRPr="00392EFF" w:rsidRDefault="00FB62DB">
            <w:pPr>
              <w:spacing w:before="0"/>
              <w:jc w:val="right"/>
            </w:pPr>
            <w:r w:rsidRPr="00392EFF">
              <w:t>-209</w:t>
            </w:r>
          </w:p>
        </w:tc>
      </w:tr>
      <w:tr w:rsidR="00000000" w:rsidRPr="00392EFF">
        <w:tblPrEx>
          <w:tblCellMar>
            <w:top w:w="0" w:type="dxa"/>
            <w:bottom w:w="0" w:type="dxa"/>
          </w:tblCellMar>
        </w:tblPrEx>
        <w:tc>
          <w:tcPr>
            <w:tcW w:w="1913" w:type="dxa"/>
          </w:tcPr>
          <w:p w:rsidR="00FB62DB" w:rsidRPr="00392EFF" w:rsidRDefault="00FB62DB">
            <w:pPr>
              <w:spacing w:before="0"/>
              <w:rPr>
                <w:b/>
              </w:rPr>
            </w:pPr>
            <w:r w:rsidRPr="00392EFF">
              <w:rPr>
                <w:b/>
              </w:rPr>
              <w:t>C</w:t>
            </w:r>
          </w:p>
        </w:tc>
        <w:tc>
          <w:tcPr>
            <w:tcW w:w="1913" w:type="dxa"/>
          </w:tcPr>
          <w:p w:rsidR="00FB62DB" w:rsidRPr="00392EFF" w:rsidRDefault="00FB62DB">
            <w:pPr>
              <w:spacing w:before="0"/>
              <w:jc w:val="right"/>
            </w:pPr>
            <w:r w:rsidRPr="00392EFF">
              <w:t>-237</w:t>
            </w:r>
          </w:p>
        </w:tc>
        <w:tc>
          <w:tcPr>
            <w:tcW w:w="1914" w:type="dxa"/>
          </w:tcPr>
          <w:p w:rsidR="00FB62DB" w:rsidRPr="00392EFF" w:rsidRDefault="00FB62DB">
            <w:pPr>
              <w:spacing w:before="0"/>
              <w:jc w:val="right"/>
            </w:pPr>
            <w:r w:rsidRPr="00392EFF">
              <w:t>-223</w:t>
            </w:r>
          </w:p>
        </w:tc>
      </w:tr>
    </w:tbl>
    <w:p w:rsidR="00FB62DB" w:rsidRPr="00392EFF" w:rsidRDefault="00FB62DB"/>
    <w:p w:rsidR="00FB62DB" w:rsidRPr="00392EFF" w:rsidRDefault="00FB62DB">
      <w:pPr>
        <w:pStyle w:val="Fotnotstext"/>
      </w:pPr>
      <w:r w:rsidRPr="00392EFF">
        <w:rPr>
          <w:rStyle w:val="Fotnotsreferens"/>
        </w:rPr>
        <w:t>*</w:t>
      </w:r>
      <w:r w:rsidRPr="00392EFF">
        <w:t xml:space="preserve"> Enligt flerpartimotionen Fi230 (s, v, mp) utökas ramen för utgiftsområde 14 med </w:t>
      </w:r>
      <w:r w:rsidRPr="00392EFF">
        <w:br/>
        <w:t>2 miljoner kronor, vilket avser en ökning av anslag 23:7  (HomO).</w:t>
      </w:r>
    </w:p>
    <w:p w:rsidR="00FB62DB" w:rsidRPr="00392EFF" w:rsidRDefault="00FB62DB">
      <w:pPr>
        <w:pStyle w:val="Normaltindrag"/>
      </w:pPr>
    </w:p>
    <w:p w:rsidR="00FB62DB" w:rsidRPr="00392EFF" w:rsidRDefault="00FB62DB">
      <w:r w:rsidRPr="00392EFF">
        <w:t>Moderaternas, Folkpartiets, Kristdemokraternas och Centerpartiets förslag framgår av tabellerna ovan. Partierna föreslår betydligt mindre utgiftsramar  än regeringen på utgiftsområdena 13 och 14. En jämförelse med partiernas förslag på andra utgiftsområden visar att det framför allt är inom arbetsmar</w:t>
      </w:r>
      <w:r w:rsidRPr="00392EFF">
        <w:t>k</w:t>
      </w:r>
      <w:r w:rsidRPr="00392EFF">
        <w:t>nadspolitiken som oppositionen förordar kraftiga nedskärningar. Det är g</w:t>
      </w:r>
      <w:r w:rsidRPr="00392EFF">
        <w:t>e</w:t>
      </w:r>
      <w:r w:rsidRPr="00392EFF">
        <w:t>nom dessa tänkta besparingar som man får utrymme för sina satsningar på andra politikomr</w:t>
      </w:r>
      <w:r w:rsidRPr="00392EFF">
        <w:t>å</w:t>
      </w:r>
      <w:r w:rsidRPr="00392EFF">
        <w:t xml:space="preserve">den. </w:t>
      </w:r>
    </w:p>
    <w:p w:rsidR="00FB62DB" w:rsidRPr="00392EFF" w:rsidRDefault="00FB62DB">
      <w:pPr>
        <w:pStyle w:val="Normaltindrag"/>
      </w:pPr>
      <w:r w:rsidRPr="00392EFF">
        <w:t xml:space="preserve">På </w:t>
      </w:r>
      <w:r w:rsidRPr="00392EFF">
        <w:rPr>
          <w:i/>
        </w:rPr>
        <w:t xml:space="preserve">utgiftsområde 13 </w:t>
      </w:r>
      <w:r w:rsidRPr="00392EFF">
        <w:t>föreslår samtliga oppositionspartier kraftiga nedskä</w:t>
      </w:r>
      <w:r w:rsidRPr="00392EFF">
        <w:t>r</w:t>
      </w:r>
      <w:r w:rsidRPr="00392EFF">
        <w:t>ningar på i huvudsak tre anslag, nämligen</w:t>
      </w:r>
      <w:r w:rsidRPr="00392EFF">
        <w:rPr>
          <w:i/>
        </w:rPr>
        <w:t xml:space="preserve"> 22:1 Arbetsmarknadsverkets fö</w:t>
      </w:r>
      <w:r w:rsidRPr="00392EFF">
        <w:rPr>
          <w:i/>
        </w:rPr>
        <w:t>r</w:t>
      </w:r>
      <w:r w:rsidRPr="00392EFF">
        <w:rPr>
          <w:i/>
        </w:rPr>
        <w:t>valtningskostnader,</w:t>
      </w:r>
      <w:r w:rsidRPr="00392EFF">
        <w:t xml:space="preserve"> </w:t>
      </w:r>
      <w:r w:rsidRPr="00392EFF">
        <w:rPr>
          <w:i/>
        </w:rPr>
        <w:t>22:2 Bidrag till arbetslöshetsersättning och aktivitetsstöd</w:t>
      </w:r>
      <w:r w:rsidRPr="00392EFF">
        <w:t xml:space="preserve"> och</w:t>
      </w:r>
      <w:r w:rsidRPr="00392EFF">
        <w:rPr>
          <w:i/>
        </w:rPr>
        <w:t xml:space="preserve"> 22:3 Köp av arbetsmarknadsutbildning och övriga kostnader</w:t>
      </w:r>
      <w:r w:rsidRPr="00392EFF">
        <w:t xml:space="preserve">. </w:t>
      </w:r>
    </w:p>
    <w:p w:rsidR="00FB62DB" w:rsidRPr="00392EFF" w:rsidRDefault="00FB62DB">
      <w:pPr>
        <w:pStyle w:val="Normaltindrag"/>
      </w:pPr>
      <w:r w:rsidRPr="00392EFF">
        <w:t>Folkpartiet, Kristdemokraterna och Centerpartiet föreslår utgiftsmins</w:t>
      </w:r>
      <w:r w:rsidRPr="00392EFF">
        <w:t>k</w:t>
      </w:r>
      <w:r w:rsidRPr="00392EFF">
        <w:t>ningar på mellan 14 % och 21 % redan under kommande budgetår. Moder</w:t>
      </w:r>
      <w:r w:rsidRPr="00392EFF">
        <w:t>a</w:t>
      </w:r>
      <w:r w:rsidRPr="00392EFF">
        <w:t>terna, som för år 2003 gör mer begränsade besparingar, föreslår för budge</w:t>
      </w:r>
      <w:r w:rsidRPr="00392EFF">
        <w:t>t</w:t>
      </w:r>
      <w:r w:rsidRPr="00392EFF">
        <w:t xml:space="preserve">året 2004 anslagsminskningar med i storleksordningen 25 %. </w:t>
      </w:r>
    </w:p>
    <w:p w:rsidR="00FB62DB" w:rsidRPr="00392EFF" w:rsidRDefault="00FB62DB">
      <w:pPr>
        <w:pStyle w:val="Normaltindrag"/>
      </w:pPr>
      <w:r w:rsidRPr="00392EFF">
        <w:t>Utgiftsminskningarna tänker sig oppositionen att åstadkomma på främst tre sätt, nämligen genom en förändrad finansiering av arbetslöshetsförsä</w:t>
      </w:r>
      <w:r w:rsidRPr="00392EFF">
        <w:t>k</w:t>
      </w:r>
      <w:r w:rsidRPr="00392EFF">
        <w:t>ringen, en minskad omfattning av arbetsmarknadspolitiska program och g</w:t>
      </w:r>
      <w:r w:rsidRPr="00392EFF">
        <w:t>e</w:t>
      </w:r>
      <w:r w:rsidRPr="00392EFF">
        <w:t>nom en omstöpning av AMS. Eftersom inget av partierna i detalj redovisar hur besparingarna skall genomföras får utskottet försöka göra sig en bild av detta g</w:t>
      </w:r>
      <w:r w:rsidRPr="00392EFF">
        <w:t>e</w:t>
      </w:r>
      <w:r w:rsidRPr="00392EFF">
        <w:t>nom antaganden.</w:t>
      </w:r>
    </w:p>
    <w:p w:rsidR="00FB62DB" w:rsidRPr="00392EFF" w:rsidRDefault="00FB62DB">
      <w:pPr>
        <w:pStyle w:val="Normaltindrag"/>
      </w:pPr>
      <w:r w:rsidRPr="00392EFF">
        <w:t>Framför allt anslagen 22:2 och 22:3 avser utgifter som är konjunkturkän</w:t>
      </w:r>
      <w:r w:rsidRPr="00392EFF">
        <w:t>s</w:t>
      </w:r>
      <w:r w:rsidRPr="00392EFF">
        <w:t xml:space="preserve">liga. Med nuvarande regelverk gör fluktuationer i arbetslöshetsnivån på </w:t>
      </w:r>
      <w:r w:rsidRPr="00392EFF">
        <w:br/>
        <w:t>1 procentenhet utslag på statsbudgeten med i storleksordningen 7 miljarder kronor. En första reflexion är att oppositionen måste utgå från antingen en lägre arbetslöshetsnivå eller minskade kostnader för arbetslösheten eller en kombination av bådadera. Det kan inte gärna vara fråga om det förstnämnda alternativet eftersom partierna i andra sammanhang talar om betydligt högre faktiska arbetslöshetsnivåer än regeringen. Rimligen måste d</w:t>
      </w:r>
      <w:r w:rsidRPr="00392EFF">
        <w:t xml:space="preserve">et i stället handla om minskade utgifter för arbetslösheten, vilket bara kan åstadkommas genom sämre ersättning till de arbetslösa och till programdeltagarna. Utskottet har då bortsett från de delar av de föreslagna besparingarna som motsvaras av en höjd egenfinansiering i arbetslöshetsförsäkringen. </w:t>
      </w:r>
    </w:p>
    <w:p w:rsidR="00FB62DB" w:rsidRPr="00392EFF" w:rsidRDefault="00FB62DB">
      <w:pPr>
        <w:pStyle w:val="Normaltindrag"/>
      </w:pPr>
      <w:r w:rsidRPr="00392EFF">
        <w:t>En annan reflexion är att neddragningen av anslaget för köp av arbet</w:t>
      </w:r>
      <w:r w:rsidRPr="00392EFF">
        <w:t>s</w:t>
      </w:r>
      <w:r w:rsidRPr="00392EFF">
        <w:t>marknadsutbildning och övriga kostnader rimligtvis måste påverka förutsät</w:t>
      </w:r>
      <w:r w:rsidRPr="00392EFF">
        <w:t>t</w:t>
      </w:r>
      <w:r w:rsidRPr="00392EFF">
        <w:t>ningarna för att bedriva en aktiv och effektiv arbetsmarknadspolitik. De kra</w:t>
      </w:r>
      <w:r w:rsidRPr="00392EFF">
        <w:t>f</w:t>
      </w:r>
      <w:r w:rsidRPr="00392EFF">
        <w:t>tiga besparingar som föreslås på detta anslag är svåra att förena med de ind</w:t>
      </w:r>
      <w:r w:rsidRPr="00392EFF">
        <w:t>i</w:t>
      </w:r>
      <w:r w:rsidRPr="00392EFF">
        <w:t>viduellt inriktade insatser, utbildning, jobb- och utvecklingsgaranti m.m. som oppositionen samtidigt förordar, såvida inte tanken är att dessa insatser skall förbehållas en begränsad krets av arbetslösa – partierna talar om begränsade volymer men anger inte vilka kategorier arbetsl</w:t>
      </w:r>
      <w:r w:rsidRPr="00392EFF">
        <w:t>ösa som inte skulle prioriteras. Oppositionen vill ha en bättre arbetsmarknadspolitik, men den skall alltså genomföras till väsentligt lägre kostnader. Utskottet har mycket svårt att se hur de begränsade resurser som oppositionen vill ställa till arbetsmarknad</w:t>
      </w:r>
      <w:r w:rsidRPr="00392EFF">
        <w:t>s</w:t>
      </w:r>
      <w:r w:rsidRPr="00392EFF">
        <w:t>politikens förfogande skulle kunna leda till det som man säger sig vilja åsta</w:t>
      </w:r>
      <w:r w:rsidRPr="00392EFF">
        <w:t>d</w:t>
      </w:r>
      <w:r w:rsidRPr="00392EFF">
        <w:t>komma.</w:t>
      </w:r>
    </w:p>
    <w:p w:rsidR="00FB62DB" w:rsidRPr="00392EFF" w:rsidRDefault="00FB62DB">
      <w:pPr>
        <w:pStyle w:val="Normaltindrag"/>
      </w:pPr>
      <w:r w:rsidRPr="00392EFF">
        <w:t xml:space="preserve"> De största besparingarna tänker sig alla de fyra partierna göra genom en ökad egenfinansiering av arbetslöshetsförsäkringen. Folkpartiet, Kristdem</w:t>
      </w:r>
      <w:r w:rsidRPr="00392EFF">
        <w:t>o</w:t>
      </w:r>
      <w:r w:rsidRPr="00392EFF">
        <w:t>kraterna och Centerpartiet tillgodoräknar sig effekterna av detta redan under nästa budgetår medan Moderaterna räknar med full effekt år 2004.</w:t>
      </w:r>
    </w:p>
    <w:p w:rsidR="00FB62DB" w:rsidRPr="00392EFF" w:rsidRDefault="00FB62DB">
      <w:pPr>
        <w:pStyle w:val="Normaltindrag"/>
      </w:pPr>
      <w:r w:rsidRPr="00392EFF">
        <w:t>Arbetsmarknadsutskottet beskrev det nuvarande finansieringssystemet i förra årets yttrande 2001/02:AU1y enligt följande:</w:t>
      </w:r>
    </w:p>
    <w:p w:rsidR="00FB62DB" w:rsidRPr="00392EFF" w:rsidRDefault="00FB62DB">
      <w:pPr>
        <w:pStyle w:val="Citat"/>
        <w:spacing w:before="125"/>
      </w:pPr>
      <w:r w:rsidRPr="00392EFF">
        <w:t>Det nuvarande finansieringssystemet innebär i korthet följande. Arbet</w:t>
      </w:r>
      <w:r w:rsidRPr="00392EFF">
        <w:t>s</w:t>
      </w:r>
      <w:r w:rsidRPr="00392EFF">
        <w:t>löshetskassorna bidrar till finansieringen genom den s.k. finansieringsa</w:t>
      </w:r>
      <w:r w:rsidRPr="00392EFF">
        <w:t>v</w:t>
      </w:r>
      <w:r w:rsidRPr="00392EFF">
        <w:t>giften, som är relaterad till antalet medlemmar och den genomsnittligt u</w:t>
      </w:r>
      <w:r w:rsidRPr="00392EFF">
        <w:t>t</w:t>
      </w:r>
      <w:r w:rsidRPr="00392EFF">
        <w:t>betalade dagpenningen i arbetslöshetskassan i fråga. Kassan skall enligt 48 § lagen (1997:239) om arbetslöshetskassor för varje medlem till staten betala motsvarande 131 procent av den under det löpande verksamhet</w:t>
      </w:r>
      <w:r w:rsidRPr="00392EFF">
        <w:t>s</w:t>
      </w:r>
      <w:r w:rsidRPr="00392EFF">
        <w:t>året genomsnittligt utbetalade dagpenningen enligt den s.k. inkomstbor</w:t>
      </w:r>
      <w:r w:rsidRPr="00392EFF">
        <w:t>t</w:t>
      </w:r>
      <w:r w:rsidRPr="00392EFF">
        <w:t>fallsförsäkringen. En tolftedel av detta belopp skall kassan månatligen inlevere</w:t>
      </w:r>
      <w:r w:rsidRPr="00392EFF">
        <w:t>ra till staten. Därutöver betalas för varje medlem en s.k. utjä</w:t>
      </w:r>
      <w:r w:rsidRPr="00392EFF">
        <w:t>m</w:t>
      </w:r>
      <w:r w:rsidRPr="00392EFF">
        <w:t>ningsavgift för finansiering av ett utjämningsbidrag som är gemensamt för kassorna. Avgiften motsvarar 3 pro</w:t>
      </w:r>
      <w:r w:rsidRPr="00392EFF">
        <w:softHyphen/>
        <w:t>cent av den gällande högsta da</w:t>
      </w:r>
      <w:r w:rsidRPr="00392EFF">
        <w:t>g</w:t>
      </w:r>
      <w:r w:rsidRPr="00392EFF">
        <w:t>penningen. Enligt 41 § samma lag skall arbetslöshetskassorna ta ut me</w:t>
      </w:r>
      <w:r w:rsidRPr="00392EFF">
        <w:t>d</w:t>
      </w:r>
      <w:r w:rsidRPr="00392EFF">
        <w:t>lemsavgifter som tillsammans med andra inkomster får antas täcka fö</w:t>
      </w:r>
      <w:r w:rsidRPr="00392EFF">
        <w:t>r</w:t>
      </w:r>
      <w:r w:rsidRPr="00392EFF">
        <w:t>valtningskostnader, de nyssnämnda avgifterna och övriga utgifter. Ka</w:t>
      </w:r>
      <w:r w:rsidRPr="00392EFF">
        <w:t>s</w:t>
      </w:r>
      <w:r w:rsidRPr="00392EFF">
        <w:t>san har möjlighet att besluta om olika medlemsavgifter för olika me</w:t>
      </w:r>
      <w:r w:rsidRPr="00392EFF">
        <w:t>d</w:t>
      </w:r>
      <w:r w:rsidRPr="00392EFF">
        <w:t>lemskategorier, om det finns skäl</w:t>
      </w:r>
      <w:r w:rsidRPr="00392EFF">
        <w:t xml:space="preserve"> för det. – I den mån dessa avgifter inte är tillräckliga finansieras den resterande delen med allmänna skattem</w:t>
      </w:r>
      <w:r w:rsidRPr="00392EFF">
        <w:t>e</w:t>
      </w:r>
      <w:r w:rsidRPr="00392EFF">
        <w:t>del. Arbetsmarknadsavgiften enligt socialavgiftslagen (2000:980) uppgår för närvarande till 5,84 procent* av avgiftsunderlaget och skall enligt 9 § lagen (2000:981) om fördelning av socialavgifter finansiera bl.a. arbet</w:t>
      </w:r>
      <w:r w:rsidRPr="00392EFF">
        <w:t>s</w:t>
      </w:r>
      <w:r w:rsidRPr="00392EFF">
        <w:t>löshetsersättning. Även aktivitetsstödet till personer som uppfyller föru</w:t>
      </w:r>
      <w:r w:rsidRPr="00392EFF">
        <w:t>t</w:t>
      </w:r>
      <w:r w:rsidRPr="00392EFF">
        <w:t xml:space="preserve">sättningarna för inkomstrelaterad ersättning finansieras med denna avgift.  – – – De försäkrades insatser </w:t>
      </w:r>
      <w:r w:rsidRPr="00392EFF">
        <w:t>är alltså inte relaterade till arbetslöshetsn</w:t>
      </w:r>
      <w:r w:rsidRPr="00392EFF">
        <w:t>i</w:t>
      </w:r>
      <w:r w:rsidRPr="00392EFF">
        <w:t>vån i sig i kassan utan till den dagpenning som kassans arbetslösa me</w:t>
      </w:r>
      <w:r w:rsidRPr="00392EFF">
        <w:t>d</w:t>
      </w:r>
      <w:r w:rsidRPr="00392EFF">
        <w:t>lemmar har, vilken i sin tur är kopplad till löneläget bland kassans me</w:t>
      </w:r>
      <w:r w:rsidRPr="00392EFF">
        <w:t>d</w:t>
      </w:r>
      <w:r w:rsidRPr="00392EFF">
        <w:t xml:space="preserve">lemmar. På detta sätt innebär finansieringssystemet att lönehöjningar kan gå ut över hela medlemskollektivet. – – –. </w:t>
      </w:r>
    </w:p>
    <w:p w:rsidR="00FB62DB" w:rsidRPr="00392EFF" w:rsidRDefault="00FB62DB">
      <w:pPr>
        <w:pStyle w:val="Fotnotstext"/>
      </w:pPr>
    </w:p>
    <w:p w:rsidR="00FB62DB" w:rsidRPr="00392EFF" w:rsidRDefault="00FB62DB">
      <w:pPr>
        <w:pStyle w:val="Fotnotstext"/>
      </w:pPr>
      <w:r w:rsidRPr="00392EFF">
        <w:t>*I budgetpropositionen för 2003, volym 1, punkt 28, föreslås att arbetsmarknadsavgi</w:t>
      </w:r>
      <w:r w:rsidRPr="00392EFF">
        <w:t>f</w:t>
      </w:r>
      <w:r w:rsidRPr="00392EFF">
        <w:t>ten sänks till 3,70 % från den 1 januari 2003.</w:t>
      </w:r>
    </w:p>
    <w:p w:rsidR="00FB62DB" w:rsidRPr="00392EFF" w:rsidRDefault="00FB62DB">
      <w:pPr>
        <w:pStyle w:val="Normaltindrag"/>
      </w:pPr>
    </w:p>
    <w:p w:rsidR="00FB62DB" w:rsidRPr="00392EFF" w:rsidRDefault="00FB62DB">
      <w:r w:rsidRPr="00392EFF">
        <w:t>Arbetsmarknadsutskottet kan inledningsvis konstatera att oppositionens f</w:t>
      </w:r>
      <w:r w:rsidRPr="00392EFF">
        <w:t>i</w:t>
      </w:r>
      <w:r w:rsidRPr="00392EFF">
        <w:t>nansieringsmodeller är mer eller mindre skis</w:t>
      </w:r>
      <w:r w:rsidRPr="00392EFF">
        <w:t>s</w:t>
      </w:r>
      <w:r w:rsidRPr="00392EFF">
        <w:t>artade.</w:t>
      </w:r>
    </w:p>
    <w:p w:rsidR="00FB62DB" w:rsidRPr="00392EFF" w:rsidRDefault="00FB62DB">
      <w:pPr>
        <w:pStyle w:val="Normaltindrag"/>
      </w:pPr>
      <w:r w:rsidRPr="00392EFF">
        <w:t>Moderaternas förslag går dock något längre i detaljeringsgrad än de övr</w:t>
      </w:r>
      <w:r w:rsidRPr="00392EFF">
        <w:t>i</w:t>
      </w:r>
      <w:r w:rsidRPr="00392EFF">
        <w:t>gas och innebär att dagens avgift ersätts med en försäkringspremie som rel</w:t>
      </w:r>
      <w:r w:rsidRPr="00392EFF">
        <w:t>a</w:t>
      </w:r>
      <w:r w:rsidRPr="00392EFF">
        <w:t>teras till månadslönen. Premien skall utgå med 2 % på sådana inkomster som är ersättningsberättigade. Premien skall vara avdragsgill vid inkomstbeskat</w:t>
      </w:r>
      <w:r w:rsidRPr="00392EFF">
        <w:t>t</w:t>
      </w:r>
      <w:r w:rsidRPr="00392EFF">
        <w:t>ningen. Förslaget har likheter med det finansieringssystem som infördes av fyrpartiregeringen år 1994 men som upphävdes sedan Socialdemokraterna återtagit regering</w:t>
      </w:r>
      <w:r w:rsidRPr="00392EFF">
        <w:t>s</w:t>
      </w:r>
      <w:r w:rsidRPr="00392EFF">
        <w:t>makten på hösten det året.</w:t>
      </w:r>
    </w:p>
    <w:p w:rsidR="00FB62DB" w:rsidRPr="00392EFF" w:rsidRDefault="00FB62DB">
      <w:pPr>
        <w:pStyle w:val="Normaltindrag"/>
      </w:pPr>
      <w:r w:rsidRPr="00392EFF">
        <w:t>Arbetsmarknadsutskottet har samma invändningar som tidigare mot en s</w:t>
      </w:r>
      <w:r w:rsidRPr="00392EFF">
        <w:t>å</w:t>
      </w:r>
      <w:r w:rsidRPr="00392EFF">
        <w:t>dan finansieringsmodell. Den slopade anknytningen till arbetslöshetskassan kan innebära ett minskat ansvar för att kostnaderna hålls nere; den nuvarande kopplingen till dagpenningnivån innebär ett ansvar för lönenivån inom kas</w:t>
      </w:r>
      <w:r w:rsidRPr="00392EFF">
        <w:t>s</w:t>
      </w:r>
      <w:r w:rsidRPr="00392EFF">
        <w:t xml:space="preserve">ans område. </w:t>
      </w:r>
    </w:p>
    <w:p w:rsidR="00FB62DB" w:rsidRPr="00392EFF" w:rsidRDefault="00FB62DB">
      <w:pPr>
        <w:pStyle w:val="Normaltindrag"/>
      </w:pPr>
      <w:r w:rsidRPr="00392EFF">
        <w:t>Folkpartiets partimotion innehåller inget annat än att man föreslår ”en helt annan modell för finansiering av a-kassan”. Avgiften skall vara avdragsgill. Minskningen av skatteintäkterna beräknas till 3,4 miljarder kronor per år.</w:t>
      </w:r>
    </w:p>
    <w:p w:rsidR="00FB62DB" w:rsidRPr="00392EFF" w:rsidRDefault="00FB62DB">
      <w:pPr>
        <w:pStyle w:val="Normaltindrag"/>
      </w:pPr>
      <w:r w:rsidRPr="00392EFF">
        <w:t>Kristdemokraterna vill öka självfinansieringsgraden till 33 %. Den högre a-kasseavgiften – angiven till ca 100 kr per månad i kommittémotionen A320 – skulle synliggöra arbetslöshetens kos</w:t>
      </w:r>
      <w:r w:rsidRPr="00392EFF">
        <w:t>t</w:t>
      </w:r>
      <w:r w:rsidRPr="00392EFF">
        <w:t>nader.</w:t>
      </w:r>
    </w:p>
    <w:p w:rsidR="00FB62DB" w:rsidRPr="00392EFF" w:rsidRDefault="00FB62DB">
      <w:pPr>
        <w:pStyle w:val="Normaltindrag"/>
      </w:pPr>
      <w:r w:rsidRPr="00392EFF">
        <w:t xml:space="preserve">Centerpartiet vill också öka självfinansieringsgraden till 33 % för att göra  kostnaden för arbetslösheten tydligare. Enligt kommittémotionen A330 skulle detta motsvara en ökad kostnad för den enskilde med 150 kr per månad före skatt och 90 kr efter det skatteavdrag som skulle medges. Arbetslösa skulle betala halv avgift. </w:t>
      </w:r>
    </w:p>
    <w:p w:rsidR="00FB62DB" w:rsidRPr="00392EFF" w:rsidRDefault="00FB62DB">
      <w:pPr>
        <w:pStyle w:val="Normaltindrag"/>
        <w:rPr>
          <w:spacing w:val="6"/>
        </w:rPr>
      </w:pPr>
      <w:r w:rsidRPr="00392EFF">
        <w:t>Arbetsmarknadsutskottet har genom åren tagit ställning till ett antal olika förslag från oppositionen om ökad egenfinansiering i arbetslöshetsförsäkrin</w:t>
      </w:r>
      <w:r w:rsidRPr="00392EFF">
        <w:t>g</w:t>
      </w:r>
      <w:r w:rsidRPr="00392EFF">
        <w:t xml:space="preserve">en. Mer eller mindre preciserade modeller har lagts till grund för förslag om kraftigt reducerade kostnader för försäkringen. Det har då liksom nu varit svårt att få någon klarare bild av hur partierna tänkt sig finansieringen. Frågor som inställer sig är bl.a. vad den enskildes insats mera exakt skall relateras till och vilka som skall stå för finansieringen, hela löntagarkollektivet eller bara </w:t>
      </w:r>
      <w:r w:rsidRPr="00392EFF">
        <w:rPr>
          <w:spacing w:val="6"/>
        </w:rPr>
        <w:t>de som är medlemmar i en kassa eller möjligen de som kan sägas ha förankring på arbetsmarknaden och i så fall hu</w:t>
      </w:r>
      <w:r w:rsidRPr="00392EFF">
        <w:rPr>
          <w:spacing w:val="6"/>
        </w:rPr>
        <w:t>r detta kriterium skall bestämmas. Oavsett dessa oklarheter finns det skäl att vara kritisk mot en ökad egenfinansiering. Det är fråga om en kraftigt höjd insats för den enskilde, som kan bli särskilt betungande i ett svagt arbetsmarknadsläge med hög arbetslöshet. Förslagen har dessutom den bristen att den e</w:t>
      </w:r>
      <w:r w:rsidRPr="00392EFF">
        <w:rPr>
          <w:spacing w:val="6"/>
        </w:rPr>
        <w:t>n</w:t>
      </w:r>
      <w:r w:rsidRPr="00392EFF">
        <w:rPr>
          <w:spacing w:val="6"/>
        </w:rPr>
        <w:t>skilde och hans eller hennes fackliga organisation inte på samma sätt som i nuvarande system får anledning att ta ansvar för löneutvecklingen inom den egna kassans område. Ett system som bygger på avgif</w:t>
      </w:r>
      <w:r w:rsidRPr="00392EFF">
        <w:rPr>
          <w:spacing w:val="6"/>
        </w:rPr>
        <w:t>ter som anknyter till en i förväg okänd kostnad framstår dessutom som adminis</w:t>
      </w:r>
      <w:r w:rsidRPr="00392EFF">
        <w:rPr>
          <w:spacing w:val="6"/>
        </w:rPr>
        <w:t>t</w:t>
      </w:r>
      <w:r w:rsidRPr="00392EFF">
        <w:rPr>
          <w:spacing w:val="6"/>
        </w:rPr>
        <w:t xml:space="preserve">rativt krångligt. </w:t>
      </w:r>
    </w:p>
    <w:p w:rsidR="00FB62DB" w:rsidRPr="00392EFF" w:rsidRDefault="00FB62DB">
      <w:pPr>
        <w:pStyle w:val="Normaltindrag"/>
        <w:rPr>
          <w:spacing w:val="6"/>
        </w:rPr>
      </w:pPr>
      <w:r w:rsidRPr="00392EFF">
        <w:rPr>
          <w:spacing w:val="6"/>
        </w:rPr>
        <w:t>Man måste också betänka att så kraftigt ökade insatser som det skulle vara fråga om säkerligen skulle påverka människors vilja att vara fö</w:t>
      </w:r>
      <w:r w:rsidRPr="00392EFF">
        <w:rPr>
          <w:spacing w:val="6"/>
        </w:rPr>
        <w:t>r</w:t>
      </w:r>
      <w:r w:rsidRPr="00392EFF">
        <w:rPr>
          <w:spacing w:val="6"/>
        </w:rPr>
        <w:t xml:space="preserve">säkrade, allra helst sådana grupper som löper liten risk att bli arbetslösa. Om försäkringen samtidigt skulle vara obligatorisk skulle den höjda egeninsatsen säkerligen av många i praktiken uppfattas som en ren skattehöjning. </w:t>
      </w:r>
    </w:p>
    <w:p w:rsidR="00FB62DB" w:rsidRPr="00392EFF" w:rsidRDefault="00FB62DB">
      <w:pPr>
        <w:pStyle w:val="Normaltindrag"/>
        <w:rPr>
          <w:spacing w:val="6"/>
        </w:rPr>
      </w:pPr>
      <w:r w:rsidRPr="00392EFF">
        <w:rPr>
          <w:spacing w:val="6"/>
        </w:rPr>
        <w:t xml:space="preserve"> Alldeles oavsett dessa invändningar ser arbetsmarknadsutskottet det som helt orealistiskt att förslagen skulle kunna genomföras så snabbt att de får genomslag på budgeten redan under nästa budgetår.  Det är fråga om genomgripande systemförändringar som skulle kräva lagändringar och </w:t>
      </w:r>
      <w:r w:rsidRPr="00392EFF">
        <w:rPr>
          <w:spacing w:val="6"/>
        </w:rPr>
        <w:t>administrativa anpassningar. De besparingseffekter som oppositi</w:t>
      </w:r>
      <w:r w:rsidRPr="00392EFF">
        <w:rPr>
          <w:spacing w:val="6"/>
        </w:rPr>
        <w:t>o</w:t>
      </w:r>
      <w:r w:rsidRPr="00392EFF">
        <w:rPr>
          <w:spacing w:val="6"/>
        </w:rPr>
        <w:t>nen tillgodoräknar sig i sina budgetmotioner får därför mera ses som förhoppningar än väl unde</w:t>
      </w:r>
      <w:r w:rsidRPr="00392EFF">
        <w:rPr>
          <w:spacing w:val="6"/>
        </w:rPr>
        <w:t>r</w:t>
      </w:r>
      <w:r w:rsidRPr="00392EFF">
        <w:rPr>
          <w:spacing w:val="6"/>
        </w:rPr>
        <w:t>byggda förslag.</w:t>
      </w:r>
    </w:p>
    <w:p w:rsidR="00FB62DB" w:rsidRPr="00392EFF" w:rsidRDefault="00FB62DB">
      <w:pPr>
        <w:pStyle w:val="Normaltindrag"/>
        <w:rPr>
          <w:spacing w:val="6"/>
        </w:rPr>
      </w:pPr>
      <w:r w:rsidRPr="00392EFF">
        <w:rPr>
          <w:spacing w:val="6"/>
        </w:rPr>
        <w:t xml:space="preserve">Även när det gäller </w:t>
      </w:r>
      <w:r w:rsidRPr="00392EFF">
        <w:rPr>
          <w:i/>
          <w:spacing w:val="6"/>
        </w:rPr>
        <w:t xml:space="preserve">utgiftsområde 14 </w:t>
      </w:r>
      <w:r w:rsidRPr="00392EFF">
        <w:rPr>
          <w:spacing w:val="6"/>
        </w:rPr>
        <w:t>föreslår oppositionen kraftiga nedskärningar de närmaste åren. I likhet med förslagen på utgiftsområde 13 förespråkar Folkpartiet, Kristdemokraterna och Centerpartiet u</w:t>
      </w:r>
      <w:r w:rsidRPr="00392EFF">
        <w:rPr>
          <w:spacing w:val="6"/>
        </w:rPr>
        <w:t>t</w:t>
      </w:r>
      <w:r w:rsidRPr="00392EFF">
        <w:rPr>
          <w:spacing w:val="6"/>
        </w:rPr>
        <w:t>giftsminskningar inom utgiftsområde 14 på i storleksordningen 20 % redan under kommande budgetår, medan Moderaterna tänker sig en begränsad minskning under 2003 för att under 2004 genomföra utgift</w:t>
      </w:r>
      <w:r w:rsidRPr="00392EFF">
        <w:rPr>
          <w:spacing w:val="6"/>
        </w:rPr>
        <w:t>s</w:t>
      </w:r>
      <w:r w:rsidRPr="00392EFF">
        <w:rPr>
          <w:spacing w:val="6"/>
        </w:rPr>
        <w:t>minskningar på över 20 %.</w:t>
      </w:r>
    </w:p>
    <w:p w:rsidR="00FB62DB" w:rsidRPr="00392EFF" w:rsidRDefault="00FB62DB">
      <w:pPr>
        <w:pStyle w:val="Normaltindrag"/>
        <w:rPr>
          <w:spacing w:val="6"/>
        </w:rPr>
      </w:pPr>
      <w:r w:rsidRPr="00392EFF">
        <w:rPr>
          <w:spacing w:val="6"/>
        </w:rPr>
        <w:t>Oppositionspartierna föreslår utgiftsminskningar av samma storlek</w:t>
      </w:r>
      <w:r w:rsidRPr="00392EFF">
        <w:rPr>
          <w:spacing w:val="6"/>
        </w:rPr>
        <w:t>s</w:t>
      </w:r>
      <w:r w:rsidRPr="00392EFF">
        <w:rPr>
          <w:spacing w:val="6"/>
        </w:rPr>
        <w:t>ordning, men bilden av hur nedskärningarna skall genomföras är mer splittrad. Alla partierna verkar dock anse att det finns utrymme för g</w:t>
      </w:r>
      <w:r w:rsidRPr="00392EFF">
        <w:rPr>
          <w:spacing w:val="6"/>
        </w:rPr>
        <w:t>e</w:t>
      </w:r>
      <w:r w:rsidRPr="00392EFF">
        <w:rPr>
          <w:spacing w:val="6"/>
        </w:rPr>
        <w:t>nerella sparbeting hos de myndigheter som omfattas av utgiftsområdet och på anslaget för särskilda utbildningsinsatser (det senare sparbetinget gäller dock inte Centerpartiet). Längst i förslagen går Moderaterna som därutöver vill lägga ned Arbetsdomstolen och föra över uppgifterna till allmän domstol, kraftigt begränsa Medlingsinstitutets uppdrag och slå samman JämO, Ho</w:t>
      </w:r>
      <w:r w:rsidRPr="00392EFF">
        <w:rPr>
          <w:spacing w:val="6"/>
        </w:rPr>
        <w:t xml:space="preserve">mO, Ombudsmannen mot etnisk diskriminering och Handikappombudsmannen till en myndighet. </w:t>
      </w:r>
    </w:p>
    <w:p w:rsidR="00FB62DB" w:rsidRPr="00392EFF" w:rsidRDefault="00FB62DB">
      <w:pPr>
        <w:pStyle w:val="Normaltindrag"/>
        <w:rPr>
          <w:spacing w:val="6"/>
        </w:rPr>
      </w:pPr>
      <w:r w:rsidRPr="00392EFF">
        <w:rPr>
          <w:spacing w:val="6"/>
        </w:rPr>
        <w:t>Utskottet kan inte ansluta sig de utgångspunkter som ligger till grund för dessa budgetförslag. Det ter sig dessutom orealistiskt att så kraftiga besp</w:t>
      </w:r>
      <w:r w:rsidRPr="00392EFF">
        <w:rPr>
          <w:spacing w:val="6"/>
        </w:rPr>
        <w:t>a</w:t>
      </w:r>
      <w:r w:rsidRPr="00392EFF">
        <w:rPr>
          <w:spacing w:val="6"/>
        </w:rPr>
        <w:t xml:space="preserve">ringar skulle kunna genomföras redan nästa budgetår. </w:t>
      </w:r>
    </w:p>
    <w:p w:rsidR="00FB62DB" w:rsidRPr="00392EFF" w:rsidRDefault="00FB62DB">
      <w:pPr>
        <w:pStyle w:val="Normaltindrag"/>
        <w:rPr>
          <w:spacing w:val="6"/>
        </w:rPr>
      </w:pPr>
      <w:r w:rsidRPr="00392EFF">
        <w:rPr>
          <w:spacing w:val="6"/>
        </w:rPr>
        <w:t xml:space="preserve">Arbetsmarknadsutskottet anser sammanfattningsvis att oppositionens budgetförslag på utgiftsområdena 13 och 14 måste avvisas. Utskottet tillstyrker regeringens motsvarande förslag, liksom det förslag om en ökning av ramen för utgiftsområde 14 som läggs fram i motion Fi230. </w:t>
      </w:r>
    </w:p>
    <w:p w:rsidR="00FB62DB" w:rsidRPr="00392EFF" w:rsidRDefault="00FB62DB">
      <w:pPr>
        <w:pStyle w:val="Utskriftsdatum"/>
        <w:spacing w:before="235"/>
      </w:pPr>
      <w:r w:rsidRPr="00392EFF">
        <w:t xml:space="preserve">Stockholm den 12 november 2002 </w:t>
      </w:r>
    </w:p>
    <w:p w:rsidR="00FB62DB" w:rsidRPr="00392EFF" w:rsidRDefault="00FB62DB">
      <w:pPr>
        <w:pStyle w:val="Pxx-utskottetsvgnar"/>
        <w:spacing w:before="0"/>
      </w:pPr>
      <w:r w:rsidRPr="00392EFF">
        <w:t>På arbetsmarknadsutskottets vägnar</w:t>
      </w:r>
      <w:bookmarkStart w:id="1" w:name="Ordförande"/>
      <w:bookmarkStart w:id="2" w:name="Deltagare"/>
      <w:bookmarkEnd w:id="1"/>
      <w:bookmarkEnd w:id="2"/>
    </w:p>
    <w:p w:rsidR="00FB62DB" w:rsidRPr="00392EFF" w:rsidRDefault="00FB62DB">
      <w:pPr>
        <w:pStyle w:val="Ordfranden"/>
        <w:rPr>
          <w:noProof w:val="0"/>
        </w:rPr>
      </w:pPr>
      <w:r w:rsidRPr="00392EFF">
        <w:rPr>
          <w:noProof w:val="0"/>
        </w:rPr>
        <w:t>Anders Karlsson</w:t>
      </w:r>
    </w:p>
    <w:p w:rsidR="00FB62DB" w:rsidRPr="00392EFF" w:rsidRDefault="00FB62DB">
      <w:pPr>
        <w:pStyle w:val="Deltagare"/>
        <w:rPr>
          <w:noProof w:val="0"/>
        </w:rPr>
      </w:pPr>
      <w:r w:rsidRPr="00392EFF">
        <w:rPr>
          <w:noProof w:val="0"/>
        </w:rPr>
        <w:t xml:space="preserve">Följande ledamöter har deltagit i beslutet: Anders Karlsson (s), Margareta Andersson (c), Laila Bjurling (s), Anders G Högmark (m), Erik Ullenhag (fp), Christer Skoog (s), Sonja Fransson (s), Camilla Sköld Jansson (v), Cinnika Beiming (s), Patrik Norinder (m), Lars Lilja (s), Tina Acketoft (fp), Berit Högman (s), Henrik Westman (m), Britta Lejon (s), Ulf Holm (mp) och Annelie Enochson (kd). </w:t>
      </w:r>
    </w:p>
    <w:p w:rsidR="00FB62DB" w:rsidRPr="00392EFF" w:rsidRDefault="00FB62DB">
      <w:pPr>
        <w:pStyle w:val="R2"/>
      </w:pPr>
      <w:r w:rsidRPr="00392EFF">
        <w:br w:type="page"/>
      </w:r>
      <w:bookmarkStart w:id="3" w:name="_Toc527882270"/>
      <w:r w:rsidRPr="00392EFF">
        <w:t>Avvikande mening</w:t>
      </w:r>
      <w:bookmarkEnd w:id="3"/>
      <w:r w:rsidRPr="00392EFF">
        <w:t>ar</w:t>
      </w:r>
    </w:p>
    <w:p w:rsidR="00FB62DB" w:rsidRPr="00392EFF" w:rsidRDefault="00FB62DB">
      <w:pPr>
        <w:pStyle w:val="Yttrandepunkt"/>
        <w:rPr>
          <w:noProof w:val="0"/>
        </w:rPr>
      </w:pPr>
      <w:r w:rsidRPr="00392EFF">
        <w:rPr>
          <w:noProof w:val="0"/>
        </w:rPr>
        <w:t>1. Utvecklingen på arbetsmarknaden m.m. (m+fp+kd+c)</w:t>
      </w:r>
    </w:p>
    <w:p w:rsidR="00FB62DB" w:rsidRPr="00392EFF" w:rsidRDefault="00FB62DB">
      <w:pPr>
        <w:pStyle w:val="Reservanter"/>
      </w:pPr>
      <w:r w:rsidRPr="00392EFF">
        <w:t>av Margareta Andersson (c), Anders G Högmark (m), Patrik Norinder (m), Henrik Westman (m), Erik Ullenhag (fp), Tina Acketoft (fp) och Annelie Enochson (kd) som anför fö</w:t>
      </w:r>
      <w:r w:rsidRPr="00392EFF">
        <w:t>l</w:t>
      </w:r>
      <w:r w:rsidRPr="00392EFF">
        <w:t>jande.</w:t>
      </w:r>
    </w:p>
    <w:p w:rsidR="00FB62DB" w:rsidRPr="00392EFF" w:rsidRDefault="00FB62DB"/>
    <w:p w:rsidR="00FB62DB" w:rsidRPr="00392EFF" w:rsidRDefault="00FB62DB">
      <w:pPr>
        <w:pStyle w:val="Normaltindrag"/>
        <w:rPr>
          <w:snapToGrid w:val="0"/>
          <w:lang w:eastAsia="sv-SE"/>
        </w:rPr>
      </w:pPr>
      <w:r w:rsidRPr="00392EFF">
        <w:t xml:space="preserve"> </w:t>
      </w:r>
      <w:r w:rsidRPr="00392EFF">
        <w:rPr>
          <w:snapToGrid w:val="0"/>
          <w:lang w:eastAsia="sv-SE"/>
        </w:rPr>
        <w:t>Ett nytt övergripande mål för sysselsättningen bör formuleras. Vi behöver ett politiskt mål för arbetsmarknadspolitiken som visar verkligheten som den är. Man skall inte kunna flytta människor mellan olika statistikkolumner för att kunna uppfylla politiska mål och vallöften. I SOU 2002:5 för utredaren Jan Rydh en diskussion om detta. Han påvisar hur missvisande nuvarande mål är och problemen med den nuvarande produktionen av statistik som inte på ett lättillgängligt sätt mäter andelen människor i arbete. Ry</w:t>
      </w:r>
      <w:r w:rsidRPr="00392EFF">
        <w:rPr>
          <w:snapToGrid w:val="0"/>
          <w:lang w:eastAsia="sv-SE"/>
        </w:rPr>
        <w:t>dh konstaterar att olika statistikproducenter har olika syften med sin statstikproduktion varför till exempel definitioner och åldersindelningar skiljer sig åt. Därför bör r</w:t>
      </w:r>
      <w:r w:rsidRPr="00392EFF">
        <w:rPr>
          <w:snapToGrid w:val="0"/>
          <w:lang w:eastAsia="sv-SE"/>
        </w:rPr>
        <w:t>e</w:t>
      </w:r>
      <w:r w:rsidRPr="00392EFF">
        <w:rPr>
          <w:snapToGrid w:val="0"/>
          <w:lang w:eastAsia="sv-SE"/>
        </w:rPr>
        <w:t>geringen snarast uppdra åt statistikansvariga departement och myndigheter att fastställa gemensamma definitioner och datakällor samt former för en löpa</w:t>
      </w:r>
      <w:r w:rsidRPr="00392EFF">
        <w:rPr>
          <w:snapToGrid w:val="0"/>
          <w:lang w:eastAsia="sv-SE"/>
        </w:rPr>
        <w:t>n</w:t>
      </w:r>
      <w:r w:rsidRPr="00392EFF">
        <w:rPr>
          <w:snapToGrid w:val="0"/>
          <w:lang w:eastAsia="sv-SE"/>
        </w:rPr>
        <w:t>de, enhetlig uppföljning och prognostisering av utvecklingen av befolkning, studerande, förtidspensionärer, arbetskraft, sysselsatta, sjukfrånvarande och människor i arbete. Redovisninge</w:t>
      </w:r>
      <w:r w:rsidRPr="00392EFF">
        <w:rPr>
          <w:snapToGrid w:val="0"/>
          <w:lang w:eastAsia="sv-SE"/>
        </w:rPr>
        <w:t>n bör innehålla komponenter i enlighet med förslag som lagts fram i SOU 2000:2.</w:t>
      </w:r>
    </w:p>
    <w:p w:rsidR="00FB62DB" w:rsidRPr="00392EFF" w:rsidRDefault="00FB62DB">
      <w:pPr>
        <w:pStyle w:val="Normaltindrag"/>
      </w:pPr>
      <w:r w:rsidRPr="00392EFF">
        <w:t>Den bild av svensk ekonomi som tecknas av regeringen i budgetpropos</w:t>
      </w:r>
      <w:r w:rsidRPr="00392EFF">
        <w:t>i</w:t>
      </w:r>
      <w:r w:rsidRPr="00392EFF">
        <w:t>tionen bygger på information och antaganden som gjorts t.o.m. den 4 oktober.</w:t>
      </w:r>
    </w:p>
    <w:p w:rsidR="00FB62DB" w:rsidRPr="00392EFF" w:rsidRDefault="00FB62DB">
      <w:pPr>
        <w:pStyle w:val="Normaltindrag"/>
      </w:pPr>
      <w:r w:rsidRPr="00392EFF">
        <w:t xml:space="preserve"> Till skillnad från majoriteten i utskottet anser vi att den senaste inform</w:t>
      </w:r>
      <w:r w:rsidRPr="00392EFF">
        <w:t>a</w:t>
      </w:r>
      <w:r w:rsidRPr="00392EFF">
        <w:t>tionen och de senaste prognoserna</w:t>
      </w:r>
      <w:r w:rsidRPr="00392EFF">
        <w:rPr>
          <w:rStyle w:val="Fotnotsreferens"/>
        </w:rPr>
        <w:footnoteReference w:id="1"/>
      </w:r>
      <w:r w:rsidRPr="00392EFF">
        <w:t xml:space="preserve"> inte bara tyder på en ökad osäkerhet kring det framtida tillväxt- och sysselsättningsläget, utan på ett i förhållande till regeringens antaganden klart försämrat tillväxt- och sysselsättningsläge.  </w:t>
      </w:r>
    </w:p>
    <w:p w:rsidR="00FB62DB" w:rsidRPr="00392EFF" w:rsidRDefault="00FB62DB">
      <w:pPr>
        <w:pStyle w:val="Normaltindrag"/>
      </w:pPr>
      <w:r w:rsidRPr="00392EFF">
        <w:t xml:space="preserve">  Vi har under senhösten sett tydliga tecken på en svagare internationell konjunkturutveckling än vad som tidigare förutspåtts. De för svensk ekonomi mycket betydelsefulla tyska och amerikanska ekonomierna har enligt AMS</w:t>
      </w:r>
      <w:r w:rsidRPr="00392EFF">
        <w:rPr>
          <w:rStyle w:val="Fotnotsreferens"/>
        </w:rPr>
        <w:footnoteReference w:id="2"/>
      </w:r>
      <w:r w:rsidRPr="00392EFF">
        <w:t xml:space="preserve"> än så länge inte visat några tecken på en mer livskraftig uppgång. I dagarna har i stället den amerikanska centralbanken, Federal Reserve, än en gång kraftigt sänkt den amerikanska styrräntan från en redan låg nivå. Den fortsatta nedgången i den för Sverige så viktiga telekomindustrin och en begynnande nedgång i byggsektorn utgör andra oroande exempel. Därtill har varnande röster höjts mot att de senaste årens löneökningstakt kan leda till att de sven</w:t>
      </w:r>
      <w:r w:rsidRPr="00392EFF">
        <w:t>s</w:t>
      </w:r>
      <w:r w:rsidRPr="00392EFF">
        <w:t>ka arbetskostnaderna skenar iväg med förhöjd arbetslö</w:t>
      </w:r>
      <w:r w:rsidRPr="00392EFF">
        <w:t>s</w:t>
      </w:r>
      <w:r w:rsidRPr="00392EFF">
        <w:t>h</w:t>
      </w:r>
      <w:r w:rsidRPr="00392EFF">
        <w:t>et som följd.</w:t>
      </w:r>
    </w:p>
    <w:p w:rsidR="00FB62DB" w:rsidRPr="00392EFF" w:rsidRDefault="00FB62DB">
      <w:pPr>
        <w:pStyle w:val="Normaltindrag"/>
        <w:rPr>
          <w:i/>
        </w:rPr>
      </w:pPr>
      <w:r w:rsidRPr="00392EFF">
        <w:t>Trots att arbetsmarknadsläget beskrivs som stabilt är arbetslösheten fö</w:t>
      </w:r>
      <w:r w:rsidRPr="00392EFF">
        <w:t>r</w:t>
      </w:r>
      <w:r w:rsidRPr="00392EFF">
        <w:t>hållandevis hög. Särskilt anmärkningsvärt är att den öppna arbetslösheten bland ungdomar, enligt AMS statistik för oktober, är oförändrat hög jämfört med för ett år sedan. Sammanlagt 51 500 unga var i oktober arbetslösa eller deltagare i ett arbetsmarknadsprogram; en oroväckande hög siffra som mo</w:t>
      </w:r>
      <w:r w:rsidRPr="00392EFF">
        <w:t>t</w:t>
      </w:r>
      <w:r w:rsidRPr="00392EFF">
        <w:t>svarar i storleksordningen en halv årskull. Antalet varsel för oktober månad uppgick till 7 900; den näst högsta oktobersiffran sedan år 1993. Höga va</w:t>
      </w:r>
      <w:r w:rsidRPr="00392EFF">
        <w:t>r</w:t>
      </w:r>
      <w:r w:rsidRPr="00392EFF">
        <w:t>seltal innebär visserligen inte automatiskt att arbetslösheten</w:t>
      </w:r>
      <w:r w:rsidRPr="00392EFF">
        <w:t xml:space="preserve"> kommer att öka, men risken för en minskning av sysselsättningen är betyda</w:t>
      </w:r>
      <w:r w:rsidRPr="00392EFF">
        <w:t>n</w:t>
      </w:r>
      <w:r w:rsidRPr="00392EFF">
        <w:t>de.</w:t>
      </w:r>
    </w:p>
    <w:p w:rsidR="00FB62DB" w:rsidRPr="00392EFF" w:rsidRDefault="00FB62DB">
      <w:pPr>
        <w:pStyle w:val="Normaltindrag"/>
      </w:pPr>
      <w:r w:rsidRPr="00392EFF">
        <w:t xml:space="preserve"> Den dystra bilden av arbetsmarknaden förstärks av det faktum att 70 % av den sysselsättningsuppgång som skett mellan 1997 och 2001 är ersättning</w:t>
      </w:r>
      <w:r w:rsidRPr="00392EFF">
        <w:t>s</w:t>
      </w:r>
      <w:r w:rsidRPr="00392EFF">
        <w:t>jobb för de sjuk</w:t>
      </w:r>
      <w:r w:rsidRPr="00392EFF">
        <w:softHyphen/>
        <w:t>skrivna och förtidspensionerade. En vanlig vardag är det sammanlagt uppemot 1,4 miljo</w:t>
      </w:r>
      <w:r w:rsidRPr="00392EFF">
        <w:softHyphen/>
        <w:t>ner svenskar i arbetsför ålder som inte arbetar eller arbetar mindre än de önskar. De är antingen arbetslösa, i arbetsmar</w:t>
      </w:r>
      <w:r w:rsidRPr="00392EFF">
        <w:t>k</w:t>
      </w:r>
      <w:r w:rsidRPr="00392EFF">
        <w:t>nadsåtgärder, latent arbetssökande, långtidssjukskrivna, förtidspensionerade eller undersysselsatta. Det innebär att var fjärde vuxen människa i arbetsför ålder inte arbetar.</w:t>
      </w:r>
    </w:p>
    <w:p w:rsidR="00FB62DB" w:rsidRPr="00392EFF" w:rsidRDefault="00FB62DB">
      <w:pPr>
        <w:pStyle w:val="Normaltindrag"/>
      </w:pPr>
      <w:r w:rsidRPr="00392EFF">
        <w:t>Om nuvarande utveckling fortsätter kommer snart fler vara sjukskrivna mer än ett år än vad det finns personer i</w:t>
      </w:r>
      <w:r w:rsidRPr="00392EFF">
        <w:t xml:space="preserve"> öppen arbetslöshet. Dessa sjukskri</w:t>
      </w:r>
      <w:r w:rsidRPr="00392EFF">
        <w:t>v</w:t>
      </w:r>
      <w:r w:rsidRPr="00392EFF">
        <w:t>ningar har ökat med över 21 % sedan januari 2001. Av de långtidssjukskrivna i januari 2002 var 65 % kvinnor och 35 % män. Läget bland de anställda är allra värst inom den offentliga sektorn.</w:t>
      </w:r>
    </w:p>
    <w:p w:rsidR="00FB62DB" w:rsidRPr="00392EFF" w:rsidRDefault="00FB62DB">
      <w:pPr>
        <w:pStyle w:val="Normaltindrag"/>
      </w:pPr>
      <w:r w:rsidRPr="00392EFF">
        <w:t>Antalet personer som är sjukskrivna uppgår en vanlig vardag till ungefär 400 000, varav ungefär 278 000 människor som är sjukskrivna en längre period än 14 dagar. Dessutom är 454 000 personer förtidspensionerade, helt eller delvis. Många av dessa har blivit förtidspensionerade av arbe</w:t>
      </w:r>
      <w:r w:rsidRPr="00392EFF">
        <w:t>tsmar</w:t>
      </w:r>
      <w:r w:rsidRPr="00392EFF">
        <w:t>k</w:t>
      </w:r>
      <w:r w:rsidRPr="00392EFF">
        <w:t>nadspolitiska skäl, enligt bland annat LO. Detta medför att de senaste fyra åren under högkonjunkturen har den verkliga sysselsättningen ökat med 0,5 procentenheter.</w:t>
      </w:r>
    </w:p>
    <w:p w:rsidR="00FB62DB" w:rsidRPr="00392EFF" w:rsidRDefault="00FB62DB">
      <w:pPr>
        <w:pStyle w:val="Normaltindrag"/>
      </w:pPr>
      <w:r w:rsidRPr="00392EFF">
        <w:br w:type="page"/>
      </w:r>
    </w:p>
    <w:p w:rsidR="00FB62DB" w:rsidRPr="00392EFF" w:rsidRDefault="00FB62DB">
      <w:pPr>
        <w:pStyle w:val="Normaltindrag"/>
        <w:rPr>
          <w:i/>
          <w:sz w:val="18"/>
        </w:rPr>
      </w:pPr>
      <w:r w:rsidRPr="00392EFF">
        <w:rPr>
          <w:sz w:val="18"/>
        </w:rPr>
        <w:t xml:space="preserve"> </w:t>
      </w:r>
      <w:r w:rsidRPr="00392EFF">
        <w:rPr>
          <w:i/>
          <w:sz w:val="18"/>
        </w:rPr>
        <w:t>Tabell 1. Befolkning, arbetskraft, officiell sysselsättning samt människor i r</w:t>
      </w:r>
      <w:r w:rsidRPr="00392EFF">
        <w:rPr>
          <w:i/>
          <w:sz w:val="18"/>
        </w:rPr>
        <w:t>e</w:t>
      </w:r>
      <w:r w:rsidRPr="00392EFF">
        <w:rPr>
          <w:i/>
          <w:sz w:val="18"/>
        </w:rPr>
        <w:t>guljärt arbete 1997 och 2001, åldersgru</w:t>
      </w:r>
      <w:r w:rsidRPr="00392EFF">
        <w:rPr>
          <w:i/>
          <w:sz w:val="18"/>
        </w:rPr>
        <w:t>p</w:t>
      </w:r>
      <w:r w:rsidRPr="00392EFF">
        <w:rPr>
          <w:i/>
          <w:sz w:val="18"/>
        </w:rPr>
        <w:t>pen 20-64 år.</w:t>
      </w:r>
    </w:p>
    <w:p w:rsidR="00FB62DB" w:rsidRPr="00392EFF" w:rsidRDefault="00FB62DB"/>
    <w:tbl>
      <w:tblPr>
        <w:tblW w:w="0" w:type="auto"/>
        <w:tblInd w:w="-30" w:type="dxa"/>
        <w:tblLayout w:type="fixed"/>
        <w:tblCellMar>
          <w:left w:w="30" w:type="dxa"/>
          <w:right w:w="30" w:type="dxa"/>
        </w:tblCellMar>
        <w:tblLook w:val="0000" w:firstRow="0" w:lastRow="0" w:firstColumn="0" w:lastColumn="0" w:noHBand="0" w:noVBand="0"/>
      </w:tblPr>
      <w:tblGrid>
        <w:gridCol w:w="1731"/>
        <w:gridCol w:w="993"/>
        <w:gridCol w:w="708"/>
        <w:gridCol w:w="851"/>
        <w:gridCol w:w="567"/>
        <w:gridCol w:w="850"/>
        <w:gridCol w:w="709"/>
      </w:tblGrid>
      <w:tr w:rsidR="00000000" w:rsidRPr="00392EFF">
        <w:tblPrEx>
          <w:tblCellMar>
            <w:top w:w="0" w:type="dxa"/>
            <w:bottom w:w="0" w:type="dxa"/>
          </w:tblCellMar>
        </w:tblPrEx>
        <w:trPr>
          <w:cantSplit/>
          <w:trHeight w:val="718"/>
        </w:trPr>
        <w:tc>
          <w:tcPr>
            <w:tcW w:w="1731" w:type="dxa"/>
            <w:tcBorders>
              <w:bottom w:val="single" w:sz="12" w:space="0" w:color="auto"/>
            </w:tcBorders>
            <w:vAlign w:val="bottom"/>
          </w:tcPr>
          <w:p w:rsidR="00FB62DB" w:rsidRPr="00392EFF" w:rsidRDefault="00FB62DB">
            <w:pPr>
              <w:spacing w:before="0" w:line="240" w:lineRule="auto"/>
              <w:rPr>
                <w:color w:val="000000"/>
                <w:sz w:val="16"/>
              </w:rPr>
            </w:pPr>
          </w:p>
        </w:tc>
        <w:tc>
          <w:tcPr>
            <w:tcW w:w="993" w:type="dxa"/>
            <w:tcBorders>
              <w:bottom w:val="single" w:sz="12" w:space="0" w:color="auto"/>
            </w:tcBorders>
            <w:vAlign w:val="bottom"/>
          </w:tcPr>
          <w:p w:rsidR="00FB62DB" w:rsidRPr="00392EFF" w:rsidRDefault="00FB62DB">
            <w:pPr>
              <w:spacing w:before="0"/>
              <w:rPr>
                <w:color w:val="000000"/>
                <w:sz w:val="16"/>
              </w:rPr>
            </w:pPr>
          </w:p>
          <w:p w:rsidR="00FB62DB" w:rsidRPr="00392EFF" w:rsidRDefault="00FB62DB">
            <w:pPr>
              <w:spacing w:before="0"/>
              <w:rPr>
                <w:color w:val="000000"/>
                <w:sz w:val="16"/>
                <w:highlight w:val="blue"/>
              </w:rPr>
            </w:pPr>
            <w:r w:rsidRPr="00392EFF">
              <w:rPr>
                <w:color w:val="000000"/>
                <w:sz w:val="16"/>
              </w:rPr>
              <w:t>1997</w:t>
            </w:r>
          </w:p>
          <w:p w:rsidR="00FB62DB" w:rsidRPr="00392EFF" w:rsidRDefault="00FB62DB">
            <w:pPr>
              <w:spacing w:before="0"/>
              <w:rPr>
                <w:color w:val="000000"/>
                <w:sz w:val="16"/>
                <w:highlight w:val="blue"/>
              </w:rPr>
            </w:pPr>
            <w:r w:rsidRPr="00392EFF">
              <w:rPr>
                <w:color w:val="000000"/>
                <w:sz w:val="16"/>
              </w:rPr>
              <w:t>Antal</w:t>
            </w:r>
          </w:p>
        </w:tc>
        <w:tc>
          <w:tcPr>
            <w:tcW w:w="708" w:type="dxa"/>
            <w:tcBorders>
              <w:bottom w:val="single" w:sz="12" w:space="0" w:color="auto"/>
            </w:tcBorders>
            <w:vAlign w:val="bottom"/>
          </w:tcPr>
          <w:p w:rsidR="00FB62DB" w:rsidRPr="00392EFF" w:rsidRDefault="00FB62DB">
            <w:pPr>
              <w:spacing w:before="0"/>
              <w:rPr>
                <w:color w:val="000000"/>
                <w:sz w:val="16"/>
                <w:highlight w:val="blue"/>
              </w:rPr>
            </w:pPr>
            <w:r w:rsidRPr="00392EFF">
              <w:rPr>
                <w:color w:val="000000"/>
                <w:sz w:val="16"/>
              </w:rPr>
              <w:t>Andel</w:t>
            </w:r>
            <w:r w:rsidRPr="00392EFF">
              <w:rPr>
                <w:color w:val="000000"/>
                <w:sz w:val="16"/>
                <w:vertAlign w:val="superscript"/>
              </w:rPr>
              <w:t>1</w:t>
            </w:r>
          </w:p>
        </w:tc>
        <w:tc>
          <w:tcPr>
            <w:tcW w:w="851" w:type="dxa"/>
            <w:tcBorders>
              <w:bottom w:val="single" w:sz="12" w:space="0" w:color="auto"/>
            </w:tcBorders>
            <w:vAlign w:val="bottom"/>
          </w:tcPr>
          <w:p w:rsidR="00FB62DB" w:rsidRPr="00392EFF" w:rsidRDefault="00FB62DB">
            <w:pPr>
              <w:spacing w:before="0"/>
              <w:rPr>
                <w:color w:val="000000"/>
                <w:sz w:val="16"/>
              </w:rPr>
            </w:pPr>
          </w:p>
          <w:p w:rsidR="00FB62DB" w:rsidRPr="00392EFF" w:rsidRDefault="00FB62DB">
            <w:pPr>
              <w:spacing w:before="0"/>
              <w:rPr>
                <w:color w:val="000000"/>
                <w:sz w:val="16"/>
                <w:highlight w:val="blue"/>
              </w:rPr>
            </w:pPr>
            <w:r w:rsidRPr="00392EFF">
              <w:rPr>
                <w:color w:val="000000"/>
                <w:sz w:val="16"/>
              </w:rPr>
              <w:t>2001</w:t>
            </w:r>
          </w:p>
          <w:p w:rsidR="00FB62DB" w:rsidRPr="00392EFF" w:rsidRDefault="00FB62DB">
            <w:pPr>
              <w:spacing w:before="0"/>
              <w:rPr>
                <w:color w:val="000000"/>
                <w:sz w:val="16"/>
                <w:highlight w:val="blue"/>
              </w:rPr>
            </w:pPr>
            <w:r w:rsidRPr="00392EFF">
              <w:rPr>
                <w:color w:val="000000"/>
                <w:sz w:val="16"/>
              </w:rPr>
              <w:t>Antal</w:t>
            </w:r>
          </w:p>
        </w:tc>
        <w:tc>
          <w:tcPr>
            <w:tcW w:w="567" w:type="dxa"/>
            <w:tcBorders>
              <w:bottom w:val="single" w:sz="12" w:space="0" w:color="auto"/>
            </w:tcBorders>
            <w:vAlign w:val="bottom"/>
          </w:tcPr>
          <w:p w:rsidR="00FB62DB" w:rsidRPr="00392EFF" w:rsidRDefault="00FB62DB">
            <w:pPr>
              <w:spacing w:before="0"/>
              <w:rPr>
                <w:color w:val="000000"/>
                <w:sz w:val="16"/>
                <w:highlight w:val="blue"/>
              </w:rPr>
            </w:pPr>
            <w:r w:rsidRPr="00392EFF">
              <w:rPr>
                <w:color w:val="000000"/>
                <w:sz w:val="16"/>
              </w:rPr>
              <w:t>A</w:t>
            </w:r>
            <w:r w:rsidRPr="00392EFF">
              <w:rPr>
                <w:color w:val="000000"/>
                <w:sz w:val="16"/>
              </w:rPr>
              <w:t>n</w:t>
            </w:r>
            <w:r w:rsidRPr="00392EFF">
              <w:rPr>
                <w:color w:val="000000"/>
                <w:sz w:val="16"/>
              </w:rPr>
              <w:t>del</w:t>
            </w:r>
            <w:r w:rsidRPr="00392EFF">
              <w:rPr>
                <w:color w:val="000000"/>
                <w:sz w:val="16"/>
                <w:vertAlign w:val="superscript"/>
              </w:rPr>
              <w:t>1</w:t>
            </w:r>
          </w:p>
        </w:tc>
        <w:tc>
          <w:tcPr>
            <w:tcW w:w="850" w:type="dxa"/>
            <w:tcBorders>
              <w:bottom w:val="single" w:sz="12" w:space="0" w:color="auto"/>
            </w:tcBorders>
            <w:vAlign w:val="bottom"/>
          </w:tcPr>
          <w:p w:rsidR="00FB62DB" w:rsidRPr="00392EFF" w:rsidRDefault="00FB62DB">
            <w:pPr>
              <w:spacing w:before="0"/>
              <w:rPr>
                <w:color w:val="000000"/>
                <w:sz w:val="16"/>
              </w:rPr>
            </w:pPr>
            <w:r w:rsidRPr="00392EFF">
              <w:rPr>
                <w:color w:val="000000"/>
                <w:sz w:val="16"/>
              </w:rPr>
              <w:t>Förän</w:t>
            </w:r>
            <w:r w:rsidRPr="00392EFF">
              <w:rPr>
                <w:color w:val="000000"/>
                <w:sz w:val="16"/>
              </w:rPr>
              <w:t>d</w:t>
            </w:r>
            <w:r w:rsidRPr="00392EFF">
              <w:rPr>
                <w:color w:val="000000"/>
                <w:sz w:val="16"/>
              </w:rPr>
              <w:t>ring</w:t>
            </w:r>
          </w:p>
          <w:p w:rsidR="00FB62DB" w:rsidRPr="00392EFF" w:rsidRDefault="00FB62DB">
            <w:pPr>
              <w:spacing w:before="0"/>
              <w:rPr>
                <w:color w:val="000000"/>
                <w:sz w:val="16"/>
                <w:highlight w:val="blue"/>
              </w:rPr>
            </w:pPr>
            <w:r w:rsidRPr="00392EFF">
              <w:rPr>
                <w:color w:val="000000"/>
                <w:sz w:val="16"/>
              </w:rPr>
              <w:t>1997-2001</w:t>
            </w:r>
          </w:p>
          <w:p w:rsidR="00FB62DB" w:rsidRPr="00392EFF" w:rsidRDefault="00FB62DB">
            <w:pPr>
              <w:spacing w:before="0"/>
              <w:rPr>
                <w:color w:val="000000"/>
                <w:sz w:val="16"/>
                <w:highlight w:val="blue"/>
              </w:rPr>
            </w:pPr>
            <w:r w:rsidRPr="00392EFF">
              <w:rPr>
                <w:color w:val="000000"/>
                <w:sz w:val="16"/>
              </w:rPr>
              <w:t>Antal</w:t>
            </w:r>
          </w:p>
        </w:tc>
        <w:tc>
          <w:tcPr>
            <w:tcW w:w="709" w:type="dxa"/>
            <w:tcBorders>
              <w:bottom w:val="single" w:sz="12" w:space="0" w:color="auto"/>
            </w:tcBorders>
            <w:vAlign w:val="bottom"/>
          </w:tcPr>
          <w:p w:rsidR="00FB62DB" w:rsidRPr="00392EFF" w:rsidRDefault="00FB62DB">
            <w:pPr>
              <w:spacing w:before="0"/>
              <w:rPr>
                <w:color w:val="000000"/>
                <w:sz w:val="16"/>
              </w:rPr>
            </w:pPr>
          </w:p>
          <w:p w:rsidR="00FB62DB" w:rsidRPr="00392EFF" w:rsidRDefault="00FB62DB">
            <w:pPr>
              <w:spacing w:before="0"/>
              <w:rPr>
                <w:color w:val="000000"/>
                <w:sz w:val="16"/>
              </w:rPr>
            </w:pPr>
            <w:r w:rsidRPr="00392EFF">
              <w:rPr>
                <w:color w:val="000000"/>
                <w:sz w:val="16"/>
              </w:rPr>
              <w:t>Procent-</w:t>
            </w:r>
          </w:p>
          <w:p w:rsidR="00FB62DB" w:rsidRPr="00392EFF" w:rsidRDefault="00FB62DB">
            <w:pPr>
              <w:spacing w:before="0"/>
              <w:rPr>
                <w:color w:val="000000"/>
                <w:sz w:val="16"/>
              </w:rPr>
            </w:pPr>
            <w:r w:rsidRPr="00392EFF">
              <w:rPr>
                <w:color w:val="000000"/>
                <w:sz w:val="16"/>
              </w:rPr>
              <w:t>enheter</w:t>
            </w:r>
            <w:r w:rsidRPr="00392EFF">
              <w:rPr>
                <w:color w:val="000000"/>
                <w:sz w:val="16"/>
                <w:vertAlign w:val="superscript"/>
              </w:rPr>
              <w:t>1</w:t>
            </w:r>
          </w:p>
        </w:tc>
      </w:tr>
      <w:tr w:rsidR="00000000" w:rsidRPr="00392EFF">
        <w:tblPrEx>
          <w:tblCellMar>
            <w:top w:w="0" w:type="dxa"/>
            <w:bottom w:w="0" w:type="dxa"/>
          </w:tblCellMar>
        </w:tblPrEx>
        <w:trPr>
          <w:trHeight w:val="254"/>
        </w:trPr>
        <w:tc>
          <w:tcPr>
            <w:tcW w:w="1731" w:type="dxa"/>
            <w:tcBorders>
              <w:top w:val="single" w:sz="12" w:space="0" w:color="auto"/>
              <w:bottom w:val="single" w:sz="4" w:space="0" w:color="auto"/>
            </w:tcBorders>
          </w:tcPr>
          <w:p w:rsidR="00FB62DB" w:rsidRPr="00392EFF" w:rsidRDefault="00FB62DB">
            <w:pPr>
              <w:spacing w:before="0"/>
              <w:jc w:val="left"/>
              <w:rPr>
                <w:sz w:val="16"/>
              </w:rPr>
            </w:pPr>
            <w:r w:rsidRPr="00392EFF">
              <w:rPr>
                <w:sz w:val="16"/>
              </w:rPr>
              <w:t>Befolkningen 20-64 år</w:t>
            </w:r>
          </w:p>
        </w:tc>
        <w:tc>
          <w:tcPr>
            <w:tcW w:w="993" w:type="dxa"/>
            <w:tcBorders>
              <w:top w:val="single" w:sz="12" w:space="0" w:color="auto"/>
              <w:bottom w:val="single" w:sz="4" w:space="0" w:color="auto"/>
            </w:tcBorders>
          </w:tcPr>
          <w:p w:rsidR="00FB62DB" w:rsidRPr="00392EFF" w:rsidRDefault="00FB62DB">
            <w:pPr>
              <w:spacing w:before="0"/>
              <w:rPr>
                <w:sz w:val="16"/>
              </w:rPr>
            </w:pPr>
            <w:r w:rsidRPr="00392EFF">
              <w:rPr>
                <w:sz w:val="16"/>
              </w:rPr>
              <w:t>5 145 700</w:t>
            </w:r>
          </w:p>
        </w:tc>
        <w:tc>
          <w:tcPr>
            <w:tcW w:w="708" w:type="dxa"/>
            <w:tcBorders>
              <w:top w:val="single" w:sz="12" w:space="0" w:color="auto"/>
              <w:bottom w:val="single" w:sz="4" w:space="0" w:color="auto"/>
            </w:tcBorders>
          </w:tcPr>
          <w:p w:rsidR="00FB62DB" w:rsidRPr="00392EFF" w:rsidRDefault="00FB62DB">
            <w:pPr>
              <w:spacing w:before="0"/>
              <w:rPr>
                <w:sz w:val="16"/>
              </w:rPr>
            </w:pPr>
          </w:p>
        </w:tc>
        <w:tc>
          <w:tcPr>
            <w:tcW w:w="851" w:type="dxa"/>
            <w:tcBorders>
              <w:top w:val="single" w:sz="12" w:space="0" w:color="auto"/>
              <w:bottom w:val="single" w:sz="4" w:space="0" w:color="auto"/>
            </w:tcBorders>
          </w:tcPr>
          <w:p w:rsidR="00FB62DB" w:rsidRPr="00392EFF" w:rsidRDefault="00FB62DB">
            <w:pPr>
              <w:spacing w:before="0"/>
              <w:rPr>
                <w:sz w:val="16"/>
              </w:rPr>
            </w:pPr>
            <w:r w:rsidRPr="00392EFF">
              <w:rPr>
                <w:sz w:val="16"/>
              </w:rPr>
              <w:t>5 225 000</w:t>
            </w:r>
          </w:p>
        </w:tc>
        <w:tc>
          <w:tcPr>
            <w:tcW w:w="567" w:type="dxa"/>
            <w:tcBorders>
              <w:top w:val="single" w:sz="12" w:space="0" w:color="auto"/>
              <w:bottom w:val="single" w:sz="4" w:space="0" w:color="auto"/>
            </w:tcBorders>
          </w:tcPr>
          <w:p w:rsidR="00FB62DB" w:rsidRPr="00392EFF" w:rsidRDefault="00FB62DB">
            <w:pPr>
              <w:spacing w:before="0"/>
              <w:rPr>
                <w:sz w:val="16"/>
              </w:rPr>
            </w:pPr>
          </w:p>
        </w:tc>
        <w:tc>
          <w:tcPr>
            <w:tcW w:w="850" w:type="dxa"/>
            <w:tcBorders>
              <w:top w:val="single" w:sz="12" w:space="0" w:color="auto"/>
              <w:bottom w:val="single" w:sz="4" w:space="0" w:color="auto"/>
            </w:tcBorders>
          </w:tcPr>
          <w:p w:rsidR="00FB62DB" w:rsidRPr="00392EFF" w:rsidRDefault="00FB62DB">
            <w:pPr>
              <w:spacing w:before="0"/>
              <w:rPr>
                <w:sz w:val="16"/>
              </w:rPr>
            </w:pPr>
            <w:r w:rsidRPr="00392EFF">
              <w:rPr>
                <w:sz w:val="16"/>
              </w:rPr>
              <w:t>79 300</w:t>
            </w:r>
          </w:p>
        </w:tc>
        <w:tc>
          <w:tcPr>
            <w:tcW w:w="709" w:type="dxa"/>
            <w:tcBorders>
              <w:top w:val="single" w:sz="12" w:space="0" w:color="auto"/>
              <w:bottom w:val="single" w:sz="4" w:space="0" w:color="auto"/>
            </w:tcBorders>
          </w:tcPr>
          <w:p w:rsidR="00FB62DB" w:rsidRPr="00392EFF" w:rsidRDefault="00FB62DB">
            <w:pPr>
              <w:spacing w:before="0"/>
              <w:rPr>
                <w:sz w:val="16"/>
              </w:rPr>
            </w:pPr>
          </w:p>
        </w:tc>
      </w:tr>
      <w:tr w:rsidR="00000000" w:rsidRPr="00392EFF">
        <w:tblPrEx>
          <w:tblCellMar>
            <w:top w:w="0" w:type="dxa"/>
            <w:bottom w:w="0" w:type="dxa"/>
          </w:tblCellMar>
        </w:tblPrEx>
        <w:trPr>
          <w:trHeight w:val="254"/>
        </w:trPr>
        <w:tc>
          <w:tcPr>
            <w:tcW w:w="1731" w:type="dxa"/>
            <w:tcBorders>
              <w:top w:val="single" w:sz="4" w:space="0" w:color="auto"/>
              <w:bottom w:val="single" w:sz="4" w:space="0" w:color="auto"/>
            </w:tcBorders>
          </w:tcPr>
          <w:p w:rsidR="00FB62DB" w:rsidRPr="00392EFF" w:rsidRDefault="00FB62DB">
            <w:pPr>
              <w:spacing w:before="0"/>
              <w:jc w:val="left"/>
              <w:rPr>
                <w:sz w:val="16"/>
              </w:rPr>
            </w:pPr>
            <w:r w:rsidRPr="00392EFF">
              <w:rPr>
                <w:sz w:val="16"/>
              </w:rPr>
              <w:t>Ej i arbetskraften</w:t>
            </w:r>
          </w:p>
        </w:tc>
        <w:tc>
          <w:tcPr>
            <w:tcW w:w="993" w:type="dxa"/>
            <w:tcBorders>
              <w:top w:val="single" w:sz="4" w:space="0" w:color="auto"/>
              <w:bottom w:val="single" w:sz="4" w:space="0" w:color="auto"/>
            </w:tcBorders>
          </w:tcPr>
          <w:p w:rsidR="00FB62DB" w:rsidRPr="00392EFF" w:rsidRDefault="00FB62DB">
            <w:pPr>
              <w:spacing w:before="0"/>
              <w:rPr>
                <w:sz w:val="16"/>
              </w:rPr>
            </w:pPr>
            <w:r w:rsidRPr="00392EFF">
              <w:rPr>
                <w:sz w:val="16"/>
              </w:rPr>
              <w:t>981 100</w:t>
            </w:r>
          </w:p>
        </w:tc>
        <w:tc>
          <w:tcPr>
            <w:tcW w:w="708" w:type="dxa"/>
            <w:tcBorders>
              <w:top w:val="single" w:sz="4" w:space="0" w:color="auto"/>
              <w:bottom w:val="single" w:sz="4" w:space="0" w:color="auto"/>
            </w:tcBorders>
          </w:tcPr>
          <w:p w:rsidR="00FB62DB" w:rsidRPr="00392EFF" w:rsidRDefault="00FB62DB">
            <w:pPr>
              <w:spacing w:before="0"/>
              <w:rPr>
                <w:sz w:val="16"/>
              </w:rPr>
            </w:pPr>
            <w:r w:rsidRPr="00392EFF">
              <w:rPr>
                <w:sz w:val="16"/>
              </w:rPr>
              <w:t>19,1%</w:t>
            </w:r>
          </w:p>
        </w:tc>
        <w:tc>
          <w:tcPr>
            <w:tcW w:w="851" w:type="dxa"/>
            <w:tcBorders>
              <w:top w:val="single" w:sz="4" w:space="0" w:color="auto"/>
              <w:bottom w:val="single" w:sz="4" w:space="0" w:color="auto"/>
            </w:tcBorders>
          </w:tcPr>
          <w:p w:rsidR="00FB62DB" w:rsidRPr="00392EFF" w:rsidRDefault="00FB62DB">
            <w:pPr>
              <w:spacing w:before="0"/>
              <w:rPr>
                <w:sz w:val="16"/>
              </w:rPr>
            </w:pPr>
            <w:r w:rsidRPr="00392EFF">
              <w:rPr>
                <w:sz w:val="16"/>
              </w:rPr>
              <w:t>957 250</w:t>
            </w:r>
          </w:p>
        </w:tc>
        <w:tc>
          <w:tcPr>
            <w:tcW w:w="567" w:type="dxa"/>
            <w:tcBorders>
              <w:top w:val="single" w:sz="4" w:space="0" w:color="auto"/>
              <w:bottom w:val="single" w:sz="4" w:space="0" w:color="auto"/>
            </w:tcBorders>
          </w:tcPr>
          <w:p w:rsidR="00FB62DB" w:rsidRPr="00392EFF" w:rsidRDefault="00FB62DB">
            <w:pPr>
              <w:spacing w:before="0"/>
              <w:rPr>
                <w:sz w:val="16"/>
              </w:rPr>
            </w:pPr>
            <w:r w:rsidRPr="00392EFF">
              <w:rPr>
                <w:sz w:val="16"/>
              </w:rPr>
              <w:t>18,3%</w:t>
            </w:r>
          </w:p>
        </w:tc>
        <w:tc>
          <w:tcPr>
            <w:tcW w:w="850" w:type="dxa"/>
            <w:tcBorders>
              <w:top w:val="single" w:sz="4" w:space="0" w:color="auto"/>
              <w:bottom w:val="single" w:sz="4" w:space="0" w:color="auto"/>
            </w:tcBorders>
          </w:tcPr>
          <w:p w:rsidR="00FB62DB" w:rsidRPr="00392EFF" w:rsidRDefault="00FB62DB">
            <w:pPr>
              <w:spacing w:before="0"/>
              <w:rPr>
                <w:sz w:val="16"/>
              </w:rPr>
            </w:pPr>
            <w:r w:rsidRPr="00392EFF">
              <w:rPr>
                <w:sz w:val="16"/>
              </w:rPr>
              <w:t>-23 850</w:t>
            </w:r>
          </w:p>
        </w:tc>
        <w:tc>
          <w:tcPr>
            <w:tcW w:w="709" w:type="dxa"/>
            <w:tcBorders>
              <w:top w:val="single" w:sz="4" w:space="0" w:color="auto"/>
              <w:bottom w:val="single" w:sz="4" w:space="0" w:color="auto"/>
            </w:tcBorders>
          </w:tcPr>
          <w:p w:rsidR="00FB62DB" w:rsidRPr="00392EFF" w:rsidRDefault="00FB62DB">
            <w:pPr>
              <w:spacing w:before="0"/>
              <w:rPr>
                <w:sz w:val="16"/>
              </w:rPr>
            </w:pPr>
            <w:r w:rsidRPr="00392EFF">
              <w:rPr>
                <w:sz w:val="16"/>
              </w:rPr>
              <w:t>-0,7</w:t>
            </w:r>
          </w:p>
        </w:tc>
      </w:tr>
      <w:tr w:rsidR="00000000" w:rsidRPr="00392EFF">
        <w:tblPrEx>
          <w:tblCellMar>
            <w:top w:w="0" w:type="dxa"/>
            <w:bottom w:w="0" w:type="dxa"/>
          </w:tblCellMar>
        </w:tblPrEx>
        <w:trPr>
          <w:trHeight w:val="254"/>
        </w:trPr>
        <w:tc>
          <w:tcPr>
            <w:tcW w:w="1731" w:type="dxa"/>
            <w:tcBorders>
              <w:top w:val="single" w:sz="4" w:space="0" w:color="auto"/>
              <w:bottom w:val="single" w:sz="4" w:space="0" w:color="auto"/>
            </w:tcBorders>
          </w:tcPr>
          <w:p w:rsidR="00FB62DB" w:rsidRPr="00392EFF" w:rsidRDefault="00FB62DB">
            <w:pPr>
              <w:spacing w:before="0"/>
              <w:jc w:val="left"/>
              <w:rPr>
                <w:sz w:val="16"/>
              </w:rPr>
            </w:pPr>
            <w:r w:rsidRPr="00392EFF">
              <w:rPr>
                <w:sz w:val="16"/>
              </w:rPr>
              <w:t>varav förtidspensionerade (heltid)</w:t>
            </w:r>
          </w:p>
        </w:tc>
        <w:tc>
          <w:tcPr>
            <w:tcW w:w="993" w:type="dxa"/>
            <w:tcBorders>
              <w:top w:val="single" w:sz="4" w:space="0" w:color="auto"/>
              <w:bottom w:val="single" w:sz="4" w:space="0" w:color="auto"/>
            </w:tcBorders>
          </w:tcPr>
          <w:p w:rsidR="00FB62DB" w:rsidRPr="00392EFF" w:rsidRDefault="00FB62DB">
            <w:pPr>
              <w:spacing w:before="0"/>
              <w:rPr>
                <w:sz w:val="16"/>
              </w:rPr>
            </w:pPr>
            <w:r w:rsidRPr="00392EFF">
              <w:rPr>
                <w:sz w:val="16"/>
              </w:rPr>
              <w:t>363 000</w:t>
            </w:r>
          </w:p>
        </w:tc>
        <w:tc>
          <w:tcPr>
            <w:tcW w:w="708" w:type="dxa"/>
            <w:tcBorders>
              <w:top w:val="single" w:sz="4" w:space="0" w:color="auto"/>
              <w:bottom w:val="single" w:sz="4" w:space="0" w:color="auto"/>
            </w:tcBorders>
          </w:tcPr>
          <w:p w:rsidR="00FB62DB" w:rsidRPr="00392EFF" w:rsidRDefault="00FB62DB">
            <w:pPr>
              <w:spacing w:before="0"/>
              <w:rPr>
                <w:sz w:val="16"/>
              </w:rPr>
            </w:pPr>
            <w:r w:rsidRPr="00392EFF">
              <w:rPr>
                <w:sz w:val="16"/>
              </w:rPr>
              <w:t>7,1%</w:t>
            </w:r>
          </w:p>
        </w:tc>
        <w:tc>
          <w:tcPr>
            <w:tcW w:w="851" w:type="dxa"/>
            <w:tcBorders>
              <w:top w:val="single" w:sz="4" w:space="0" w:color="auto"/>
              <w:bottom w:val="single" w:sz="4" w:space="0" w:color="auto"/>
            </w:tcBorders>
          </w:tcPr>
          <w:p w:rsidR="00FB62DB" w:rsidRPr="00392EFF" w:rsidRDefault="00FB62DB">
            <w:pPr>
              <w:spacing w:before="0"/>
              <w:rPr>
                <w:sz w:val="16"/>
              </w:rPr>
            </w:pPr>
            <w:r w:rsidRPr="00392EFF">
              <w:rPr>
                <w:sz w:val="16"/>
              </w:rPr>
              <w:t>400 000</w:t>
            </w:r>
          </w:p>
        </w:tc>
        <w:tc>
          <w:tcPr>
            <w:tcW w:w="567" w:type="dxa"/>
            <w:tcBorders>
              <w:top w:val="single" w:sz="4" w:space="0" w:color="auto"/>
              <w:bottom w:val="single" w:sz="4" w:space="0" w:color="auto"/>
            </w:tcBorders>
          </w:tcPr>
          <w:p w:rsidR="00FB62DB" w:rsidRPr="00392EFF" w:rsidRDefault="00FB62DB">
            <w:pPr>
              <w:spacing w:before="0"/>
              <w:rPr>
                <w:sz w:val="16"/>
              </w:rPr>
            </w:pPr>
            <w:r w:rsidRPr="00392EFF">
              <w:rPr>
                <w:sz w:val="16"/>
              </w:rPr>
              <w:t>7,7%</w:t>
            </w:r>
          </w:p>
        </w:tc>
        <w:tc>
          <w:tcPr>
            <w:tcW w:w="850" w:type="dxa"/>
            <w:tcBorders>
              <w:top w:val="single" w:sz="4" w:space="0" w:color="auto"/>
              <w:bottom w:val="single" w:sz="4" w:space="0" w:color="auto"/>
            </w:tcBorders>
          </w:tcPr>
          <w:p w:rsidR="00FB62DB" w:rsidRPr="00392EFF" w:rsidRDefault="00FB62DB">
            <w:pPr>
              <w:spacing w:before="0"/>
              <w:rPr>
                <w:sz w:val="16"/>
              </w:rPr>
            </w:pPr>
            <w:r w:rsidRPr="00392EFF">
              <w:rPr>
                <w:sz w:val="16"/>
              </w:rPr>
              <w:t>37 000</w:t>
            </w:r>
          </w:p>
        </w:tc>
        <w:tc>
          <w:tcPr>
            <w:tcW w:w="709" w:type="dxa"/>
            <w:tcBorders>
              <w:top w:val="single" w:sz="4" w:space="0" w:color="auto"/>
              <w:bottom w:val="single" w:sz="4" w:space="0" w:color="auto"/>
            </w:tcBorders>
          </w:tcPr>
          <w:p w:rsidR="00FB62DB" w:rsidRPr="00392EFF" w:rsidRDefault="00FB62DB">
            <w:pPr>
              <w:spacing w:before="0"/>
              <w:rPr>
                <w:sz w:val="16"/>
              </w:rPr>
            </w:pPr>
            <w:r w:rsidRPr="00392EFF">
              <w:rPr>
                <w:sz w:val="16"/>
              </w:rPr>
              <w:t>+0,6</w:t>
            </w:r>
          </w:p>
        </w:tc>
      </w:tr>
      <w:tr w:rsidR="00000000" w:rsidRPr="00392EFF">
        <w:tblPrEx>
          <w:tblCellMar>
            <w:top w:w="0" w:type="dxa"/>
            <w:bottom w:w="0" w:type="dxa"/>
          </w:tblCellMar>
        </w:tblPrEx>
        <w:trPr>
          <w:trHeight w:val="254"/>
        </w:trPr>
        <w:tc>
          <w:tcPr>
            <w:tcW w:w="1731" w:type="dxa"/>
            <w:tcBorders>
              <w:top w:val="single" w:sz="4" w:space="0" w:color="auto"/>
              <w:bottom w:val="single" w:sz="4" w:space="0" w:color="auto"/>
            </w:tcBorders>
          </w:tcPr>
          <w:p w:rsidR="00FB62DB" w:rsidRPr="00392EFF" w:rsidRDefault="00FB62DB">
            <w:pPr>
              <w:spacing w:before="0"/>
              <w:jc w:val="left"/>
              <w:rPr>
                <w:sz w:val="16"/>
              </w:rPr>
            </w:pPr>
            <w:r w:rsidRPr="00392EFF">
              <w:rPr>
                <w:sz w:val="16"/>
              </w:rPr>
              <w:t>varav studerande</w:t>
            </w:r>
          </w:p>
        </w:tc>
        <w:tc>
          <w:tcPr>
            <w:tcW w:w="993" w:type="dxa"/>
            <w:tcBorders>
              <w:top w:val="single" w:sz="4" w:space="0" w:color="auto"/>
              <w:bottom w:val="single" w:sz="4" w:space="0" w:color="auto"/>
            </w:tcBorders>
          </w:tcPr>
          <w:p w:rsidR="00FB62DB" w:rsidRPr="00392EFF" w:rsidRDefault="00FB62DB">
            <w:pPr>
              <w:spacing w:before="0"/>
              <w:rPr>
                <w:sz w:val="16"/>
              </w:rPr>
            </w:pPr>
            <w:r w:rsidRPr="00392EFF">
              <w:rPr>
                <w:sz w:val="16"/>
              </w:rPr>
              <w:t>273 000</w:t>
            </w:r>
          </w:p>
        </w:tc>
        <w:tc>
          <w:tcPr>
            <w:tcW w:w="708" w:type="dxa"/>
            <w:tcBorders>
              <w:top w:val="single" w:sz="4" w:space="0" w:color="auto"/>
              <w:bottom w:val="single" w:sz="4" w:space="0" w:color="auto"/>
            </w:tcBorders>
          </w:tcPr>
          <w:p w:rsidR="00FB62DB" w:rsidRPr="00392EFF" w:rsidRDefault="00FB62DB">
            <w:pPr>
              <w:spacing w:before="0"/>
              <w:rPr>
                <w:sz w:val="16"/>
              </w:rPr>
            </w:pPr>
            <w:r w:rsidRPr="00392EFF">
              <w:rPr>
                <w:sz w:val="16"/>
              </w:rPr>
              <w:t>5,3%</w:t>
            </w:r>
          </w:p>
        </w:tc>
        <w:tc>
          <w:tcPr>
            <w:tcW w:w="851" w:type="dxa"/>
            <w:tcBorders>
              <w:top w:val="single" w:sz="4" w:space="0" w:color="auto"/>
              <w:bottom w:val="single" w:sz="4" w:space="0" w:color="auto"/>
            </w:tcBorders>
          </w:tcPr>
          <w:p w:rsidR="00FB62DB" w:rsidRPr="00392EFF" w:rsidRDefault="00FB62DB">
            <w:pPr>
              <w:spacing w:before="0"/>
              <w:rPr>
                <w:sz w:val="16"/>
              </w:rPr>
            </w:pPr>
            <w:r w:rsidRPr="00392EFF">
              <w:rPr>
                <w:sz w:val="16"/>
              </w:rPr>
              <w:t>278 500</w:t>
            </w:r>
          </w:p>
        </w:tc>
        <w:tc>
          <w:tcPr>
            <w:tcW w:w="567" w:type="dxa"/>
            <w:tcBorders>
              <w:top w:val="single" w:sz="4" w:space="0" w:color="auto"/>
              <w:bottom w:val="single" w:sz="4" w:space="0" w:color="auto"/>
            </w:tcBorders>
          </w:tcPr>
          <w:p w:rsidR="00FB62DB" w:rsidRPr="00392EFF" w:rsidRDefault="00FB62DB">
            <w:pPr>
              <w:spacing w:before="0"/>
              <w:rPr>
                <w:sz w:val="16"/>
              </w:rPr>
            </w:pPr>
            <w:r w:rsidRPr="00392EFF">
              <w:rPr>
                <w:sz w:val="16"/>
              </w:rPr>
              <w:t>5,3%</w:t>
            </w:r>
          </w:p>
        </w:tc>
        <w:tc>
          <w:tcPr>
            <w:tcW w:w="850" w:type="dxa"/>
            <w:tcBorders>
              <w:top w:val="single" w:sz="4" w:space="0" w:color="auto"/>
              <w:bottom w:val="single" w:sz="4" w:space="0" w:color="auto"/>
            </w:tcBorders>
          </w:tcPr>
          <w:p w:rsidR="00FB62DB" w:rsidRPr="00392EFF" w:rsidRDefault="00FB62DB">
            <w:pPr>
              <w:spacing w:before="0"/>
              <w:rPr>
                <w:sz w:val="16"/>
              </w:rPr>
            </w:pPr>
            <w:r w:rsidRPr="00392EFF">
              <w:rPr>
                <w:sz w:val="16"/>
              </w:rPr>
              <w:t>5 500</w:t>
            </w:r>
          </w:p>
        </w:tc>
        <w:tc>
          <w:tcPr>
            <w:tcW w:w="709" w:type="dxa"/>
            <w:tcBorders>
              <w:top w:val="single" w:sz="4" w:space="0" w:color="auto"/>
              <w:bottom w:val="single" w:sz="4" w:space="0" w:color="auto"/>
            </w:tcBorders>
          </w:tcPr>
          <w:p w:rsidR="00FB62DB" w:rsidRPr="00392EFF" w:rsidRDefault="00FB62DB">
            <w:pPr>
              <w:spacing w:before="0"/>
              <w:rPr>
                <w:sz w:val="16"/>
              </w:rPr>
            </w:pPr>
            <w:r w:rsidRPr="00392EFF">
              <w:rPr>
                <w:sz w:val="16"/>
              </w:rPr>
              <w:t>0,0</w:t>
            </w:r>
          </w:p>
        </w:tc>
      </w:tr>
      <w:tr w:rsidR="00000000" w:rsidRPr="00392EFF">
        <w:tblPrEx>
          <w:tblCellMar>
            <w:top w:w="0" w:type="dxa"/>
            <w:bottom w:w="0" w:type="dxa"/>
          </w:tblCellMar>
        </w:tblPrEx>
        <w:trPr>
          <w:trHeight w:val="254"/>
        </w:trPr>
        <w:tc>
          <w:tcPr>
            <w:tcW w:w="1731" w:type="dxa"/>
            <w:tcBorders>
              <w:top w:val="single" w:sz="4" w:space="0" w:color="auto"/>
              <w:bottom w:val="single" w:sz="4" w:space="0" w:color="auto"/>
            </w:tcBorders>
          </w:tcPr>
          <w:p w:rsidR="00FB62DB" w:rsidRPr="00392EFF" w:rsidRDefault="00FB62DB">
            <w:pPr>
              <w:spacing w:before="0"/>
              <w:jc w:val="left"/>
              <w:rPr>
                <w:sz w:val="16"/>
              </w:rPr>
            </w:pPr>
            <w:r w:rsidRPr="00392EFF">
              <w:rPr>
                <w:sz w:val="16"/>
              </w:rPr>
              <w:t>övriga</w:t>
            </w:r>
          </w:p>
        </w:tc>
        <w:tc>
          <w:tcPr>
            <w:tcW w:w="993" w:type="dxa"/>
            <w:tcBorders>
              <w:top w:val="single" w:sz="4" w:space="0" w:color="auto"/>
              <w:bottom w:val="single" w:sz="4" w:space="0" w:color="auto"/>
            </w:tcBorders>
          </w:tcPr>
          <w:p w:rsidR="00FB62DB" w:rsidRPr="00392EFF" w:rsidRDefault="00FB62DB">
            <w:pPr>
              <w:spacing w:before="0"/>
              <w:rPr>
                <w:sz w:val="16"/>
              </w:rPr>
            </w:pPr>
            <w:r w:rsidRPr="00392EFF">
              <w:rPr>
                <w:sz w:val="16"/>
              </w:rPr>
              <w:t>345 100</w:t>
            </w:r>
          </w:p>
        </w:tc>
        <w:tc>
          <w:tcPr>
            <w:tcW w:w="708" w:type="dxa"/>
            <w:tcBorders>
              <w:top w:val="single" w:sz="4" w:space="0" w:color="auto"/>
              <w:bottom w:val="single" w:sz="4" w:space="0" w:color="auto"/>
            </w:tcBorders>
          </w:tcPr>
          <w:p w:rsidR="00FB62DB" w:rsidRPr="00392EFF" w:rsidRDefault="00FB62DB">
            <w:pPr>
              <w:spacing w:before="0"/>
              <w:rPr>
                <w:sz w:val="16"/>
              </w:rPr>
            </w:pPr>
            <w:r w:rsidRPr="00392EFF">
              <w:rPr>
                <w:sz w:val="16"/>
              </w:rPr>
              <w:t>6,7%</w:t>
            </w:r>
          </w:p>
        </w:tc>
        <w:tc>
          <w:tcPr>
            <w:tcW w:w="851" w:type="dxa"/>
            <w:tcBorders>
              <w:top w:val="single" w:sz="4" w:space="0" w:color="auto"/>
              <w:bottom w:val="single" w:sz="4" w:space="0" w:color="auto"/>
            </w:tcBorders>
          </w:tcPr>
          <w:p w:rsidR="00FB62DB" w:rsidRPr="00392EFF" w:rsidRDefault="00FB62DB">
            <w:pPr>
              <w:spacing w:before="0"/>
              <w:rPr>
                <w:sz w:val="16"/>
              </w:rPr>
            </w:pPr>
            <w:r w:rsidRPr="00392EFF">
              <w:rPr>
                <w:sz w:val="16"/>
              </w:rPr>
              <w:t>278 750</w:t>
            </w:r>
          </w:p>
        </w:tc>
        <w:tc>
          <w:tcPr>
            <w:tcW w:w="567" w:type="dxa"/>
            <w:tcBorders>
              <w:top w:val="single" w:sz="4" w:space="0" w:color="auto"/>
              <w:bottom w:val="single" w:sz="4" w:space="0" w:color="auto"/>
            </w:tcBorders>
          </w:tcPr>
          <w:p w:rsidR="00FB62DB" w:rsidRPr="00392EFF" w:rsidRDefault="00FB62DB">
            <w:pPr>
              <w:spacing w:before="0"/>
              <w:rPr>
                <w:sz w:val="16"/>
              </w:rPr>
            </w:pPr>
            <w:r w:rsidRPr="00392EFF">
              <w:rPr>
                <w:sz w:val="16"/>
              </w:rPr>
              <w:t>5,3%</w:t>
            </w:r>
          </w:p>
        </w:tc>
        <w:tc>
          <w:tcPr>
            <w:tcW w:w="850" w:type="dxa"/>
            <w:tcBorders>
              <w:top w:val="single" w:sz="4" w:space="0" w:color="auto"/>
              <w:bottom w:val="single" w:sz="4" w:space="0" w:color="auto"/>
            </w:tcBorders>
          </w:tcPr>
          <w:p w:rsidR="00FB62DB" w:rsidRPr="00392EFF" w:rsidRDefault="00FB62DB">
            <w:pPr>
              <w:spacing w:before="0"/>
              <w:rPr>
                <w:sz w:val="16"/>
              </w:rPr>
            </w:pPr>
            <w:r w:rsidRPr="00392EFF">
              <w:rPr>
                <w:sz w:val="16"/>
              </w:rPr>
              <w:t>-66 350</w:t>
            </w:r>
          </w:p>
        </w:tc>
        <w:tc>
          <w:tcPr>
            <w:tcW w:w="709" w:type="dxa"/>
            <w:tcBorders>
              <w:top w:val="single" w:sz="4" w:space="0" w:color="auto"/>
              <w:bottom w:val="single" w:sz="4" w:space="0" w:color="auto"/>
            </w:tcBorders>
          </w:tcPr>
          <w:p w:rsidR="00FB62DB" w:rsidRPr="00392EFF" w:rsidRDefault="00FB62DB">
            <w:pPr>
              <w:spacing w:before="0"/>
              <w:rPr>
                <w:sz w:val="16"/>
              </w:rPr>
            </w:pPr>
            <w:r w:rsidRPr="00392EFF">
              <w:rPr>
                <w:sz w:val="16"/>
              </w:rPr>
              <w:t>-1,4</w:t>
            </w:r>
          </w:p>
        </w:tc>
      </w:tr>
      <w:tr w:rsidR="00000000" w:rsidRPr="00392EFF">
        <w:tblPrEx>
          <w:tblCellMar>
            <w:top w:w="0" w:type="dxa"/>
            <w:bottom w:w="0" w:type="dxa"/>
          </w:tblCellMar>
        </w:tblPrEx>
        <w:trPr>
          <w:trHeight w:val="254"/>
        </w:trPr>
        <w:tc>
          <w:tcPr>
            <w:tcW w:w="1731" w:type="dxa"/>
            <w:tcBorders>
              <w:top w:val="single" w:sz="4" w:space="0" w:color="auto"/>
              <w:bottom w:val="single" w:sz="4" w:space="0" w:color="auto"/>
            </w:tcBorders>
          </w:tcPr>
          <w:p w:rsidR="00FB62DB" w:rsidRPr="00392EFF" w:rsidRDefault="00FB62DB">
            <w:pPr>
              <w:spacing w:before="0"/>
              <w:jc w:val="left"/>
              <w:rPr>
                <w:sz w:val="16"/>
              </w:rPr>
            </w:pPr>
            <w:r w:rsidRPr="00392EFF">
              <w:rPr>
                <w:sz w:val="16"/>
              </w:rPr>
              <w:t>Arbetskraften</w:t>
            </w:r>
          </w:p>
        </w:tc>
        <w:tc>
          <w:tcPr>
            <w:tcW w:w="993" w:type="dxa"/>
            <w:tcBorders>
              <w:top w:val="single" w:sz="4" w:space="0" w:color="auto"/>
              <w:bottom w:val="single" w:sz="4" w:space="0" w:color="auto"/>
            </w:tcBorders>
          </w:tcPr>
          <w:p w:rsidR="00FB62DB" w:rsidRPr="00392EFF" w:rsidRDefault="00FB62DB">
            <w:pPr>
              <w:spacing w:before="0"/>
              <w:rPr>
                <w:sz w:val="16"/>
              </w:rPr>
            </w:pPr>
            <w:r w:rsidRPr="00392EFF">
              <w:rPr>
                <w:sz w:val="16"/>
              </w:rPr>
              <w:t>4 164 600</w:t>
            </w:r>
          </w:p>
        </w:tc>
        <w:tc>
          <w:tcPr>
            <w:tcW w:w="708" w:type="dxa"/>
            <w:tcBorders>
              <w:top w:val="single" w:sz="4" w:space="0" w:color="auto"/>
              <w:bottom w:val="single" w:sz="4" w:space="0" w:color="auto"/>
            </w:tcBorders>
          </w:tcPr>
          <w:p w:rsidR="00FB62DB" w:rsidRPr="00392EFF" w:rsidRDefault="00FB62DB">
            <w:pPr>
              <w:spacing w:before="0"/>
              <w:rPr>
                <w:sz w:val="16"/>
              </w:rPr>
            </w:pPr>
            <w:r w:rsidRPr="00392EFF">
              <w:rPr>
                <w:sz w:val="16"/>
              </w:rPr>
              <w:t>80,9%</w:t>
            </w:r>
          </w:p>
        </w:tc>
        <w:tc>
          <w:tcPr>
            <w:tcW w:w="851" w:type="dxa"/>
            <w:tcBorders>
              <w:top w:val="single" w:sz="4" w:space="0" w:color="auto"/>
              <w:bottom w:val="single" w:sz="4" w:space="0" w:color="auto"/>
            </w:tcBorders>
          </w:tcPr>
          <w:p w:rsidR="00FB62DB" w:rsidRPr="00392EFF" w:rsidRDefault="00FB62DB">
            <w:pPr>
              <w:spacing w:before="0"/>
              <w:rPr>
                <w:sz w:val="16"/>
              </w:rPr>
            </w:pPr>
            <w:r w:rsidRPr="00392EFF">
              <w:rPr>
                <w:sz w:val="16"/>
              </w:rPr>
              <w:t>4 276 750</w:t>
            </w:r>
          </w:p>
        </w:tc>
        <w:tc>
          <w:tcPr>
            <w:tcW w:w="567" w:type="dxa"/>
            <w:tcBorders>
              <w:top w:val="single" w:sz="4" w:space="0" w:color="auto"/>
              <w:bottom w:val="single" w:sz="4" w:space="0" w:color="auto"/>
            </w:tcBorders>
          </w:tcPr>
          <w:p w:rsidR="00FB62DB" w:rsidRPr="00392EFF" w:rsidRDefault="00FB62DB">
            <w:pPr>
              <w:spacing w:before="0"/>
              <w:rPr>
                <w:sz w:val="16"/>
              </w:rPr>
            </w:pPr>
            <w:r w:rsidRPr="00392EFF">
              <w:rPr>
                <w:sz w:val="16"/>
              </w:rPr>
              <w:t>81,9%</w:t>
            </w:r>
          </w:p>
        </w:tc>
        <w:tc>
          <w:tcPr>
            <w:tcW w:w="850" w:type="dxa"/>
            <w:tcBorders>
              <w:top w:val="single" w:sz="4" w:space="0" w:color="auto"/>
              <w:bottom w:val="single" w:sz="4" w:space="0" w:color="auto"/>
            </w:tcBorders>
          </w:tcPr>
          <w:p w:rsidR="00FB62DB" w:rsidRPr="00392EFF" w:rsidRDefault="00FB62DB">
            <w:pPr>
              <w:spacing w:before="0"/>
              <w:rPr>
                <w:sz w:val="16"/>
              </w:rPr>
            </w:pPr>
            <w:r w:rsidRPr="00392EFF">
              <w:rPr>
                <w:sz w:val="16"/>
              </w:rPr>
              <w:t>112 150</w:t>
            </w:r>
          </w:p>
        </w:tc>
        <w:tc>
          <w:tcPr>
            <w:tcW w:w="709" w:type="dxa"/>
            <w:tcBorders>
              <w:top w:val="single" w:sz="4" w:space="0" w:color="auto"/>
              <w:bottom w:val="single" w:sz="4" w:space="0" w:color="auto"/>
            </w:tcBorders>
          </w:tcPr>
          <w:p w:rsidR="00FB62DB" w:rsidRPr="00392EFF" w:rsidRDefault="00FB62DB">
            <w:pPr>
              <w:spacing w:before="0"/>
              <w:rPr>
                <w:sz w:val="16"/>
              </w:rPr>
            </w:pPr>
            <w:r w:rsidRPr="00392EFF">
              <w:rPr>
                <w:sz w:val="16"/>
              </w:rPr>
              <w:t>+0,9</w:t>
            </w:r>
          </w:p>
        </w:tc>
      </w:tr>
      <w:tr w:rsidR="00000000" w:rsidRPr="00392EFF">
        <w:tblPrEx>
          <w:tblCellMar>
            <w:top w:w="0" w:type="dxa"/>
            <w:bottom w:w="0" w:type="dxa"/>
          </w:tblCellMar>
        </w:tblPrEx>
        <w:trPr>
          <w:trHeight w:val="254"/>
        </w:trPr>
        <w:tc>
          <w:tcPr>
            <w:tcW w:w="1731" w:type="dxa"/>
            <w:tcBorders>
              <w:top w:val="single" w:sz="4" w:space="0" w:color="auto"/>
              <w:bottom w:val="single" w:sz="4" w:space="0" w:color="auto"/>
            </w:tcBorders>
          </w:tcPr>
          <w:p w:rsidR="00FB62DB" w:rsidRPr="00392EFF" w:rsidRDefault="00FB62DB">
            <w:pPr>
              <w:spacing w:before="0"/>
              <w:jc w:val="left"/>
              <w:rPr>
                <w:sz w:val="16"/>
              </w:rPr>
            </w:pPr>
            <w:r w:rsidRPr="00392EFF">
              <w:rPr>
                <w:sz w:val="16"/>
              </w:rPr>
              <w:t>varav arbetslösa</w:t>
            </w:r>
          </w:p>
        </w:tc>
        <w:tc>
          <w:tcPr>
            <w:tcW w:w="993" w:type="dxa"/>
            <w:tcBorders>
              <w:top w:val="single" w:sz="4" w:space="0" w:color="auto"/>
              <w:bottom w:val="single" w:sz="4" w:space="0" w:color="auto"/>
            </w:tcBorders>
          </w:tcPr>
          <w:p w:rsidR="00FB62DB" w:rsidRPr="00392EFF" w:rsidRDefault="00FB62DB">
            <w:pPr>
              <w:spacing w:before="0"/>
              <w:rPr>
                <w:sz w:val="16"/>
              </w:rPr>
            </w:pPr>
            <w:r w:rsidRPr="00392EFF">
              <w:rPr>
                <w:sz w:val="16"/>
              </w:rPr>
              <w:t>328 000</w:t>
            </w:r>
          </w:p>
        </w:tc>
        <w:tc>
          <w:tcPr>
            <w:tcW w:w="708" w:type="dxa"/>
            <w:tcBorders>
              <w:top w:val="single" w:sz="4" w:space="0" w:color="auto"/>
              <w:bottom w:val="single" w:sz="4" w:space="0" w:color="auto"/>
            </w:tcBorders>
          </w:tcPr>
          <w:p w:rsidR="00FB62DB" w:rsidRPr="00392EFF" w:rsidRDefault="00FB62DB">
            <w:pPr>
              <w:spacing w:before="0"/>
              <w:rPr>
                <w:sz w:val="16"/>
              </w:rPr>
            </w:pPr>
            <w:r w:rsidRPr="00392EFF">
              <w:rPr>
                <w:sz w:val="16"/>
              </w:rPr>
              <w:t>6,4%</w:t>
            </w:r>
          </w:p>
        </w:tc>
        <w:tc>
          <w:tcPr>
            <w:tcW w:w="851" w:type="dxa"/>
            <w:tcBorders>
              <w:top w:val="single" w:sz="4" w:space="0" w:color="auto"/>
              <w:bottom w:val="single" w:sz="4" w:space="0" w:color="auto"/>
            </w:tcBorders>
          </w:tcPr>
          <w:p w:rsidR="00FB62DB" w:rsidRPr="00392EFF" w:rsidRDefault="00FB62DB">
            <w:pPr>
              <w:spacing w:before="0"/>
              <w:rPr>
                <w:sz w:val="16"/>
              </w:rPr>
            </w:pPr>
            <w:r w:rsidRPr="00392EFF">
              <w:rPr>
                <w:sz w:val="16"/>
              </w:rPr>
              <w:t>162 750</w:t>
            </w:r>
          </w:p>
        </w:tc>
        <w:tc>
          <w:tcPr>
            <w:tcW w:w="567" w:type="dxa"/>
            <w:tcBorders>
              <w:top w:val="single" w:sz="4" w:space="0" w:color="auto"/>
              <w:bottom w:val="single" w:sz="4" w:space="0" w:color="auto"/>
            </w:tcBorders>
          </w:tcPr>
          <w:p w:rsidR="00FB62DB" w:rsidRPr="00392EFF" w:rsidRDefault="00FB62DB">
            <w:pPr>
              <w:spacing w:before="0"/>
              <w:rPr>
                <w:sz w:val="16"/>
              </w:rPr>
            </w:pPr>
            <w:r w:rsidRPr="00392EFF">
              <w:rPr>
                <w:sz w:val="16"/>
              </w:rPr>
              <w:t>3,1%</w:t>
            </w:r>
          </w:p>
        </w:tc>
        <w:tc>
          <w:tcPr>
            <w:tcW w:w="850" w:type="dxa"/>
            <w:tcBorders>
              <w:top w:val="single" w:sz="4" w:space="0" w:color="auto"/>
              <w:bottom w:val="single" w:sz="4" w:space="0" w:color="auto"/>
            </w:tcBorders>
          </w:tcPr>
          <w:p w:rsidR="00FB62DB" w:rsidRPr="00392EFF" w:rsidRDefault="00FB62DB">
            <w:pPr>
              <w:spacing w:before="0"/>
              <w:rPr>
                <w:sz w:val="16"/>
              </w:rPr>
            </w:pPr>
            <w:r w:rsidRPr="00392EFF">
              <w:rPr>
                <w:sz w:val="16"/>
              </w:rPr>
              <w:t>-165 250</w:t>
            </w:r>
          </w:p>
        </w:tc>
        <w:tc>
          <w:tcPr>
            <w:tcW w:w="709" w:type="dxa"/>
            <w:tcBorders>
              <w:top w:val="single" w:sz="4" w:space="0" w:color="auto"/>
              <w:bottom w:val="single" w:sz="4" w:space="0" w:color="auto"/>
            </w:tcBorders>
          </w:tcPr>
          <w:p w:rsidR="00FB62DB" w:rsidRPr="00392EFF" w:rsidRDefault="00FB62DB">
            <w:pPr>
              <w:spacing w:before="0"/>
              <w:rPr>
                <w:sz w:val="16"/>
              </w:rPr>
            </w:pPr>
            <w:r w:rsidRPr="00392EFF">
              <w:rPr>
                <w:sz w:val="16"/>
              </w:rPr>
              <w:t>-3,3</w:t>
            </w:r>
          </w:p>
        </w:tc>
      </w:tr>
      <w:tr w:rsidR="00000000" w:rsidRPr="00392EFF">
        <w:tblPrEx>
          <w:tblCellMar>
            <w:top w:w="0" w:type="dxa"/>
            <w:bottom w:w="0" w:type="dxa"/>
          </w:tblCellMar>
        </w:tblPrEx>
        <w:trPr>
          <w:trHeight w:val="254"/>
        </w:trPr>
        <w:tc>
          <w:tcPr>
            <w:tcW w:w="1731" w:type="dxa"/>
            <w:tcBorders>
              <w:top w:val="single" w:sz="4" w:space="0" w:color="auto"/>
              <w:bottom w:val="single" w:sz="4" w:space="0" w:color="auto"/>
            </w:tcBorders>
          </w:tcPr>
          <w:p w:rsidR="00FB62DB" w:rsidRPr="00392EFF" w:rsidRDefault="00FB62DB">
            <w:pPr>
              <w:spacing w:before="0"/>
              <w:jc w:val="left"/>
              <w:rPr>
                <w:sz w:val="16"/>
              </w:rPr>
            </w:pPr>
            <w:r w:rsidRPr="00392EFF">
              <w:rPr>
                <w:sz w:val="16"/>
              </w:rPr>
              <w:t>Sysselsatta</w:t>
            </w:r>
          </w:p>
        </w:tc>
        <w:tc>
          <w:tcPr>
            <w:tcW w:w="993" w:type="dxa"/>
            <w:tcBorders>
              <w:top w:val="single" w:sz="4" w:space="0" w:color="auto"/>
              <w:bottom w:val="single" w:sz="4" w:space="0" w:color="auto"/>
            </w:tcBorders>
          </w:tcPr>
          <w:p w:rsidR="00FB62DB" w:rsidRPr="00392EFF" w:rsidRDefault="00FB62DB">
            <w:pPr>
              <w:spacing w:before="0"/>
              <w:rPr>
                <w:sz w:val="16"/>
              </w:rPr>
            </w:pPr>
            <w:r w:rsidRPr="00392EFF">
              <w:rPr>
                <w:sz w:val="16"/>
              </w:rPr>
              <w:t>3 836 600</w:t>
            </w:r>
          </w:p>
        </w:tc>
        <w:tc>
          <w:tcPr>
            <w:tcW w:w="708" w:type="dxa"/>
            <w:tcBorders>
              <w:top w:val="single" w:sz="4" w:space="0" w:color="auto"/>
              <w:bottom w:val="single" w:sz="4" w:space="0" w:color="auto"/>
            </w:tcBorders>
          </w:tcPr>
          <w:p w:rsidR="00FB62DB" w:rsidRPr="00392EFF" w:rsidRDefault="00FB62DB">
            <w:pPr>
              <w:spacing w:before="0"/>
              <w:rPr>
                <w:sz w:val="16"/>
              </w:rPr>
            </w:pPr>
            <w:r w:rsidRPr="00392EFF">
              <w:rPr>
                <w:sz w:val="16"/>
              </w:rPr>
              <w:t>74,6%</w:t>
            </w:r>
          </w:p>
        </w:tc>
        <w:tc>
          <w:tcPr>
            <w:tcW w:w="851" w:type="dxa"/>
            <w:tcBorders>
              <w:top w:val="single" w:sz="4" w:space="0" w:color="auto"/>
              <w:bottom w:val="single" w:sz="4" w:space="0" w:color="auto"/>
            </w:tcBorders>
          </w:tcPr>
          <w:p w:rsidR="00FB62DB" w:rsidRPr="00392EFF" w:rsidRDefault="00FB62DB">
            <w:pPr>
              <w:spacing w:before="0"/>
              <w:rPr>
                <w:sz w:val="16"/>
              </w:rPr>
            </w:pPr>
            <w:r w:rsidRPr="00392EFF">
              <w:rPr>
                <w:sz w:val="16"/>
              </w:rPr>
              <w:t>4 114 000</w:t>
            </w:r>
          </w:p>
        </w:tc>
        <w:tc>
          <w:tcPr>
            <w:tcW w:w="567" w:type="dxa"/>
            <w:tcBorders>
              <w:top w:val="single" w:sz="4" w:space="0" w:color="auto"/>
              <w:bottom w:val="single" w:sz="4" w:space="0" w:color="auto"/>
            </w:tcBorders>
          </w:tcPr>
          <w:p w:rsidR="00FB62DB" w:rsidRPr="00392EFF" w:rsidRDefault="00FB62DB">
            <w:pPr>
              <w:spacing w:before="0"/>
              <w:rPr>
                <w:sz w:val="16"/>
              </w:rPr>
            </w:pPr>
            <w:r w:rsidRPr="00392EFF">
              <w:rPr>
                <w:sz w:val="16"/>
              </w:rPr>
              <w:t>78,7%</w:t>
            </w:r>
          </w:p>
        </w:tc>
        <w:tc>
          <w:tcPr>
            <w:tcW w:w="850" w:type="dxa"/>
            <w:tcBorders>
              <w:top w:val="single" w:sz="4" w:space="0" w:color="auto"/>
              <w:bottom w:val="single" w:sz="4" w:space="0" w:color="auto"/>
            </w:tcBorders>
          </w:tcPr>
          <w:p w:rsidR="00FB62DB" w:rsidRPr="00392EFF" w:rsidRDefault="00FB62DB">
            <w:pPr>
              <w:spacing w:before="0"/>
              <w:rPr>
                <w:sz w:val="16"/>
              </w:rPr>
            </w:pPr>
            <w:r w:rsidRPr="00392EFF">
              <w:rPr>
                <w:sz w:val="16"/>
              </w:rPr>
              <w:t>277 400</w:t>
            </w:r>
          </w:p>
        </w:tc>
        <w:tc>
          <w:tcPr>
            <w:tcW w:w="709" w:type="dxa"/>
            <w:tcBorders>
              <w:top w:val="single" w:sz="4" w:space="0" w:color="auto"/>
              <w:bottom w:val="single" w:sz="4" w:space="0" w:color="auto"/>
            </w:tcBorders>
          </w:tcPr>
          <w:p w:rsidR="00FB62DB" w:rsidRPr="00392EFF" w:rsidRDefault="00FB62DB">
            <w:pPr>
              <w:spacing w:before="0"/>
              <w:rPr>
                <w:sz w:val="16"/>
              </w:rPr>
            </w:pPr>
            <w:r w:rsidRPr="00392EFF">
              <w:rPr>
                <w:sz w:val="16"/>
              </w:rPr>
              <w:t>+4,2</w:t>
            </w:r>
          </w:p>
        </w:tc>
      </w:tr>
      <w:tr w:rsidR="00000000" w:rsidRPr="00392EFF">
        <w:tblPrEx>
          <w:tblCellMar>
            <w:top w:w="0" w:type="dxa"/>
            <w:bottom w:w="0" w:type="dxa"/>
          </w:tblCellMar>
        </w:tblPrEx>
        <w:trPr>
          <w:trHeight w:val="254"/>
        </w:trPr>
        <w:tc>
          <w:tcPr>
            <w:tcW w:w="1731" w:type="dxa"/>
            <w:tcBorders>
              <w:top w:val="single" w:sz="4" w:space="0" w:color="auto"/>
              <w:bottom w:val="single" w:sz="4" w:space="0" w:color="auto"/>
            </w:tcBorders>
          </w:tcPr>
          <w:p w:rsidR="00FB62DB" w:rsidRPr="00392EFF" w:rsidRDefault="00FB62DB">
            <w:pPr>
              <w:spacing w:before="0"/>
              <w:jc w:val="left"/>
              <w:rPr>
                <w:sz w:val="16"/>
              </w:rPr>
            </w:pPr>
            <w:r w:rsidRPr="00392EFF">
              <w:rPr>
                <w:sz w:val="16"/>
              </w:rPr>
              <w:t>varav sysselsatta i a</w:t>
            </w:r>
            <w:r w:rsidRPr="00392EFF">
              <w:rPr>
                <w:sz w:val="16"/>
              </w:rPr>
              <w:t>r</w:t>
            </w:r>
            <w:r w:rsidRPr="00392EFF">
              <w:rPr>
                <w:sz w:val="16"/>
              </w:rPr>
              <w:t>betsmarknadså</w:t>
            </w:r>
            <w:r w:rsidRPr="00392EFF">
              <w:rPr>
                <w:sz w:val="16"/>
              </w:rPr>
              <w:t>t</w:t>
            </w:r>
            <w:r w:rsidRPr="00392EFF">
              <w:rPr>
                <w:sz w:val="16"/>
              </w:rPr>
              <w:t xml:space="preserve">gärder </w:t>
            </w:r>
            <w:r w:rsidRPr="00392EFF">
              <w:rPr>
                <w:sz w:val="16"/>
                <w:vertAlign w:val="superscript"/>
              </w:rPr>
              <w:t>2</w:t>
            </w:r>
          </w:p>
        </w:tc>
        <w:tc>
          <w:tcPr>
            <w:tcW w:w="993" w:type="dxa"/>
            <w:tcBorders>
              <w:top w:val="single" w:sz="4" w:space="0" w:color="auto"/>
              <w:bottom w:val="single" w:sz="4" w:space="0" w:color="auto"/>
            </w:tcBorders>
          </w:tcPr>
          <w:p w:rsidR="00FB62DB" w:rsidRPr="00392EFF" w:rsidRDefault="00FB62DB">
            <w:pPr>
              <w:spacing w:before="0"/>
              <w:rPr>
                <w:sz w:val="16"/>
              </w:rPr>
            </w:pPr>
            <w:r w:rsidRPr="00392EFF">
              <w:rPr>
                <w:sz w:val="16"/>
              </w:rPr>
              <w:t>32 000</w:t>
            </w:r>
          </w:p>
        </w:tc>
        <w:tc>
          <w:tcPr>
            <w:tcW w:w="708" w:type="dxa"/>
            <w:tcBorders>
              <w:top w:val="single" w:sz="4" w:space="0" w:color="auto"/>
              <w:bottom w:val="single" w:sz="4" w:space="0" w:color="auto"/>
            </w:tcBorders>
          </w:tcPr>
          <w:p w:rsidR="00FB62DB" w:rsidRPr="00392EFF" w:rsidRDefault="00FB62DB">
            <w:pPr>
              <w:spacing w:before="0"/>
              <w:rPr>
                <w:sz w:val="16"/>
              </w:rPr>
            </w:pPr>
            <w:r w:rsidRPr="00392EFF">
              <w:rPr>
                <w:sz w:val="16"/>
              </w:rPr>
              <w:t>0,6%</w:t>
            </w:r>
          </w:p>
        </w:tc>
        <w:tc>
          <w:tcPr>
            <w:tcW w:w="851" w:type="dxa"/>
            <w:tcBorders>
              <w:top w:val="single" w:sz="4" w:space="0" w:color="auto"/>
              <w:bottom w:val="single" w:sz="4" w:space="0" w:color="auto"/>
            </w:tcBorders>
          </w:tcPr>
          <w:p w:rsidR="00FB62DB" w:rsidRPr="00392EFF" w:rsidRDefault="00FB62DB">
            <w:pPr>
              <w:spacing w:before="0"/>
              <w:rPr>
                <w:sz w:val="16"/>
              </w:rPr>
            </w:pPr>
            <w:r w:rsidRPr="00392EFF">
              <w:rPr>
                <w:sz w:val="16"/>
              </w:rPr>
              <w:t>26 000</w:t>
            </w:r>
          </w:p>
        </w:tc>
        <w:tc>
          <w:tcPr>
            <w:tcW w:w="567" w:type="dxa"/>
            <w:tcBorders>
              <w:top w:val="single" w:sz="4" w:space="0" w:color="auto"/>
              <w:bottom w:val="single" w:sz="4" w:space="0" w:color="auto"/>
            </w:tcBorders>
          </w:tcPr>
          <w:p w:rsidR="00FB62DB" w:rsidRPr="00392EFF" w:rsidRDefault="00FB62DB">
            <w:pPr>
              <w:spacing w:before="0"/>
              <w:rPr>
                <w:sz w:val="16"/>
              </w:rPr>
            </w:pPr>
            <w:r w:rsidRPr="00392EFF">
              <w:rPr>
                <w:sz w:val="16"/>
              </w:rPr>
              <w:t>0,5%</w:t>
            </w:r>
          </w:p>
        </w:tc>
        <w:tc>
          <w:tcPr>
            <w:tcW w:w="850" w:type="dxa"/>
            <w:tcBorders>
              <w:top w:val="single" w:sz="4" w:space="0" w:color="auto"/>
              <w:bottom w:val="single" w:sz="4" w:space="0" w:color="auto"/>
            </w:tcBorders>
          </w:tcPr>
          <w:p w:rsidR="00FB62DB" w:rsidRPr="00392EFF" w:rsidRDefault="00FB62DB">
            <w:pPr>
              <w:spacing w:before="0"/>
              <w:rPr>
                <w:sz w:val="16"/>
              </w:rPr>
            </w:pPr>
            <w:r w:rsidRPr="00392EFF">
              <w:rPr>
                <w:sz w:val="16"/>
              </w:rPr>
              <w:t>-6 000</w:t>
            </w:r>
          </w:p>
        </w:tc>
        <w:tc>
          <w:tcPr>
            <w:tcW w:w="709" w:type="dxa"/>
            <w:tcBorders>
              <w:top w:val="single" w:sz="4" w:space="0" w:color="auto"/>
              <w:bottom w:val="single" w:sz="4" w:space="0" w:color="auto"/>
            </w:tcBorders>
          </w:tcPr>
          <w:p w:rsidR="00FB62DB" w:rsidRPr="00392EFF" w:rsidRDefault="00FB62DB">
            <w:pPr>
              <w:spacing w:before="0"/>
              <w:rPr>
                <w:sz w:val="16"/>
              </w:rPr>
            </w:pPr>
            <w:r w:rsidRPr="00392EFF">
              <w:rPr>
                <w:sz w:val="16"/>
              </w:rPr>
              <w:t>-0,1</w:t>
            </w:r>
          </w:p>
        </w:tc>
      </w:tr>
      <w:tr w:rsidR="00000000" w:rsidRPr="00392EFF">
        <w:tblPrEx>
          <w:tblCellMar>
            <w:top w:w="0" w:type="dxa"/>
            <w:bottom w:w="0" w:type="dxa"/>
          </w:tblCellMar>
        </w:tblPrEx>
        <w:trPr>
          <w:trHeight w:val="254"/>
        </w:trPr>
        <w:tc>
          <w:tcPr>
            <w:tcW w:w="1731" w:type="dxa"/>
            <w:tcBorders>
              <w:top w:val="single" w:sz="4" w:space="0" w:color="auto"/>
              <w:bottom w:val="single" w:sz="4" w:space="0" w:color="auto"/>
            </w:tcBorders>
          </w:tcPr>
          <w:p w:rsidR="00FB62DB" w:rsidRPr="00392EFF" w:rsidRDefault="00FB62DB">
            <w:pPr>
              <w:spacing w:before="0"/>
              <w:jc w:val="left"/>
              <w:rPr>
                <w:sz w:val="16"/>
              </w:rPr>
            </w:pPr>
            <w:r w:rsidRPr="00392EFF">
              <w:rPr>
                <w:sz w:val="16"/>
              </w:rPr>
              <w:t>Reguljärt sysselsatta</w:t>
            </w:r>
          </w:p>
        </w:tc>
        <w:tc>
          <w:tcPr>
            <w:tcW w:w="993" w:type="dxa"/>
            <w:tcBorders>
              <w:top w:val="single" w:sz="4" w:space="0" w:color="auto"/>
              <w:bottom w:val="single" w:sz="4" w:space="0" w:color="auto"/>
            </w:tcBorders>
          </w:tcPr>
          <w:p w:rsidR="00FB62DB" w:rsidRPr="00392EFF" w:rsidRDefault="00FB62DB">
            <w:pPr>
              <w:spacing w:before="0"/>
              <w:rPr>
                <w:sz w:val="16"/>
              </w:rPr>
            </w:pPr>
            <w:r w:rsidRPr="00392EFF">
              <w:rPr>
                <w:sz w:val="16"/>
              </w:rPr>
              <w:t>3 804 600</w:t>
            </w:r>
          </w:p>
        </w:tc>
        <w:tc>
          <w:tcPr>
            <w:tcW w:w="708" w:type="dxa"/>
            <w:tcBorders>
              <w:top w:val="single" w:sz="4" w:space="0" w:color="auto"/>
              <w:bottom w:val="single" w:sz="4" w:space="0" w:color="auto"/>
            </w:tcBorders>
          </w:tcPr>
          <w:p w:rsidR="00FB62DB" w:rsidRPr="00392EFF" w:rsidRDefault="00FB62DB">
            <w:pPr>
              <w:spacing w:before="0"/>
              <w:rPr>
                <w:sz w:val="16"/>
              </w:rPr>
            </w:pPr>
            <w:r w:rsidRPr="00392EFF">
              <w:rPr>
                <w:sz w:val="16"/>
              </w:rPr>
              <w:t>73,9%</w:t>
            </w:r>
          </w:p>
        </w:tc>
        <w:tc>
          <w:tcPr>
            <w:tcW w:w="851" w:type="dxa"/>
            <w:tcBorders>
              <w:top w:val="single" w:sz="4" w:space="0" w:color="auto"/>
              <w:bottom w:val="single" w:sz="4" w:space="0" w:color="auto"/>
            </w:tcBorders>
          </w:tcPr>
          <w:p w:rsidR="00FB62DB" w:rsidRPr="00392EFF" w:rsidRDefault="00FB62DB">
            <w:pPr>
              <w:spacing w:before="0"/>
              <w:rPr>
                <w:sz w:val="16"/>
              </w:rPr>
            </w:pPr>
            <w:r w:rsidRPr="00392EFF">
              <w:rPr>
                <w:sz w:val="16"/>
              </w:rPr>
              <w:t>4 088 000</w:t>
            </w:r>
          </w:p>
        </w:tc>
        <w:tc>
          <w:tcPr>
            <w:tcW w:w="567" w:type="dxa"/>
            <w:tcBorders>
              <w:top w:val="single" w:sz="4" w:space="0" w:color="auto"/>
              <w:bottom w:val="single" w:sz="4" w:space="0" w:color="auto"/>
            </w:tcBorders>
          </w:tcPr>
          <w:p w:rsidR="00FB62DB" w:rsidRPr="00392EFF" w:rsidRDefault="00FB62DB">
            <w:pPr>
              <w:spacing w:before="0"/>
              <w:rPr>
                <w:sz w:val="16"/>
              </w:rPr>
            </w:pPr>
            <w:r w:rsidRPr="00392EFF">
              <w:rPr>
                <w:sz w:val="16"/>
              </w:rPr>
              <w:t>78,2%</w:t>
            </w:r>
          </w:p>
        </w:tc>
        <w:tc>
          <w:tcPr>
            <w:tcW w:w="850" w:type="dxa"/>
            <w:tcBorders>
              <w:top w:val="single" w:sz="4" w:space="0" w:color="auto"/>
              <w:bottom w:val="single" w:sz="4" w:space="0" w:color="auto"/>
            </w:tcBorders>
          </w:tcPr>
          <w:p w:rsidR="00FB62DB" w:rsidRPr="00392EFF" w:rsidRDefault="00FB62DB">
            <w:pPr>
              <w:spacing w:before="0"/>
              <w:rPr>
                <w:sz w:val="16"/>
              </w:rPr>
            </w:pPr>
            <w:r w:rsidRPr="00392EFF">
              <w:rPr>
                <w:sz w:val="16"/>
              </w:rPr>
              <w:t>283 400</w:t>
            </w:r>
          </w:p>
        </w:tc>
        <w:tc>
          <w:tcPr>
            <w:tcW w:w="709" w:type="dxa"/>
            <w:tcBorders>
              <w:top w:val="single" w:sz="4" w:space="0" w:color="auto"/>
              <w:bottom w:val="single" w:sz="4" w:space="0" w:color="auto"/>
            </w:tcBorders>
          </w:tcPr>
          <w:p w:rsidR="00FB62DB" w:rsidRPr="00392EFF" w:rsidRDefault="00FB62DB">
            <w:pPr>
              <w:spacing w:before="0"/>
              <w:rPr>
                <w:sz w:val="16"/>
              </w:rPr>
            </w:pPr>
            <w:r w:rsidRPr="00392EFF">
              <w:rPr>
                <w:sz w:val="16"/>
              </w:rPr>
              <w:t>+4,3</w:t>
            </w:r>
          </w:p>
        </w:tc>
      </w:tr>
      <w:tr w:rsidR="00000000" w:rsidRPr="00392EFF">
        <w:tblPrEx>
          <w:tblCellMar>
            <w:top w:w="0" w:type="dxa"/>
            <w:bottom w:w="0" w:type="dxa"/>
          </w:tblCellMar>
        </w:tblPrEx>
        <w:trPr>
          <w:trHeight w:val="254"/>
        </w:trPr>
        <w:tc>
          <w:tcPr>
            <w:tcW w:w="1731" w:type="dxa"/>
            <w:tcBorders>
              <w:top w:val="single" w:sz="4" w:space="0" w:color="auto"/>
              <w:bottom w:val="single" w:sz="4" w:space="0" w:color="auto"/>
            </w:tcBorders>
          </w:tcPr>
          <w:p w:rsidR="00FB62DB" w:rsidRPr="00392EFF" w:rsidRDefault="00FB62DB">
            <w:pPr>
              <w:spacing w:before="0"/>
              <w:jc w:val="left"/>
              <w:rPr>
                <w:sz w:val="16"/>
              </w:rPr>
            </w:pPr>
            <w:r w:rsidRPr="00392EFF">
              <w:rPr>
                <w:sz w:val="16"/>
              </w:rPr>
              <w:t>varav sjukfrånvarande</w:t>
            </w:r>
          </w:p>
        </w:tc>
        <w:tc>
          <w:tcPr>
            <w:tcW w:w="993" w:type="dxa"/>
            <w:tcBorders>
              <w:top w:val="single" w:sz="4" w:space="0" w:color="auto"/>
              <w:bottom w:val="single" w:sz="4" w:space="0" w:color="auto"/>
            </w:tcBorders>
          </w:tcPr>
          <w:p w:rsidR="00FB62DB" w:rsidRPr="00392EFF" w:rsidRDefault="00FB62DB">
            <w:pPr>
              <w:spacing w:before="0"/>
              <w:rPr>
                <w:sz w:val="16"/>
              </w:rPr>
            </w:pPr>
            <w:r w:rsidRPr="00392EFF">
              <w:rPr>
                <w:sz w:val="16"/>
              </w:rPr>
              <w:t>200 000</w:t>
            </w:r>
          </w:p>
        </w:tc>
        <w:tc>
          <w:tcPr>
            <w:tcW w:w="708" w:type="dxa"/>
            <w:tcBorders>
              <w:top w:val="single" w:sz="4" w:space="0" w:color="auto"/>
              <w:bottom w:val="single" w:sz="4" w:space="0" w:color="auto"/>
            </w:tcBorders>
          </w:tcPr>
          <w:p w:rsidR="00FB62DB" w:rsidRPr="00392EFF" w:rsidRDefault="00FB62DB">
            <w:pPr>
              <w:spacing w:before="0"/>
              <w:rPr>
                <w:sz w:val="16"/>
              </w:rPr>
            </w:pPr>
            <w:r w:rsidRPr="00392EFF">
              <w:rPr>
                <w:sz w:val="16"/>
              </w:rPr>
              <w:t>3,9%</w:t>
            </w:r>
          </w:p>
        </w:tc>
        <w:tc>
          <w:tcPr>
            <w:tcW w:w="851" w:type="dxa"/>
            <w:tcBorders>
              <w:top w:val="single" w:sz="4" w:space="0" w:color="auto"/>
              <w:bottom w:val="single" w:sz="4" w:space="0" w:color="auto"/>
            </w:tcBorders>
          </w:tcPr>
          <w:p w:rsidR="00FB62DB" w:rsidRPr="00392EFF" w:rsidRDefault="00FB62DB">
            <w:pPr>
              <w:spacing w:before="0"/>
              <w:rPr>
                <w:sz w:val="16"/>
              </w:rPr>
            </w:pPr>
            <w:r w:rsidRPr="00392EFF">
              <w:rPr>
                <w:sz w:val="16"/>
              </w:rPr>
              <w:t>400 000</w:t>
            </w:r>
            <w:r w:rsidRPr="00392EFF">
              <w:rPr>
                <w:sz w:val="16"/>
                <w:vertAlign w:val="superscript"/>
              </w:rPr>
              <w:t>3</w:t>
            </w:r>
          </w:p>
        </w:tc>
        <w:tc>
          <w:tcPr>
            <w:tcW w:w="567" w:type="dxa"/>
            <w:tcBorders>
              <w:top w:val="single" w:sz="4" w:space="0" w:color="auto"/>
              <w:bottom w:val="single" w:sz="4" w:space="0" w:color="auto"/>
            </w:tcBorders>
          </w:tcPr>
          <w:p w:rsidR="00FB62DB" w:rsidRPr="00392EFF" w:rsidRDefault="00FB62DB">
            <w:pPr>
              <w:spacing w:before="0"/>
              <w:rPr>
                <w:sz w:val="16"/>
              </w:rPr>
            </w:pPr>
            <w:r w:rsidRPr="00392EFF">
              <w:rPr>
                <w:sz w:val="16"/>
              </w:rPr>
              <w:t>7,7%</w:t>
            </w:r>
          </w:p>
        </w:tc>
        <w:tc>
          <w:tcPr>
            <w:tcW w:w="850" w:type="dxa"/>
            <w:tcBorders>
              <w:top w:val="single" w:sz="4" w:space="0" w:color="auto"/>
              <w:bottom w:val="single" w:sz="4" w:space="0" w:color="auto"/>
            </w:tcBorders>
          </w:tcPr>
          <w:p w:rsidR="00FB62DB" w:rsidRPr="00392EFF" w:rsidRDefault="00FB62DB">
            <w:pPr>
              <w:spacing w:before="0"/>
              <w:rPr>
                <w:sz w:val="16"/>
              </w:rPr>
            </w:pPr>
            <w:r w:rsidRPr="00392EFF">
              <w:rPr>
                <w:sz w:val="16"/>
              </w:rPr>
              <w:t>200 000</w:t>
            </w:r>
          </w:p>
        </w:tc>
        <w:tc>
          <w:tcPr>
            <w:tcW w:w="709" w:type="dxa"/>
            <w:tcBorders>
              <w:top w:val="single" w:sz="4" w:space="0" w:color="auto"/>
              <w:bottom w:val="single" w:sz="4" w:space="0" w:color="auto"/>
            </w:tcBorders>
          </w:tcPr>
          <w:p w:rsidR="00FB62DB" w:rsidRPr="00392EFF" w:rsidRDefault="00FB62DB">
            <w:pPr>
              <w:spacing w:before="0"/>
              <w:rPr>
                <w:sz w:val="16"/>
              </w:rPr>
            </w:pPr>
            <w:r w:rsidRPr="00392EFF">
              <w:rPr>
                <w:sz w:val="16"/>
              </w:rPr>
              <w:t>+3,8</w:t>
            </w:r>
          </w:p>
        </w:tc>
      </w:tr>
      <w:tr w:rsidR="00000000" w:rsidRPr="00392EFF">
        <w:tblPrEx>
          <w:tblCellMar>
            <w:top w:w="0" w:type="dxa"/>
            <w:bottom w:w="0" w:type="dxa"/>
          </w:tblCellMar>
        </w:tblPrEx>
        <w:trPr>
          <w:trHeight w:val="254"/>
        </w:trPr>
        <w:tc>
          <w:tcPr>
            <w:tcW w:w="1731" w:type="dxa"/>
            <w:tcBorders>
              <w:top w:val="single" w:sz="4" w:space="0" w:color="auto"/>
              <w:bottom w:val="single" w:sz="4" w:space="0" w:color="auto"/>
            </w:tcBorders>
          </w:tcPr>
          <w:p w:rsidR="00FB62DB" w:rsidRPr="00392EFF" w:rsidRDefault="00FB62DB">
            <w:pPr>
              <w:spacing w:before="0"/>
              <w:jc w:val="left"/>
              <w:rPr>
                <w:sz w:val="16"/>
              </w:rPr>
            </w:pPr>
            <w:r w:rsidRPr="00392EFF">
              <w:rPr>
                <w:sz w:val="16"/>
              </w:rPr>
              <w:t>Människor i arbete</w:t>
            </w:r>
          </w:p>
        </w:tc>
        <w:tc>
          <w:tcPr>
            <w:tcW w:w="993" w:type="dxa"/>
            <w:tcBorders>
              <w:top w:val="single" w:sz="4" w:space="0" w:color="auto"/>
              <w:bottom w:val="single" w:sz="4" w:space="0" w:color="auto"/>
            </w:tcBorders>
          </w:tcPr>
          <w:p w:rsidR="00FB62DB" w:rsidRPr="00392EFF" w:rsidRDefault="00FB62DB">
            <w:pPr>
              <w:spacing w:before="0"/>
              <w:rPr>
                <w:sz w:val="16"/>
              </w:rPr>
            </w:pPr>
            <w:r w:rsidRPr="00392EFF">
              <w:rPr>
                <w:sz w:val="16"/>
              </w:rPr>
              <w:t>3 604 600</w:t>
            </w:r>
          </w:p>
        </w:tc>
        <w:tc>
          <w:tcPr>
            <w:tcW w:w="708" w:type="dxa"/>
            <w:tcBorders>
              <w:top w:val="single" w:sz="4" w:space="0" w:color="auto"/>
              <w:bottom w:val="single" w:sz="4" w:space="0" w:color="auto"/>
            </w:tcBorders>
          </w:tcPr>
          <w:p w:rsidR="00FB62DB" w:rsidRPr="00392EFF" w:rsidRDefault="00FB62DB">
            <w:pPr>
              <w:spacing w:before="0"/>
              <w:rPr>
                <w:sz w:val="16"/>
              </w:rPr>
            </w:pPr>
            <w:r w:rsidRPr="00392EFF">
              <w:rPr>
                <w:sz w:val="16"/>
              </w:rPr>
              <w:t>70,1%</w:t>
            </w:r>
          </w:p>
        </w:tc>
        <w:tc>
          <w:tcPr>
            <w:tcW w:w="851" w:type="dxa"/>
            <w:tcBorders>
              <w:top w:val="single" w:sz="4" w:space="0" w:color="auto"/>
              <w:bottom w:val="single" w:sz="4" w:space="0" w:color="auto"/>
            </w:tcBorders>
          </w:tcPr>
          <w:p w:rsidR="00FB62DB" w:rsidRPr="00392EFF" w:rsidRDefault="00FB62DB">
            <w:pPr>
              <w:spacing w:before="0"/>
              <w:rPr>
                <w:sz w:val="16"/>
              </w:rPr>
            </w:pPr>
            <w:r w:rsidRPr="00392EFF">
              <w:rPr>
                <w:sz w:val="16"/>
              </w:rPr>
              <w:t>3 688 000</w:t>
            </w:r>
          </w:p>
        </w:tc>
        <w:tc>
          <w:tcPr>
            <w:tcW w:w="567" w:type="dxa"/>
            <w:tcBorders>
              <w:top w:val="single" w:sz="4" w:space="0" w:color="auto"/>
              <w:bottom w:val="single" w:sz="4" w:space="0" w:color="auto"/>
            </w:tcBorders>
          </w:tcPr>
          <w:p w:rsidR="00FB62DB" w:rsidRPr="00392EFF" w:rsidRDefault="00FB62DB">
            <w:pPr>
              <w:spacing w:before="0"/>
              <w:rPr>
                <w:sz w:val="16"/>
              </w:rPr>
            </w:pPr>
            <w:r w:rsidRPr="00392EFF">
              <w:rPr>
                <w:sz w:val="16"/>
              </w:rPr>
              <w:t>70,6%</w:t>
            </w:r>
          </w:p>
        </w:tc>
        <w:tc>
          <w:tcPr>
            <w:tcW w:w="850" w:type="dxa"/>
            <w:tcBorders>
              <w:top w:val="single" w:sz="4" w:space="0" w:color="auto"/>
              <w:bottom w:val="single" w:sz="4" w:space="0" w:color="auto"/>
            </w:tcBorders>
          </w:tcPr>
          <w:p w:rsidR="00FB62DB" w:rsidRPr="00392EFF" w:rsidRDefault="00FB62DB">
            <w:pPr>
              <w:spacing w:before="0"/>
              <w:rPr>
                <w:sz w:val="16"/>
              </w:rPr>
            </w:pPr>
            <w:r w:rsidRPr="00392EFF">
              <w:rPr>
                <w:sz w:val="16"/>
              </w:rPr>
              <w:t>83 400</w:t>
            </w:r>
          </w:p>
        </w:tc>
        <w:tc>
          <w:tcPr>
            <w:tcW w:w="709" w:type="dxa"/>
            <w:tcBorders>
              <w:top w:val="single" w:sz="4" w:space="0" w:color="auto"/>
              <w:bottom w:val="single" w:sz="4" w:space="0" w:color="auto"/>
            </w:tcBorders>
          </w:tcPr>
          <w:p w:rsidR="00FB62DB" w:rsidRPr="00392EFF" w:rsidRDefault="00FB62DB">
            <w:pPr>
              <w:spacing w:before="0"/>
              <w:rPr>
                <w:sz w:val="16"/>
              </w:rPr>
            </w:pPr>
            <w:r w:rsidRPr="00392EFF">
              <w:rPr>
                <w:sz w:val="16"/>
              </w:rPr>
              <w:t>+0,5</w:t>
            </w:r>
          </w:p>
        </w:tc>
      </w:tr>
    </w:tbl>
    <w:p w:rsidR="00FB62DB" w:rsidRPr="00392EFF" w:rsidRDefault="00FB62DB">
      <w:pPr>
        <w:pStyle w:val="Fotnotstext"/>
        <w:spacing w:before="125"/>
      </w:pPr>
      <w:r w:rsidRPr="00392EFF">
        <w:t>Källor: Regeringens utredning S 2000:7, SOU 2002:5 samt SCB, AKU</w:t>
      </w:r>
    </w:p>
    <w:p w:rsidR="00FB62DB" w:rsidRPr="00392EFF" w:rsidRDefault="00FB62DB">
      <w:pPr>
        <w:pStyle w:val="Fotnotstext"/>
      </w:pPr>
      <w:r w:rsidRPr="00392EFF">
        <w:t>1) Andel av befolkningen i åldrarna 20-64 år, samt förändring (sista kolumnen) av dessa andelar i procentenheter.</w:t>
      </w:r>
    </w:p>
    <w:p w:rsidR="00FB62DB" w:rsidRPr="00392EFF" w:rsidRDefault="00FB62DB">
      <w:pPr>
        <w:pStyle w:val="Fotnotstext"/>
      </w:pPr>
      <w:r w:rsidRPr="00392EFF">
        <w:t>2) Endast de personer som deltar i arbetsmarknadsåtgärder och som i AKU-statistiken räknas som sysselsatta (i arbetskraften). Detta är samma personer som regeringen räknar bort när de definierar sitt sysselsättningsmål (80 procent reguljärt sysselsatta i åldrarna 20-64 år). Raden ”Reguljärt sysselsatta” anger alltså de personer som räknas in i regeringens sysselsättningsmål, dock inte de som faktiskt arbetar. Antalet männ</w:t>
      </w:r>
      <w:r w:rsidRPr="00392EFF">
        <w:t>i</w:t>
      </w:r>
      <w:r w:rsidRPr="00392EFF">
        <w:t>skor i arbete kan utläsas på sista raden.</w:t>
      </w:r>
    </w:p>
    <w:p w:rsidR="00FB62DB" w:rsidRPr="00392EFF" w:rsidRDefault="00FB62DB">
      <w:pPr>
        <w:pStyle w:val="Fotnotstext"/>
      </w:pPr>
      <w:r w:rsidRPr="00392EFF">
        <w:t>3) I stort sett hela ökningen beror på att de längre sjukfallen har ökat.</w:t>
      </w:r>
    </w:p>
    <w:p w:rsidR="00FB62DB" w:rsidRPr="00392EFF" w:rsidRDefault="00FB62DB">
      <w:pPr>
        <w:pStyle w:val="Normaltindrag"/>
      </w:pPr>
    </w:p>
    <w:p w:rsidR="00FB62DB" w:rsidRPr="00392EFF" w:rsidRDefault="00FB62DB">
      <w:pPr>
        <w:pStyle w:val="Normaltindrag"/>
      </w:pPr>
      <w:bookmarkStart w:id="4" w:name="_Toc7864734"/>
      <w:r w:rsidRPr="00392EFF">
        <w:rPr>
          <w:i/>
        </w:rPr>
        <w:t xml:space="preserve">  </w:t>
      </w:r>
    </w:p>
    <w:p w:rsidR="00FB62DB" w:rsidRPr="00392EFF" w:rsidRDefault="00FB62DB">
      <w:pPr>
        <w:pStyle w:val="Normaltindrag"/>
      </w:pPr>
    </w:p>
    <w:p w:rsidR="00FB62DB" w:rsidRPr="00392EFF" w:rsidRDefault="00FB62DB">
      <w:r w:rsidRPr="00392EFF">
        <w:rPr>
          <w:i/>
          <w:sz w:val="18"/>
        </w:rPr>
        <w:br w:type="page"/>
        <w:t>Diagram 1. Sysselsättningsbubblan. Andelen reguljärt sysselsatta mellan 20 och 64 år</w:t>
      </w:r>
      <w:r w:rsidRPr="00392EFF">
        <w:rPr>
          <w:i/>
          <w:sz w:val="18"/>
          <w:vertAlign w:val="superscript"/>
        </w:rPr>
        <w:t>1</w:t>
      </w:r>
      <w:r w:rsidRPr="00392EFF">
        <w:rPr>
          <w:i/>
          <w:sz w:val="18"/>
        </w:rPr>
        <w:t>. Officiella tal och faktisk andel människor i arbete.</w:t>
      </w:r>
      <w:bookmarkEnd w:id="4"/>
    </w:p>
    <w:p w:rsidR="00FB62DB" w:rsidRPr="00392EFF" w:rsidRDefault="00392EFF">
      <w:pPr>
        <w:spacing w:line="240" w:lineRule="auto"/>
      </w:pPr>
      <w:r w:rsidRPr="00392EFF">
        <w:rPr>
          <w:noProof/>
        </w:rPr>
        <w:drawing>
          <wp:inline distT="0" distB="0" distL="0" distR="0">
            <wp:extent cx="3777615" cy="25800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7615" cy="2580005"/>
                    </a:xfrm>
                    <a:prstGeom prst="rect">
                      <a:avLst/>
                    </a:prstGeom>
                    <a:noFill/>
                    <a:ln>
                      <a:noFill/>
                    </a:ln>
                  </pic:spPr>
                </pic:pic>
              </a:graphicData>
            </a:graphic>
          </wp:inline>
        </w:drawing>
      </w:r>
    </w:p>
    <w:p w:rsidR="00FB62DB" w:rsidRPr="00392EFF" w:rsidRDefault="00FB62DB">
      <w:pPr>
        <w:pStyle w:val="Fotnotstext"/>
        <w:spacing w:before="125"/>
      </w:pPr>
      <w:r w:rsidRPr="00392EFF">
        <w:t>Källor: Regeringens utredning S 2000:7, SOU 2002:5 samt SCB, AKU</w:t>
      </w:r>
    </w:p>
    <w:p w:rsidR="00FB62DB" w:rsidRPr="00392EFF" w:rsidRDefault="00FB62DB">
      <w:pPr>
        <w:pStyle w:val="Fotnotstext"/>
        <w:spacing w:before="60"/>
      </w:pPr>
      <w:r w:rsidRPr="00392EFF">
        <w:t>1) I procent av befolkningen i samma åldersgrupp.</w:t>
      </w:r>
    </w:p>
    <w:p w:rsidR="00FB62DB" w:rsidRPr="00392EFF" w:rsidRDefault="00FB62DB">
      <w:pPr>
        <w:pStyle w:val="Normaltindrag"/>
      </w:pPr>
    </w:p>
    <w:p w:rsidR="00FB62DB" w:rsidRPr="00392EFF" w:rsidRDefault="00FB62DB">
      <w:pPr>
        <w:pStyle w:val="Normaltindrag"/>
      </w:pPr>
      <w:r w:rsidRPr="00392EFF">
        <w:rPr>
          <w:i/>
        </w:rPr>
        <w:t xml:space="preserve"> </w:t>
      </w:r>
      <w:r w:rsidRPr="00392EFF">
        <w:t>För att nå en hög, verklig sysselsättningsgrad krävs hög tillväxt. Förslag som kan bidra till en god ekonomisk tillväxt har emellertid lyst med sin frå</w:t>
      </w:r>
      <w:r w:rsidRPr="00392EFF">
        <w:t>n</w:t>
      </w:r>
      <w:r w:rsidRPr="00392EFF">
        <w:t>varo i budgetpropos</w:t>
      </w:r>
      <w:r w:rsidRPr="00392EFF">
        <w:t>i</w:t>
      </w:r>
      <w:r w:rsidRPr="00392EFF">
        <w:t>tionen.</w:t>
      </w:r>
    </w:p>
    <w:p w:rsidR="00FB62DB" w:rsidRPr="00392EFF" w:rsidRDefault="00FB62DB">
      <w:pPr>
        <w:pStyle w:val="Normaltindrag"/>
      </w:pPr>
      <w:r w:rsidRPr="00392EFF">
        <w:t>Trots den höga arbetslösheten råder det brist på arbetskraft främst inom den offentliga sektorn (bl.a. inom vård och omsorg). Fortfarande råder stora regionala olikheter. Den totala obalansen (dvs. öppet arbetslösa och deltagare i arbetsmarknadspolitiska program) var enligt AMS i september i Norrbottens län hela 12,1% medan den lå</w:t>
      </w:r>
      <w:r w:rsidRPr="00392EFF">
        <w:t>g som lägst i Stockholms län på 4,1 %. Det skall också sägas att obalanstalet för Stockholm ökat med närmare en procentenhet sedan september i fjol. Äldre, invandrare och personer med utländsk ba</w:t>
      </w:r>
      <w:r w:rsidRPr="00392EFF">
        <w:t>k</w:t>
      </w:r>
      <w:r w:rsidRPr="00392EFF">
        <w:t>grund och funktionshindrade har fortfarande en oacceptabelt låg sysselsät</w:t>
      </w:r>
      <w:r w:rsidRPr="00392EFF">
        <w:t>t</w:t>
      </w:r>
      <w:r w:rsidRPr="00392EFF">
        <w:t>ningsgrad och alltför höga arbetslö</w:t>
      </w:r>
      <w:r w:rsidRPr="00392EFF">
        <w:t>s</w:t>
      </w:r>
      <w:r w:rsidRPr="00392EFF">
        <w:t xml:space="preserve">hetstal. </w:t>
      </w:r>
    </w:p>
    <w:p w:rsidR="00FB62DB" w:rsidRPr="00392EFF" w:rsidRDefault="00FB62DB">
      <w:pPr>
        <w:pStyle w:val="Normaltindrag"/>
      </w:pPr>
      <w:r w:rsidRPr="00392EFF">
        <w:t>Regeringen tar lätt på de varningstecken som arbetsmarknaden uppvisar. Den osäkerhet som råder om den framtida ekonomiska utvecklingen manar oss till försiktighet. Sverige riskerar att drabbas hår</w:t>
      </w:r>
      <w:r w:rsidRPr="00392EFF">
        <w:t>t och det är absolut nö</w:t>
      </w:r>
      <w:r w:rsidRPr="00392EFF">
        <w:t>d</w:t>
      </w:r>
      <w:r w:rsidRPr="00392EFF">
        <w:t>vändigt att ha beredskap för ett försämrat arbetsmarknadsläge med stigande arbetslöshet. En höjning av den öppna arbetslösheten med 1 procentenhet ökar utgifterna under det statliga utgiftstaket med ca 7 miljarder kronor. En snabbt vikande ekonomi förvärrar en sedan tidigare dåligt fungerande arbet</w:t>
      </w:r>
      <w:r w:rsidRPr="00392EFF">
        <w:t>s</w:t>
      </w:r>
      <w:r w:rsidRPr="00392EFF">
        <w:t>marknad. Regeringen blundar för detta och vidtar inte de nödvändiga strukt</w:t>
      </w:r>
      <w:r w:rsidRPr="00392EFF">
        <w:t>u</w:t>
      </w:r>
      <w:r w:rsidRPr="00392EFF">
        <w:t>rella reformer och strategiska skattesänkningar som är nödvändiga för att ge den svenska ekonomin utvec</w:t>
      </w:r>
      <w:r w:rsidRPr="00392EFF">
        <w:t>k</w:t>
      </w:r>
      <w:r w:rsidRPr="00392EFF">
        <w:t>lingskraf</w:t>
      </w:r>
      <w:r w:rsidRPr="00392EFF">
        <w:t xml:space="preserve">t. </w:t>
      </w:r>
    </w:p>
    <w:p w:rsidR="00FB62DB" w:rsidRPr="00392EFF" w:rsidRDefault="00FB62DB">
      <w:pPr>
        <w:pStyle w:val="Normaltindrag"/>
      </w:pPr>
      <w:r w:rsidRPr="00392EFF">
        <w:t>Vi är övertygade om att en helt annan politik måste till för att komma till rätta med de strukturella problemen på arbetsmarknaden. Den ekonomiska politiken måste långsiktigt stärka incitamenten till företagande, arbete och utbildning. Skattesänkningar behövs på arbete, företagande och hushåll</w:t>
      </w:r>
      <w:r w:rsidRPr="00392EFF">
        <w:t>s</w:t>
      </w:r>
      <w:r w:rsidRPr="00392EFF">
        <w:t>tjänster. Företagarnas villkor måste förbättras, en allmän avreglering måste genomföras, offentliga monopol slopas och socialförsäkringarna refo</w:t>
      </w:r>
      <w:r w:rsidRPr="00392EFF">
        <w:t>r</w:t>
      </w:r>
      <w:r w:rsidRPr="00392EFF">
        <w:t>meras.</w:t>
      </w:r>
    </w:p>
    <w:p w:rsidR="00FB62DB" w:rsidRPr="00392EFF" w:rsidRDefault="00FB62DB">
      <w:pPr>
        <w:pStyle w:val="Normaltindrag"/>
      </w:pPr>
      <w:r w:rsidRPr="00392EFF">
        <w:t>Sammantaget är vi mycket oroade för utvecklingen på den svenska a</w:t>
      </w:r>
      <w:r w:rsidRPr="00392EFF">
        <w:t>r</w:t>
      </w:r>
      <w:r w:rsidRPr="00392EFF">
        <w:t xml:space="preserve">betsmarknaden. </w:t>
      </w:r>
    </w:p>
    <w:p w:rsidR="00FB62DB" w:rsidRPr="00392EFF" w:rsidRDefault="00FB62DB">
      <w:pPr>
        <w:pStyle w:val="Yttrandepunkt"/>
        <w:rPr>
          <w:noProof w:val="0"/>
        </w:rPr>
      </w:pPr>
      <w:r w:rsidRPr="00392EFF">
        <w:rPr>
          <w:noProof w:val="0"/>
        </w:rPr>
        <w:t>2. Ramar för utgiftsområdena 13 Arbetsmarknad och 14 Arbetsliv (m)</w:t>
      </w:r>
    </w:p>
    <w:p w:rsidR="00FB62DB" w:rsidRPr="00392EFF" w:rsidRDefault="00FB62DB">
      <w:pPr>
        <w:pStyle w:val="Reservanter"/>
      </w:pPr>
      <w:r w:rsidRPr="00392EFF">
        <w:t>av Anders G Högmark (m), Patrik Norinder (m) och Henrik Westman (m) som anför följande.</w:t>
      </w:r>
    </w:p>
    <w:p w:rsidR="00FB62DB" w:rsidRPr="00392EFF" w:rsidRDefault="00FB62DB">
      <w:pPr>
        <w:pStyle w:val="Rubrik4"/>
        <w:rPr>
          <w:noProof w:val="0"/>
        </w:rPr>
      </w:pPr>
      <w:r w:rsidRPr="00392EFF">
        <w:rPr>
          <w:noProof w:val="0"/>
        </w:rPr>
        <w:t>Utgiftsområde 13</w:t>
      </w:r>
    </w:p>
    <w:p w:rsidR="00FB62DB" w:rsidRPr="00392EFF" w:rsidRDefault="00FB62DB">
      <w:r w:rsidRPr="00392EFF">
        <w:t xml:space="preserve">Vi moderater föreslår att ramen för utgiftsområde 13 bestäms till 55 845 miljoner kronor år 2003 och 44 495 miljoner kronor år 2004. </w:t>
      </w:r>
    </w:p>
    <w:p w:rsidR="00FB62DB" w:rsidRPr="00392EFF" w:rsidRDefault="00FB62DB">
      <w:pPr>
        <w:pStyle w:val="Normaltindrag"/>
      </w:pPr>
      <w:r w:rsidRPr="00392EFF">
        <w:t>Vi föreslår att en allmän arbetslöshetsförsäkring införs. Den bör vara en omställningsförsäkring och administreras av staten. Dagens fasta avgifter ersätts med en försäkringspremie vars storlek relateras till månadslönen. Premien skall vara 2 % av ersättningsberättigad inkomst och vara avdragsgill vid inkomstbeskattningen. Det överskott som finns i dagens a-kassor bör överföras till den nya försäkringen. Genom att införa en sådan premie räknar vi med att utgifterna under utgiftsområdet kan minska med 2,1 m</w:t>
      </w:r>
      <w:r w:rsidRPr="00392EFF">
        <w:t>iljarder kronor år 2003 och med 8,6 miljarder kronor år 2004. Förslaget om egenf</w:t>
      </w:r>
      <w:r w:rsidRPr="00392EFF">
        <w:t>i</w:t>
      </w:r>
      <w:r w:rsidRPr="00392EFF">
        <w:t>nansiering av en ny arbetslöshetsförsäkring förutsätter att de skattesänkningar som vi moderater föreslår i vår motion om den ekonomiska politiken, Fi231, genomförs.</w:t>
      </w:r>
    </w:p>
    <w:p w:rsidR="00FB62DB" w:rsidRPr="00392EFF" w:rsidRDefault="00FB62DB">
      <w:pPr>
        <w:pStyle w:val="Normaltindrag"/>
      </w:pPr>
      <w:r w:rsidRPr="00392EFF">
        <w:t>Vad gäller förmedlingsverksamhet anser vi att förmedling av arbete</w:t>
      </w:r>
      <w:r w:rsidRPr="00392EFF">
        <w:rPr>
          <w:i/>
        </w:rPr>
        <w:t xml:space="preserve"> </w:t>
      </w:r>
      <w:r w:rsidRPr="00392EFF">
        <w:t>skall vara individuell och effektiv. Andra aktörer än staten skall kunna bedriva arbetsförmedlingsverksamhet. Lokala arbetsförmedlingar bör avknoppas från AMS. Rekryteringsföretag kan hjälpa nya grupper av arbetssökande. Speci</w:t>
      </w:r>
      <w:r w:rsidRPr="00392EFF">
        <w:t>a</w:t>
      </w:r>
      <w:r w:rsidRPr="00392EFF">
        <w:t>listförmedlingar bör kunna växa fram och bemanningsföretagen vidga sina arbetsfält. Arbetsförmedling skall vara kostnadsfri för den som är arbetslös. En ny effektiv myndighet bör ersätta AMS</w:t>
      </w:r>
      <w:r w:rsidRPr="00392EFF">
        <w:rPr>
          <w:i/>
        </w:rPr>
        <w:t>.</w:t>
      </w:r>
      <w:r w:rsidRPr="00392EFF">
        <w:t xml:space="preserve"> Den skall ansvara för att godta</w:t>
      </w:r>
      <w:r w:rsidRPr="00392EFF">
        <w:t>g</w:t>
      </w:r>
      <w:r w:rsidRPr="00392EFF">
        <w:t>bara förmedlingstjänster erbjuds över hela landet, administr</w:t>
      </w:r>
      <w:r w:rsidRPr="00392EFF">
        <w:t>era schabloniser</w:t>
      </w:r>
      <w:r w:rsidRPr="00392EFF">
        <w:t>a</w:t>
      </w:r>
      <w:r w:rsidRPr="00392EFF">
        <w:t>de arbetsmarknadspolitiska stöd som flytt- och starta-eget-bidrag och fördela de medel som anslås över statsbudgeten för övriga insatser.</w:t>
      </w:r>
    </w:p>
    <w:p w:rsidR="00FB62DB" w:rsidRPr="00392EFF" w:rsidRDefault="00FB62DB">
      <w:pPr>
        <w:pStyle w:val="Normaltindrag"/>
      </w:pPr>
      <w:r w:rsidRPr="00392EFF">
        <w:t>Flera av de arbetsmarknadspolitiska programmen och aktivitetsgarantin bör slopas till förmån för mer individuellt inriktade insatser. Utbildning bör utg</w:t>
      </w:r>
      <w:r w:rsidRPr="00392EFF">
        <w:t>ö</w:t>
      </w:r>
      <w:r w:rsidRPr="00392EFF">
        <w:t xml:space="preserve">ra den dominerande insatsen. </w:t>
      </w:r>
    </w:p>
    <w:p w:rsidR="00FB62DB" w:rsidRPr="00392EFF" w:rsidRDefault="00FB62DB">
      <w:pPr>
        <w:pStyle w:val="Normaltindrag"/>
      </w:pPr>
      <w:r w:rsidRPr="00392EFF">
        <w:t>Sammantaget föreslår vi att utgiftsområdet minskas i förhållande till r</w:t>
      </w:r>
      <w:r w:rsidRPr="00392EFF">
        <w:t>e</w:t>
      </w:r>
      <w:r w:rsidRPr="00392EFF">
        <w:t>geringens förslag med 4 462 miljoner kronor år 2003 och med 14 626 milj</w:t>
      </w:r>
      <w:r w:rsidRPr="00392EFF">
        <w:t>o</w:t>
      </w:r>
      <w:r w:rsidRPr="00392EFF">
        <w:t>ner kr</w:t>
      </w:r>
      <w:r w:rsidRPr="00392EFF">
        <w:t>o</w:t>
      </w:r>
      <w:r w:rsidRPr="00392EFF">
        <w:t>nor år 2004.</w:t>
      </w:r>
    </w:p>
    <w:p w:rsidR="00FB62DB" w:rsidRPr="00392EFF" w:rsidRDefault="00FB62DB">
      <w:pPr>
        <w:pStyle w:val="Rubrik4"/>
        <w:rPr>
          <w:noProof w:val="0"/>
        </w:rPr>
      </w:pPr>
      <w:r w:rsidRPr="00392EFF">
        <w:rPr>
          <w:noProof w:val="0"/>
        </w:rPr>
        <w:t>Utgiftsområde 14</w:t>
      </w:r>
    </w:p>
    <w:p w:rsidR="00FB62DB" w:rsidRPr="00392EFF" w:rsidRDefault="00FB62DB">
      <w:r w:rsidRPr="00392EFF">
        <w:t>Vi föreslår att ramen för utgiftsområde 14 bestäms till 1 065 miljoner kronor år 2003 och 836 miljoner kronor år 2004.</w:t>
      </w:r>
    </w:p>
    <w:p w:rsidR="00FB62DB" w:rsidRPr="00392EFF" w:rsidRDefault="00FB62DB">
      <w:pPr>
        <w:pStyle w:val="Normaltindrag"/>
        <w:rPr>
          <w:i/>
        </w:rPr>
      </w:pPr>
      <w:r w:rsidRPr="00392EFF">
        <w:t>Vi föreslår en delvis annan myndighetsstruktur än regeringen på utgiftso</w:t>
      </w:r>
      <w:r w:rsidRPr="00392EFF">
        <w:t>m</w:t>
      </w:r>
      <w:r w:rsidRPr="00392EFF">
        <w:t>rådet. Jämställdhetsombudsmannen (JämO) och Ombudsmannen mot diskr</w:t>
      </w:r>
      <w:r w:rsidRPr="00392EFF">
        <w:t>i</w:t>
      </w:r>
      <w:r w:rsidRPr="00392EFF">
        <w:t>minering på grund av sexuell läggning (HomO) bör läggas samman med Ombudsmannen mot etnisk diskriminering och Handikappombudsmannen till en ombudsmannamyndighet. Genom en sammanslagning av myndigheter eftersträvar vi att uppnå dels ökad slagkraft i arbetet mot diskriminering oa</w:t>
      </w:r>
      <w:r w:rsidRPr="00392EFF">
        <w:t>k</w:t>
      </w:r>
      <w:r w:rsidRPr="00392EFF">
        <w:t>tat på vilka grunder den sker, dels administrativa samordningsvinster och besparingar. Medlingsinstitutets</w:t>
      </w:r>
      <w:r w:rsidRPr="00392EFF">
        <w:rPr>
          <w:i/>
        </w:rPr>
        <w:t xml:space="preserve"> </w:t>
      </w:r>
      <w:r w:rsidRPr="00392EFF">
        <w:t>uppdrag begränsas och anslagna medel red</w:t>
      </w:r>
      <w:r w:rsidRPr="00392EFF">
        <w:t>u</w:t>
      </w:r>
      <w:r w:rsidRPr="00392EFF">
        <w:t>ceras. I övrigt b</w:t>
      </w:r>
      <w:r w:rsidRPr="00392EFF">
        <w:t>ör arbetsmarknadsmyndigheternas förvaltningskostnader successivt reduc</w:t>
      </w:r>
      <w:r w:rsidRPr="00392EFF">
        <w:t>e</w:t>
      </w:r>
      <w:r w:rsidRPr="00392EFF">
        <w:t>ras</w:t>
      </w:r>
      <w:r w:rsidRPr="00392EFF">
        <w:rPr>
          <w:i/>
        </w:rPr>
        <w:t>.</w:t>
      </w:r>
    </w:p>
    <w:p w:rsidR="00FB62DB" w:rsidRPr="00392EFF" w:rsidRDefault="00FB62DB">
      <w:pPr>
        <w:pStyle w:val="Normaltindrag"/>
      </w:pPr>
      <w:r w:rsidRPr="00392EFF">
        <w:t>Våra förslag innebär att ramen för utgiftsområdet kan minskas i förhålla</w:t>
      </w:r>
      <w:r w:rsidRPr="00392EFF">
        <w:t>n</w:t>
      </w:r>
      <w:r w:rsidRPr="00392EFF">
        <w:t>de till regeringens förslag med 83 miljoner kronor år 2003 och 234 miljoner kr</w:t>
      </w:r>
      <w:r w:rsidRPr="00392EFF">
        <w:t>o</w:t>
      </w:r>
      <w:r w:rsidRPr="00392EFF">
        <w:t>nor år 2004.</w:t>
      </w:r>
    </w:p>
    <w:p w:rsidR="00FB62DB" w:rsidRPr="00392EFF" w:rsidRDefault="00FB62DB">
      <w:pPr>
        <w:pStyle w:val="Rubrik4"/>
        <w:rPr>
          <w:noProof w:val="0"/>
        </w:rPr>
      </w:pPr>
      <w:r w:rsidRPr="00392EFF">
        <w:rPr>
          <w:noProof w:val="0"/>
        </w:rPr>
        <w:t>Slutsats</w:t>
      </w:r>
    </w:p>
    <w:p w:rsidR="00FB62DB" w:rsidRPr="00392EFF" w:rsidRDefault="00FB62DB">
      <w:r w:rsidRPr="00392EFF">
        <w:t>Finansutskottet bör enligt vårt förmenande tillstyrka vår motion Fi231 yrka</w:t>
      </w:r>
      <w:r w:rsidRPr="00392EFF">
        <w:t>n</w:t>
      </w:r>
      <w:r w:rsidRPr="00392EFF">
        <w:t>dena 5 och 6 (båda i denna del).</w:t>
      </w:r>
    </w:p>
    <w:p w:rsidR="00FB62DB" w:rsidRPr="00392EFF" w:rsidRDefault="00FB62DB">
      <w:pPr>
        <w:pStyle w:val="Yttrandepunkt"/>
        <w:rPr>
          <w:noProof w:val="0"/>
        </w:rPr>
      </w:pPr>
      <w:r w:rsidRPr="00392EFF">
        <w:rPr>
          <w:noProof w:val="0"/>
        </w:rPr>
        <w:t>3. Ramar för utgiftsområdena 13 Arbetsmarknad och 14 Arbetsliv</w:t>
      </w:r>
    </w:p>
    <w:p w:rsidR="00FB62DB" w:rsidRPr="00392EFF" w:rsidRDefault="00FB62DB">
      <w:pPr>
        <w:pStyle w:val="Reservanter"/>
      </w:pPr>
      <w:r w:rsidRPr="00392EFF">
        <w:t>av Erik Ullenhag (fp) och Tina Acketoft (fp) som anför följande.</w:t>
      </w:r>
    </w:p>
    <w:p w:rsidR="00FB62DB" w:rsidRPr="00392EFF" w:rsidRDefault="00FB62DB">
      <w:r w:rsidRPr="00392EFF">
        <w:t>Den ekonomiska politik vi i Folkpartiet föreslår i vår ekonomiskpolitiska motion Fi232 ger både starkare samhällsekonomi och starkare statsfinanser. Med den ekonomiska politiken tillsammans med de förslag till reformer på bl.a. arbetsmarknadens område som vi föreslår räknar vi med en högre sysse</w:t>
      </w:r>
      <w:r w:rsidRPr="00392EFF">
        <w:t>l</w:t>
      </w:r>
      <w:r w:rsidRPr="00392EFF">
        <w:t>sättning än den som kan åstadkommas med regeringens politik. Vi föreslår att ramen för utgiftsområde 13 anpassas nedåt i förhållande till regeringens fö</w:t>
      </w:r>
      <w:r w:rsidRPr="00392EFF">
        <w:t>r</w:t>
      </w:r>
      <w:r w:rsidRPr="00392EFF">
        <w:t>slag med 12 900 miljoner kronor år 2003 och 13 900 miljoner kr</w:t>
      </w:r>
      <w:r w:rsidRPr="00392EFF">
        <w:t>o</w:t>
      </w:r>
      <w:r w:rsidRPr="00392EFF">
        <w:t>nor år 2004.</w:t>
      </w:r>
    </w:p>
    <w:p w:rsidR="00FB62DB" w:rsidRPr="00392EFF" w:rsidRDefault="00FB62DB">
      <w:pPr>
        <w:pStyle w:val="Normaltindrag"/>
      </w:pPr>
      <w:r w:rsidRPr="00392EFF">
        <w:t>Reformerna är också nödvändiga av ekonomiska och sociala skäl. Med hänsyn till den svagare utvecklingen av svensk ekonomi som vi tillsammans med företrädarna för Moderaterna, Kristdemokraterna och Centern tecknat en bild av är det dessutom nödvändigt med besparingar på utgiftsområd</w:t>
      </w:r>
      <w:r w:rsidRPr="00392EFF">
        <w:t xml:space="preserve">et. </w:t>
      </w:r>
    </w:p>
    <w:p w:rsidR="00FB62DB" w:rsidRPr="00392EFF" w:rsidRDefault="00FB62DB">
      <w:pPr>
        <w:pStyle w:val="Normaltindrag"/>
      </w:pPr>
      <w:r w:rsidRPr="00392EFF">
        <w:t>För att förbättra arbetsmarknadens funktionssätt bör arbetsmarknadspolit</w:t>
      </w:r>
      <w:r w:rsidRPr="00392EFF">
        <w:t>i</w:t>
      </w:r>
      <w:r w:rsidRPr="00392EFF">
        <w:t>ken reformeras. Den enskilde individen måste ges större frihet att finna vägar till arbete. Bemanningsföretag och privata arbetsförmedlingar bör i betydande omfattning kunna ta över de statliga arbetsförmedlingarnas verksamhet. A</w:t>
      </w:r>
      <w:r w:rsidRPr="00392EFF">
        <w:t>r</w:t>
      </w:r>
      <w:r w:rsidRPr="00392EFF">
        <w:t>betsmarknadsverkets förvaltningskostnader minskar därmed väsentligt. A</w:t>
      </w:r>
      <w:r w:rsidRPr="00392EFF">
        <w:t>n</w:t>
      </w:r>
      <w:r w:rsidRPr="00392EFF">
        <w:t>talet personer i arbetsmarknadspol</w:t>
      </w:r>
      <w:r w:rsidRPr="00392EFF">
        <w:t>i</w:t>
      </w:r>
      <w:r w:rsidRPr="00392EFF">
        <w:t xml:space="preserve">tiska åtgärder minskar också. </w:t>
      </w:r>
    </w:p>
    <w:p w:rsidR="00FB62DB" w:rsidRPr="00392EFF" w:rsidRDefault="00FB62DB">
      <w:pPr>
        <w:pStyle w:val="Normaltindrag"/>
      </w:pPr>
      <w:r w:rsidRPr="00392EFF">
        <w:t>En ökad avgiftsfinansiering i arbetslöshetsförsäkringen (ungefär 1/3 av premien), som motsvaras av en skattesänkning, innebär att statens utgift</w:t>
      </w:r>
      <w:r w:rsidRPr="00392EFF">
        <w:t>er kan minska med ungefär 7,3 miljarder kronor. I vårt förslag till ram ingår också en ökning av anslaget för särskilda insatser för arbetshandikappade.</w:t>
      </w:r>
    </w:p>
    <w:p w:rsidR="00FB62DB" w:rsidRPr="00392EFF" w:rsidRDefault="00FB62DB">
      <w:pPr>
        <w:pStyle w:val="Normaltindrag"/>
      </w:pPr>
      <w:r w:rsidRPr="00392EFF">
        <w:t>Vi anser att ramen för utgiftsområde 13 bör bestämmas till 47 407 miljoner kronor år 2003 och 45 221 miljoner kronor år 2004.  Ramen för utgiftsområde 14 bör bestämmas till 937 miljoner kronor år 2003 och 859 miljoner kronor år 2004. Med det vill vi förorda att finansutskottet tillstyrker motion Fi232 y</w:t>
      </w:r>
      <w:r w:rsidRPr="00392EFF">
        <w:t>r</w:t>
      </w:r>
      <w:r w:rsidRPr="00392EFF">
        <w:t>kandena  6 och 7 (båda i denna del).</w:t>
      </w:r>
    </w:p>
    <w:p w:rsidR="00FB62DB" w:rsidRPr="00392EFF" w:rsidRDefault="00FB62DB">
      <w:r w:rsidRPr="00392EFF">
        <w:t xml:space="preserve"> </w:t>
      </w:r>
    </w:p>
    <w:p w:rsidR="00FB62DB" w:rsidRPr="00392EFF" w:rsidRDefault="00FB62DB">
      <w:pPr>
        <w:pStyle w:val="Yttrandepunkt"/>
        <w:rPr>
          <w:noProof w:val="0"/>
        </w:rPr>
      </w:pPr>
      <w:r w:rsidRPr="00392EFF">
        <w:rPr>
          <w:noProof w:val="0"/>
        </w:rPr>
        <w:t>4. Ramar för utgiftsområdena 13 Arbetsmarknad och 14 Arbetsliv (kd)</w:t>
      </w:r>
    </w:p>
    <w:p w:rsidR="00FB62DB" w:rsidRPr="00392EFF" w:rsidRDefault="00FB62DB">
      <w:pPr>
        <w:pStyle w:val="Reservanter"/>
      </w:pPr>
      <w:r w:rsidRPr="00392EFF">
        <w:t>av Annelie Enochson (kd) som anför följande.</w:t>
      </w:r>
    </w:p>
    <w:p w:rsidR="00FB62DB" w:rsidRPr="00392EFF" w:rsidRDefault="00FB62DB">
      <w:r w:rsidRPr="00392EFF">
        <w:rPr>
          <w:i/>
        </w:rPr>
        <w:t>Utgiftsområde 13</w:t>
      </w:r>
    </w:p>
    <w:p w:rsidR="00FB62DB" w:rsidRPr="00392EFF" w:rsidRDefault="00FB62DB">
      <w:r w:rsidRPr="00392EFF">
        <w:t xml:space="preserve">Vi kristdemokrater föreslår att ramen för utgiftsområde 13 bestäms till 51 952 miljoner kronor år 2003 och 47 566 miljoner kronor år 2004.  </w:t>
      </w:r>
    </w:p>
    <w:p w:rsidR="00FB62DB" w:rsidRPr="00392EFF" w:rsidRDefault="00FB62DB">
      <w:pPr>
        <w:pStyle w:val="Normaltindrag"/>
      </w:pPr>
      <w:r w:rsidRPr="00392EFF">
        <w:t>Vi föreslår en självfinansieringsgrad med 33 % inom en allmän och obl</w:t>
      </w:r>
      <w:r w:rsidRPr="00392EFF">
        <w:t>i</w:t>
      </w:r>
      <w:r w:rsidRPr="00392EFF">
        <w:t>gatorisk arbetslöshetsförsäkring. Vi menar att den totala arbetslöshetens u</w:t>
      </w:r>
      <w:r w:rsidRPr="00392EFF">
        <w:t>t</w:t>
      </w:r>
      <w:r w:rsidRPr="00392EFF">
        <w:t>veckling bör återspeglas i löntagarnas avgifter till arbetslöshetsförsäkringen. Genom en högre grad av avgiftsfinansiering uppnås också ett bättre samband mellan lönebildning och arbetslöshet. Det innebär att en ökad arbetslöshet, som en följd av dålig lönebildning, med vårt förslag ökar kostnaden för den enskildes egenfinansiering av försäkringen. Den enskilde bör kompenseras genom sänkt inkomstskatt. Även regelverket i övrigt för</w:t>
      </w:r>
      <w:r w:rsidRPr="00392EFF">
        <w:t xml:space="preserve"> arbetslöshetsförsä</w:t>
      </w:r>
      <w:r w:rsidRPr="00392EFF">
        <w:t>k</w:t>
      </w:r>
      <w:r w:rsidRPr="00392EFF">
        <w:t xml:space="preserve">ringen bör ändras så att de hinder som finns i dag för människor att ta ett arbete undanröjs. De förändringar som vi förordar på detta område skulle innebära att ramen för utgiftsområdet kan minskas kraftigt. </w:t>
      </w:r>
    </w:p>
    <w:p w:rsidR="00FB62DB" w:rsidRPr="00392EFF" w:rsidRDefault="00FB62DB">
      <w:pPr>
        <w:pStyle w:val="Normaltindrag"/>
      </w:pPr>
      <w:r w:rsidRPr="00392EFF">
        <w:t>Vi kristdemokrater föreslår också ökade resurser för fler tjänster inom bl.a. vård, omsorg och skola, företags- och tillväxtfrämjande åtgärder och sänkt skatt för hushållsnära tjänster. Dessa åtgärder beräknas medföra att kostn</w:t>
      </w:r>
      <w:r w:rsidRPr="00392EFF">
        <w:t>a</w:t>
      </w:r>
      <w:r w:rsidRPr="00392EFF">
        <w:t>derna för arbetslöshetsförsäkringen och de arbetsmarknadspolitiska åtgärde</w:t>
      </w:r>
      <w:r w:rsidRPr="00392EFF">
        <w:t>r</w:t>
      </w:r>
      <w:r w:rsidRPr="00392EFF">
        <w:t xml:space="preserve">na minskar något. </w:t>
      </w:r>
    </w:p>
    <w:p w:rsidR="00FB62DB" w:rsidRPr="00392EFF" w:rsidRDefault="00FB62DB">
      <w:pPr>
        <w:pStyle w:val="Normaltindrag"/>
        <w:rPr>
          <w:b/>
        </w:rPr>
      </w:pPr>
      <w:r w:rsidRPr="00392EFF">
        <w:t>I dag finns det alltför många arbetsmarknadspolitiska åtgärder, alla med olika regelverk. För att frigöra resurser för arbetsgivare, arbetssökande och arbetsförmedlingar måste regelsystemen för de arbetsmarknadspolitiska å</w:t>
      </w:r>
      <w:r w:rsidRPr="00392EFF">
        <w:t>t</w:t>
      </w:r>
      <w:r w:rsidRPr="00392EFF">
        <w:t>gärderna förenklas och antalet åtgärder minska. Länsarbetsnämnderna bör avvecklas som självständiga myndigheter. Flyttningsbidraget bör avvecklas eftersom flyttningar i allt väsentligt sker utan ekonomisk stimulans. Försök till</w:t>
      </w:r>
      <w:r w:rsidRPr="00392EFF">
        <w:rPr>
          <w:i/>
        </w:rPr>
        <w:t xml:space="preserve"> </w:t>
      </w:r>
      <w:r w:rsidRPr="00392EFF">
        <w:t>friår</w:t>
      </w:r>
      <w:r w:rsidRPr="00392EFF">
        <w:rPr>
          <w:i/>
        </w:rPr>
        <w:t xml:space="preserve"> </w:t>
      </w:r>
      <w:r w:rsidRPr="00392EFF">
        <w:t>bör kunna genomföras inom befintliga ramar.</w:t>
      </w:r>
    </w:p>
    <w:p w:rsidR="00FB62DB" w:rsidRPr="00392EFF" w:rsidRDefault="00FB62DB">
      <w:pPr>
        <w:pStyle w:val="Normaltindrag"/>
        <w:rPr>
          <w:highlight w:val="yellow"/>
        </w:rPr>
      </w:pPr>
      <w:r w:rsidRPr="00392EFF">
        <w:t>Kristdemokraternas förslag som i korthet har beskrivits här innebär att r</w:t>
      </w:r>
      <w:r w:rsidRPr="00392EFF">
        <w:t>a</w:t>
      </w:r>
      <w:r w:rsidRPr="00392EFF">
        <w:t xml:space="preserve">men för utgiftsområdet kan minskas i förhållande till regeringens förslag med 8 355 miljoner kronor år 2003 och 11 555 miljoner kronor år 2004. </w:t>
      </w:r>
    </w:p>
    <w:p w:rsidR="00FB62DB" w:rsidRPr="00392EFF" w:rsidRDefault="00FB62DB">
      <w:pPr>
        <w:pStyle w:val="Rubrik4"/>
        <w:rPr>
          <w:noProof w:val="0"/>
        </w:rPr>
      </w:pPr>
      <w:r w:rsidRPr="00392EFF">
        <w:rPr>
          <w:noProof w:val="0"/>
        </w:rPr>
        <w:t>Utgiftsområde 14</w:t>
      </w:r>
    </w:p>
    <w:p w:rsidR="00FB62DB" w:rsidRPr="00392EFF" w:rsidRDefault="00FB62DB">
      <w:r w:rsidRPr="00392EFF">
        <w:t>Vi föreslår att ramen för utgiftsområde 14 bestäms till 942 miljoner kronor år 2003 och 861 miljoner kronor år 2004.</w:t>
      </w:r>
    </w:p>
    <w:p w:rsidR="00FB62DB" w:rsidRPr="00392EFF" w:rsidRDefault="00FB62DB">
      <w:pPr>
        <w:pStyle w:val="Normaltindrag"/>
      </w:pPr>
      <w:r w:rsidRPr="00392EFF">
        <w:t>Enligt Kristdemokraternas uppfattning finns det utrymme för besparingar på Arbetsmiljöverket efter sammanslagningen av Arbetarskyddsstyrelsen och de regionala yrkesinspektionerna. Arbetsmiljöverket får engångssatsningar på 80 miljoner kronor. Eftersom vi föreslår en ny och samordnad rehabilitering</w:t>
      </w:r>
      <w:r w:rsidRPr="00392EFF">
        <w:t>s</w:t>
      </w:r>
      <w:r w:rsidRPr="00392EFF">
        <w:t xml:space="preserve">försäkring kan dessa medel sparas in. En viss rationaliseringsmöjlighet bör finnas på  Medlingsinstitutet. </w:t>
      </w:r>
    </w:p>
    <w:p w:rsidR="00FB62DB" w:rsidRPr="00392EFF" w:rsidRDefault="00FB62DB">
      <w:pPr>
        <w:pStyle w:val="Normaltindrag"/>
      </w:pPr>
      <w:r w:rsidRPr="00392EFF">
        <w:t>Arbetslivsinstitutet (ALI) bör ses över i grunden och på tre års sikt kunna avvecklas. Administrationen och samordningen av Arbetslivsinstitutets fors</w:t>
      </w:r>
      <w:r w:rsidRPr="00392EFF">
        <w:t>k</w:t>
      </w:r>
      <w:r w:rsidRPr="00392EFF">
        <w:t>ning bör kunna överföras till Arbetsmiljöverket och forskningen bedrivas vid högskolor och andra institut. De bidrag som institutet fördelar till fackliga organisationer bör avvecklas, först med en halvering till år 2003. Stödet för utbildning av regionala skyddsombud bör hanteras av Arbetsmilj</w:t>
      </w:r>
      <w:r w:rsidRPr="00392EFF">
        <w:t>ö</w:t>
      </w:r>
      <w:r w:rsidRPr="00392EFF">
        <w:t>verket.</w:t>
      </w:r>
    </w:p>
    <w:p w:rsidR="00FB62DB" w:rsidRPr="00392EFF" w:rsidRDefault="00FB62DB">
      <w:pPr>
        <w:pStyle w:val="Normaltindrag"/>
      </w:pPr>
      <w:r w:rsidRPr="00392EFF">
        <w:t>Våra förslag innebär att utgiftsområdet bör minskas med 206 miljoner kr</w:t>
      </w:r>
      <w:r w:rsidRPr="00392EFF">
        <w:t>o</w:t>
      </w:r>
      <w:r w:rsidRPr="00392EFF">
        <w:t xml:space="preserve">nor år 2003 och 209 miljoner kronor år 2004. </w:t>
      </w:r>
    </w:p>
    <w:p w:rsidR="00FB62DB" w:rsidRPr="00392EFF" w:rsidRDefault="00FB62DB">
      <w:pPr>
        <w:pStyle w:val="Rubrik4"/>
        <w:rPr>
          <w:noProof w:val="0"/>
        </w:rPr>
      </w:pPr>
      <w:r w:rsidRPr="00392EFF">
        <w:rPr>
          <w:noProof w:val="0"/>
        </w:rPr>
        <w:t>Slutsats</w:t>
      </w:r>
    </w:p>
    <w:p w:rsidR="00FB62DB" w:rsidRPr="00392EFF" w:rsidRDefault="00FB62DB">
      <w:r w:rsidRPr="00392EFF">
        <w:t>Jag förordar ett tillstyrkande av Kristdemokraternas motion Fi233 yrkandena  8 och 9 (båda i denna del).</w:t>
      </w:r>
    </w:p>
    <w:p w:rsidR="00FB62DB" w:rsidRPr="00392EFF" w:rsidRDefault="00FB62DB"/>
    <w:p w:rsidR="00FB62DB" w:rsidRPr="00392EFF" w:rsidRDefault="00FB62DB">
      <w:pPr>
        <w:pStyle w:val="Yttrandepunkt"/>
        <w:rPr>
          <w:noProof w:val="0"/>
        </w:rPr>
      </w:pPr>
      <w:r w:rsidRPr="00392EFF">
        <w:rPr>
          <w:noProof w:val="0"/>
        </w:rPr>
        <w:t>5. Ramar för utgiftsområdena 13 Arbetsmarknad och 14 Arbetsliv (c)</w:t>
      </w:r>
    </w:p>
    <w:p w:rsidR="00FB62DB" w:rsidRPr="00392EFF" w:rsidRDefault="00FB62DB">
      <w:pPr>
        <w:pStyle w:val="Reservanter"/>
      </w:pPr>
      <w:r w:rsidRPr="00392EFF">
        <w:t>av Margareta Andersson (c) som anför följande.</w:t>
      </w:r>
    </w:p>
    <w:p w:rsidR="00FB62DB" w:rsidRPr="00392EFF" w:rsidRDefault="00FB62DB">
      <w:r w:rsidRPr="00392EFF">
        <w:t>Centerpartiet föreslår att ramen för utgiftsområde 13 bestäms till 48 232 mi</w:t>
      </w:r>
      <w:r w:rsidRPr="00392EFF">
        <w:t>l</w:t>
      </w:r>
      <w:r w:rsidRPr="00392EFF">
        <w:t xml:space="preserve">joner kronor år 2003 och 46 096 miljoner kronor år 2004. </w:t>
      </w:r>
    </w:p>
    <w:p w:rsidR="00FB62DB" w:rsidRPr="00392EFF" w:rsidRDefault="00FB62DB">
      <w:pPr>
        <w:pStyle w:val="Normaltindrag"/>
      </w:pPr>
      <w:r w:rsidRPr="00392EFF">
        <w:t>Ramen för utgiftsområde 14 bör bestämmas till 911 miljoner kronor år 2003 och 847 miljoner kronor år 2004.</w:t>
      </w:r>
    </w:p>
    <w:p w:rsidR="00FB62DB" w:rsidRPr="00392EFF" w:rsidRDefault="00FB62DB">
      <w:pPr>
        <w:pStyle w:val="Normaltindrag"/>
      </w:pPr>
      <w:r w:rsidRPr="00392EFF">
        <w:t>Det är nödvändigt att genomföra en rad reformer som ökar incitamenten och möjligheterna för människor att ta ett arbete, som ökar självbestämma</w:t>
      </w:r>
      <w:r w:rsidRPr="00392EFF">
        <w:t>n</w:t>
      </w:r>
      <w:r w:rsidRPr="00392EFF">
        <w:t>det och höjer livskvaliteten. Centerpartiet föreslår därför inkomstskattesän</w:t>
      </w:r>
      <w:r w:rsidRPr="00392EFF">
        <w:t>k</w:t>
      </w:r>
      <w:r w:rsidRPr="00392EFF">
        <w:t>ningar och en sänkning av arbetsgivaravgifterna. Riskkapitalmarknaden bör breddas för att fler företag skall ges möjlighet att växa. Arbetsmarknadspol</w:t>
      </w:r>
      <w:r w:rsidRPr="00392EFF">
        <w:t>i</w:t>
      </w:r>
      <w:r w:rsidRPr="00392EFF">
        <w:t>tiken måste enligt Centerpartiets uppfattning decentraliseras och en friare användning av de arbetsmar</w:t>
      </w:r>
      <w:r w:rsidRPr="00392EFF">
        <w:t>k</w:t>
      </w:r>
      <w:r w:rsidRPr="00392EFF">
        <w:t xml:space="preserve">nadspolitiska medlen medges.  </w:t>
      </w:r>
    </w:p>
    <w:p w:rsidR="00FB62DB" w:rsidRPr="00392EFF" w:rsidRDefault="00FB62DB">
      <w:pPr>
        <w:pStyle w:val="Normaltindrag"/>
      </w:pPr>
      <w:r w:rsidRPr="00392EFF">
        <w:t xml:space="preserve"> Centerpartiet föreslår minskad administration vid AMV, engångsvis b</w:t>
      </w:r>
      <w:r w:rsidRPr="00392EFF">
        <w:t>e</w:t>
      </w:r>
      <w:r w:rsidRPr="00392EFF">
        <w:t xml:space="preserve">sparing på anslaget </w:t>
      </w:r>
      <w:r w:rsidRPr="00392EFF">
        <w:rPr>
          <w:i/>
        </w:rPr>
        <w:t>22:2 Bidrag till arbetslöshetsersättning och aktivitetsstöd</w:t>
      </w:r>
      <w:r w:rsidRPr="00392EFF">
        <w:t xml:space="preserve"> år 2003 med 600 miljoner kronor, en snabbare nedtrappning av a-kassan samt indragning av arbetsmarknadsutbildning som saknar bevisad effekt. Vidare föreslås att avgiften till arbetslöshetsförsäkringen höjs till 1/3 av kostnaden, som kompenseras av att den enskilde är berättigad till en skattereduktion med 40 % av avgiften. För arbetslösa föreslås halv avgift. Den ökade egenfinansi</w:t>
      </w:r>
      <w:r w:rsidRPr="00392EFF">
        <w:t>e</w:t>
      </w:r>
      <w:r w:rsidRPr="00392EFF">
        <w:t xml:space="preserve">ringen medför en besparing på utgiftsområde 13 </w:t>
      </w:r>
      <w:r w:rsidRPr="00392EFF">
        <w:t xml:space="preserve">med 5,5 miljarder kronor år 2003 och 5,6 miljarder år 2004.  </w:t>
      </w:r>
    </w:p>
    <w:p w:rsidR="00FB62DB" w:rsidRPr="00392EFF" w:rsidRDefault="00FB62DB">
      <w:pPr>
        <w:pStyle w:val="Normaltindrag"/>
      </w:pPr>
      <w:r w:rsidRPr="00392EFF">
        <w:t>Inom utgiftsområde 14 menar jag att avsevärda effektivitetsvinster bör kunna göras efter sammanslagningen av Arbetarskyddsstyrelsen och Yrkesi</w:t>
      </w:r>
      <w:r w:rsidRPr="00392EFF">
        <w:t>n</w:t>
      </w:r>
      <w:r w:rsidRPr="00392EFF">
        <w:t>spektionen. Centerpartiet vill satsa på en decentraliserad forskningsstruktur. Därför bör det forskningsarbete som idag utförs på Arbetslivsinstitutet i stället ges som ett uppdrag till ett lärosäte och Arbetslivsinstitutet avvecklas.</w:t>
      </w:r>
    </w:p>
    <w:p w:rsidR="00FB62DB" w:rsidRPr="00392EFF" w:rsidRDefault="00FB62DB">
      <w:pPr>
        <w:pStyle w:val="Normaltindrag"/>
      </w:pPr>
      <w:r w:rsidRPr="00392EFF">
        <w:t xml:space="preserve">Sammanfattningsvis anser jag att ramen för utgiftsområde 13 bör minskas i förhållande till regeringens förslag med 12 075 miljoner kronor år 2003 och     13 025 miljoner kronor år 2004.  </w:t>
      </w:r>
    </w:p>
    <w:p w:rsidR="00FB62DB" w:rsidRPr="00392EFF" w:rsidRDefault="00FB62DB">
      <w:pPr>
        <w:pStyle w:val="Normaltindrag"/>
      </w:pPr>
      <w:r w:rsidRPr="00392EFF">
        <w:t>Ramen för utgiftsområde 14 bör minska i förhållande till regeringens fö</w:t>
      </w:r>
      <w:r w:rsidRPr="00392EFF">
        <w:t>r</w:t>
      </w:r>
      <w:r w:rsidRPr="00392EFF">
        <w:t xml:space="preserve">slag med 237 miljoner kronor år 2003 och 223 miljoner kronor år 2004.  </w:t>
      </w:r>
    </w:p>
    <w:p w:rsidR="00FB62DB" w:rsidRPr="00392EFF" w:rsidRDefault="00FB62DB">
      <w:pPr>
        <w:pStyle w:val="Normaltindrag"/>
      </w:pPr>
      <w:r w:rsidRPr="00392EFF">
        <w:t xml:space="preserve">Jag tillstyrker därmed motion Fi234 yrkandena 6 och 7 (båda i denna del). </w:t>
      </w:r>
    </w:p>
    <w:p w:rsidR="00FB62DB" w:rsidRPr="00392EFF" w:rsidRDefault="00FB62DB">
      <w:pPr>
        <w:pStyle w:val="Normaltindrag"/>
      </w:pPr>
    </w:p>
    <w:p w:rsidR="00FB62DB" w:rsidRPr="00392EFF" w:rsidRDefault="00FB62DB"/>
    <w:p w:rsidR="00FB62DB" w:rsidRPr="00392EFF" w:rsidRDefault="00FB62DB"/>
    <w:p w:rsidR="00FB62DB" w:rsidRPr="00392EFF" w:rsidRDefault="00FB62DB">
      <w:pPr>
        <w:pStyle w:val="Tryckort"/>
        <w:framePr w:wrap="around"/>
      </w:pPr>
      <w:r w:rsidRPr="00392EFF">
        <w:t>Elanders Gotab, Stockholm  2002</w:t>
      </w:r>
    </w:p>
    <w:p w:rsidR="00FB62DB" w:rsidRPr="00392EFF" w:rsidRDefault="00FB62DB">
      <w:pPr>
        <w:pStyle w:val="Normaltindrag"/>
      </w:pPr>
    </w:p>
    <w:sectPr w:rsidR="00FB62DB" w:rsidRPr="00392EFF">
      <w:headerReference w:type="even" r:id="rId9"/>
      <w:headerReference w:type="default" r:id="rId10"/>
      <w:footerReference w:type="even" r:id="rId11"/>
      <w:footerReference w:type="default" r:id="rId12"/>
      <w:headerReference w:type="first" r:id="rId13"/>
      <w:footerReference w:type="first" r:id="rId14"/>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62DB" w:rsidRPr="00392EFF" w:rsidRDefault="00FB62DB">
      <w:pPr>
        <w:spacing w:before="0" w:line="240" w:lineRule="auto"/>
      </w:pPr>
      <w:r w:rsidRPr="00392EFF">
        <w:separator/>
      </w:r>
    </w:p>
  </w:endnote>
  <w:endnote w:type="continuationSeparator" w:id="0">
    <w:p w:rsidR="00FB62DB" w:rsidRPr="00392EFF" w:rsidRDefault="00FB62DB">
      <w:pPr>
        <w:spacing w:before="0" w:line="240" w:lineRule="auto"/>
      </w:pPr>
      <w:r w:rsidRPr="00392E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2DB" w:rsidRPr="00392EFF" w:rsidRDefault="00FB62DB">
    <w:pPr>
      <w:pStyle w:val="SidfotV"/>
      <w:framePr w:w="8732" w:h="284" w:hRule="exact" w:hSpace="0" w:vSpace="0" w:wrap="around" w:xAlign="inside" w:y="13042" w:anchorLock="0"/>
    </w:pPr>
    <w:r w:rsidRPr="00392EFF">
      <w:fldChar w:fldCharType="begin" w:fldLock="1"/>
    </w:r>
    <w:r w:rsidRPr="00392EFF">
      <w:instrText xml:space="preserve"> P</w:instrText>
    </w:r>
    <w:r w:rsidRPr="00392EFF">
      <w:instrText>A</w:instrText>
    </w:r>
    <w:r w:rsidRPr="00392EFF">
      <w:instrText xml:space="preserve">GE </w:instrText>
    </w:r>
    <w:r w:rsidRPr="00392EFF">
      <w:fldChar w:fldCharType="separate"/>
    </w:r>
    <w:r w:rsidRPr="00392EFF">
      <w:t>2</w:t>
    </w:r>
    <w:r w:rsidRPr="00392EFF">
      <w:fldChar w:fldCharType="end"/>
    </w:r>
  </w:p>
  <w:p w:rsidR="00FB62DB" w:rsidRPr="00392EFF" w:rsidRDefault="00FB62D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2DB" w:rsidRPr="00392EFF" w:rsidRDefault="00FB62DB">
    <w:pPr>
      <w:pStyle w:val="SidfotH"/>
      <w:framePr w:w="8732" w:h="284" w:hRule="exact" w:hSpace="0" w:vSpace="0" w:wrap="around" w:xAlign="inside" w:y="13042" w:anchorLock="0"/>
    </w:pPr>
    <w:r w:rsidRPr="00392EFF">
      <w:fldChar w:fldCharType="begin" w:fldLock="1"/>
    </w:r>
    <w:r w:rsidRPr="00392EFF">
      <w:instrText xml:space="preserve"> P</w:instrText>
    </w:r>
    <w:r w:rsidRPr="00392EFF">
      <w:instrText>A</w:instrText>
    </w:r>
    <w:r w:rsidRPr="00392EFF">
      <w:instrText xml:space="preserve">GE </w:instrText>
    </w:r>
    <w:r w:rsidRPr="00392EFF">
      <w:fldChar w:fldCharType="separate"/>
    </w:r>
    <w:r w:rsidRPr="00392EFF">
      <w:t>3</w:t>
    </w:r>
    <w:r w:rsidRPr="00392EFF">
      <w:fldChar w:fldCharType="end"/>
    </w:r>
  </w:p>
  <w:p w:rsidR="00FB62DB" w:rsidRPr="00392EFF" w:rsidRDefault="00FB62D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2DB" w:rsidRPr="00392EFF" w:rsidRDefault="00FB62DB">
    <w:pPr>
      <w:pStyle w:val="SidfotV"/>
      <w:framePr w:w="8732" w:h="284" w:hRule="exact" w:hSpace="0" w:vSpace="0" w:wrap="around" w:xAlign="inside" w:y="13042" w:anchorLock="0"/>
    </w:pPr>
    <w:r w:rsidRPr="00392EFF">
      <w:fldChar w:fldCharType="begin" w:fldLock="1"/>
    </w:r>
    <w:r w:rsidRPr="00392EFF">
      <w:instrText xml:space="preserve"> if </w:instrText>
    </w:r>
    <w:r w:rsidRPr="00392EFF">
      <w:fldChar w:fldCharType="begin" w:fldLock="1"/>
    </w:r>
    <w:r w:rsidRPr="00392EFF">
      <w:instrText xml:space="preserve"> = </w:instrText>
    </w:r>
    <w:r w:rsidRPr="00392EFF">
      <w:fldChar w:fldCharType="begin" w:fldLock="1"/>
    </w:r>
    <w:r w:rsidRPr="00392EFF">
      <w:instrText xml:space="preserve"> = </w:instrText>
    </w:r>
    <w:r w:rsidRPr="00392EFF">
      <w:fldChar w:fldCharType="begin" w:fldLock="1"/>
    </w:r>
    <w:r w:rsidRPr="00392EFF">
      <w:instrText xml:space="preserve"> page</w:instrText>
    </w:r>
    <w:r w:rsidRPr="00392EFF">
      <w:fldChar w:fldCharType="separate"/>
    </w:r>
    <w:r w:rsidR="00392EFF">
      <w:rPr>
        <w:noProof/>
      </w:rPr>
      <w:instrText>1</w:instrText>
    </w:r>
    <w:r w:rsidRPr="00392EFF">
      <w:fldChar w:fldCharType="end"/>
    </w:r>
    <w:r w:rsidRPr="00392EFF">
      <w:instrText xml:space="preserve">/2 </w:instrText>
    </w:r>
    <w:r w:rsidRPr="00392EFF">
      <w:fldChar w:fldCharType="separate"/>
    </w:r>
    <w:r w:rsidR="00392EFF">
      <w:rPr>
        <w:noProof/>
      </w:rPr>
      <w:instrText>0,5</w:instrText>
    </w:r>
    <w:r w:rsidRPr="00392EFF">
      <w:fldChar w:fldCharType="end"/>
    </w:r>
    <w:r w:rsidRPr="00392EFF">
      <w:instrText xml:space="preserve"> - </w:instrText>
    </w:r>
    <w:r w:rsidRPr="00392EFF">
      <w:fldChar w:fldCharType="begin" w:fldLock="1"/>
    </w:r>
    <w:r w:rsidRPr="00392EFF">
      <w:instrText xml:space="preserve"> = int(</w:instrText>
    </w:r>
    <w:r w:rsidRPr="00392EFF">
      <w:fldChar w:fldCharType="begin" w:fldLock="1"/>
    </w:r>
    <w:r w:rsidRPr="00392EFF">
      <w:instrText xml:space="preserve"> page</w:instrText>
    </w:r>
    <w:r w:rsidRPr="00392EFF">
      <w:fldChar w:fldCharType="separate"/>
    </w:r>
    <w:r w:rsidR="00392EFF">
      <w:rPr>
        <w:noProof/>
      </w:rPr>
      <w:instrText>1</w:instrText>
    </w:r>
    <w:r w:rsidRPr="00392EFF">
      <w:fldChar w:fldCharType="end"/>
    </w:r>
    <w:r w:rsidRPr="00392EFF">
      <w:instrText xml:space="preserve">/2) </w:instrText>
    </w:r>
    <w:r w:rsidRPr="00392EFF">
      <w:fldChar w:fldCharType="separate"/>
    </w:r>
    <w:r w:rsidR="00392EFF">
      <w:rPr>
        <w:noProof/>
      </w:rPr>
      <w:instrText>0</w:instrText>
    </w:r>
    <w:r w:rsidRPr="00392EFF">
      <w:fldChar w:fldCharType="end"/>
    </w:r>
    <w:r w:rsidRPr="00392EFF">
      <w:fldChar w:fldCharType="separate"/>
    </w:r>
    <w:r w:rsidR="00392EFF">
      <w:rPr>
        <w:noProof/>
      </w:rPr>
      <w:instrText>0,5</w:instrText>
    </w:r>
    <w:r w:rsidRPr="00392EFF">
      <w:fldChar w:fldCharType="end"/>
    </w:r>
    <w:r w:rsidRPr="00392EFF">
      <w:instrText xml:space="preserve"> = 0 "</w:instrText>
    </w:r>
    <w:r w:rsidRPr="00392EFF">
      <w:fldChar w:fldCharType="begin" w:fldLock="1"/>
    </w:r>
    <w:r w:rsidRPr="00392EFF">
      <w:instrText xml:space="preserve"> P</w:instrText>
    </w:r>
    <w:r w:rsidRPr="00392EFF">
      <w:instrText>A</w:instrText>
    </w:r>
    <w:r w:rsidRPr="00392EFF">
      <w:instrText xml:space="preserve">GE </w:instrText>
    </w:r>
    <w:r w:rsidRPr="00392EFF">
      <w:fldChar w:fldCharType="separate"/>
    </w:r>
    <w:r w:rsidRPr="00392EFF">
      <w:instrText>10</w:instrText>
    </w:r>
    <w:r w:rsidRPr="00392EFF">
      <w:fldChar w:fldCharType="end"/>
    </w:r>
  </w:p>
  <w:p w:rsidR="00FB62DB" w:rsidRPr="00392EFF" w:rsidRDefault="00FB62DB">
    <w:pPr>
      <w:pStyle w:val="SidfotH"/>
      <w:framePr w:w="8732" w:h="284" w:hRule="exact" w:hSpace="0" w:vSpace="0" w:wrap="around" w:xAlign="inside" w:y="13042" w:anchorLock="0"/>
    </w:pPr>
    <w:r w:rsidRPr="00392EFF">
      <w:instrText>""</w:instrText>
    </w:r>
    <w:r w:rsidRPr="00392EFF">
      <w:fldChar w:fldCharType="begin" w:fldLock="1"/>
    </w:r>
    <w:r w:rsidRPr="00392EFF">
      <w:instrText xml:space="preserve"> P</w:instrText>
    </w:r>
    <w:r w:rsidRPr="00392EFF">
      <w:instrText>A</w:instrText>
    </w:r>
    <w:r w:rsidRPr="00392EFF">
      <w:instrText xml:space="preserve">GE </w:instrText>
    </w:r>
    <w:r w:rsidRPr="00392EFF">
      <w:fldChar w:fldCharType="separate"/>
    </w:r>
    <w:r w:rsidR="00392EFF">
      <w:rPr>
        <w:noProof/>
      </w:rPr>
      <w:instrText>1</w:instrText>
    </w:r>
    <w:r w:rsidRPr="00392EFF">
      <w:fldChar w:fldCharType="end"/>
    </w:r>
    <w:r w:rsidRPr="00392EFF">
      <w:instrText>"</w:instrText>
    </w:r>
    <w:r w:rsidRPr="00392EFF">
      <w:fldChar w:fldCharType="separate"/>
    </w:r>
    <w:r w:rsidR="00392EFF">
      <w:rPr>
        <w:noProof/>
      </w:rPr>
      <w:t>1</w:t>
    </w:r>
    <w:r w:rsidRPr="00392EFF">
      <w:fldChar w:fldCharType="end"/>
    </w:r>
  </w:p>
  <w:p w:rsidR="00FB62DB" w:rsidRPr="00392EFF" w:rsidRDefault="00FB62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62DB" w:rsidRPr="00392EFF" w:rsidRDefault="00FB62DB">
      <w:pPr>
        <w:pStyle w:val="Sidfot"/>
      </w:pPr>
    </w:p>
  </w:footnote>
  <w:footnote w:type="continuationSeparator" w:id="0">
    <w:p w:rsidR="00FB62DB" w:rsidRPr="00392EFF" w:rsidRDefault="00FB62DB">
      <w:pPr>
        <w:spacing w:before="0" w:line="240" w:lineRule="auto"/>
      </w:pPr>
      <w:r w:rsidRPr="00392EFF">
        <w:continuationSeparator/>
      </w:r>
    </w:p>
  </w:footnote>
  <w:footnote w:id="1">
    <w:p w:rsidR="00FB62DB" w:rsidRPr="00392EFF" w:rsidRDefault="00FB62DB">
      <w:pPr>
        <w:pStyle w:val="Fotnotstext"/>
      </w:pPr>
      <w:r w:rsidRPr="00392EFF">
        <w:rPr>
          <w:rStyle w:val="Fotnotsreferens"/>
        </w:rPr>
        <w:footnoteRef/>
      </w:r>
      <w:r w:rsidRPr="00392EFF">
        <w:t xml:space="preserve"> Konjunkturinstitutets rapport ”Lönebildningen, Samhällsekonomiska förutsättningar i Sverige 2002”, som utkom i oktober 2002.</w:t>
      </w:r>
    </w:p>
  </w:footnote>
  <w:footnote w:id="2">
    <w:p w:rsidR="00FB62DB" w:rsidRPr="00392EFF" w:rsidRDefault="00FB62DB">
      <w:pPr>
        <w:pStyle w:val="Fotnotstext"/>
      </w:pPr>
      <w:r w:rsidRPr="00392EFF">
        <w:rPr>
          <w:rStyle w:val="Fotnotsreferens"/>
        </w:rPr>
        <w:footnoteRef/>
      </w:r>
      <w:r w:rsidRPr="00392EFF">
        <w:t xml:space="preserve"> Upplysningar som lämnats av AMS generaldirektör den 5 november 2002 i anslu</w:t>
      </w:r>
      <w:r w:rsidRPr="00392EFF">
        <w:t>t</w:t>
      </w:r>
      <w:r w:rsidRPr="00392EFF">
        <w:t>ning till utskottets bere</w:t>
      </w:r>
      <w:r w:rsidRPr="00392EFF">
        <w:t>d</w:t>
      </w:r>
      <w:r w:rsidRPr="00392EFF">
        <w:t>ning av budgetpropositionen.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2DB" w:rsidRPr="00392EFF" w:rsidRDefault="00FB62DB">
    <w:pPr>
      <w:pStyle w:val="SidhuvudKantJmn"/>
      <w:framePr w:w="8732" w:h="567" w:hRule="exact" w:vSpace="0" w:wrap="around" w:vAnchor="page" w:y="341" w:anchorLock="0"/>
    </w:pPr>
    <w:r w:rsidRPr="00392EFF">
      <w:rPr>
        <w:rStyle w:val="SidhuvudUtskott"/>
      </w:rPr>
      <w:t>2002/03:AU1y</w:t>
    </w:r>
    <w:r w:rsidRPr="00392EFF">
      <w:t xml:space="preserve">     </w:t>
    </w:r>
    <w:r w:rsidRPr="00392EFF">
      <w:rPr>
        <w:rStyle w:val="SidhuvudBilaga"/>
      </w:rPr>
      <w:t xml:space="preserve"> </w:t>
    </w:r>
    <w:r w:rsidRPr="00392EFF">
      <w:rPr>
        <w:rStyle w:val="SidhuvudRubrikReferens"/>
      </w:rPr>
      <w:t>Arbetsmarknadsutskottets yttrande</w:t>
    </w:r>
  </w:p>
  <w:p w:rsidR="00FB62DB" w:rsidRPr="00392EFF" w:rsidRDefault="00FB62DB">
    <w:pPr>
      <w:pStyle w:val="SidhuvudKantJmn"/>
      <w:framePr w:w="8732" w:h="567" w:hRule="exact" w:vSpace="0" w:wrap="around" w:vAnchor="page" w:y="341" w:anchorLock="0"/>
    </w:pPr>
  </w:p>
  <w:p w:rsidR="00FB62DB" w:rsidRPr="00392EFF" w:rsidRDefault="00FB62D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2DB" w:rsidRPr="00392EFF" w:rsidRDefault="00FB62DB">
    <w:pPr>
      <w:pStyle w:val="SidhuvudKantUdda"/>
      <w:framePr w:w="8732" w:h="567" w:hRule="exact" w:vSpace="0" w:wrap="around" w:vAnchor="page" w:y="341" w:anchorLock="0"/>
    </w:pPr>
    <w:r w:rsidRPr="00392EFF">
      <w:rPr>
        <w:rStyle w:val="SidhuvudRubrikReferens"/>
      </w:rPr>
      <w:t>Arbetsmarknadsutskottets yttrande</w:t>
    </w:r>
    <w:r w:rsidRPr="00392EFF">
      <w:rPr>
        <w:rStyle w:val="SidhuvudBilaga"/>
      </w:rPr>
      <w:t xml:space="preserve"> </w:t>
    </w:r>
    <w:r w:rsidRPr="00392EFF">
      <w:t xml:space="preserve">     </w:t>
    </w:r>
    <w:r w:rsidRPr="00392EFF">
      <w:rPr>
        <w:rStyle w:val="SidhuvudUtskott"/>
      </w:rPr>
      <w:t>2002/03:AU1y</w:t>
    </w:r>
  </w:p>
  <w:p w:rsidR="00FB62DB" w:rsidRPr="00392EFF" w:rsidRDefault="00FB62DB">
    <w:pPr>
      <w:pStyle w:val="SidhuvudKantUdda"/>
      <w:framePr w:w="8732" w:h="567" w:hRule="exact" w:vSpace="0" w:wrap="around" w:vAnchor="page" w:y="341" w:anchorLock="0"/>
    </w:pPr>
  </w:p>
  <w:p w:rsidR="00FB62DB" w:rsidRPr="00392EFF" w:rsidRDefault="00FB62D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2DB" w:rsidRPr="00392EFF" w:rsidRDefault="00FB62DB">
    <w:pPr>
      <w:pStyle w:val="SidhuvudKantUdda"/>
      <w:framePr w:w="8732" w:h="567" w:hRule="exact" w:vSpace="0" w:wrap="around" w:vAnchor="page" w:y="341" w:anchorLock="0"/>
    </w:pPr>
    <w:r w:rsidRPr="00392EFF">
      <w:t xml:space="preserve"> </w:t>
    </w:r>
  </w:p>
  <w:p w:rsidR="00FB62DB" w:rsidRPr="00392EFF" w:rsidRDefault="00FB62D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363048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203"/>
  </w:docVars>
  <w:rsids>
    <w:rsidRoot w:val="00AC4CBD"/>
    <w:rsid w:val="00392EFF"/>
    <w:rsid w:val="00AC4CBD"/>
    <w:rsid w:val="00FB62D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722586-82E1-4975-87DE-F7203A5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6188</Words>
  <Characters>38186</Characters>
  <Application>Microsoft Office Word</Application>
  <DocSecurity>4</DocSecurity>
  <Lines>830</Lines>
  <Paragraphs>299</Paragraphs>
  <ScaleCrop>false</ScaleCrop>
  <HeadingPairs>
    <vt:vector size="2" baseType="variant">
      <vt:variant>
        <vt:lpstr>Title</vt:lpstr>
      </vt:variant>
      <vt:variant>
        <vt:i4>1</vt:i4>
      </vt:variant>
    </vt:vector>
  </HeadingPairs>
  <TitlesOfParts>
    <vt:vector size="1" baseType="lpstr">
      <vt:lpstr>Arbetsmarknadsutskottets yttrande</vt:lpstr>
    </vt:vector>
  </TitlesOfParts>
  <Company>Riksdagen</Company>
  <LinksUpToDate>false</LinksUpToDate>
  <CharactersWithSpaces>44075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yttrande</dc:title>
  <dc:subject>Arbetsmarknadsutskottets yttrande</dc:subject>
  <dc:creator>Riksdagen</dc:creator>
  <cp:keywords>Riksdagen</cp:keywords>
  <dc:description/>
  <cp:lastModifiedBy>Lars Brink</cp:lastModifiedBy>
  <cp:revision>2</cp:revision>
  <cp:lastPrinted>2002-11-20T06:40:00Z</cp:lastPrinted>
  <dcterms:created xsi:type="dcterms:W3CDTF">2025-12-16T17:24:00Z</dcterms:created>
  <dcterms:modified xsi:type="dcterms:W3CDTF">2025-12-16T17:24:00Z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AU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