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F4C9F">
        <w:tblPrEx>
          <w:tblCellMar>
            <w:top w:w="0" w:type="dxa"/>
            <w:bottom w:w="0" w:type="dxa"/>
          </w:tblCellMar>
        </w:tblPrEx>
        <w:tc>
          <w:tcPr>
            <w:tcW w:w="2268" w:type="dxa"/>
          </w:tcPr>
          <w:p w:rsidR="006E4E11" w:rsidRPr="00DF4C9F" w:rsidRDefault="0096404F" w:rsidP="007242A3">
            <w:pPr>
              <w:framePr w:w="5035" w:h="1644" w:wrap="notBeside" w:vAnchor="page" w:hAnchor="page" w:x="6573" w:y="721"/>
              <w:rPr>
                <w:rFonts w:ascii="TradeGothic" w:hAnsi="TradeGothic"/>
                <w:i/>
                <w:sz w:val="18"/>
              </w:rPr>
            </w:pPr>
            <w:r w:rsidRPr="00DF4C9F">
              <w:rPr>
                <w:rFonts w:ascii="TradeGothic" w:hAnsi="TradeGothic"/>
                <w:i/>
                <w:sz w:val="18"/>
              </w:rPr>
              <w:t>SLUTLIG</w:t>
            </w:r>
          </w:p>
        </w:tc>
        <w:tc>
          <w:tcPr>
            <w:tcW w:w="2999" w:type="dxa"/>
            <w:gridSpan w:val="2"/>
          </w:tcPr>
          <w:p w:rsidR="006E4E11" w:rsidRPr="00DF4C9F" w:rsidRDefault="006E4E11" w:rsidP="007242A3">
            <w:pPr>
              <w:framePr w:w="5035" w:h="1644" w:wrap="notBeside" w:vAnchor="page" w:hAnchor="page" w:x="6573" w:y="721"/>
              <w:rPr>
                <w:rFonts w:ascii="TradeGothic" w:hAnsi="TradeGothic"/>
                <w:i/>
                <w:sz w:val="18"/>
              </w:rPr>
            </w:pPr>
          </w:p>
        </w:tc>
      </w:tr>
      <w:tr w:rsidR="002E692A" w:rsidRPr="00DF4C9F">
        <w:tblPrEx>
          <w:tblCellMar>
            <w:top w:w="0" w:type="dxa"/>
            <w:bottom w:w="0" w:type="dxa"/>
          </w:tblCellMar>
        </w:tblPrEx>
        <w:tc>
          <w:tcPr>
            <w:tcW w:w="5267" w:type="dxa"/>
            <w:gridSpan w:val="3"/>
          </w:tcPr>
          <w:p w:rsidR="002E692A" w:rsidRPr="00DF4C9F" w:rsidRDefault="002E692A" w:rsidP="007242A3">
            <w:pPr>
              <w:framePr w:w="5035" w:h="1644" w:wrap="notBeside" w:vAnchor="page" w:hAnchor="page" w:x="6573" w:y="721"/>
              <w:rPr>
                <w:rFonts w:ascii="TradeGothic" w:hAnsi="TradeGothic"/>
                <w:b/>
                <w:sz w:val="22"/>
              </w:rPr>
            </w:pPr>
            <w:r w:rsidRPr="00DF4C9F">
              <w:rPr>
                <w:rFonts w:ascii="TradeGothic" w:hAnsi="TradeGothic"/>
                <w:b/>
                <w:sz w:val="22"/>
              </w:rPr>
              <w:t>Rådspromemoria</w:t>
            </w:r>
            <w:r w:rsidR="00AA3208" w:rsidRPr="00DF4C9F">
              <w:rPr>
                <w:rFonts w:ascii="TradeGothic" w:hAnsi="TradeGothic"/>
                <w:b/>
                <w:sz w:val="22"/>
              </w:rPr>
              <w:t xml:space="preserve"> inför </w:t>
            </w:r>
            <w:r w:rsidR="00CF2A26" w:rsidRPr="00DF4C9F">
              <w:rPr>
                <w:rFonts w:ascii="TradeGothic" w:hAnsi="TradeGothic"/>
                <w:b/>
                <w:sz w:val="22"/>
              </w:rPr>
              <w:t>jordbruks- och fiskerådet den 28</w:t>
            </w:r>
            <w:r w:rsidR="00AA3208" w:rsidRPr="00DF4C9F">
              <w:rPr>
                <w:rFonts w:ascii="TradeGothic" w:hAnsi="TradeGothic"/>
                <w:b/>
                <w:sz w:val="22"/>
              </w:rPr>
              <w:t xml:space="preserve"> juni 201</w:t>
            </w:r>
            <w:r w:rsidR="00CF2A26" w:rsidRPr="00DF4C9F">
              <w:rPr>
                <w:rFonts w:ascii="TradeGothic" w:hAnsi="TradeGothic"/>
                <w:b/>
                <w:sz w:val="22"/>
              </w:rPr>
              <w:t>1</w:t>
            </w:r>
          </w:p>
        </w:tc>
      </w:tr>
      <w:tr w:rsidR="006E4E11" w:rsidRPr="00DF4C9F">
        <w:tblPrEx>
          <w:tblCellMar>
            <w:top w:w="0" w:type="dxa"/>
            <w:bottom w:w="0" w:type="dxa"/>
          </w:tblCellMar>
        </w:tblPrEx>
        <w:tc>
          <w:tcPr>
            <w:tcW w:w="3402" w:type="dxa"/>
            <w:gridSpan w:val="2"/>
          </w:tcPr>
          <w:p w:rsidR="006E4E11" w:rsidRPr="00DF4C9F" w:rsidRDefault="006E4E11" w:rsidP="007242A3">
            <w:pPr>
              <w:framePr w:w="5035" w:h="1644" w:wrap="notBeside" w:vAnchor="page" w:hAnchor="page" w:x="6573" w:y="721"/>
            </w:pPr>
          </w:p>
        </w:tc>
        <w:tc>
          <w:tcPr>
            <w:tcW w:w="1865" w:type="dxa"/>
          </w:tcPr>
          <w:p w:rsidR="006E4E11" w:rsidRPr="00DF4C9F" w:rsidRDefault="006E4E11" w:rsidP="007242A3">
            <w:pPr>
              <w:framePr w:w="5035" w:h="1644" w:wrap="notBeside" w:vAnchor="page" w:hAnchor="page" w:x="6573" w:y="721"/>
            </w:pPr>
          </w:p>
        </w:tc>
      </w:tr>
      <w:tr w:rsidR="006E4E11" w:rsidRPr="00DF4C9F">
        <w:tblPrEx>
          <w:tblCellMar>
            <w:top w:w="0" w:type="dxa"/>
            <w:bottom w:w="0" w:type="dxa"/>
          </w:tblCellMar>
        </w:tblPrEx>
        <w:tc>
          <w:tcPr>
            <w:tcW w:w="2268" w:type="dxa"/>
          </w:tcPr>
          <w:p w:rsidR="006E4E11" w:rsidRPr="00DF4C9F" w:rsidRDefault="00E3016E" w:rsidP="007242A3">
            <w:pPr>
              <w:framePr w:w="5035" w:h="1644" w:wrap="notBeside" w:vAnchor="page" w:hAnchor="page" w:x="6573" w:y="721"/>
            </w:pPr>
            <w:r w:rsidRPr="00DF4C9F">
              <w:t>20</w:t>
            </w:r>
            <w:r w:rsidR="00CF2A26" w:rsidRPr="00DF4C9F">
              <w:t>11</w:t>
            </w:r>
            <w:r w:rsidR="00C83FE7" w:rsidRPr="00DF4C9F">
              <w:t>-</w:t>
            </w:r>
            <w:r w:rsidR="005D22DA" w:rsidRPr="00DF4C9F">
              <w:t>06</w:t>
            </w:r>
            <w:r w:rsidR="002E692A" w:rsidRPr="00DF4C9F">
              <w:t>-</w:t>
            </w:r>
            <w:r w:rsidR="00AA3208" w:rsidRPr="00DF4C9F">
              <w:t>1</w:t>
            </w:r>
            <w:r w:rsidR="008A724B" w:rsidRPr="00DF4C9F">
              <w:t>6</w:t>
            </w:r>
          </w:p>
        </w:tc>
        <w:tc>
          <w:tcPr>
            <w:tcW w:w="2999" w:type="dxa"/>
            <w:gridSpan w:val="2"/>
          </w:tcPr>
          <w:p w:rsidR="006E4E11" w:rsidRPr="00DF4C9F" w:rsidRDefault="006E4E11" w:rsidP="007242A3">
            <w:pPr>
              <w:framePr w:w="5035" w:h="1644" w:wrap="notBeside" w:vAnchor="page" w:hAnchor="page" w:x="6573" w:y="721"/>
            </w:pPr>
          </w:p>
        </w:tc>
      </w:tr>
      <w:tr w:rsidR="006E4E11" w:rsidRPr="00DF4C9F">
        <w:tblPrEx>
          <w:tblCellMar>
            <w:top w:w="0" w:type="dxa"/>
            <w:bottom w:w="0" w:type="dxa"/>
          </w:tblCellMar>
        </w:tblPrEx>
        <w:tc>
          <w:tcPr>
            <w:tcW w:w="2268" w:type="dxa"/>
          </w:tcPr>
          <w:p w:rsidR="006E4E11" w:rsidRPr="00DF4C9F" w:rsidRDefault="006E4E11" w:rsidP="007242A3">
            <w:pPr>
              <w:framePr w:w="5035" w:h="1644" w:wrap="notBeside" w:vAnchor="page" w:hAnchor="page" w:x="6573" w:y="721"/>
            </w:pPr>
          </w:p>
        </w:tc>
        <w:tc>
          <w:tcPr>
            <w:tcW w:w="2999" w:type="dxa"/>
            <w:gridSpan w:val="2"/>
          </w:tcPr>
          <w:p w:rsidR="006E4E11" w:rsidRPr="00DF4C9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F4C9F">
        <w:tblPrEx>
          <w:tblCellMar>
            <w:top w:w="0" w:type="dxa"/>
            <w:bottom w:w="0" w:type="dxa"/>
          </w:tblCellMar>
        </w:tblPrEx>
        <w:trPr>
          <w:trHeight w:val="284"/>
        </w:trPr>
        <w:tc>
          <w:tcPr>
            <w:tcW w:w="4911" w:type="dxa"/>
          </w:tcPr>
          <w:p w:rsidR="006E4E11" w:rsidRPr="00DF4C9F" w:rsidRDefault="00CF2A26">
            <w:pPr>
              <w:pStyle w:val="Avsndare"/>
              <w:framePr w:h="2483" w:wrap="notBeside" w:x="1504"/>
              <w:rPr>
                <w:b/>
                <w:i w:val="0"/>
                <w:sz w:val="22"/>
              </w:rPr>
            </w:pPr>
            <w:r w:rsidRPr="00DF4C9F">
              <w:rPr>
                <w:b/>
                <w:i w:val="0"/>
                <w:sz w:val="22"/>
              </w:rPr>
              <w:t>Landsbygds</w:t>
            </w:r>
            <w:r w:rsidR="002E692A" w:rsidRPr="00DF4C9F">
              <w:rPr>
                <w:b/>
                <w:i w:val="0"/>
                <w:sz w:val="22"/>
              </w:rPr>
              <w:t>departementet</w:t>
            </w:r>
          </w:p>
        </w:tc>
      </w:tr>
      <w:tr w:rsidR="006E4E11" w:rsidRPr="00DF4C9F">
        <w:tblPrEx>
          <w:tblCellMar>
            <w:top w:w="0" w:type="dxa"/>
            <w:bottom w:w="0" w:type="dxa"/>
          </w:tblCellMar>
        </w:tblPrEx>
        <w:trPr>
          <w:trHeight w:val="284"/>
        </w:trPr>
        <w:tc>
          <w:tcPr>
            <w:tcW w:w="4911" w:type="dxa"/>
          </w:tcPr>
          <w:p w:rsidR="006E4E11" w:rsidRPr="00DF4C9F" w:rsidRDefault="00CF2A26">
            <w:pPr>
              <w:pStyle w:val="Avsndare"/>
              <w:framePr w:h="2483" w:wrap="notBeside" w:x="1504"/>
              <w:rPr>
                <w:bCs/>
                <w:iCs/>
              </w:rPr>
            </w:pPr>
            <w:r w:rsidRPr="00DF4C9F">
              <w:rPr>
                <w:bCs/>
                <w:iCs/>
              </w:rPr>
              <w:t>Jakt-, fiske- och sameenheten</w:t>
            </w:r>
          </w:p>
        </w:tc>
      </w:tr>
      <w:tr w:rsidR="006E4E11" w:rsidRPr="00DF4C9F">
        <w:tblPrEx>
          <w:tblCellMar>
            <w:top w:w="0" w:type="dxa"/>
            <w:bottom w:w="0" w:type="dxa"/>
          </w:tblCellMar>
        </w:tblPrEx>
        <w:trPr>
          <w:trHeight w:val="284"/>
        </w:trPr>
        <w:tc>
          <w:tcPr>
            <w:tcW w:w="4911" w:type="dxa"/>
          </w:tcPr>
          <w:p w:rsidR="006E4E11" w:rsidRPr="00DF4C9F" w:rsidRDefault="00CF2A26">
            <w:pPr>
              <w:pStyle w:val="Avsndare"/>
              <w:framePr w:h="2483" w:wrap="notBeside" w:x="1504"/>
              <w:rPr>
                <w:bCs/>
                <w:iCs/>
              </w:rPr>
            </w:pPr>
            <w:r w:rsidRPr="00DF4C9F">
              <w:rPr>
                <w:bCs/>
                <w:iCs/>
              </w:rPr>
              <w:t>Karin Victorin</w:t>
            </w:r>
          </w:p>
        </w:tc>
      </w:tr>
      <w:tr w:rsidR="006E4E11" w:rsidRPr="00DF4C9F">
        <w:tblPrEx>
          <w:tblCellMar>
            <w:top w:w="0" w:type="dxa"/>
            <w:bottom w:w="0" w:type="dxa"/>
          </w:tblCellMar>
        </w:tblPrEx>
        <w:trPr>
          <w:trHeight w:val="284"/>
        </w:trPr>
        <w:tc>
          <w:tcPr>
            <w:tcW w:w="4911" w:type="dxa"/>
          </w:tcPr>
          <w:p w:rsidR="006E4E11" w:rsidRPr="00DF4C9F" w:rsidRDefault="00CF2A26">
            <w:pPr>
              <w:pStyle w:val="Avsndare"/>
              <w:framePr w:h="2483" w:wrap="notBeside" w:x="1504"/>
              <w:rPr>
                <w:bCs/>
                <w:iCs/>
              </w:rPr>
            </w:pPr>
            <w:r w:rsidRPr="00DF4C9F">
              <w:rPr>
                <w:bCs/>
                <w:iCs/>
              </w:rPr>
              <w:t>070</w:t>
            </w:r>
            <w:r w:rsidRPr="00DF4C9F">
              <w:rPr>
                <w:rFonts w:ascii="Times New Roman" w:hAnsi="Times New Roman"/>
                <w:bCs/>
                <w:iCs/>
              </w:rPr>
              <w:t> </w:t>
            </w:r>
            <w:r w:rsidRPr="00DF4C9F">
              <w:rPr>
                <w:bCs/>
                <w:iCs/>
              </w:rPr>
              <w:t>519 02 25</w:t>
            </w:r>
          </w:p>
        </w:tc>
      </w:tr>
      <w:tr w:rsidR="006E4E11" w:rsidRPr="00DF4C9F">
        <w:tblPrEx>
          <w:tblCellMar>
            <w:top w:w="0" w:type="dxa"/>
            <w:bottom w:w="0" w:type="dxa"/>
          </w:tblCellMar>
        </w:tblPrEx>
        <w:trPr>
          <w:trHeight w:val="284"/>
        </w:trPr>
        <w:tc>
          <w:tcPr>
            <w:tcW w:w="4911" w:type="dxa"/>
          </w:tcPr>
          <w:p w:rsidR="006E4E11" w:rsidRPr="00DF4C9F" w:rsidRDefault="006E4E11">
            <w:pPr>
              <w:pStyle w:val="Avsndare"/>
              <w:framePr w:h="2483" w:wrap="notBeside" w:x="1504"/>
              <w:rPr>
                <w:bCs/>
                <w:iCs/>
              </w:rPr>
            </w:pPr>
          </w:p>
        </w:tc>
      </w:tr>
      <w:tr w:rsidR="006E4E11" w:rsidRPr="00DF4C9F">
        <w:tblPrEx>
          <w:tblCellMar>
            <w:top w:w="0" w:type="dxa"/>
            <w:bottom w:w="0" w:type="dxa"/>
          </w:tblCellMar>
        </w:tblPrEx>
        <w:trPr>
          <w:trHeight w:val="284"/>
        </w:trPr>
        <w:tc>
          <w:tcPr>
            <w:tcW w:w="4911" w:type="dxa"/>
          </w:tcPr>
          <w:p w:rsidR="006E4E11" w:rsidRPr="00DF4C9F" w:rsidRDefault="006E4E11">
            <w:pPr>
              <w:pStyle w:val="Avsndare"/>
              <w:framePr w:h="2483" w:wrap="notBeside" w:x="1504"/>
              <w:rPr>
                <w:bCs/>
                <w:iCs/>
              </w:rPr>
            </w:pPr>
          </w:p>
        </w:tc>
      </w:tr>
      <w:tr w:rsidR="006E4E11" w:rsidRPr="00DF4C9F">
        <w:tblPrEx>
          <w:tblCellMar>
            <w:top w:w="0" w:type="dxa"/>
            <w:bottom w:w="0" w:type="dxa"/>
          </w:tblCellMar>
        </w:tblPrEx>
        <w:trPr>
          <w:trHeight w:val="284"/>
        </w:trPr>
        <w:tc>
          <w:tcPr>
            <w:tcW w:w="4911" w:type="dxa"/>
          </w:tcPr>
          <w:p w:rsidR="006E4E11" w:rsidRPr="00DF4C9F" w:rsidRDefault="006E4E11">
            <w:pPr>
              <w:pStyle w:val="Avsndare"/>
              <w:framePr w:h="2483" w:wrap="notBeside" w:x="1504"/>
              <w:rPr>
                <w:bCs/>
                <w:iCs/>
              </w:rPr>
            </w:pPr>
          </w:p>
        </w:tc>
      </w:tr>
      <w:tr w:rsidR="006E4E11" w:rsidRPr="00DF4C9F">
        <w:tblPrEx>
          <w:tblCellMar>
            <w:top w:w="0" w:type="dxa"/>
            <w:bottom w:w="0" w:type="dxa"/>
          </w:tblCellMar>
        </w:tblPrEx>
        <w:trPr>
          <w:trHeight w:val="284"/>
        </w:trPr>
        <w:tc>
          <w:tcPr>
            <w:tcW w:w="4911" w:type="dxa"/>
          </w:tcPr>
          <w:p w:rsidR="006E4E11" w:rsidRPr="00DF4C9F" w:rsidRDefault="006E4E11">
            <w:pPr>
              <w:pStyle w:val="Avsndare"/>
              <w:framePr w:h="2483" w:wrap="notBeside" w:x="1504"/>
              <w:rPr>
                <w:bCs/>
                <w:iCs/>
              </w:rPr>
            </w:pPr>
          </w:p>
        </w:tc>
      </w:tr>
      <w:tr w:rsidR="006E4E11" w:rsidRPr="00DF4C9F">
        <w:tblPrEx>
          <w:tblCellMar>
            <w:top w:w="0" w:type="dxa"/>
            <w:bottom w:w="0" w:type="dxa"/>
          </w:tblCellMar>
        </w:tblPrEx>
        <w:trPr>
          <w:trHeight w:val="284"/>
        </w:trPr>
        <w:tc>
          <w:tcPr>
            <w:tcW w:w="4911" w:type="dxa"/>
          </w:tcPr>
          <w:p w:rsidR="006E4E11" w:rsidRPr="00DF4C9F" w:rsidRDefault="006E4E11">
            <w:pPr>
              <w:pStyle w:val="Avsndare"/>
              <w:framePr w:h="2483" w:wrap="notBeside" w:x="1504"/>
              <w:rPr>
                <w:bCs/>
                <w:iCs/>
              </w:rPr>
            </w:pPr>
          </w:p>
        </w:tc>
      </w:tr>
    </w:tbl>
    <w:p w:rsidR="006E4E11" w:rsidRPr="00DF4C9F" w:rsidRDefault="006E4E11">
      <w:pPr>
        <w:framePr w:w="4400" w:h="2523" w:wrap="notBeside" w:vAnchor="page" w:hAnchor="page" w:x="6453" w:y="2445"/>
        <w:ind w:left="142"/>
        <w:rPr>
          <w:b/>
        </w:rPr>
      </w:pPr>
    </w:p>
    <w:p w:rsidR="002E692A" w:rsidRPr="00DF4C9F" w:rsidRDefault="00AA3208">
      <w:pPr>
        <w:pStyle w:val="RKrubrik"/>
        <w:pBdr>
          <w:bottom w:val="single" w:sz="6" w:space="1" w:color="auto"/>
        </w:pBdr>
      </w:pPr>
      <w:bookmarkStart w:id="0" w:name="bRubrik"/>
      <w:bookmarkEnd w:id="0"/>
      <w:r w:rsidRPr="00DF4C9F">
        <w:t>Jordbruks- och fiskerådet d</w:t>
      </w:r>
      <w:r w:rsidR="00CF2A26" w:rsidRPr="00DF4C9F">
        <w:t>en 28 juni 2011</w:t>
      </w:r>
      <w:r w:rsidR="008F3D22" w:rsidRPr="00DF4C9F">
        <w:t xml:space="preserve"> </w:t>
      </w:r>
    </w:p>
    <w:p w:rsidR="002E692A" w:rsidRPr="00DF4C9F" w:rsidRDefault="002E692A">
      <w:pPr>
        <w:pStyle w:val="RKnormal"/>
      </w:pPr>
    </w:p>
    <w:p w:rsidR="00AA3208" w:rsidRPr="00DF4C9F" w:rsidRDefault="00C83FE7">
      <w:pPr>
        <w:pStyle w:val="RKnormal"/>
      </w:pPr>
      <w:r w:rsidRPr="00DF4C9F">
        <w:t>Dagordningspunkt</w:t>
      </w:r>
      <w:r w:rsidR="00AA3208" w:rsidRPr="00DF4C9F">
        <w:t>:</w:t>
      </w:r>
      <w:r w:rsidRPr="00DF4C9F">
        <w:t xml:space="preserve"> </w:t>
      </w:r>
    </w:p>
    <w:p w:rsidR="002E692A" w:rsidRPr="00DF4C9F" w:rsidRDefault="002E692A">
      <w:pPr>
        <w:pStyle w:val="RKnormal"/>
      </w:pPr>
    </w:p>
    <w:p w:rsidR="002E692A" w:rsidRPr="00DF4C9F" w:rsidRDefault="002E692A">
      <w:pPr>
        <w:pStyle w:val="RKnormal"/>
      </w:pPr>
    </w:p>
    <w:p w:rsidR="00AA3208" w:rsidRPr="00DF4C9F" w:rsidRDefault="002E692A" w:rsidP="00382840">
      <w:pPr>
        <w:pStyle w:val="RKnormal"/>
        <w:rPr>
          <w:rFonts w:ascii="Times New Roman" w:hAnsi="Times New Roman"/>
          <w:szCs w:val="24"/>
        </w:rPr>
      </w:pPr>
      <w:r w:rsidRPr="00DF4C9F">
        <w:t>Rubrik:</w:t>
      </w:r>
      <w:r w:rsidR="005D22DA" w:rsidRPr="00DF4C9F">
        <w:rPr>
          <w:rFonts w:ascii="Times New Roman" w:hAnsi="Times New Roman"/>
          <w:szCs w:val="24"/>
        </w:rPr>
        <w:t xml:space="preserve"> </w:t>
      </w:r>
    </w:p>
    <w:p w:rsidR="00382840" w:rsidRPr="00DF4C9F" w:rsidRDefault="00F24CE8" w:rsidP="00382840">
      <w:pPr>
        <w:pStyle w:val="RKnormal"/>
        <w:rPr>
          <w:rFonts w:ascii="Times New Roman" w:hAnsi="Times New Roman"/>
          <w:szCs w:val="24"/>
        </w:rPr>
      </w:pPr>
      <w:r w:rsidRPr="00DF4C9F">
        <w:rPr>
          <w:rFonts w:ascii="Times New Roman" w:hAnsi="Times New Roman"/>
          <w:szCs w:val="24"/>
        </w:rPr>
        <w:t xml:space="preserve">Kommissionens meddelande rörande samråd om </w:t>
      </w:r>
      <w:r w:rsidR="00CF2A26" w:rsidRPr="00DF4C9F">
        <w:rPr>
          <w:rFonts w:ascii="Times New Roman" w:hAnsi="Times New Roman"/>
          <w:szCs w:val="24"/>
        </w:rPr>
        <w:t>fiskemöjligheter för 2012</w:t>
      </w:r>
    </w:p>
    <w:p w:rsidR="002E692A" w:rsidRPr="00DF4C9F" w:rsidRDefault="002E692A">
      <w:pPr>
        <w:pStyle w:val="RKnormal"/>
      </w:pPr>
    </w:p>
    <w:p w:rsidR="00AA3208" w:rsidRPr="00DF4C9F" w:rsidRDefault="002E692A">
      <w:pPr>
        <w:pStyle w:val="RKnormal"/>
      </w:pPr>
      <w:r w:rsidRPr="00DF4C9F">
        <w:t>Dokument:</w:t>
      </w:r>
      <w:r w:rsidR="005D22DA" w:rsidRPr="00DF4C9F">
        <w:t xml:space="preserve"> </w:t>
      </w:r>
    </w:p>
    <w:p w:rsidR="00AA3208" w:rsidRPr="00DF4C9F" w:rsidRDefault="00F91BDE">
      <w:pPr>
        <w:pStyle w:val="RKnormal"/>
      </w:pPr>
      <w:r w:rsidRPr="00DF4C9F">
        <w:t>KOM (2011) 298</w:t>
      </w:r>
    </w:p>
    <w:p w:rsidR="002E692A" w:rsidRPr="00DF4C9F" w:rsidRDefault="002E692A">
      <w:pPr>
        <w:pStyle w:val="RKnormal"/>
      </w:pPr>
    </w:p>
    <w:p w:rsidR="00AA3208" w:rsidRPr="00DF4C9F" w:rsidRDefault="002E692A">
      <w:pPr>
        <w:pStyle w:val="RKnormal"/>
      </w:pPr>
      <w:r w:rsidRPr="00DF4C9F">
        <w:t xml:space="preserve">Tidigare dokument:  </w:t>
      </w:r>
    </w:p>
    <w:p w:rsidR="002E692A" w:rsidRPr="00DF4C9F" w:rsidRDefault="00382840">
      <w:pPr>
        <w:pStyle w:val="RKnormal"/>
      </w:pPr>
      <w:r w:rsidRPr="00DF4C9F">
        <w:t>-</w:t>
      </w:r>
    </w:p>
    <w:p w:rsidR="002E692A" w:rsidRPr="00DF4C9F" w:rsidRDefault="002E692A">
      <w:pPr>
        <w:pStyle w:val="RKnormal"/>
      </w:pPr>
    </w:p>
    <w:p w:rsidR="00AA3208" w:rsidRPr="00DF4C9F" w:rsidRDefault="002E692A">
      <w:pPr>
        <w:pStyle w:val="RKnormal"/>
      </w:pPr>
      <w:r w:rsidRPr="00DF4C9F">
        <w:t xml:space="preserve">Tidigare behandlad </w:t>
      </w:r>
      <w:r w:rsidR="008F3D22" w:rsidRPr="00DF4C9F">
        <w:t>vid samråd m</w:t>
      </w:r>
      <w:r w:rsidR="00C83FE7" w:rsidRPr="00DF4C9F">
        <w:t xml:space="preserve">ed EU-nämnden: </w:t>
      </w:r>
    </w:p>
    <w:p w:rsidR="00AA3208" w:rsidRPr="00DF4C9F" w:rsidRDefault="00AA3208">
      <w:pPr>
        <w:pStyle w:val="RKnormal"/>
      </w:pPr>
      <w:r w:rsidRPr="00DF4C9F">
        <w:t>Frå</w:t>
      </w:r>
      <w:r w:rsidR="00CF2A26" w:rsidRPr="00DF4C9F">
        <w:t>gan om fiskemöjligheter för 2012</w:t>
      </w:r>
      <w:r w:rsidRPr="00DF4C9F">
        <w:t xml:space="preserve"> har inte tidigare varit föremål för samråd med EU-nämnden. </w:t>
      </w:r>
    </w:p>
    <w:p w:rsidR="002E692A" w:rsidRPr="00DF4C9F" w:rsidRDefault="00AA3208">
      <w:pPr>
        <w:pStyle w:val="RKnormal"/>
      </w:pPr>
      <w:r w:rsidRPr="00DF4C9F">
        <w:t>(Dock har motsvarande meddelanden för tidigare års fiskemöjligheter varit föremål för samråd med EU-nämnden</w:t>
      </w:r>
      <w:r w:rsidR="00CF2A26" w:rsidRPr="00DF4C9F">
        <w:t>, senast inför jordbruks- och fiskerådet 29 juni 2011</w:t>
      </w:r>
      <w:r w:rsidRPr="00DF4C9F">
        <w:t>)</w:t>
      </w:r>
    </w:p>
    <w:p w:rsidR="002E692A" w:rsidRPr="00DF4C9F" w:rsidRDefault="002E692A">
      <w:pPr>
        <w:pStyle w:val="RKrubrik"/>
      </w:pPr>
      <w:r w:rsidRPr="00DF4C9F">
        <w:t>Bakgrund</w:t>
      </w:r>
    </w:p>
    <w:p w:rsidR="008F11E9" w:rsidRPr="00DF4C9F" w:rsidRDefault="005D22DA" w:rsidP="008F11E9">
      <w:pPr>
        <w:pStyle w:val="RKnormal"/>
      </w:pPr>
      <w:r w:rsidRPr="00DF4C9F">
        <w:t>Kommissionens policyförklaring</w:t>
      </w:r>
      <w:r w:rsidR="00CF2A26" w:rsidRPr="00DF4C9F">
        <w:t xml:space="preserve"> för fiskemöjligheterna för 2012</w:t>
      </w:r>
      <w:r w:rsidRPr="00DF4C9F">
        <w:t xml:space="preserve"> är ett led i framförhållningsarbetet som påbörjades 2006</w:t>
      </w:r>
      <w:r w:rsidR="00E24DD3" w:rsidRPr="00DF4C9F">
        <w:t>,</w:t>
      </w:r>
      <w:r w:rsidRPr="00DF4C9F">
        <w:t xml:space="preserve"> i syfte att undvika de långdragna fiskeförhandlingarna om kvoter som ägde rum på ministerrådsmötena i december varje år. Sedan 2006 har kommissionen årligen försökt förankra </w:t>
      </w:r>
      <w:r w:rsidR="00CF2A26" w:rsidRPr="00DF4C9F">
        <w:t>förslagen</w:t>
      </w:r>
      <w:r w:rsidRPr="00DF4C9F">
        <w:t xml:space="preserve"> om fiskemöjligheter bland </w:t>
      </w:r>
      <w:r w:rsidR="00AA3208" w:rsidRPr="00DF4C9F">
        <w:t>medlemsstaterna</w:t>
      </w:r>
      <w:r w:rsidRPr="00DF4C9F">
        <w:t xml:space="preserve"> och fiskeintressenterna i de regionala rådgivande nämnderna </w:t>
      </w:r>
      <w:r w:rsidR="00AA3208" w:rsidRPr="00DF4C9F">
        <w:t xml:space="preserve">(RAC) </w:t>
      </w:r>
      <w:r w:rsidRPr="00DF4C9F">
        <w:t xml:space="preserve">genom att på ett tidigt stadium presentera de tankegångar och principer som ligger till </w:t>
      </w:r>
      <w:r w:rsidR="00CF2A26" w:rsidRPr="00DF4C9F">
        <w:t>grund för det kommande förslagen</w:t>
      </w:r>
      <w:r w:rsidRPr="00DF4C9F">
        <w:t xml:space="preserve"> om de årliga</w:t>
      </w:r>
      <w:r w:rsidR="00AA3208" w:rsidRPr="00DF4C9F">
        <w:t xml:space="preserve"> fiskemöjligheterna. K</w:t>
      </w:r>
      <w:r w:rsidRPr="00DF4C9F">
        <w:t xml:space="preserve">ommissionen </w:t>
      </w:r>
      <w:r w:rsidR="00AA3208" w:rsidRPr="00DF4C9F">
        <w:t xml:space="preserve">har bl.a. </w:t>
      </w:r>
      <w:r w:rsidRPr="00DF4C9F">
        <w:t xml:space="preserve">kategoriserat olika bestånd och etablerat principer för </w:t>
      </w:r>
      <w:r w:rsidR="00CF2A26" w:rsidRPr="00DF4C9F">
        <w:t>fastställande av totalt tillåtna fångstmängder (TAC:er) för</w:t>
      </w:r>
      <w:r w:rsidRPr="00DF4C9F">
        <w:t xml:space="preserve"> dessa kategorier. Principerna anger med hur många procent en TAC bör variera i förhållande till föregående år</w:t>
      </w:r>
      <w:r w:rsidR="00CF2A26" w:rsidRPr="00DF4C9F">
        <w:t>.</w:t>
      </w:r>
      <w:r w:rsidRPr="00DF4C9F">
        <w:t xml:space="preserve"> </w:t>
      </w:r>
      <w:r w:rsidRPr="00DF4C9F">
        <w:lastRenderedPageBreak/>
        <w:t xml:space="preserve">Främst är principerna tillägnade de bestånd som inte redan omfattas av långsiktiga förvaltningsplaner för vilka TAC ska sättas enligt planen. Kommissionen efterlyser också </w:t>
      </w:r>
      <w:r w:rsidR="00AA3208" w:rsidRPr="00DF4C9F">
        <w:t>medlemsstaternas</w:t>
      </w:r>
      <w:r w:rsidRPr="00DF4C9F">
        <w:t xml:space="preserve"> och intressenternas åsikter om den föreslagna metodiken</w:t>
      </w:r>
      <w:r w:rsidR="00F91BDE" w:rsidRPr="00DF4C9F">
        <w:t>.</w:t>
      </w:r>
      <w:r w:rsidRPr="00DF4C9F">
        <w:t xml:space="preserve"> </w:t>
      </w:r>
      <w:r w:rsidR="008F11E9" w:rsidRPr="00DF4C9F">
        <w:t>Själva förslagen avseende fiskemöjligheterna för 2012 kommer först att presenteras hösten 2011.</w:t>
      </w:r>
    </w:p>
    <w:p w:rsidR="00CF2A26" w:rsidRPr="00DF4C9F" w:rsidRDefault="005D22DA" w:rsidP="001B49BC">
      <w:pPr>
        <w:pStyle w:val="RKnormal"/>
      </w:pPr>
      <w:r w:rsidRPr="00DF4C9F">
        <w:t xml:space="preserve"> </w:t>
      </w:r>
    </w:p>
    <w:p w:rsidR="002E692A" w:rsidRPr="00DF4C9F" w:rsidRDefault="002E692A">
      <w:pPr>
        <w:pStyle w:val="RKrubrik"/>
      </w:pPr>
      <w:r w:rsidRPr="00DF4C9F">
        <w:t>Rättslig grund och beslutsförfarande</w:t>
      </w:r>
    </w:p>
    <w:p w:rsidR="00C12EB8" w:rsidRPr="00DF4C9F" w:rsidRDefault="00E24DD3">
      <w:pPr>
        <w:pStyle w:val="RKnormal"/>
      </w:pPr>
      <w:r w:rsidRPr="00DF4C9F">
        <w:t>Inte aktuellt för meddelandet (för kommande beslut om kvoter gäller a</w:t>
      </w:r>
      <w:r w:rsidR="001B49BC" w:rsidRPr="00DF4C9F">
        <w:t>rtikel 43.3 i EUF, rådet fattar beslut med kvalificerad majoritet</w:t>
      </w:r>
      <w:r w:rsidRPr="00DF4C9F">
        <w:t>)</w:t>
      </w:r>
      <w:r w:rsidR="001B49BC" w:rsidRPr="00DF4C9F">
        <w:t>.</w:t>
      </w:r>
    </w:p>
    <w:p w:rsidR="002E692A" w:rsidRPr="00DF4C9F" w:rsidRDefault="002E692A">
      <w:pPr>
        <w:pStyle w:val="RKrubrik"/>
        <w:rPr>
          <w:iCs/>
        </w:rPr>
      </w:pPr>
      <w:r w:rsidRPr="00DF4C9F">
        <w:rPr>
          <w:iCs/>
        </w:rPr>
        <w:t>Svensk ståndpunkt</w:t>
      </w:r>
    </w:p>
    <w:p w:rsidR="00356B10" w:rsidRPr="00DF4C9F" w:rsidRDefault="004C4A40" w:rsidP="00356B10">
      <w:pPr>
        <w:pStyle w:val="RKnormal"/>
      </w:pPr>
      <w:r w:rsidRPr="00DF4C9F">
        <w:t>Regeringen stödjer</w:t>
      </w:r>
      <w:r w:rsidR="00AA3208" w:rsidRPr="00DF4C9F">
        <w:t xml:space="preserve"> kommissionens</w:t>
      </w:r>
      <w:r w:rsidRPr="00DF4C9F">
        <w:t xml:space="preserve"> arbete med ökad framförhållning och arbetet med att förenkla och underlätta de årliga besluten om fastställandet av fiskemöjligheter. </w:t>
      </w:r>
      <w:r w:rsidR="00356B10" w:rsidRPr="00DF4C9F">
        <w:t>Regeringen instämmer</w:t>
      </w:r>
      <w:r w:rsidR="00E24DD3" w:rsidRPr="00DF4C9F">
        <w:t xml:space="preserve"> också</w:t>
      </w:r>
      <w:r w:rsidR="00356B10" w:rsidRPr="00DF4C9F">
        <w:t xml:space="preserve"> i målet att uppnå MSY till 2015 och att detta i tillägg till förvaltningsplaner bör vara det övergripande målet med det kommande förslaget. Regeringen</w:t>
      </w:r>
      <w:r w:rsidR="00E24DD3" w:rsidRPr="00DF4C9F">
        <w:t xml:space="preserve"> hyser dock</w:t>
      </w:r>
      <w:r w:rsidR="00356B10" w:rsidRPr="00DF4C9F">
        <w:t xml:space="preserve"> viss oro för att kommissionens förenklade angreppssätt k</w:t>
      </w:r>
      <w:r w:rsidR="00E24DD3" w:rsidRPr="00DF4C9F">
        <w:t>an leda till fler avsteg och ad-</w:t>
      </w:r>
      <w:r w:rsidR="00356B10" w:rsidRPr="00DF4C9F">
        <w:t>hoc lösningar istället för mer långsiktiga beslut som verkligen leder till att MSY uppnås</w:t>
      </w:r>
      <w:r w:rsidR="00E24DD3" w:rsidRPr="00DF4C9F">
        <w:t xml:space="preserve"> till</w:t>
      </w:r>
      <w:r w:rsidR="00356B10" w:rsidRPr="00DF4C9F">
        <w:t xml:space="preserve"> 2015.</w:t>
      </w:r>
    </w:p>
    <w:p w:rsidR="00E24DD3" w:rsidRPr="00DF4C9F" w:rsidRDefault="00E24DD3" w:rsidP="00356B10">
      <w:pPr>
        <w:pStyle w:val="RKnormal"/>
      </w:pPr>
    </w:p>
    <w:p w:rsidR="002E692A" w:rsidRPr="00DF4C9F" w:rsidRDefault="002E692A" w:rsidP="00AA0538">
      <w:pPr>
        <w:pStyle w:val="RKrubrik"/>
      </w:pPr>
      <w:r w:rsidRPr="00DF4C9F">
        <w:t>Europaparlamentets inställning</w:t>
      </w:r>
    </w:p>
    <w:p w:rsidR="002E692A" w:rsidRPr="00DF4C9F" w:rsidRDefault="00F72859">
      <w:pPr>
        <w:pStyle w:val="RKnormal"/>
      </w:pPr>
      <w:r w:rsidRPr="00DF4C9F">
        <w:t>-</w:t>
      </w:r>
    </w:p>
    <w:p w:rsidR="002E692A" w:rsidRPr="00DF4C9F" w:rsidRDefault="002E692A">
      <w:pPr>
        <w:pStyle w:val="RKrubrik"/>
        <w:rPr>
          <w:i/>
          <w:iCs/>
        </w:rPr>
      </w:pPr>
      <w:r w:rsidRPr="00DF4C9F">
        <w:rPr>
          <w:i/>
          <w:iCs/>
        </w:rPr>
        <w:t>Förslaget</w:t>
      </w:r>
    </w:p>
    <w:p w:rsidR="00E24DD3" w:rsidRPr="00DF4C9F" w:rsidRDefault="00E24DD3" w:rsidP="00321E60">
      <w:pPr>
        <w:pStyle w:val="RKnormal"/>
      </w:pPr>
    </w:p>
    <w:p w:rsidR="00E24DD3" w:rsidRPr="00DF4C9F" w:rsidRDefault="00E24DD3" w:rsidP="00E24DD3">
      <w:pPr>
        <w:pStyle w:val="RKnormal"/>
      </w:pPr>
      <w:r w:rsidRPr="00DF4C9F">
        <w:t>Kommissionens angreppssätt för kvoter och fiskeansträngning för 2012 är att;</w:t>
      </w:r>
    </w:p>
    <w:p w:rsidR="00E24DD3" w:rsidRPr="00DF4C9F" w:rsidRDefault="00E24DD3" w:rsidP="00E24DD3">
      <w:pPr>
        <w:pStyle w:val="RKnormal"/>
      </w:pPr>
      <w:r w:rsidRPr="00DF4C9F">
        <w:t>- Förvaltningsplaner ska följas,</w:t>
      </w:r>
    </w:p>
    <w:p w:rsidR="00E24DD3" w:rsidRPr="00DF4C9F" w:rsidRDefault="00E24DD3" w:rsidP="00E24DD3">
      <w:pPr>
        <w:pStyle w:val="RKnormal"/>
      </w:pPr>
      <w:r w:rsidRPr="00DF4C9F">
        <w:t>- Internationella överenskommelser ska följas,</w:t>
      </w:r>
    </w:p>
    <w:p w:rsidR="00E24DD3" w:rsidRPr="00DF4C9F" w:rsidRDefault="00E24DD3" w:rsidP="00E24DD3">
      <w:pPr>
        <w:pStyle w:val="RKnormal"/>
      </w:pPr>
      <w:r w:rsidRPr="00DF4C9F">
        <w:t>- Kvoter ska sättas i enlighet med MSY-råd när sådana finns. En gradvis tillnärmning av MSY kan vara acceptabel.</w:t>
      </w:r>
    </w:p>
    <w:p w:rsidR="00E24DD3" w:rsidRPr="00DF4C9F" w:rsidRDefault="00E24DD3" w:rsidP="00E24DD3">
      <w:pPr>
        <w:pStyle w:val="RKnormal"/>
      </w:pPr>
      <w:r w:rsidRPr="00DF4C9F">
        <w:t xml:space="preserve">- När det inte finns vetenskaplig rådgivning, eller beståndsstatus är okänd, ska TAC sänkas med minst 25%. MS ska skyndsamt vidta åtgärder för att bestämma acceptabel fiskenivå. </w:t>
      </w:r>
    </w:p>
    <w:p w:rsidR="00E24DD3" w:rsidRPr="00DF4C9F" w:rsidRDefault="00E24DD3" w:rsidP="00E24DD3">
      <w:pPr>
        <w:pStyle w:val="RKnormal"/>
      </w:pPr>
    </w:p>
    <w:p w:rsidR="002E692A" w:rsidRPr="00DF4C9F" w:rsidRDefault="002E692A">
      <w:pPr>
        <w:pStyle w:val="RKrubrik"/>
        <w:rPr>
          <w:iCs/>
        </w:rPr>
      </w:pPr>
      <w:r w:rsidRPr="00DF4C9F">
        <w:rPr>
          <w:iCs/>
        </w:rPr>
        <w:t>Gällande svenska regler och förslagets effekter på dessa</w:t>
      </w:r>
    </w:p>
    <w:p w:rsidR="002E692A" w:rsidRPr="00DF4C9F" w:rsidRDefault="008F11E9">
      <w:pPr>
        <w:pStyle w:val="RKnormal"/>
      </w:pPr>
      <w:r w:rsidRPr="00DF4C9F">
        <w:t>Meddelandet som ligger till grund för kommissionens kommande förslag om fiskemöjligheter för 2012 är direktillämplig i medlemsstaterna och en förutsättning för att fisket ska kunna äga rum.</w:t>
      </w:r>
    </w:p>
    <w:p w:rsidR="002E692A" w:rsidRPr="00DF4C9F" w:rsidRDefault="002E692A">
      <w:pPr>
        <w:pStyle w:val="RKnormal"/>
        <w:rPr>
          <w:i/>
          <w:iCs/>
        </w:rPr>
      </w:pPr>
    </w:p>
    <w:p w:rsidR="002E692A" w:rsidRPr="00DF4C9F" w:rsidRDefault="002E692A">
      <w:pPr>
        <w:pStyle w:val="RKnormal"/>
        <w:ind w:left="-1134"/>
      </w:pPr>
    </w:p>
    <w:p w:rsidR="006E4E11" w:rsidRPr="00DF4C9F" w:rsidRDefault="006E4E11">
      <w:pPr>
        <w:pStyle w:val="RKrubrik"/>
        <w:spacing w:before="0" w:after="0"/>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BE53CD" w:rsidRPr="00DF4C9F" w:rsidRDefault="00BE53CD" w:rsidP="00BE53CD">
      <w:pPr>
        <w:pStyle w:val="RKnormal"/>
      </w:pPr>
    </w:p>
    <w:p w:rsidR="006E4E11" w:rsidRPr="00DF4C9F" w:rsidRDefault="006E4E11">
      <w:pPr>
        <w:pStyle w:val="RKnormal"/>
      </w:pPr>
    </w:p>
    <w:p w:rsidR="00BE53CD" w:rsidRPr="00DF4C9F" w:rsidRDefault="00BE53CD" w:rsidP="00BE53CD">
      <w:pPr>
        <w:tabs>
          <w:tab w:val="left" w:pos="2835"/>
        </w:tabs>
        <w:overflowPunct/>
        <w:spacing w:line="240" w:lineRule="auto"/>
        <w:textAlignment w:val="auto"/>
      </w:pPr>
      <w:r w:rsidRPr="00DF4C9F">
        <w:t>Fackuttryck</w:t>
      </w:r>
    </w:p>
    <w:p w:rsidR="00BE53CD" w:rsidRPr="00DF4C9F" w:rsidRDefault="00BE53CD" w:rsidP="00BE53CD">
      <w:pPr>
        <w:pStyle w:val="RKnormal"/>
        <w:jc w:val="both"/>
        <w:rPr>
          <w:sz w:val="20"/>
        </w:rPr>
      </w:pPr>
      <w:r w:rsidRPr="00DF4C9F">
        <w:rPr>
          <w:sz w:val="20"/>
          <w:u w:val="single"/>
        </w:rPr>
        <w:t>MSY:</w:t>
      </w:r>
      <w:r w:rsidRPr="00DF4C9F">
        <w:rPr>
          <w:sz w:val="20"/>
        </w:rPr>
        <w:t xml:space="preserve"> Beräknat maximalt hållbart uttag av fiskeresursen.</w:t>
      </w:r>
    </w:p>
    <w:p w:rsidR="00BE53CD" w:rsidRPr="00DF4C9F" w:rsidRDefault="00BE53CD" w:rsidP="00BE53CD">
      <w:pPr>
        <w:pStyle w:val="RKnormal"/>
        <w:jc w:val="both"/>
        <w:rPr>
          <w:sz w:val="20"/>
        </w:rPr>
      </w:pPr>
      <w:r w:rsidRPr="00DF4C9F">
        <w:rPr>
          <w:sz w:val="20"/>
          <w:u w:val="single"/>
        </w:rPr>
        <w:t>Fiskeriansträngning</w:t>
      </w:r>
      <w:r w:rsidRPr="00DF4C9F">
        <w:rPr>
          <w:sz w:val="20"/>
        </w:rPr>
        <w:t xml:space="preserve">: Kallas även ”effort”. Båtens storlek gånger fisketiden. </w:t>
      </w:r>
    </w:p>
    <w:p w:rsidR="00BE53CD" w:rsidRPr="00DF4C9F" w:rsidRDefault="00BE53CD" w:rsidP="00BE53CD">
      <w:pPr>
        <w:pStyle w:val="RKnormal"/>
        <w:jc w:val="both"/>
        <w:rPr>
          <w:sz w:val="20"/>
        </w:rPr>
      </w:pPr>
      <w:r w:rsidRPr="00DF4C9F">
        <w:rPr>
          <w:sz w:val="20"/>
          <w:u w:val="single"/>
        </w:rPr>
        <w:t>Fiskeridödlighet (F)</w:t>
      </w:r>
      <w:r w:rsidRPr="00DF4C9F">
        <w:rPr>
          <w:sz w:val="20"/>
        </w:rPr>
        <w:t>: Den mängd fisk som dör per år på grund av fiske som förutom lagliga landningar omfattar fångster som kastas överbord, och olagligt fiske.</w:t>
      </w:r>
    </w:p>
    <w:p w:rsidR="00BE53CD" w:rsidRPr="00DF4C9F" w:rsidRDefault="00BE53CD" w:rsidP="00BE53CD">
      <w:pPr>
        <w:pStyle w:val="RKnormal"/>
        <w:jc w:val="both"/>
        <w:rPr>
          <w:sz w:val="20"/>
        </w:rPr>
      </w:pPr>
      <w:r w:rsidRPr="00DF4C9F">
        <w:rPr>
          <w:sz w:val="20"/>
          <w:u w:val="single"/>
        </w:rPr>
        <w:t>ICES</w:t>
      </w:r>
      <w:r w:rsidRPr="00DF4C9F">
        <w:rPr>
          <w:sz w:val="20"/>
        </w:rPr>
        <w:t xml:space="preserve">: Internationella havsforskningsrådet som årligen ger rekommendationer på biologisk grund för hur mycket fisk som ska fiskas för att bestånden snarast ska nå en hållbar nivå. ICES gör generellt inga förvaltningsmässiga överväganden om inte en förvaltningsplan föreligger. </w:t>
      </w:r>
    </w:p>
    <w:p w:rsidR="00BE53CD" w:rsidRPr="00DF4C9F" w:rsidRDefault="00BE53CD" w:rsidP="00BE53CD">
      <w:pPr>
        <w:pStyle w:val="RKnormal"/>
        <w:jc w:val="both"/>
        <w:rPr>
          <w:rFonts w:ascii="Times New Roman" w:hAnsi="Times New Roman"/>
          <w:sz w:val="20"/>
        </w:rPr>
      </w:pPr>
      <w:r w:rsidRPr="00DF4C9F">
        <w:rPr>
          <w:sz w:val="20"/>
          <w:u w:val="single"/>
        </w:rPr>
        <w:t>TAC</w:t>
      </w:r>
      <w:r w:rsidRPr="00DF4C9F">
        <w:rPr>
          <w:sz w:val="20"/>
        </w:rPr>
        <w:t>: ”Total Allowable Catch” d.v.s. den totala tillåtna fångstmängden som beslutas med kvalificerad majoritet på förslag från kommissionen</w:t>
      </w:r>
      <w:r w:rsidRPr="00DF4C9F">
        <w:rPr>
          <w:rFonts w:ascii="Times New Roman" w:hAnsi="Times New Roman"/>
          <w:sz w:val="20"/>
        </w:rPr>
        <w:t>.</w:t>
      </w:r>
    </w:p>
    <w:p w:rsidR="00BE53CD" w:rsidRPr="00DF4C9F" w:rsidRDefault="00BE53CD" w:rsidP="00BE53CD">
      <w:pPr>
        <w:pStyle w:val="RKnormal"/>
        <w:jc w:val="both"/>
        <w:rPr>
          <w:rFonts w:ascii="Times New Roman" w:hAnsi="Times New Roman"/>
          <w:sz w:val="20"/>
        </w:rPr>
      </w:pPr>
      <w:r w:rsidRPr="00DF4C9F">
        <w:rPr>
          <w:rFonts w:ascii="Times New Roman" w:hAnsi="Times New Roman"/>
          <w:sz w:val="20"/>
          <w:u w:val="single"/>
        </w:rPr>
        <w:t>Utkast:</w:t>
      </w:r>
      <w:r w:rsidRPr="00DF4C9F">
        <w:rPr>
          <w:rFonts w:ascii="Times New Roman" w:hAnsi="Times New Roman"/>
          <w:sz w:val="20"/>
        </w:rPr>
        <w:t xml:space="preserve"> Kallas även ”discard” dvs. oönskad fångst som kastas överbord.</w:t>
      </w:r>
    </w:p>
    <w:p w:rsidR="002E692A" w:rsidRPr="00DF4C9F" w:rsidRDefault="002E692A">
      <w:pPr>
        <w:pStyle w:val="RKnormal"/>
      </w:pPr>
    </w:p>
    <w:sectPr w:rsidR="002E692A" w:rsidRPr="00DF4C9F">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24B" w:rsidRPr="00DF4C9F" w:rsidRDefault="008A724B">
      <w:r w:rsidRPr="00DF4C9F">
        <w:separator/>
      </w:r>
    </w:p>
  </w:endnote>
  <w:endnote w:type="continuationSeparator" w:id="0">
    <w:p w:rsidR="008A724B" w:rsidRPr="00DF4C9F" w:rsidRDefault="008A724B">
      <w:r w:rsidRPr="00DF4C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24B" w:rsidRPr="00DF4C9F" w:rsidRDefault="008A724B">
      <w:r w:rsidRPr="00DF4C9F">
        <w:separator/>
      </w:r>
    </w:p>
  </w:footnote>
  <w:footnote w:type="continuationSeparator" w:id="0">
    <w:p w:rsidR="008A724B" w:rsidRPr="00DF4C9F" w:rsidRDefault="008A724B">
      <w:r w:rsidRPr="00DF4C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24B" w:rsidRPr="00DF4C9F" w:rsidRDefault="008A724B">
    <w:pPr>
      <w:pStyle w:val="Sidhuvud"/>
      <w:framePr w:wrap="around" w:vAnchor="text" w:hAnchor="margin" w:xAlign="right" w:y="1"/>
      <w:rPr>
        <w:rStyle w:val="Sidnummer"/>
      </w:rPr>
    </w:pPr>
    <w:r w:rsidRPr="00DF4C9F">
      <w:rPr>
        <w:rStyle w:val="Sidnummer"/>
      </w:rPr>
      <w:fldChar w:fldCharType="begin" w:fldLock="1"/>
    </w:r>
    <w:r w:rsidRPr="00DF4C9F">
      <w:rPr>
        <w:rStyle w:val="Sidnummer"/>
      </w:rPr>
      <w:instrText xml:space="preserve">PAGE  </w:instrText>
    </w:r>
    <w:r w:rsidRPr="00DF4C9F">
      <w:rPr>
        <w:rStyle w:val="Sidnummer"/>
      </w:rPr>
      <w:fldChar w:fldCharType="separate"/>
    </w:r>
    <w:r w:rsidR="0096404F" w:rsidRPr="00DF4C9F">
      <w:rPr>
        <w:rStyle w:val="Sidnummer"/>
      </w:rPr>
      <w:t>2</w:t>
    </w:r>
    <w:r w:rsidRPr="00DF4C9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A724B" w:rsidRPr="00DF4C9F">
      <w:tblPrEx>
        <w:tblCellMar>
          <w:top w:w="0" w:type="dxa"/>
          <w:bottom w:w="0" w:type="dxa"/>
        </w:tblCellMar>
      </w:tblPrEx>
      <w:trPr>
        <w:cantSplit/>
      </w:trPr>
      <w:tc>
        <w:tcPr>
          <w:tcW w:w="3119" w:type="dxa"/>
        </w:tcPr>
        <w:p w:rsidR="008A724B" w:rsidRPr="00DF4C9F" w:rsidRDefault="008A724B">
          <w:pPr>
            <w:pStyle w:val="Sidhuvud"/>
            <w:spacing w:line="200" w:lineRule="atLeast"/>
            <w:ind w:right="357"/>
            <w:rPr>
              <w:rFonts w:ascii="TradeGothic" w:hAnsi="TradeGothic"/>
              <w:b/>
              <w:bCs/>
              <w:sz w:val="16"/>
            </w:rPr>
          </w:pPr>
        </w:p>
      </w:tc>
      <w:tc>
        <w:tcPr>
          <w:tcW w:w="4111" w:type="dxa"/>
          <w:tcMar>
            <w:left w:w="567" w:type="dxa"/>
          </w:tcMar>
        </w:tcPr>
        <w:p w:rsidR="008A724B" w:rsidRPr="00DF4C9F" w:rsidRDefault="008A724B">
          <w:pPr>
            <w:pStyle w:val="Sidhuvud"/>
            <w:ind w:right="360"/>
          </w:pPr>
        </w:p>
      </w:tc>
      <w:tc>
        <w:tcPr>
          <w:tcW w:w="1525" w:type="dxa"/>
        </w:tcPr>
        <w:p w:rsidR="008A724B" w:rsidRPr="00DF4C9F" w:rsidRDefault="008A724B">
          <w:pPr>
            <w:pStyle w:val="Sidhuvud"/>
            <w:ind w:right="360"/>
          </w:pPr>
        </w:p>
      </w:tc>
    </w:tr>
  </w:tbl>
  <w:p w:rsidR="008A724B" w:rsidRPr="00DF4C9F" w:rsidRDefault="008A724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24B" w:rsidRPr="00DF4C9F" w:rsidRDefault="008A724B">
    <w:pPr>
      <w:pStyle w:val="Sidhuvud"/>
      <w:framePr w:wrap="around" w:vAnchor="text" w:hAnchor="margin" w:xAlign="right" w:y="1"/>
      <w:rPr>
        <w:rStyle w:val="Sidnummer"/>
      </w:rPr>
    </w:pPr>
    <w:r w:rsidRPr="00DF4C9F">
      <w:rPr>
        <w:rStyle w:val="Sidnummer"/>
      </w:rPr>
      <w:fldChar w:fldCharType="begin" w:fldLock="1"/>
    </w:r>
    <w:r w:rsidRPr="00DF4C9F">
      <w:rPr>
        <w:rStyle w:val="Sidnummer"/>
      </w:rPr>
      <w:instrText xml:space="preserve">PAGE  </w:instrText>
    </w:r>
    <w:r w:rsidRPr="00DF4C9F">
      <w:rPr>
        <w:rStyle w:val="Sidnummer"/>
      </w:rPr>
      <w:fldChar w:fldCharType="separate"/>
    </w:r>
    <w:r w:rsidR="0096404F" w:rsidRPr="00DF4C9F">
      <w:rPr>
        <w:rStyle w:val="Sidnummer"/>
      </w:rPr>
      <w:t>3</w:t>
    </w:r>
    <w:r w:rsidRPr="00DF4C9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A724B" w:rsidRPr="00DF4C9F">
      <w:tblPrEx>
        <w:tblCellMar>
          <w:top w:w="0" w:type="dxa"/>
          <w:bottom w:w="0" w:type="dxa"/>
        </w:tblCellMar>
      </w:tblPrEx>
      <w:trPr>
        <w:cantSplit/>
      </w:trPr>
      <w:tc>
        <w:tcPr>
          <w:tcW w:w="3119" w:type="dxa"/>
        </w:tcPr>
        <w:p w:rsidR="008A724B" w:rsidRPr="00DF4C9F" w:rsidRDefault="008A724B">
          <w:pPr>
            <w:pStyle w:val="Sidhuvud"/>
            <w:spacing w:line="200" w:lineRule="atLeast"/>
            <w:ind w:right="357"/>
            <w:rPr>
              <w:rFonts w:ascii="TradeGothic" w:hAnsi="TradeGothic"/>
              <w:b/>
              <w:bCs/>
              <w:sz w:val="16"/>
            </w:rPr>
          </w:pPr>
        </w:p>
      </w:tc>
      <w:tc>
        <w:tcPr>
          <w:tcW w:w="4111" w:type="dxa"/>
          <w:tcMar>
            <w:left w:w="567" w:type="dxa"/>
          </w:tcMar>
        </w:tcPr>
        <w:p w:rsidR="008A724B" w:rsidRPr="00DF4C9F" w:rsidRDefault="008A724B">
          <w:pPr>
            <w:pStyle w:val="Sidhuvud"/>
            <w:ind w:right="360"/>
          </w:pPr>
        </w:p>
      </w:tc>
      <w:tc>
        <w:tcPr>
          <w:tcW w:w="1525" w:type="dxa"/>
        </w:tcPr>
        <w:p w:rsidR="008A724B" w:rsidRPr="00DF4C9F" w:rsidRDefault="008A724B">
          <w:pPr>
            <w:pStyle w:val="Sidhuvud"/>
            <w:ind w:right="360"/>
          </w:pPr>
        </w:p>
      </w:tc>
    </w:tr>
  </w:tbl>
  <w:p w:rsidR="008A724B" w:rsidRPr="00DF4C9F" w:rsidRDefault="008A724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24B" w:rsidRPr="00DF4C9F" w:rsidRDefault="00DF4C9F">
    <w:pPr>
      <w:framePr w:w="2948" w:h="1321" w:hRule="exact" w:wrap="notBeside" w:vAnchor="page" w:hAnchor="page" w:x="1362" w:y="653"/>
    </w:pPr>
    <w:r w:rsidRPr="00DF4C9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A724B" w:rsidRPr="00DF4C9F" w:rsidRDefault="008A724B">
    <w:pPr>
      <w:pStyle w:val="RKrubrik"/>
      <w:keepNext w:val="0"/>
      <w:tabs>
        <w:tab w:val="clear" w:pos="1134"/>
        <w:tab w:val="clear" w:pos="2835"/>
      </w:tabs>
      <w:spacing w:before="0" w:after="0" w:line="320" w:lineRule="atLeast"/>
      <w:rPr>
        <w:bCs/>
      </w:rPr>
    </w:pPr>
  </w:p>
  <w:p w:rsidR="008A724B" w:rsidRPr="00DF4C9F" w:rsidRDefault="008A724B">
    <w:pPr>
      <w:rPr>
        <w:rFonts w:ascii="TradeGothic" w:hAnsi="TradeGothic"/>
        <w:b/>
        <w:bCs/>
        <w:spacing w:val="12"/>
        <w:sz w:val="22"/>
      </w:rPr>
    </w:pPr>
  </w:p>
  <w:p w:rsidR="008A724B" w:rsidRPr="00DF4C9F" w:rsidRDefault="008A724B">
    <w:pPr>
      <w:pStyle w:val="RKrubrik"/>
      <w:keepNext w:val="0"/>
      <w:tabs>
        <w:tab w:val="clear" w:pos="1134"/>
        <w:tab w:val="clear" w:pos="2835"/>
      </w:tabs>
      <w:spacing w:before="0" w:after="0" w:line="320" w:lineRule="atLeast"/>
      <w:rPr>
        <w:bCs/>
      </w:rPr>
    </w:pPr>
  </w:p>
  <w:p w:rsidR="008A724B" w:rsidRPr="00DF4C9F" w:rsidRDefault="008A724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1AE2"/>
    <w:multiLevelType w:val="hybridMultilevel"/>
    <w:tmpl w:val="EB14F3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25B22"/>
    <w:multiLevelType w:val="hybridMultilevel"/>
    <w:tmpl w:val="00E4797A"/>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245B3"/>
    <w:multiLevelType w:val="hybridMultilevel"/>
    <w:tmpl w:val="C7C0C4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7B04D0"/>
    <w:multiLevelType w:val="hybridMultilevel"/>
    <w:tmpl w:val="58704E38"/>
    <w:lvl w:ilvl="0" w:tplc="1B527FE8">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D7E5B"/>
    <w:multiLevelType w:val="hybridMultilevel"/>
    <w:tmpl w:val="C2BAFE3C"/>
    <w:lvl w:ilvl="0" w:tplc="5A6A0616">
      <w:start w:val="2011"/>
      <w:numFmt w:val="bullet"/>
      <w:lvlText w:val="-"/>
      <w:lvlJc w:val="left"/>
      <w:pPr>
        <w:tabs>
          <w:tab w:val="num" w:pos="1800"/>
        </w:tabs>
        <w:ind w:left="1800" w:hanging="360"/>
      </w:pPr>
      <w:rPr>
        <w:rFonts w:ascii="Times New Roman" w:eastAsia="Times New Roman" w:hAnsi="Times New Roman" w:cs="Times New Roman"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761F61C6"/>
    <w:multiLevelType w:val="hybridMultilevel"/>
    <w:tmpl w:val="3594D214"/>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A852AB"/>
    <w:multiLevelType w:val="hybridMultilevel"/>
    <w:tmpl w:val="628AE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90931751">
    <w:abstractNumId w:val="0"/>
  </w:num>
  <w:num w:numId="2" w16cid:durableId="176316603">
    <w:abstractNumId w:val="2"/>
  </w:num>
  <w:num w:numId="3" w16cid:durableId="635379501">
    <w:abstractNumId w:val="6"/>
  </w:num>
  <w:num w:numId="4" w16cid:durableId="707684351">
    <w:abstractNumId w:val="3"/>
  </w:num>
  <w:num w:numId="5" w16cid:durableId="1955206594">
    <w:abstractNumId w:val="5"/>
  </w:num>
  <w:num w:numId="6" w16cid:durableId="2045444317">
    <w:abstractNumId w:val="1"/>
  </w:num>
  <w:num w:numId="7" w16cid:durableId="1555580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22B42"/>
    <w:rsid w:val="00051D5D"/>
    <w:rsid w:val="000E181F"/>
    <w:rsid w:val="000E3FE0"/>
    <w:rsid w:val="00150384"/>
    <w:rsid w:val="0017309D"/>
    <w:rsid w:val="001B49BC"/>
    <w:rsid w:val="001D023B"/>
    <w:rsid w:val="00226D20"/>
    <w:rsid w:val="0026677D"/>
    <w:rsid w:val="00294ED7"/>
    <w:rsid w:val="002A4D5D"/>
    <w:rsid w:val="002C28DB"/>
    <w:rsid w:val="002D594B"/>
    <w:rsid w:val="002E692A"/>
    <w:rsid w:val="00307DD9"/>
    <w:rsid w:val="00321E60"/>
    <w:rsid w:val="00334377"/>
    <w:rsid w:val="00342E99"/>
    <w:rsid w:val="00345B32"/>
    <w:rsid w:val="003504B1"/>
    <w:rsid w:val="00353EEF"/>
    <w:rsid w:val="00356B10"/>
    <w:rsid w:val="00382840"/>
    <w:rsid w:val="003928A4"/>
    <w:rsid w:val="0047498C"/>
    <w:rsid w:val="004C4A40"/>
    <w:rsid w:val="004D6000"/>
    <w:rsid w:val="00541D18"/>
    <w:rsid w:val="005B7611"/>
    <w:rsid w:val="005C33E6"/>
    <w:rsid w:val="005D22DA"/>
    <w:rsid w:val="00654C45"/>
    <w:rsid w:val="006B752F"/>
    <w:rsid w:val="006B7625"/>
    <w:rsid w:val="006E4E11"/>
    <w:rsid w:val="007017AE"/>
    <w:rsid w:val="007242A3"/>
    <w:rsid w:val="00735297"/>
    <w:rsid w:val="0077146F"/>
    <w:rsid w:val="007A4097"/>
    <w:rsid w:val="007D38E4"/>
    <w:rsid w:val="008124D8"/>
    <w:rsid w:val="008178CD"/>
    <w:rsid w:val="00877472"/>
    <w:rsid w:val="0089235C"/>
    <w:rsid w:val="008A724B"/>
    <w:rsid w:val="008F11E9"/>
    <w:rsid w:val="008F3D22"/>
    <w:rsid w:val="008F7D06"/>
    <w:rsid w:val="009239D5"/>
    <w:rsid w:val="00927EEB"/>
    <w:rsid w:val="0096404F"/>
    <w:rsid w:val="009960AB"/>
    <w:rsid w:val="009C0A38"/>
    <w:rsid w:val="00A006CC"/>
    <w:rsid w:val="00A305D9"/>
    <w:rsid w:val="00A354FA"/>
    <w:rsid w:val="00A65169"/>
    <w:rsid w:val="00AA0538"/>
    <w:rsid w:val="00AA3208"/>
    <w:rsid w:val="00B36BDF"/>
    <w:rsid w:val="00BE53CD"/>
    <w:rsid w:val="00BE552E"/>
    <w:rsid w:val="00BE7436"/>
    <w:rsid w:val="00C12EB8"/>
    <w:rsid w:val="00C20FA2"/>
    <w:rsid w:val="00C34D7A"/>
    <w:rsid w:val="00C83C94"/>
    <w:rsid w:val="00C83FE7"/>
    <w:rsid w:val="00CF2A26"/>
    <w:rsid w:val="00D13718"/>
    <w:rsid w:val="00D17EF9"/>
    <w:rsid w:val="00DF4C9F"/>
    <w:rsid w:val="00E24DD3"/>
    <w:rsid w:val="00E3016E"/>
    <w:rsid w:val="00E610A7"/>
    <w:rsid w:val="00E82875"/>
    <w:rsid w:val="00F24CE8"/>
    <w:rsid w:val="00F3255C"/>
    <w:rsid w:val="00F34121"/>
    <w:rsid w:val="00F612E2"/>
    <w:rsid w:val="00F67514"/>
    <w:rsid w:val="00F72859"/>
    <w:rsid w:val="00F81567"/>
    <w:rsid w:val="00F91BDE"/>
    <w:rsid w:val="00FB68D9"/>
    <w:rsid w:val="00FF615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C3DE5AD-23BF-459F-AE4C-DCBC3CF2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353EEF"/>
    <w:rPr>
      <w:rFonts w:ascii="OrigGarmnd BT" w:hAnsi="OrigGarmnd BT"/>
      <w:sz w:val="24"/>
      <w:lang w:val="sv-SE" w:eastAsia="en-US" w:bidi="ar-SA"/>
    </w:rPr>
  </w:style>
  <w:style w:type="paragraph" w:customStyle="1" w:styleId="Rfrenceinstitutionelle">
    <w:name w:val="Référence institutionelle"/>
    <w:basedOn w:val="Normal"/>
    <w:next w:val="Normal"/>
    <w:rsid w:val="00F24CE8"/>
    <w:pPr>
      <w:overflowPunct/>
      <w:autoSpaceDE/>
      <w:autoSpaceDN/>
      <w:adjustRightInd/>
      <w:spacing w:after="240" w:line="240" w:lineRule="auto"/>
      <w:ind w:left="5103"/>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9.9. Migrerat</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081118 Rådspm EG-Norge.doc</QFMSP_x0020_source_x0020_name>
  </documentManagement>
</p:properties>
</file>

<file path=customXml/itemProps1.xml><?xml version="1.0" encoding="utf-8"?>
<ds:datastoreItem xmlns:ds="http://schemas.openxmlformats.org/officeDocument/2006/customXml" ds:itemID="{E8F3B224-B00E-4FAB-AA25-92541066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4439199-C218-4006-83BC-22F424706C70}">
  <ds:schemaRefs>
    <ds:schemaRef ds:uri="http://schemas.microsoft.com/sharepoint/v3/contenttype/forms"/>
  </ds:schemaRefs>
</ds:datastoreItem>
</file>

<file path=customXml/itemProps3.xml><?xml version="1.0" encoding="utf-8"?>
<ds:datastoreItem xmlns:ds="http://schemas.openxmlformats.org/officeDocument/2006/customXml" ds:itemID="{759153C9-9718-462C-9EDC-21D78683B89E}">
  <ds:schemaRefs>
    <ds:schemaRef ds:uri="http://schemas.microsoft.com/sharepoint/events"/>
  </ds:schemaRefs>
</ds:datastoreItem>
</file>

<file path=customXml/itemProps4.xml><?xml version="1.0" encoding="utf-8"?>
<ds:datastoreItem xmlns:ds="http://schemas.openxmlformats.org/officeDocument/2006/customXml" ds:itemID="{E168B1EB-54BD-4910-B9FB-94F7F39E9F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566</Words>
  <Characters>3595</Characters>
  <Application>Microsoft Office Word</Application>
  <DocSecurity>4</DocSecurity>
  <Lines>128</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2011-06-13T08:32:00Z</cp:lastPrinted>
  <dcterms:created xsi:type="dcterms:W3CDTF">2025-12-18T04:01:00Z</dcterms:created>
  <dcterms:modified xsi:type="dcterms:W3CDTF">2025-12-18T04:01:00Z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