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0A3D0" w14:textId="77777777" w:rsidR="00FB32B9" w:rsidRDefault="00D52209" w:rsidP="00FB32B9">
      <w:pPr>
        <w:pStyle w:val="UDrubrik"/>
        <w:tabs>
          <w:tab w:val="left" w:pos="1701"/>
          <w:tab w:val="left" w:pos="1985"/>
        </w:tabs>
        <w:rPr>
          <w:rFonts w:cs="Arial"/>
          <w:sz w:val="28"/>
        </w:rPr>
      </w:pPr>
    </w:p>
    <w:p w14:paraId="7400A3D1" w14:textId="77777777" w:rsidR="00FB32B9" w:rsidRDefault="00D52209" w:rsidP="00FB32B9">
      <w:pPr>
        <w:pStyle w:val="UDrubrik"/>
        <w:tabs>
          <w:tab w:val="left" w:pos="1701"/>
          <w:tab w:val="left" w:pos="1985"/>
        </w:tabs>
        <w:rPr>
          <w:rFonts w:cs="Arial"/>
          <w:sz w:val="28"/>
        </w:rPr>
      </w:pPr>
    </w:p>
    <w:p w14:paraId="7400A3D2" w14:textId="77777777" w:rsidR="00FB32B9" w:rsidRDefault="00D52209" w:rsidP="00FB32B9">
      <w:pPr>
        <w:pStyle w:val="UDrubrik"/>
        <w:tabs>
          <w:tab w:val="left" w:pos="1701"/>
          <w:tab w:val="left" w:pos="1985"/>
        </w:tabs>
        <w:rPr>
          <w:rFonts w:cs="Arial"/>
          <w:sz w:val="28"/>
        </w:rPr>
      </w:pPr>
    </w:p>
    <w:p w14:paraId="7400A3D3" w14:textId="77777777" w:rsidR="00FB32B9" w:rsidRDefault="00D52209" w:rsidP="00FB32B9">
      <w:pPr>
        <w:pStyle w:val="UDrubrik"/>
        <w:tabs>
          <w:tab w:val="left" w:pos="1701"/>
          <w:tab w:val="left" w:pos="1985"/>
        </w:tabs>
        <w:rPr>
          <w:rFonts w:cs="Arial"/>
          <w:sz w:val="28"/>
        </w:rPr>
      </w:pPr>
    </w:p>
    <w:p w14:paraId="7400A3D4" w14:textId="49233E6C" w:rsidR="00FB32B9" w:rsidRDefault="005937EC" w:rsidP="00FB32B9">
      <w:pPr>
        <w:pStyle w:val="UDrubrik"/>
        <w:tabs>
          <w:tab w:val="left" w:pos="1701"/>
          <w:tab w:val="left" w:pos="1985"/>
        </w:tabs>
        <w:rPr>
          <w:rFonts w:cs="Arial"/>
          <w:sz w:val="28"/>
        </w:rPr>
      </w:pPr>
      <w:r>
        <w:rPr>
          <w:rFonts w:cs="Arial"/>
          <w:sz w:val="28"/>
        </w:rPr>
        <w:t xml:space="preserve">Färdigförhandlad II-punkt från möte i Coreper II den 2 mars 2016 som kan tas som A-punkt vid </w:t>
      </w:r>
      <w:r w:rsidR="00D5734A">
        <w:rPr>
          <w:rFonts w:cs="Arial"/>
          <w:sz w:val="28"/>
        </w:rPr>
        <w:t>kommande rådsmöten</w:t>
      </w:r>
      <w:r>
        <w:rPr>
          <w:rFonts w:cs="Arial"/>
          <w:sz w:val="28"/>
        </w:rPr>
        <w:t>.</w:t>
      </w:r>
      <w:r w:rsidR="00D5734A">
        <w:rPr>
          <w:rFonts w:cs="Arial"/>
          <w:sz w:val="28"/>
        </w:rPr>
        <w:t xml:space="preserve"> </w:t>
      </w:r>
    </w:p>
    <w:p w14:paraId="7400A3D5" w14:textId="77777777" w:rsidR="00FB32B9" w:rsidRDefault="00D52209" w:rsidP="00FB32B9">
      <w:pPr>
        <w:pStyle w:val="Brdtext"/>
      </w:pPr>
    </w:p>
    <w:p w14:paraId="7400A3D6" w14:textId="64758E3A" w:rsidR="00FB32B9" w:rsidRDefault="00D5734A" w:rsidP="00FB32B9">
      <w:pPr>
        <w:pStyle w:val="Brdtext"/>
      </w:pPr>
      <w:r>
        <w:t>Överlämnas för skriftligt samråd till EU-nämnden</w:t>
      </w:r>
      <w:r w:rsidR="00C20E07">
        <w:t xml:space="preserve"> till</w:t>
      </w:r>
      <w:r w:rsidR="00907A77">
        <w:t xml:space="preserve"> idag </w:t>
      </w:r>
      <w:r w:rsidR="00D52209">
        <w:t>torsdagen den 3 mars 2016, kl 17.3</w:t>
      </w:r>
      <w:bookmarkStart w:id="0" w:name="_GoBack"/>
      <w:bookmarkEnd w:id="0"/>
      <w:r w:rsidR="00907A77">
        <w:t>0.</w:t>
      </w:r>
    </w:p>
    <w:p w14:paraId="7400A3D7" w14:textId="77777777" w:rsidR="00FB32B9" w:rsidRDefault="00D5734A">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400A3D8" w14:textId="77777777" w:rsidR="00D957FB" w:rsidRPr="00283DF3" w:rsidRDefault="00D5734A">
          <w:pPr>
            <w:pStyle w:val="Innehllsfrteckningsrubrik"/>
            <w:rPr>
              <w:color w:val="auto"/>
              <w:lang w:val="sv-SE"/>
            </w:rPr>
          </w:pPr>
          <w:r w:rsidRPr="00283DF3">
            <w:rPr>
              <w:color w:val="auto"/>
              <w:lang w:val="sv-SE"/>
            </w:rPr>
            <w:t>Innehållsförteckning</w:t>
          </w:r>
        </w:p>
        <w:p w14:paraId="7400A3D9" w14:textId="77777777" w:rsidR="00DA7250" w:rsidRPr="00283DF3" w:rsidRDefault="00D52209" w:rsidP="00DA7250">
          <w:pPr>
            <w:rPr>
              <w:lang w:eastAsia="ja-JP"/>
            </w:rPr>
          </w:pPr>
        </w:p>
        <w:p w14:paraId="7400A3DA" w14:textId="77777777" w:rsidR="00CE606B" w:rsidRDefault="00D5734A">
          <w:pPr>
            <w:pStyle w:val="Innehll1"/>
            <w:tabs>
              <w:tab w:val="left" w:pos="440"/>
              <w:tab w:val="right" w:leader="dot" w:pos="9062"/>
            </w:tabs>
            <w:rPr>
              <w:rFonts w:ascii="Calibri" w:hAnsi="Calibri"/>
              <w:noProof/>
            </w:rPr>
          </w:pPr>
          <w:r>
            <w:fldChar w:fldCharType="begin"/>
          </w:r>
          <w:r>
            <w:instrText xml:space="preserve"> TOC \o "1-1" \h \z \u </w:instrText>
          </w:r>
          <w:r>
            <w:fldChar w:fldCharType="separate"/>
          </w:r>
          <w:r>
            <w:rPr>
              <w:b/>
              <w:bCs/>
              <w:noProof/>
            </w:rPr>
            <w:fldChar w:fldCharType="begin"/>
          </w:r>
          <w:r>
            <w:rPr>
              <w:rStyle w:val="Hyperlnk"/>
              <w:b/>
              <w:bCs/>
              <w:noProof/>
            </w:rPr>
            <w:instrText xml:space="preserve"> HYPERLINK \l "_Toc256000003" </w:instrText>
          </w:r>
          <w:r>
            <w:rPr>
              <w:b/>
              <w:bCs/>
              <w:noProof/>
            </w:rPr>
            <w:fldChar w:fldCharType="separate"/>
          </w:r>
          <w:r>
            <w:rPr>
              <w:rStyle w:val="Hyperlnk"/>
            </w:rPr>
            <w:t>1.</w:t>
          </w:r>
          <w:r>
            <w:rPr>
              <w:rStyle w:val="Hyperlnk"/>
              <w:rFonts w:ascii="Calibri" w:hAnsi="Calibri"/>
              <w:noProof/>
            </w:rPr>
            <w:tab/>
          </w:r>
          <w:r>
            <w:rPr>
              <w:rStyle w:val="Hyperlnk"/>
              <w:noProof/>
            </w:rPr>
            <w:t>Preparation of the Council meeting (Economic and Financial Affairs) on 8 March 2016 b) Future of the Code of Conduct (Business Taxation)</w:t>
          </w:r>
          <w:r>
            <w:rPr>
              <w:rStyle w:val="Hyperlnk"/>
            </w:rPr>
            <w:tab/>
          </w:r>
          <w:r>
            <w:fldChar w:fldCharType="begin"/>
          </w:r>
          <w:r>
            <w:rPr>
              <w:rStyle w:val="Hyperlnk"/>
            </w:rPr>
            <w:instrText xml:space="preserve"> PAGEREF _Toc256000003 \h </w:instrText>
          </w:r>
          <w:r>
            <w:fldChar w:fldCharType="separate"/>
          </w:r>
          <w:r>
            <w:rPr>
              <w:rStyle w:val="Hyperlnk"/>
            </w:rPr>
            <w:t>3</w:t>
          </w:r>
          <w:r>
            <w:fldChar w:fldCharType="end"/>
          </w:r>
        </w:p>
        <w:p w14:paraId="7400A3DB" w14:textId="77777777" w:rsidR="00D957FB" w:rsidRDefault="00D5734A">
          <w:r>
            <w:rPr>
              <w:b/>
              <w:bCs/>
              <w:noProof/>
            </w:rPr>
            <w:fldChar w:fldCharType="end"/>
          </w:r>
          <w:r>
            <w:rPr>
              <w:b/>
              <w:bCs/>
              <w:noProof/>
            </w:rPr>
            <w:fldChar w:fldCharType="end"/>
          </w:r>
        </w:p>
      </w:sdtContent>
    </w:sdt>
    <w:p w14:paraId="7400A3DC" w14:textId="77777777" w:rsidR="00D957FB" w:rsidRDefault="00D5734A">
      <w:pPr>
        <w:ind w:left="0"/>
      </w:pPr>
      <w:r>
        <w:br w:type="page"/>
      </w:r>
    </w:p>
    <w:p w14:paraId="7400A3DD" w14:textId="77777777" w:rsidR="00643D86" w:rsidRDefault="00D52209" w:rsidP="00643D86">
      <w:pPr>
        <w:pStyle w:val="Rubrik1"/>
        <w:numPr>
          <w:ilvl w:val="0"/>
          <w:numId w:val="0"/>
        </w:numPr>
      </w:pPr>
      <w:bookmarkStart w:id="1" w:name="_Toc364854645"/>
    </w:p>
    <w:p w14:paraId="7400A3DE" w14:textId="77777777" w:rsidR="00643D86" w:rsidRPr="00D52209" w:rsidRDefault="00D5734A" w:rsidP="00643D86">
      <w:pPr>
        <w:pStyle w:val="Rubrik1"/>
        <w:rPr>
          <w:lang w:val="en-US"/>
        </w:rPr>
      </w:pPr>
      <w:bookmarkStart w:id="2" w:name="_Toc256000003"/>
      <w:r w:rsidRPr="00D52209">
        <w:rPr>
          <w:noProof/>
          <w:lang w:val="en-US"/>
        </w:rPr>
        <w:t>Preparation of the Council meeting (Economic and Financial Affairs) on 8 March 2016</w:t>
      </w:r>
      <w:r w:rsidRPr="00D52209">
        <w:rPr>
          <w:noProof/>
          <w:lang w:val="en-US"/>
        </w:rPr>
        <w:br/>
        <w:t>b)</w:t>
      </w:r>
      <w:r w:rsidRPr="00D52209">
        <w:rPr>
          <w:noProof/>
          <w:lang w:val="en-US"/>
        </w:rPr>
        <w:tab/>
        <w:t>Future of the Code of Conduct (Business Taxation)</w:t>
      </w:r>
      <w:bookmarkEnd w:id="2"/>
    </w:p>
    <w:p w14:paraId="7400A3DF" w14:textId="77777777" w:rsidR="00643D86" w:rsidRPr="00D52209" w:rsidRDefault="00D5734A" w:rsidP="00643D86">
      <w:r w:rsidRPr="00D52209">
        <w:rPr>
          <w:noProof/>
        </w:rPr>
        <w:t>=</w:t>
      </w:r>
      <w:r w:rsidRPr="00D52209">
        <w:t xml:space="preserve">Council </w:t>
      </w:r>
      <w:proofErr w:type="spellStart"/>
      <w:r w:rsidRPr="00D52209">
        <w:t>conclusions</w:t>
      </w:r>
      <w:proofErr w:type="spellEnd"/>
      <w:r w:rsidRPr="00D52209">
        <w:br/>
      </w:r>
      <w:r w:rsidRPr="00D52209">
        <w:rPr>
          <w:noProof/>
        </w:rPr>
        <w:t>6452</w:t>
      </w:r>
      <w:r w:rsidRPr="00D52209">
        <w:t>/16 FISC 29 ECOFIN 142</w:t>
      </w:r>
    </w:p>
    <w:p w14:paraId="7400A3E0" w14:textId="3DB31EA5" w:rsidR="00643D86" w:rsidRDefault="00D5734A" w:rsidP="005937EC">
      <w:r>
        <w:rPr>
          <w:b/>
        </w:rPr>
        <w:t>Ansvarigt statsråd</w:t>
      </w:r>
      <w:r w:rsidR="005937EC">
        <w:rPr>
          <w:b/>
        </w:rPr>
        <w:br/>
      </w:r>
      <w:r w:rsidR="005937EC" w:rsidRPr="005937EC">
        <w:t>Magdalena Andersson</w:t>
      </w:r>
    </w:p>
    <w:p w14:paraId="5B1E9AC1" w14:textId="043AB7E5" w:rsidR="00C20E07" w:rsidRPr="00C20E07" w:rsidRDefault="00C20E07" w:rsidP="00C20E07">
      <w:pPr>
        <w:rPr>
          <w:sz w:val="24"/>
          <w:szCs w:val="24"/>
        </w:rPr>
      </w:pPr>
      <w:r w:rsidRPr="00C20E07">
        <w:rPr>
          <w:b/>
          <w:sz w:val="24"/>
          <w:szCs w:val="24"/>
        </w:rPr>
        <w:t>Tidigare behandling i rådet:</w:t>
      </w:r>
      <w:r w:rsidRPr="00C20E07">
        <w:rPr>
          <w:sz w:val="24"/>
          <w:szCs w:val="24"/>
        </w:rPr>
        <w:t xml:space="preserve"> 8 december 2015.</w:t>
      </w:r>
    </w:p>
    <w:p w14:paraId="38ECB3EE" w14:textId="284A08D7" w:rsidR="00C20E07" w:rsidRDefault="00C20E07" w:rsidP="00C20E07">
      <w:pPr>
        <w:rPr>
          <w:rFonts w:ascii="Garamond" w:hAnsi="Garamond"/>
          <w:sz w:val="24"/>
          <w:szCs w:val="24"/>
        </w:rPr>
      </w:pPr>
      <w:r w:rsidRPr="00C20E07">
        <w:rPr>
          <w:b/>
          <w:sz w:val="24"/>
          <w:szCs w:val="24"/>
        </w:rPr>
        <w:t>Tidigare behandling i EUN</w:t>
      </w:r>
      <w:r w:rsidRPr="00C20E07">
        <w:rPr>
          <w:rFonts w:ascii="Garamond" w:hAnsi="Garamond"/>
          <w:b/>
          <w:sz w:val="24"/>
          <w:szCs w:val="24"/>
        </w:rPr>
        <w:t>:</w:t>
      </w:r>
      <w:r>
        <w:rPr>
          <w:rFonts w:ascii="Garamond" w:hAnsi="Garamond"/>
          <w:sz w:val="24"/>
          <w:szCs w:val="24"/>
        </w:rPr>
        <w:t xml:space="preserve"> 4 december 2015 </w:t>
      </w:r>
    </w:p>
    <w:p w14:paraId="7400A3E1" w14:textId="77777777" w:rsidR="00E0653A" w:rsidRDefault="00D5734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00A3E2" w14:textId="77777777" w:rsidR="00E0653A" w:rsidRDefault="00D5734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00A3E3" w14:textId="77777777" w:rsidR="00E0653A" w:rsidRDefault="00D5734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00A3E4" w14:textId="77777777" w:rsidR="00E0653A" w:rsidRDefault="00D5734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00A3E5" w14:textId="77777777" w:rsidR="00E0653A" w:rsidRDefault="00D5734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00A3E6" w14:textId="77777777" w:rsidR="00E0653A" w:rsidRDefault="00D5734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00A3E7" w14:textId="77777777" w:rsidR="00E0653A" w:rsidRDefault="00D5734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00A3E8" w14:textId="77777777" w:rsidR="00E0653A" w:rsidRDefault="00D5734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00A3E9" w14:textId="77777777" w:rsidR="00E0653A" w:rsidRDefault="00D5734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00A3EB" w14:textId="774666F1" w:rsidR="00CE606B" w:rsidRDefault="00D5734A" w:rsidP="005937E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Vid möte i Coreper den 2 mars 2015 föreslogs att rådet som en A-punkt den 8 mars 2016 ska anta slutsatser om uppförandekodens framtid såvitt avser styrning, arbetsmetoder och öppenhet.</w:t>
      </w:r>
    </w:p>
    <w:p w14:paraId="7400A3EC" w14:textId="77777777" w:rsidR="00CE606B" w:rsidRDefault="00D5734A">
      <w:pPr>
        <w:spacing w:after="280" w:afterAutospacing="1"/>
      </w:pPr>
      <w:r>
        <w:rPr>
          <w:b/>
          <w:bCs/>
        </w:rPr>
        <w:t>Hur regeringen ställer sig till den blivande A-punkten:</w:t>
      </w:r>
      <w:r>
        <w:t xml:space="preserve"> Det är viktigt att uppförandekodgruppen arbetar effektivt med att motverka skadlig skattekonkurrens. Regeringen kan stödja de föreslagna ändringarna avseende styrningen och arbetsmetoderna eftersom de förbättrar gruppens möjligheter att arbeta effektivt. Regeringen kan vidare stödja den föreslagna ökade öppenheten eftersom gruppens arbete blir mer synligt samtidigt som hänsyn tas till att arbetet bygger på förtroende mellan medlemsstaterna.</w:t>
      </w:r>
    </w:p>
    <w:p w14:paraId="7400A3ED" w14:textId="77777777" w:rsidR="00CE606B" w:rsidRDefault="00D5734A">
      <w:pPr>
        <w:spacing w:after="280" w:afterAutospacing="1"/>
      </w:pPr>
      <w:r>
        <w:t>Regeringen kan ställa sig bakom utkastet till rådsslutsatser om uppförandekodens framtid.</w:t>
      </w:r>
    </w:p>
    <w:p w14:paraId="7400A3EE" w14:textId="77777777" w:rsidR="00CE606B" w:rsidRDefault="00D5734A">
      <w:pPr>
        <w:spacing w:after="280" w:afterAutospacing="1"/>
      </w:pPr>
      <w:r>
        <w:rPr>
          <w:b/>
          <w:bCs/>
        </w:rPr>
        <w:t>Bakgrund:</w:t>
      </w:r>
      <w:r>
        <w:t xml:space="preserve"> I december 1997 antog rådet en resolution om en uppförandekod för företagsbeskattning. Syftet med koden är att motverka skadlig skattekonkurrens. En särskild högnivågrupp inom rådet har inrättats för att genomföra uppförandekodens principer. Varje halvår rapporterar uppförandekodgruppen till rådet om sitt arbete under respektive ordförandeskap. Rapporten godkänns sedan av rådet. </w:t>
      </w:r>
    </w:p>
    <w:p w14:paraId="7400A3EF" w14:textId="77777777" w:rsidR="00CE606B" w:rsidRDefault="00D5734A">
      <w:pPr>
        <w:spacing w:after="280" w:afterAutospacing="1"/>
      </w:pPr>
      <w:r>
        <w:t>Frågan om uppförandekodgruppens framtid (möjlighet att stärka gruppen inom existerande mandat samt eventuell ändring av mandat och styrning) har varit uppe till diskussion på möten i uppförandekodgruppen och högnivågruppen för skattefrågor under 2015. Vid Ekofinrådets möte den 8 december 2015 antogs rådsslutsatser om uppförandekodgruppens framtid. I slutsatserna uppmanar rådet högnivågruppen för skattefrågor att bedöma behovet av att förbättra den övergripande styrningen, öppenheten och arbetsmetoderna i uppförandekodgruppen samt att slutföra reformen av gruppen under det nederländska ordförandeskapet.</w:t>
      </w:r>
    </w:p>
    <w:p w14:paraId="7400A3F1" w14:textId="00B79170" w:rsidR="00FB32B9" w:rsidRDefault="00D5734A">
      <w:pPr>
        <w:spacing w:after="280" w:afterAutospacing="1"/>
        <w:rPr>
          <w:noProof/>
        </w:rPr>
      </w:pPr>
      <w:r>
        <w:t xml:space="preserve">Högnivågruppen för skattefrågor har fortsatt att arbeta med frågor om uppförandekodens framtid under 2016 såvitt gäller styrning, arbetsmetoder och öppenhet. Till mötet i högnivågruppen den 23 februari 2016 tog det nederländska ordförandeskapet fram förslag till rådsslutsatser om dessa tre områden rörande uppförandekodens framtid. I de nya slutsatserna sägs att gruppen aktivt ska använda undergrupper och att processen för att utvärdera regimer </w:t>
      </w:r>
      <w:r>
        <w:lastRenderedPageBreak/>
        <w:t>ska påskyndas. Gruppens arbete ska få en ökad synlighet genom att involvera rådet i arbetet på ett mer systematiskt sätt. Dessutom sägs att rådet understryker behovet av att öka insynen i gruppens arbete samtidigt som man säkerställer vikten av konfidentialitet. Detta ska bl.a. ske genom mer fylliga rapporter till rådet om gruppens arbete under respektive ordförandeskap samt genom publicering av vissa dokument (såsom rapporter och riktlinjer) på en särskild hemsida. Vid ett möte i Coreper den 2 mars 2016 föreslogs att rådet skulle anta slutsatserna som en A-punkt på sin dagordning.</w:t>
      </w:r>
    </w:p>
    <w:bookmarkEnd w:id="1"/>
    <w:p w14:paraId="7400A3F2" w14:textId="77777777" w:rsidR="00643D86" w:rsidRPr="00377012" w:rsidRDefault="00D52209" w:rsidP="00643D86">
      <w:pPr>
        <w:ind w:left="0"/>
      </w:pPr>
    </w:p>
    <w:sectPr w:rsidR="00643D86" w:rsidRPr="00377012" w:rsidSect="002C27BD">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D1C42" w14:textId="77777777" w:rsidR="00015529" w:rsidRDefault="00015529">
      <w:pPr>
        <w:spacing w:after="0" w:line="240" w:lineRule="auto"/>
      </w:pPr>
      <w:r>
        <w:separator/>
      </w:r>
    </w:p>
  </w:endnote>
  <w:endnote w:type="continuationSeparator" w:id="0">
    <w:p w14:paraId="50B60094" w14:textId="77777777" w:rsidR="00015529" w:rsidRDefault="00015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0A3F6" w14:textId="77777777" w:rsidR="002F3A5A" w:rsidRDefault="00D5220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7400A3F7" w14:textId="77777777" w:rsidR="00283DF3" w:rsidRDefault="00D52209">
        <w:pPr>
          <w:pStyle w:val="Sidfot"/>
          <w:jc w:val="right"/>
        </w:pPr>
      </w:p>
    </w:sdtContent>
  </w:sdt>
  <w:p w14:paraId="7400A3F8" w14:textId="77777777" w:rsidR="00283DF3" w:rsidRDefault="00D5220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0A406" w14:textId="77777777" w:rsidR="00283DF3" w:rsidRDefault="00D52209">
    <w:pPr>
      <w:pStyle w:val="Sidfot"/>
      <w:jc w:val="right"/>
    </w:pPr>
  </w:p>
  <w:p w14:paraId="7400A407" w14:textId="77777777" w:rsidR="00283DF3" w:rsidRDefault="00D5220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02394" w14:textId="77777777" w:rsidR="00015529" w:rsidRDefault="00015529">
      <w:pPr>
        <w:spacing w:after="0" w:line="240" w:lineRule="auto"/>
      </w:pPr>
      <w:r>
        <w:separator/>
      </w:r>
    </w:p>
  </w:footnote>
  <w:footnote w:type="continuationSeparator" w:id="0">
    <w:p w14:paraId="3FD1068B" w14:textId="77777777" w:rsidR="00015529" w:rsidRDefault="00015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0A3F3" w14:textId="77777777" w:rsidR="002F3A5A" w:rsidRDefault="00D5220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7400A3F4" w14:textId="77777777" w:rsidR="002F3A5A" w:rsidRDefault="00D5734A" w:rsidP="002F3A5A">
        <w:pPr>
          <w:pStyle w:val="Sidhuvud"/>
          <w:jc w:val="right"/>
        </w:pPr>
        <w:r>
          <w:fldChar w:fldCharType="begin"/>
        </w:r>
        <w:r>
          <w:instrText xml:space="preserve"> PAGE   \* MERGEFORMAT </w:instrText>
        </w:r>
        <w:r>
          <w:fldChar w:fldCharType="separate"/>
        </w:r>
        <w:r w:rsidR="00D52209">
          <w:rPr>
            <w:noProof/>
          </w:rPr>
          <w:t>2</w:t>
        </w:r>
        <w:r>
          <w:rPr>
            <w:noProof/>
          </w:rPr>
          <w:fldChar w:fldCharType="end"/>
        </w:r>
      </w:p>
    </w:sdtContent>
  </w:sdt>
  <w:p w14:paraId="7400A3F5" w14:textId="77777777" w:rsidR="006F1C0D" w:rsidRDefault="00D52209" w:rsidP="001237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CE606B" w14:paraId="7400A400" w14:textId="77777777" w:rsidTr="006E71D7">
      <w:tc>
        <w:tcPr>
          <w:tcW w:w="4606" w:type="dxa"/>
        </w:tcPr>
        <w:p w14:paraId="7400A3F9" w14:textId="77777777" w:rsidR="006E71D7" w:rsidRDefault="00D5734A" w:rsidP="00752770">
          <w:pPr>
            <w:pStyle w:val="Sidhuvud"/>
            <w:ind w:left="0"/>
          </w:pPr>
          <w:r>
            <w:rPr>
              <w:noProof/>
              <w:lang w:eastAsia="sv-SE"/>
            </w:rPr>
            <w:drawing>
              <wp:inline distT="0" distB="0" distL="0" distR="0" wp14:anchorId="7400A408" wp14:editId="7400A409">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400A3FA" w14:textId="77777777" w:rsidR="00FB32B9" w:rsidRDefault="00D52209"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CE606B" w14:paraId="7400A3FD" w14:textId="77777777" w:rsidTr="00623763">
            <w:tc>
              <w:tcPr>
                <w:tcW w:w="1833" w:type="dxa"/>
              </w:tcPr>
              <w:p w14:paraId="7400A3FB" w14:textId="77777777" w:rsidR="00623763" w:rsidRPr="00623763" w:rsidRDefault="00D5734A" w:rsidP="00623763">
                <w:pPr>
                  <w:ind w:left="0"/>
                </w:pPr>
                <w:r w:rsidRPr="00623763">
                  <w:rPr>
                    <w:rFonts w:ascii="TradeGothic" w:hAnsi="TradeGothic"/>
                    <w:b/>
                  </w:rPr>
                  <w:t>Promemoria</w:t>
                </w:r>
              </w:p>
            </w:tc>
            <w:tc>
              <w:tcPr>
                <w:tcW w:w="1833" w:type="dxa"/>
              </w:tcPr>
              <w:p w14:paraId="7400A3FC" w14:textId="77777777" w:rsidR="00623763" w:rsidRPr="00623763" w:rsidRDefault="00D5734A"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9</w:t>
                </w:r>
                <w:r w:rsidRPr="00623763">
                  <w:rPr>
                    <w:rFonts w:ascii="TradeGothic" w:hAnsi="TradeGothic"/>
                    <w:b/>
                  </w:rPr>
                  <w:t>]</w:t>
                </w:r>
              </w:p>
            </w:tc>
          </w:tr>
        </w:tbl>
        <w:p w14:paraId="7400A3FE" w14:textId="77777777" w:rsidR="00FB32B9" w:rsidRDefault="00D52209" w:rsidP="00FB32B9">
          <w:pPr>
            <w:jc w:val="right"/>
          </w:pPr>
        </w:p>
        <w:p w14:paraId="7400A3FF" w14:textId="77777777" w:rsidR="006E71D7" w:rsidRDefault="00D5734A" w:rsidP="00FB32B9">
          <w:pPr>
            <w:ind w:right="916"/>
          </w:pPr>
          <w:r>
            <w:rPr>
              <w:rFonts w:ascii="TradeGothic" w:hAnsi="TradeGothic"/>
              <w:b/>
              <w:noProof/>
            </w:rPr>
            <w:t>2016-03-03</w:t>
          </w:r>
          <w:r w:rsidRPr="00934953">
            <w:t xml:space="preserve"> </w:t>
          </w:r>
        </w:p>
      </w:tc>
    </w:tr>
  </w:tbl>
  <w:p w14:paraId="7400A401" w14:textId="77777777" w:rsidR="00FB32B9" w:rsidRDefault="00D52209" w:rsidP="00FB32B9">
    <w:pPr>
      <w:pStyle w:val="Avsndare"/>
      <w:framePr w:w="0" w:hRule="auto" w:hSpace="0" w:wrap="auto" w:vAnchor="margin" w:hAnchor="text" w:xAlign="left" w:yAlign="inline"/>
      <w:rPr>
        <w:b/>
        <w:i w:val="0"/>
        <w:sz w:val="22"/>
      </w:rPr>
    </w:pPr>
  </w:p>
  <w:p w14:paraId="7400A402" w14:textId="77777777" w:rsidR="00FB32B9" w:rsidRDefault="00D5734A" w:rsidP="00FB32B9">
    <w:pPr>
      <w:pStyle w:val="Avsndare"/>
      <w:framePr w:w="0" w:hRule="auto" w:hSpace="0" w:wrap="auto" w:vAnchor="margin" w:hAnchor="text" w:xAlign="left" w:yAlign="inline"/>
      <w:rPr>
        <w:b/>
        <w:i w:val="0"/>
        <w:sz w:val="22"/>
      </w:rPr>
    </w:pPr>
    <w:r>
      <w:rPr>
        <w:b/>
        <w:i w:val="0"/>
        <w:sz w:val="22"/>
      </w:rPr>
      <w:t>Statsrådsberedningen</w:t>
    </w:r>
  </w:p>
  <w:p w14:paraId="7400A403" w14:textId="77777777" w:rsidR="00FB32B9" w:rsidRDefault="00D52209" w:rsidP="00FB32B9">
    <w:pPr>
      <w:pStyle w:val="Avsndare"/>
      <w:framePr w:w="0" w:hRule="auto" w:hSpace="0" w:wrap="auto" w:vAnchor="margin" w:hAnchor="text" w:xAlign="left" w:yAlign="inline"/>
    </w:pPr>
  </w:p>
  <w:p w14:paraId="7400A404" w14:textId="77777777" w:rsidR="00FB32B9" w:rsidRDefault="00D5734A" w:rsidP="00FB32B9">
    <w:pPr>
      <w:pStyle w:val="Avsndare"/>
      <w:framePr w:w="0" w:hRule="auto" w:hSpace="0" w:wrap="auto" w:vAnchor="margin" w:hAnchor="text" w:xAlign="left" w:yAlign="inline"/>
    </w:pPr>
    <w:r>
      <w:t>EU-kansliet</w:t>
    </w:r>
  </w:p>
  <w:p w14:paraId="7400A405" w14:textId="77777777" w:rsidR="0012376B" w:rsidRDefault="00D5220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49D01372">
      <w:start w:val="1"/>
      <w:numFmt w:val="decimal"/>
      <w:pStyle w:val="Rubrik1"/>
      <w:lvlText w:val="%1."/>
      <w:lvlJc w:val="left"/>
      <w:pPr>
        <w:ind w:left="720" w:hanging="360"/>
      </w:pPr>
    </w:lvl>
    <w:lvl w:ilvl="1" w:tplc="69345DCC" w:tentative="1">
      <w:start w:val="1"/>
      <w:numFmt w:val="lowerLetter"/>
      <w:lvlText w:val="%2."/>
      <w:lvlJc w:val="left"/>
      <w:pPr>
        <w:ind w:left="1440" w:hanging="360"/>
      </w:pPr>
    </w:lvl>
    <w:lvl w:ilvl="2" w:tplc="CBEA536A" w:tentative="1">
      <w:start w:val="1"/>
      <w:numFmt w:val="lowerRoman"/>
      <w:lvlText w:val="%3."/>
      <w:lvlJc w:val="right"/>
      <w:pPr>
        <w:ind w:left="2160" w:hanging="180"/>
      </w:pPr>
    </w:lvl>
    <w:lvl w:ilvl="3" w:tplc="825A1DBA" w:tentative="1">
      <w:start w:val="1"/>
      <w:numFmt w:val="decimal"/>
      <w:lvlText w:val="%4."/>
      <w:lvlJc w:val="left"/>
      <w:pPr>
        <w:ind w:left="2880" w:hanging="360"/>
      </w:pPr>
    </w:lvl>
    <w:lvl w:ilvl="4" w:tplc="AEB61946" w:tentative="1">
      <w:start w:val="1"/>
      <w:numFmt w:val="lowerLetter"/>
      <w:lvlText w:val="%5."/>
      <w:lvlJc w:val="left"/>
      <w:pPr>
        <w:ind w:left="3600" w:hanging="360"/>
      </w:pPr>
    </w:lvl>
    <w:lvl w:ilvl="5" w:tplc="EB24455C" w:tentative="1">
      <w:start w:val="1"/>
      <w:numFmt w:val="lowerRoman"/>
      <w:lvlText w:val="%6."/>
      <w:lvlJc w:val="right"/>
      <w:pPr>
        <w:ind w:left="4320" w:hanging="180"/>
      </w:pPr>
    </w:lvl>
    <w:lvl w:ilvl="6" w:tplc="67C691E0" w:tentative="1">
      <w:start w:val="1"/>
      <w:numFmt w:val="decimal"/>
      <w:lvlText w:val="%7."/>
      <w:lvlJc w:val="left"/>
      <w:pPr>
        <w:ind w:left="5040" w:hanging="360"/>
      </w:pPr>
    </w:lvl>
    <w:lvl w:ilvl="7" w:tplc="CC92BC1A" w:tentative="1">
      <w:start w:val="1"/>
      <w:numFmt w:val="lowerLetter"/>
      <w:lvlText w:val="%8."/>
      <w:lvlJc w:val="left"/>
      <w:pPr>
        <w:ind w:left="5760" w:hanging="360"/>
      </w:pPr>
    </w:lvl>
    <w:lvl w:ilvl="8" w:tplc="B11614E0"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9A6EE2A8">
      <w:start w:val="1"/>
      <w:numFmt w:val="decimal"/>
      <w:lvlText w:val="%1."/>
      <w:lvlJc w:val="left"/>
      <w:pPr>
        <w:ind w:left="360" w:hanging="360"/>
      </w:pPr>
      <w:rPr>
        <w:b w:val="0"/>
      </w:rPr>
    </w:lvl>
    <w:lvl w:ilvl="1" w:tplc="E98ADF82" w:tentative="1">
      <w:start w:val="1"/>
      <w:numFmt w:val="lowerLetter"/>
      <w:lvlText w:val="%2."/>
      <w:lvlJc w:val="left"/>
      <w:pPr>
        <w:ind w:left="1080" w:hanging="360"/>
      </w:pPr>
    </w:lvl>
    <w:lvl w:ilvl="2" w:tplc="28444254" w:tentative="1">
      <w:start w:val="1"/>
      <w:numFmt w:val="lowerRoman"/>
      <w:lvlText w:val="%3."/>
      <w:lvlJc w:val="right"/>
      <w:pPr>
        <w:ind w:left="1800" w:hanging="180"/>
      </w:pPr>
    </w:lvl>
    <w:lvl w:ilvl="3" w:tplc="FD5E8322" w:tentative="1">
      <w:start w:val="1"/>
      <w:numFmt w:val="decimal"/>
      <w:lvlText w:val="%4."/>
      <w:lvlJc w:val="left"/>
      <w:pPr>
        <w:ind w:left="2520" w:hanging="360"/>
      </w:pPr>
    </w:lvl>
    <w:lvl w:ilvl="4" w:tplc="2F2621E0" w:tentative="1">
      <w:start w:val="1"/>
      <w:numFmt w:val="lowerLetter"/>
      <w:lvlText w:val="%5."/>
      <w:lvlJc w:val="left"/>
      <w:pPr>
        <w:ind w:left="3240" w:hanging="360"/>
      </w:pPr>
    </w:lvl>
    <w:lvl w:ilvl="5" w:tplc="0B3C7684" w:tentative="1">
      <w:start w:val="1"/>
      <w:numFmt w:val="lowerRoman"/>
      <w:lvlText w:val="%6."/>
      <w:lvlJc w:val="right"/>
      <w:pPr>
        <w:ind w:left="3960" w:hanging="180"/>
      </w:pPr>
    </w:lvl>
    <w:lvl w:ilvl="6" w:tplc="28F0C9E8" w:tentative="1">
      <w:start w:val="1"/>
      <w:numFmt w:val="decimal"/>
      <w:lvlText w:val="%7."/>
      <w:lvlJc w:val="left"/>
      <w:pPr>
        <w:ind w:left="4680" w:hanging="360"/>
      </w:pPr>
    </w:lvl>
    <w:lvl w:ilvl="7" w:tplc="7C5C33C8" w:tentative="1">
      <w:start w:val="1"/>
      <w:numFmt w:val="lowerLetter"/>
      <w:lvlText w:val="%8."/>
      <w:lvlJc w:val="left"/>
      <w:pPr>
        <w:ind w:left="5400" w:hanging="360"/>
      </w:pPr>
    </w:lvl>
    <w:lvl w:ilvl="8" w:tplc="EC3A264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06B"/>
    <w:rsid w:val="00015529"/>
    <w:rsid w:val="005937EC"/>
    <w:rsid w:val="00736856"/>
    <w:rsid w:val="00907A77"/>
    <w:rsid w:val="00C20E07"/>
    <w:rsid w:val="00CE606B"/>
    <w:rsid w:val="00D52209"/>
    <w:rsid w:val="00D573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A3D0"/>
  <w15:docId w15:val="{3F5749D3-5EE5-4B6A-B6B2-3188F7D4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53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JE6N4JFJXNNF-17-41540</_dlc_DocId>
    <_dlc_DocIdUrl xmlns="8b66ae41-1ec6-402e-b662-35d1932ca064">
      <Url>http://rkdhs-sb/enhet/EUKansli/_layouts/DocIdRedir.aspx?ID=JE6N4JFJXNNF-17-41540</Url>
      <Description>JE6N4JFJXNNF-17-41540</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7A5B5-C122-4E15-AB2E-096C226C3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60405-4425-4DE1-B0A0-90C699F9609E}">
  <ds:schemaRefs>
    <ds:schemaRef ds:uri="http://schemas.microsoft.com/sharepoint/events"/>
  </ds:schemaRefs>
</ds:datastoreItem>
</file>

<file path=customXml/itemProps3.xml><?xml version="1.0" encoding="utf-8"?>
<ds:datastoreItem xmlns:ds="http://schemas.openxmlformats.org/officeDocument/2006/customXml" ds:itemID="{A9CB93CA-2FBD-4D4B-80EF-961ADE6B0800}">
  <ds:schemaRefs>
    <ds:schemaRef ds:uri="http://schemas.microsoft.com/office/2006/metadata/customXsn"/>
  </ds:schemaRefs>
</ds:datastoreItem>
</file>

<file path=customXml/itemProps4.xml><?xml version="1.0" encoding="utf-8"?>
<ds:datastoreItem xmlns:ds="http://schemas.openxmlformats.org/officeDocument/2006/customXml" ds:itemID="{F4021FA4-7000-4F93-9F16-0686630A961D}">
  <ds:schemaRefs>
    <ds:schemaRef ds:uri="http://schemas.microsoft.com/sharepoint/v3/contenttype/forms/url"/>
  </ds:schemaRefs>
</ds:datastoreItem>
</file>

<file path=customXml/itemProps5.xml><?xml version="1.0" encoding="utf-8"?>
<ds:datastoreItem xmlns:ds="http://schemas.openxmlformats.org/officeDocument/2006/customXml" ds:itemID="{6CEBC37B-9D6E-46ED-9332-F5C3C98B422A}">
  <ds:schemaRefs>
    <ds:schemaRef ds:uri="http://schemas.microsoft.com/office/2006/metadata/properties"/>
    <ds:schemaRef ds:uri="http://schemas.microsoft.com/office/infopath/2007/PartnerControls"/>
    <ds:schemaRef ds:uri="8b66ae41-1ec6-402e-b662-35d1932ca064"/>
  </ds:schemaRefs>
</ds:datastoreItem>
</file>

<file path=customXml/itemProps6.xml><?xml version="1.0" encoding="utf-8"?>
<ds:datastoreItem xmlns:ds="http://schemas.openxmlformats.org/officeDocument/2006/customXml" ds:itemID="{711E1A48-D2E6-482E-9214-EF685460F4A5}">
  <ds:schemaRefs>
    <ds:schemaRef ds:uri="http://schemas.microsoft.com/sharepoint/v3/contenttype/forms"/>
  </ds:schemaRefs>
</ds:datastoreItem>
</file>

<file path=customXml/itemProps7.xml><?xml version="1.0" encoding="utf-8"?>
<ds:datastoreItem xmlns:ds="http://schemas.openxmlformats.org/officeDocument/2006/customXml" ds:itemID="{EBC910FC-47F1-48D7-A551-DF2A60890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655</Words>
  <Characters>3476</Characters>
  <Application>Microsoft Office Word</Application>
  <DocSecurity>4</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Lindberg</cp:lastModifiedBy>
  <cp:revision>2</cp:revision>
  <dcterms:created xsi:type="dcterms:W3CDTF">2016-03-03T12:48:00Z</dcterms:created>
  <dcterms:modified xsi:type="dcterms:W3CDTF">2016-03-03T12:48:00Z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47</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52d3eb2c-6527-4540-a9d2-6909eb196083</vt:lpwstr>
  </property>
</Properties>
</file>