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1C7" w:rsidRPr="00550B77" w:rsidRDefault="009F61C7">
      <w:pPr>
        <w:pStyle w:val="RubrikInnehllsf"/>
        <w:shd w:val="clear" w:color="000000" w:fill="auto"/>
      </w:pPr>
      <w:r w:rsidRPr="00550B77">
        <w:t>Innehållsförteckning</w:t>
      </w:r>
    </w:p>
    <w:bookmarkStart w:id="0" w:name="_Toc194913386"/>
    <w:p w:rsidR="009F61C7" w:rsidRPr="00550B77" w:rsidRDefault="009F61C7">
      <w:pPr>
        <w:pStyle w:val="Innehll1"/>
        <w:shd w:val="clear" w:color="000000" w:fill="auto"/>
        <w:tabs>
          <w:tab w:val="left" w:pos="198"/>
          <w:tab w:val="left" w:pos="284"/>
        </w:tabs>
        <w:rPr>
          <w:sz w:val="24"/>
          <w:szCs w:val="24"/>
        </w:rPr>
      </w:pPr>
      <w:r w:rsidRPr="00550B77">
        <w:fldChar w:fldCharType="begin" w:fldLock="1"/>
      </w:r>
      <w:r w:rsidRPr="00550B77">
        <w:instrText xml:space="preserve"> TOC \o "2-3" \t "Rubrik 1;1;Hemstl_rubrik;1;RubrikSammanf;1" </w:instrText>
      </w:r>
      <w:r w:rsidRPr="00550B77">
        <w:fldChar w:fldCharType="separate"/>
      </w:r>
      <w:r w:rsidRPr="00550B77">
        <w:t>2</w:t>
      </w:r>
      <w:r w:rsidRPr="00550B77">
        <w:rPr>
          <w:sz w:val="24"/>
          <w:szCs w:val="24"/>
        </w:rPr>
        <w:tab/>
      </w:r>
      <w:r w:rsidRPr="00550B77">
        <w:t>Förslag till riksdagsbeslut</w:t>
      </w:r>
      <w:r w:rsidRPr="00550B77">
        <w:tab/>
      </w:r>
      <w:r w:rsidRPr="00550B77">
        <w:fldChar w:fldCharType="begin" w:fldLock="1"/>
      </w:r>
      <w:r w:rsidRPr="00550B77">
        <w:instrText xml:space="preserve"> PAGEREF _Toc195419601 \h </w:instrText>
      </w:r>
      <w:r w:rsidRPr="00550B77">
        <w:fldChar w:fldCharType="separate"/>
      </w:r>
      <w:r w:rsidRPr="00550B77">
        <w:t>3</w:t>
      </w:r>
      <w:r w:rsidRPr="00550B77">
        <w:fldChar w:fldCharType="end"/>
      </w:r>
    </w:p>
    <w:p w:rsidR="009F61C7" w:rsidRPr="00550B77" w:rsidRDefault="009F61C7">
      <w:pPr>
        <w:pStyle w:val="Innehll1"/>
        <w:shd w:val="clear" w:color="000000" w:fill="auto"/>
        <w:tabs>
          <w:tab w:val="left" w:pos="198"/>
          <w:tab w:val="left" w:pos="284"/>
        </w:tabs>
        <w:rPr>
          <w:sz w:val="24"/>
          <w:szCs w:val="24"/>
        </w:rPr>
      </w:pPr>
      <w:r w:rsidRPr="00550B77">
        <w:t>3</w:t>
      </w:r>
      <w:r w:rsidRPr="00550B77">
        <w:rPr>
          <w:sz w:val="24"/>
          <w:szCs w:val="24"/>
        </w:rPr>
        <w:tab/>
      </w:r>
      <w:r w:rsidRPr="00550B77">
        <w:t>Inledning</w:t>
      </w:r>
      <w:r w:rsidRPr="00550B77">
        <w:tab/>
      </w:r>
      <w:r w:rsidRPr="00550B77">
        <w:fldChar w:fldCharType="begin" w:fldLock="1"/>
      </w:r>
      <w:r w:rsidRPr="00550B77">
        <w:instrText xml:space="preserve"> PAGEREF _Toc195419602 \h </w:instrText>
      </w:r>
      <w:r w:rsidRPr="00550B77">
        <w:fldChar w:fldCharType="separate"/>
      </w:r>
      <w:r w:rsidRPr="00550B77">
        <w:t>6</w:t>
      </w:r>
      <w:r w:rsidRPr="00550B77">
        <w:fldChar w:fldCharType="end"/>
      </w:r>
    </w:p>
    <w:p w:rsidR="009F61C7" w:rsidRPr="00550B77" w:rsidRDefault="009F61C7">
      <w:pPr>
        <w:pStyle w:val="Innehll1"/>
        <w:shd w:val="clear" w:color="000000" w:fill="auto"/>
        <w:tabs>
          <w:tab w:val="left" w:pos="198"/>
          <w:tab w:val="left" w:pos="284"/>
        </w:tabs>
        <w:rPr>
          <w:sz w:val="24"/>
          <w:szCs w:val="24"/>
        </w:rPr>
      </w:pPr>
      <w:r w:rsidRPr="00550B77">
        <w:t>4</w:t>
      </w:r>
      <w:r w:rsidRPr="00550B77">
        <w:rPr>
          <w:sz w:val="24"/>
          <w:szCs w:val="24"/>
        </w:rPr>
        <w:tab/>
      </w:r>
      <w:r w:rsidRPr="00550B77">
        <w:t>Jämlikhet och hållbarhet bortvalt</w:t>
      </w:r>
      <w:r w:rsidRPr="00550B77">
        <w:tab/>
      </w:r>
      <w:r w:rsidRPr="00550B77">
        <w:fldChar w:fldCharType="begin" w:fldLock="1"/>
      </w:r>
      <w:r w:rsidRPr="00550B77">
        <w:instrText xml:space="preserve"> PAGEREF _Toc195419603 \h </w:instrText>
      </w:r>
      <w:r w:rsidRPr="00550B77">
        <w:fldChar w:fldCharType="separate"/>
      </w:r>
      <w:r w:rsidRPr="00550B77">
        <w:t>7</w:t>
      </w:r>
      <w:r w:rsidRPr="00550B77">
        <w:fldChar w:fldCharType="end"/>
      </w:r>
    </w:p>
    <w:p w:rsidR="009F61C7" w:rsidRPr="00550B77" w:rsidRDefault="009F61C7">
      <w:pPr>
        <w:pStyle w:val="Innehll1"/>
        <w:shd w:val="clear" w:color="000000" w:fill="auto"/>
        <w:tabs>
          <w:tab w:val="left" w:pos="198"/>
          <w:tab w:val="left" w:pos="284"/>
        </w:tabs>
        <w:rPr>
          <w:sz w:val="24"/>
          <w:szCs w:val="24"/>
        </w:rPr>
      </w:pPr>
      <w:r w:rsidRPr="00550B77">
        <w:t>5</w:t>
      </w:r>
      <w:r w:rsidRPr="00550B77">
        <w:rPr>
          <w:sz w:val="24"/>
          <w:szCs w:val="24"/>
        </w:rPr>
        <w:tab/>
      </w:r>
      <w:r w:rsidRPr="00550B77">
        <w:t>Ändrade rubriker på målområden</w:t>
      </w:r>
      <w:r w:rsidRPr="00550B77">
        <w:tab/>
      </w:r>
      <w:r w:rsidRPr="00550B77">
        <w:fldChar w:fldCharType="begin" w:fldLock="1"/>
      </w:r>
      <w:r w:rsidRPr="00550B77">
        <w:instrText xml:space="preserve"> PAGEREF _Toc195419604 \h </w:instrText>
      </w:r>
      <w:r w:rsidRPr="00550B77">
        <w:fldChar w:fldCharType="separate"/>
      </w:r>
      <w:r w:rsidRPr="00550B77">
        <w:t>8</w:t>
      </w:r>
      <w:r w:rsidRPr="00550B77">
        <w:fldChar w:fldCharType="end"/>
      </w:r>
    </w:p>
    <w:p w:rsidR="009F61C7" w:rsidRPr="00550B77" w:rsidRDefault="009F61C7">
      <w:pPr>
        <w:pStyle w:val="Innehll1"/>
        <w:shd w:val="clear" w:color="000000" w:fill="auto"/>
        <w:tabs>
          <w:tab w:val="left" w:pos="198"/>
          <w:tab w:val="left" w:pos="284"/>
        </w:tabs>
        <w:rPr>
          <w:sz w:val="24"/>
          <w:szCs w:val="24"/>
        </w:rPr>
      </w:pPr>
      <w:r w:rsidRPr="00550B77">
        <w:t>6</w:t>
      </w:r>
      <w:r w:rsidRPr="00550B77">
        <w:rPr>
          <w:sz w:val="24"/>
          <w:szCs w:val="24"/>
        </w:rPr>
        <w:tab/>
      </w:r>
      <w:r w:rsidRPr="00550B77">
        <w:t>Utveckla lokalt folkhälsoarbete och tydliggör ansvaret</w:t>
      </w:r>
      <w:r w:rsidRPr="00550B77">
        <w:tab/>
      </w:r>
      <w:r w:rsidRPr="00550B77">
        <w:fldChar w:fldCharType="begin" w:fldLock="1"/>
      </w:r>
      <w:r w:rsidRPr="00550B77">
        <w:instrText xml:space="preserve"> PAGEREF _Toc195419605 \h </w:instrText>
      </w:r>
      <w:r w:rsidRPr="00550B77">
        <w:fldChar w:fldCharType="separate"/>
      </w:r>
      <w:r w:rsidRPr="00550B77">
        <w:t>9</w:t>
      </w:r>
      <w:r w:rsidRPr="00550B77">
        <w:fldChar w:fldCharType="end"/>
      </w:r>
    </w:p>
    <w:p w:rsidR="009F61C7" w:rsidRPr="00550B77" w:rsidRDefault="009F61C7">
      <w:pPr>
        <w:pStyle w:val="Innehll1"/>
        <w:shd w:val="clear" w:color="000000" w:fill="auto"/>
        <w:tabs>
          <w:tab w:val="left" w:pos="198"/>
          <w:tab w:val="left" w:pos="284"/>
        </w:tabs>
        <w:rPr>
          <w:sz w:val="24"/>
          <w:szCs w:val="24"/>
        </w:rPr>
      </w:pPr>
      <w:r w:rsidRPr="00550B77">
        <w:t>7</w:t>
      </w:r>
      <w:r w:rsidRPr="00550B77">
        <w:rPr>
          <w:sz w:val="24"/>
          <w:szCs w:val="24"/>
        </w:rPr>
        <w:tab/>
      </w:r>
      <w:r w:rsidRPr="00550B77">
        <w:t>Uppföljning och utvärdering av folkhälsoarbetet</w:t>
      </w:r>
      <w:r w:rsidRPr="00550B77">
        <w:tab/>
      </w:r>
      <w:r w:rsidRPr="00550B77">
        <w:fldChar w:fldCharType="begin" w:fldLock="1"/>
      </w:r>
      <w:r w:rsidRPr="00550B77">
        <w:instrText xml:space="preserve"> PAGEREF _Toc195419606 \h </w:instrText>
      </w:r>
      <w:r w:rsidRPr="00550B77">
        <w:fldChar w:fldCharType="separate"/>
      </w:r>
      <w:r w:rsidRPr="00550B77">
        <w:t>10</w:t>
      </w:r>
      <w:r w:rsidRPr="00550B77">
        <w:fldChar w:fldCharType="end"/>
      </w:r>
    </w:p>
    <w:p w:rsidR="009F61C7" w:rsidRPr="00550B77" w:rsidRDefault="009F61C7">
      <w:pPr>
        <w:pStyle w:val="Innehll1"/>
        <w:shd w:val="clear" w:color="000000" w:fill="auto"/>
        <w:tabs>
          <w:tab w:val="left" w:pos="198"/>
          <w:tab w:val="left" w:pos="284"/>
        </w:tabs>
        <w:rPr>
          <w:sz w:val="24"/>
          <w:szCs w:val="24"/>
        </w:rPr>
      </w:pPr>
      <w:r w:rsidRPr="00550B77">
        <w:t>8</w:t>
      </w:r>
      <w:r w:rsidRPr="00550B77">
        <w:rPr>
          <w:sz w:val="24"/>
          <w:szCs w:val="24"/>
        </w:rPr>
        <w:tab/>
      </w:r>
      <w:r w:rsidRPr="00550B77">
        <w:t>Utveckling och insatser inom olika målområden</w:t>
      </w:r>
      <w:r w:rsidRPr="00550B77">
        <w:tab/>
      </w:r>
      <w:r w:rsidRPr="00550B77">
        <w:fldChar w:fldCharType="begin" w:fldLock="1"/>
      </w:r>
      <w:r w:rsidRPr="00550B77">
        <w:instrText xml:space="preserve"> PAGEREF _Toc195419607 \h </w:instrText>
      </w:r>
      <w:r w:rsidRPr="00550B77">
        <w:fldChar w:fldCharType="separate"/>
      </w:r>
      <w:r w:rsidRPr="00550B77">
        <w:t>11</w:t>
      </w:r>
      <w:r w:rsidRPr="00550B77">
        <w:fldChar w:fldCharType="end"/>
      </w:r>
    </w:p>
    <w:p w:rsidR="009F61C7" w:rsidRPr="00550B77" w:rsidRDefault="009F61C7">
      <w:pPr>
        <w:pStyle w:val="Innehll2"/>
        <w:shd w:val="clear" w:color="000000" w:fill="auto"/>
        <w:tabs>
          <w:tab w:val="left" w:pos="567"/>
        </w:tabs>
        <w:rPr>
          <w:sz w:val="24"/>
          <w:szCs w:val="24"/>
        </w:rPr>
      </w:pPr>
      <w:r w:rsidRPr="00550B77">
        <w:t>8.1</w:t>
      </w:r>
      <w:r w:rsidRPr="00550B77">
        <w:rPr>
          <w:sz w:val="24"/>
          <w:szCs w:val="24"/>
        </w:rPr>
        <w:tab/>
      </w:r>
      <w:r w:rsidRPr="00550B77">
        <w:t>Målområde 1 – Delaktighet och inflytande i samhället</w:t>
      </w:r>
      <w:r w:rsidRPr="00550B77">
        <w:tab/>
      </w:r>
      <w:r w:rsidRPr="00550B77">
        <w:fldChar w:fldCharType="begin" w:fldLock="1"/>
      </w:r>
      <w:r w:rsidRPr="00550B77">
        <w:instrText xml:space="preserve"> PAGEREF _Toc195419608 \h </w:instrText>
      </w:r>
      <w:r w:rsidRPr="00550B77">
        <w:fldChar w:fldCharType="separate"/>
      </w:r>
      <w:r w:rsidRPr="00550B77">
        <w:t>11</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8.1.1</w:t>
      </w:r>
      <w:r w:rsidRPr="00550B77">
        <w:rPr>
          <w:sz w:val="24"/>
          <w:szCs w:val="24"/>
        </w:rPr>
        <w:tab/>
      </w:r>
      <w:r w:rsidRPr="00550B77">
        <w:t>Jämställdhet</w:t>
      </w:r>
      <w:r w:rsidRPr="00550B77">
        <w:tab/>
      </w:r>
      <w:r w:rsidRPr="00550B77">
        <w:fldChar w:fldCharType="begin" w:fldLock="1"/>
      </w:r>
      <w:r w:rsidRPr="00550B77">
        <w:instrText xml:space="preserve"> PAGEREF _Toc195419609 \h </w:instrText>
      </w:r>
      <w:r w:rsidRPr="00550B77">
        <w:fldChar w:fldCharType="separate"/>
      </w:r>
      <w:r w:rsidRPr="00550B77">
        <w:t>12</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8.1.2</w:t>
      </w:r>
      <w:r w:rsidRPr="00550B77">
        <w:rPr>
          <w:sz w:val="24"/>
          <w:szCs w:val="24"/>
        </w:rPr>
        <w:tab/>
      </w:r>
      <w:r w:rsidRPr="00550B77">
        <w:t>Lika rätt</w:t>
      </w:r>
      <w:r w:rsidRPr="00550B77">
        <w:tab/>
      </w:r>
      <w:r w:rsidRPr="00550B77">
        <w:fldChar w:fldCharType="begin" w:fldLock="1"/>
      </w:r>
      <w:r w:rsidRPr="00550B77">
        <w:instrText xml:space="preserve"> PAGEREF _Toc195419610 \h </w:instrText>
      </w:r>
      <w:r w:rsidRPr="00550B77">
        <w:fldChar w:fldCharType="separate"/>
      </w:r>
      <w:r w:rsidRPr="00550B77">
        <w:t>13</w:t>
      </w:r>
      <w:r w:rsidRPr="00550B77">
        <w:fldChar w:fldCharType="end"/>
      </w:r>
    </w:p>
    <w:p w:rsidR="009F61C7" w:rsidRPr="00550B77" w:rsidRDefault="009F61C7">
      <w:pPr>
        <w:pStyle w:val="Innehll2"/>
        <w:shd w:val="clear" w:color="000000" w:fill="auto"/>
        <w:tabs>
          <w:tab w:val="left" w:pos="567"/>
        </w:tabs>
        <w:ind w:right="424"/>
        <w:rPr>
          <w:sz w:val="24"/>
          <w:szCs w:val="24"/>
        </w:rPr>
      </w:pPr>
      <w:r w:rsidRPr="00550B77">
        <w:t>8.2</w:t>
      </w:r>
      <w:r w:rsidRPr="00550B77">
        <w:rPr>
          <w:sz w:val="24"/>
          <w:szCs w:val="24"/>
        </w:rPr>
        <w:tab/>
      </w:r>
      <w:r w:rsidRPr="00550B77">
        <w:t>Målområde 2 – Ekonomiska och sociala förutsättningar</w:t>
      </w:r>
      <w:r w:rsidRPr="00550B77">
        <w:tab/>
      </w:r>
      <w:r w:rsidRPr="00550B77">
        <w:fldChar w:fldCharType="begin" w:fldLock="1"/>
      </w:r>
      <w:r w:rsidRPr="00550B77">
        <w:instrText xml:space="preserve"> PAGEREF _Toc195419611 \h </w:instrText>
      </w:r>
      <w:r w:rsidRPr="00550B77">
        <w:fldChar w:fldCharType="separate"/>
      </w:r>
      <w:r w:rsidRPr="00550B77">
        <w:t>13</w:t>
      </w:r>
      <w:r w:rsidRPr="00550B77">
        <w:fldChar w:fldCharType="end"/>
      </w:r>
    </w:p>
    <w:p w:rsidR="009F61C7" w:rsidRPr="00550B77" w:rsidRDefault="009F61C7">
      <w:pPr>
        <w:pStyle w:val="Innehll2"/>
        <w:shd w:val="clear" w:color="000000" w:fill="auto"/>
        <w:tabs>
          <w:tab w:val="left" w:pos="567"/>
        </w:tabs>
        <w:rPr>
          <w:sz w:val="24"/>
          <w:szCs w:val="24"/>
        </w:rPr>
      </w:pPr>
      <w:r w:rsidRPr="00550B77">
        <w:t>8.3</w:t>
      </w:r>
      <w:r w:rsidRPr="00550B77">
        <w:rPr>
          <w:sz w:val="24"/>
          <w:szCs w:val="24"/>
        </w:rPr>
        <w:tab/>
      </w:r>
      <w:r w:rsidRPr="00550B77">
        <w:t>Målområde 3 – Barns och ungas uppväxtvillkor</w:t>
      </w:r>
      <w:r w:rsidRPr="00550B77">
        <w:tab/>
      </w:r>
      <w:r w:rsidRPr="00550B77">
        <w:fldChar w:fldCharType="begin" w:fldLock="1"/>
      </w:r>
      <w:r w:rsidRPr="00550B77">
        <w:instrText xml:space="preserve"> PAGEREF _Toc195419612 \h </w:instrText>
      </w:r>
      <w:r w:rsidRPr="00550B77">
        <w:fldChar w:fldCharType="separate"/>
      </w:r>
      <w:r w:rsidRPr="00550B77">
        <w:t>14</w:t>
      </w:r>
      <w:r w:rsidRPr="00550B77">
        <w:fldChar w:fldCharType="end"/>
      </w:r>
    </w:p>
    <w:p w:rsidR="009F61C7" w:rsidRPr="00550B77" w:rsidRDefault="009F61C7">
      <w:pPr>
        <w:pStyle w:val="Innehll2"/>
        <w:shd w:val="clear" w:color="000000" w:fill="auto"/>
        <w:tabs>
          <w:tab w:val="left" w:pos="567"/>
        </w:tabs>
        <w:rPr>
          <w:sz w:val="24"/>
          <w:szCs w:val="24"/>
        </w:rPr>
      </w:pPr>
      <w:r w:rsidRPr="00550B77">
        <w:t>8.4</w:t>
      </w:r>
      <w:r w:rsidRPr="00550B77">
        <w:rPr>
          <w:sz w:val="24"/>
          <w:szCs w:val="24"/>
        </w:rPr>
        <w:tab/>
      </w:r>
      <w:r w:rsidRPr="00550B77">
        <w:t>Målområde 4 – Hälsa i arbetslivet</w:t>
      </w:r>
      <w:r w:rsidRPr="00550B77">
        <w:tab/>
      </w:r>
      <w:r w:rsidRPr="00550B77">
        <w:fldChar w:fldCharType="begin" w:fldLock="1"/>
      </w:r>
      <w:r w:rsidRPr="00550B77">
        <w:instrText xml:space="preserve"> PAGEREF _Toc195419613 \h </w:instrText>
      </w:r>
      <w:r w:rsidRPr="00550B77">
        <w:fldChar w:fldCharType="separate"/>
      </w:r>
      <w:r w:rsidRPr="00550B77">
        <w:t>14</w:t>
      </w:r>
      <w:r w:rsidRPr="00550B77">
        <w:fldChar w:fldCharType="end"/>
      </w:r>
    </w:p>
    <w:p w:rsidR="009F61C7" w:rsidRPr="00550B77" w:rsidRDefault="009F61C7">
      <w:pPr>
        <w:pStyle w:val="Innehll2"/>
        <w:shd w:val="clear" w:color="000000" w:fill="auto"/>
        <w:tabs>
          <w:tab w:val="left" w:pos="567"/>
        </w:tabs>
        <w:rPr>
          <w:sz w:val="24"/>
          <w:szCs w:val="24"/>
        </w:rPr>
      </w:pPr>
      <w:r w:rsidRPr="00550B77">
        <w:t>8.5</w:t>
      </w:r>
      <w:r w:rsidRPr="00550B77">
        <w:rPr>
          <w:sz w:val="24"/>
          <w:szCs w:val="24"/>
        </w:rPr>
        <w:tab/>
      </w:r>
      <w:r w:rsidRPr="00550B77">
        <w:t>Målområde 5 – Miljöer och produkter</w:t>
      </w:r>
      <w:r w:rsidRPr="00550B77">
        <w:tab/>
      </w:r>
      <w:r w:rsidRPr="00550B77">
        <w:fldChar w:fldCharType="begin" w:fldLock="1"/>
      </w:r>
      <w:r w:rsidRPr="00550B77">
        <w:instrText xml:space="preserve"> PAGEREF _Toc195419614 \h </w:instrText>
      </w:r>
      <w:r w:rsidRPr="00550B77">
        <w:fldChar w:fldCharType="separate"/>
      </w:r>
      <w:r w:rsidRPr="00550B77">
        <w:t>15</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8.5.1</w:t>
      </w:r>
      <w:r w:rsidRPr="00550B77">
        <w:rPr>
          <w:sz w:val="24"/>
          <w:szCs w:val="24"/>
        </w:rPr>
        <w:tab/>
      </w:r>
      <w:r w:rsidRPr="00550B77">
        <w:t>Folkhälsa och miljömål</w:t>
      </w:r>
      <w:r w:rsidRPr="00550B77">
        <w:tab/>
      </w:r>
      <w:r w:rsidRPr="00550B77">
        <w:fldChar w:fldCharType="begin" w:fldLock="1"/>
      </w:r>
      <w:r w:rsidRPr="00550B77">
        <w:instrText xml:space="preserve"> PAGEREF _Toc195419615 \h </w:instrText>
      </w:r>
      <w:r w:rsidRPr="00550B77">
        <w:fldChar w:fldCharType="separate"/>
      </w:r>
      <w:r w:rsidRPr="00550B77">
        <w:t>16</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8.5.2</w:t>
      </w:r>
      <w:r w:rsidRPr="00550B77">
        <w:rPr>
          <w:sz w:val="24"/>
          <w:szCs w:val="24"/>
        </w:rPr>
        <w:tab/>
      </w:r>
      <w:r w:rsidRPr="00550B77">
        <w:t>Kemikalier</w:t>
      </w:r>
      <w:r w:rsidRPr="00550B77">
        <w:tab/>
      </w:r>
      <w:r w:rsidRPr="00550B77">
        <w:fldChar w:fldCharType="begin" w:fldLock="1"/>
      </w:r>
      <w:r w:rsidRPr="00550B77">
        <w:instrText xml:space="preserve"> PAGEREF _Toc195419616 \h </w:instrText>
      </w:r>
      <w:r w:rsidRPr="00550B77">
        <w:fldChar w:fldCharType="separate"/>
      </w:r>
      <w:r w:rsidRPr="00550B77">
        <w:t>16</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8.5.3</w:t>
      </w:r>
      <w:r w:rsidRPr="00550B77">
        <w:rPr>
          <w:sz w:val="24"/>
          <w:szCs w:val="24"/>
        </w:rPr>
        <w:tab/>
      </w:r>
      <w:r w:rsidRPr="00550B77">
        <w:t>Gröna miljöer</w:t>
      </w:r>
      <w:r w:rsidRPr="00550B77">
        <w:tab/>
      </w:r>
      <w:r w:rsidRPr="00550B77">
        <w:fldChar w:fldCharType="begin" w:fldLock="1"/>
      </w:r>
      <w:r w:rsidRPr="00550B77">
        <w:instrText xml:space="preserve"> PAGEREF _Toc195419617 \h </w:instrText>
      </w:r>
      <w:r w:rsidRPr="00550B77">
        <w:fldChar w:fldCharType="separate"/>
      </w:r>
      <w:r w:rsidRPr="00550B77">
        <w:t>16</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8.5.4</w:t>
      </w:r>
      <w:r w:rsidRPr="00550B77">
        <w:rPr>
          <w:sz w:val="24"/>
          <w:szCs w:val="24"/>
        </w:rPr>
        <w:tab/>
      </w:r>
      <w:r w:rsidRPr="00550B77">
        <w:t>Ren luft</w:t>
      </w:r>
      <w:r w:rsidRPr="00550B77">
        <w:tab/>
      </w:r>
      <w:r w:rsidRPr="00550B77">
        <w:fldChar w:fldCharType="begin" w:fldLock="1"/>
      </w:r>
      <w:r w:rsidRPr="00550B77">
        <w:instrText xml:space="preserve"> PAGEREF _Toc195419618 \h </w:instrText>
      </w:r>
      <w:r w:rsidRPr="00550B77">
        <w:fldChar w:fldCharType="separate"/>
      </w:r>
      <w:r w:rsidRPr="00550B77">
        <w:t>17</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8.5.5</w:t>
      </w:r>
      <w:r w:rsidRPr="00550B77">
        <w:rPr>
          <w:sz w:val="24"/>
          <w:szCs w:val="24"/>
        </w:rPr>
        <w:tab/>
      </w:r>
      <w:r w:rsidRPr="00550B77">
        <w:t>Buller</w:t>
      </w:r>
      <w:r w:rsidRPr="00550B77">
        <w:tab/>
      </w:r>
      <w:r w:rsidRPr="00550B77">
        <w:fldChar w:fldCharType="begin" w:fldLock="1"/>
      </w:r>
      <w:r w:rsidRPr="00550B77">
        <w:instrText xml:space="preserve"> PAGEREF _Toc195419619 \h </w:instrText>
      </w:r>
      <w:r w:rsidRPr="00550B77">
        <w:fldChar w:fldCharType="separate"/>
      </w:r>
      <w:r w:rsidRPr="00550B77">
        <w:t>17</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8.5.6</w:t>
      </w:r>
      <w:r w:rsidRPr="00550B77">
        <w:rPr>
          <w:sz w:val="24"/>
          <w:szCs w:val="24"/>
        </w:rPr>
        <w:tab/>
      </w:r>
      <w:r w:rsidRPr="00550B77">
        <w:t>Mobilstrålning</w:t>
      </w:r>
      <w:r w:rsidRPr="00550B77">
        <w:tab/>
      </w:r>
      <w:r w:rsidRPr="00550B77">
        <w:fldChar w:fldCharType="begin" w:fldLock="1"/>
      </w:r>
      <w:r w:rsidRPr="00550B77">
        <w:instrText xml:space="preserve"> PAGEREF _Toc195419620 \h </w:instrText>
      </w:r>
      <w:r w:rsidRPr="00550B77">
        <w:fldChar w:fldCharType="separate"/>
      </w:r>
      <w:r w:rsidRPr="00550B77">
        <w:t>18</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8.5.7</w:t>
      </w:r>
      <w:r w:rsidRPr="00550B77">
        <w:rPr>
          <w:sz w:val="24"/>
          <w:szCs w:val="24"/>
        </w:rPr>
        <w:tab/>
      </w:r>
      <w:r w:rsidRPr="00550B77">
        <w:t>Elöverkänslighet</w:t>
      </w:r>
      <w:r w:rsidRPr="00550B77">
        <w:tab/>
      </w:r>
      <w:r w:rsidRPr="00550B77">
        <w:fldChar w:fldCharType="begin" w:fldLock="1"/>
      </w:r>
      <w:r w:rsidRPr="00550B77">
        <w:instrText xml:space="preserve"> PAGEREF _Toc195419621 \h </w:instrText>
      </w:r>
      <w:r w:rsidRPr="00550B77">
        <w:fldChar w:fldCharType="separate"/>
      </w:r>
      <w:r w:rsidRPr="00550B77">
        <w:t>18</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8.5.8</w:t>
      </w:r>
      <w:r w:rsidRPr="00550B77">
        <w:rPr>
          <w:sz w:val="24"/>
          <w:szCs w:val="24"/>
        </w:rPr>
        <w:tab/>
      </w:r>
      <w:r w:rsidRPr="00550B77">
        <w:t>Trafiksäkerhet</w:t>
      </w:r>
      <w:r w:rsidRPr="00550B77">
        <w:tab/>
      </w:r>
      <w:r w:rsidRPr="00550B77">
        <w:fldChar w:fldCharType="begin" w:fldLock="1"/>
      </w:r>
      <w:r w:rsidRPr="00550B77">
        <w:instrText xml:space="preserve"> PAGEREF _Toc195419622 \h </w:instrText>
      </w:r>
      <w:r w:rsidRPr="00550B77">
        <w:fldChar w:fldCharType="separate"/>
      </w:r>
      <w:r w:rsidRPr="00550B77">
        <w:t>18</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8.5.9</w:t>
      </w:r>
      <w:r w:rsidRPr="00550B77">
        <w:rPr>
          <w:sz w:val="24"/>
          <w:szCs w:val="24"/>
        </w:rPr>
        <w:tab/>
      </w:r>
      <w:r w:rsidRPr="00550B77">
        <w:t>Klimathot och koppling till folkhälsa</w:t>
      </w:r>
      <w:r w:rsidRPr="00550B77">
        <w:tab/>
      </w:r>
      <w:r w:rsidRPr="00550B77">
        <w:fldChar w:fldCharType="begin" w:fldLock="1"/>
      </w:r>
      <w:r w:rsidRPr="00550B77">
        <w:instrText xml:space="preserve"> PAGEREF _Toc195419623 \h </w:instrText>
      </w:r>
      <w:r w:rsidRPr="00550B77">
        <w:fldChar w:fldCharType="separate"/>
      </w:r>
      <w:r w:rsidRPr="00550B77">
        <w:t>19</w:t>
      </w:r>
      <w:r w:rsidRPr="00550B77">
        <w:fldChar w:fldCharType="end"/>
      </w:r>
    </w:p>
    <w:p w:rsidR="009F61C7" w:rsidRPr="00550B77" w:rsidRDefault="009F61C7">
      <w:pPr>
        <w:pStyle w:val="Innehll2"/>
        <w:shd w:val="clear" w:color="000000" w:fill="auto"/>
        <w:tabs>
          <w:tab w:val="left" w:pos="567"/>
        </w:tabs>
        <w:rPr>
          <w:sz w:val="24"/>
          <w:szCs w:val="24"/>
        </w:rPr>
      </w:pPr>
      <w:r w:rsidRPr="00550B77">
        <w:t>8.6</w:t>
      </w:r>
      <w:r w:rsidRPr="00550B77">
        <w:rPr>
          <w:sz w:val="24"/>
          <w:szCs w:val="24"/>
        </w:rPr>
        <w:tab/>
      </w:r>
      <w:r w:rsidRPr="00550B77">
        <w:t>Målområde 6 – Hälsofrämjande hälso- och sjukvård</w:t>
      </w:r>
      <w:r w:rsidRPr="00550B77">
        <w:tab/>
      </w:r>
      <w:r w:rsidRPr="00550B77">
        <w:fldChar w:fldCharType="begin" w:fldLock="1"/>
      </w:r>
      <w:r w:rsidRPr="00550B77">
        <w:instrText xml:space="preserve"> PAGEREF _Toc195419624 \h </w:instrText>
      </w:r>
      <w:r w:rsidRPr="00550B77">
        <w:fldChar w:fldCharType="separate"/>
      </w:r>
      <w:r w:rsidRPr="00550B77">
        <w:t>20</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8.6.1</w:t>
      </w:r>
      <w:r w:rsidRPr="00550B77">
        <w:rPr>
          <w:sz w:val="24"/>
          <w:szCs w:val="24"/>
        </w:rPr>
        <w:tab/>
      </w:r>
      <w:r w:rsidRPr="00550B77">
        <w:t>Hälsofrämjande sjukhus</w:t>
      </w:r>
      <w:r w:rsidRPr="00550B77">
        <w:tab/>
      </w:r>
      <w:r w:rsidRPr="00550B77">
        <w:fldChar w:fldCharType="begin" w:fldLock="1"/>
      </w:r>
      <w:r w:rsidRPr="00550B77">
        <w:instrText xml:space="preserve"> PAGEREF _Toc195419625 \h </w:instrText>
      </w:r>
      <w:r w:rsidRPr="00550B77">
        <w:fldChar w:fldCharType="separate"/>
      </w:r>
      <w:r w:rsidRPr="00550B77">
        <w:t>20</w:t>
      </w:r>
      <w:r w:rsidRPr="00550B77">
        <w:fldChar w:fldCharType="end"/>
      </w:r>
    </w:p>
    <w:p w:rsidR="009F61C7" w:rsidRPr="00550B77" w:rsidRDefault="009F61C7">
      <w:pPr>
        <w:pStyle w:val="Innehll3"/>
        <w:shd w:val="clear" w:color="000000" w:fill="auto"/>
        <w:tabs>
          <w:tab w:val="left" w:pos="1134"/>
        </w:tabs>
        <w:ind w:left="709" w:right="283"/>
        <w:rPr>
          <w:sz w:val="24"/>
          <w:szCs w:val="24"/>
        </w:rPr>
      </w:pPr>
      <w:r w:rsidRPr="00550B77">
        <w:t>8.6.2</w:t>
      </w:r>
      <w:r w:rsidRPr="00550B77">
        <w:rPr>
          <w:sz w:val="24"/>
          <w:szCs w:val="24"/>
        </w:rPr>
        <w:tab/>
      </w:r>
      <w:r w:rsidRPr="00550B77">
        <w:t>Bemötande av HBT-personer inom hälso- och sjukvården</w:t>
      </w:r>
      <w:r w:rsidRPr="00550B77">
        <w:tab/>
      </w:r>
      <w:r w:rsidRPr="00550B77">
        <w:fldChar w:fldCharType="begin" w:fldLock="1"/>
      </w:r>
      <w:r w:rsidRPr="00550B77">
        <w:instrText xml:space="preserve"> PAGEREF _Toc195419626 \h </w:instrText>
      </w:r>
      <w:r w:rsidRPr="00550B77">
        <w:fldChar w:fldCharType="separate"/>
      </w:r>
      <w:r w:rsidRPr="00550B77">
        <w:t>20</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8.6.3</w:t>
      </w:r>
      <w:r w:rsidRPr="00550B77">
        <w:rPr>
          <w:sz w:val="24"/>
          <w:szCs w:val="24"/>
        </w:rPr>
        <w:tab/>
      </w:r>
      <w:r w:rsidRPr="00550B77">
        <w:t>Insatser för att skapa förutsättningar för en god vård</w:t>
      </w:r>
      <w:r w:rsidRPr="00550B77">
        <w:tab/>
      </w:r>
      <w:r w:rsidRPr="00550B77">
        <w:fldChar w:fldCharType="begin" w:fldLock="1"/>
      </w:r>
      <w:r w:rsidRPr="00550B77">
        <w:instrText xml:space="preserve"> PAGEREF _Toc195419627 \h </w:instrText>
      </w:r>
      <w:r w:rsidRPr="00550B77">
        <w:fldChar w:fldCharType="separate"/>
      </w:r>
      <w:r w:rsidRPr="00550B77">
        <w:t>21</w:t>
      </w:r>
      <w:r w:rsidRPr="00550B77">
        <w:fldChar w:fldCharType="end"/>
      </w:r>
    </w:p>
    <w:p w:rsidR="009F61C7" w:rsidRPr="00550B77" w:rsidRDefault="009F61C7">
      <w:pPr>
        <w:pStyle w:val="Innehll2"/>
        <w:shd w:val="clear" w:color="000000" w:fill="auto"/>
        <w:tabs>
          <w:tab w:val="left" w:pos="567"/>
        </w:tabs>
        <w:rPr>
          <w:sz w:val="24"/>
          <w:szCs w:val="24"/>
        </w:rPr>
      </w:pPr>
      <w:r w:rsidRPr="00550B77">
        <w:t>8.7</w:t>
      </w:r>
      <w:r w:rsidRPr="00550B77">
        <w:rPr>
          <w:sz w:val="24"/>
          <w:szCs w:val="24"/>
        </w:rPr>
        <w:tab/>
      </w:r>
      <w:r w:rsidRPr="00550B77">
        <w:t>Målområde 7 – Skydd mot smittspridning</w:t>
      </w:r>
      <w:r w:rsidRPr="00550B77">
        <w:tab/>
      </w:r>
      <w:r w:rsidRPr="00550B77">
        <w:fldChar w:fldCharType="begin" w:fldLock="1"/>
      </w:r>
      <w:r w:rsidRPr="00550B77">
        <w:instrText xml:space="preserve"> PAGEREF _Toc195419628 \h </w:instrText>
      </w:r>
      <w:r w:rsidRPr="00550B77">
        <w:fldChar w:fldCharType="separate"/>
      </w:r>
      <w:r w:rsidRPr="00550B77">
        <w:t>21</w:t>
      </w:r>
      <w:r w:rsidRPr="00550B77">
        <w:fldChar w:fldCharType="end"/>
      </w:r>
    </w:p>
    <w:p w:rsidR="009F61C7" w:rsidRPr="00550B77" w:rsidRDefault="009F61C7">
      <w:pPr>
        <w:pStyle w:val="Innehll2"/>
        <w:shd w:val="clear" w:color="000000" w:fill="auto"/>
        <w:tabs>
          <w:tab w:val="left" w:pos="567"/>
        </w:tabs>
        <w:rPr>
          <w:sz w:val="24"/>
          <w:szCs w:val="24"/>
        </w:rPr>
      </w:pPr>
      <w:r w:rsidRPr="00550B77">
        <w:br w:type="page"/>
      </w:r>
      <w:r w:rsidRPr="00550B77">
        <w:lastRenderedPageBreak/>
        <w:t>8.8</w:t>
      </w:r>
      <w:r w:rsidRPr="00550B77">
        <w:rPr>
          <w:sz w:val="24"/>
          <w:szCs w:val="24"/>
        </w:rPr>
        <w:tab/>
      </w:r>
      <w:r w:rsidRPr="00550B77">
        <w:t>Målområde 8 – Sexualitet och reproduktiv hälsa</w:t>
      </w:r>
      <w:r w:rsidRPr="00550B77">
        <w:tab/>
      </w:r>
      <w:r w:rsidRPr="00550B77">
        <w:fldChar w:fldCharType="begin" w:fldLock="1"/>
      </w:r>
      <w:r w:rsidRPr="00550B77">
        <w:instrText xml:space="preserve"> PAGEREF _Toc195419629 \h </w:instrText>
      </w:r>
      <w:r w:rsidRPr="00550B77">
        <w:fldChar w:fldCharType="separate"/>
      </w:r>
      <w:r w:rsidRPr="00550B77">
        <w:t>22</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8.8.1</w:t>
      </w:r>
      <w:r w:rsidRPr="00550B77">
        <w:rPr>
          <w:sz w:val="24"/>
          <w:szCs w:val="24"/>
        </w:rPr>
        <w:tab/>
      </w:r>
      <w:r w:rsidRPr="00550B77">
        <w:t>Sex- och samlevnadsundervisning</w:t>
      </w:r>
      <w:r w:rsidRPr="00550B77">
        <w:tab/>
      </w:r>
      <w:r w:rsidRPr="00550B77">
        <w:fldChar w:fldCharType="begin" w:fldLock="1"/>
      </w:r>
      <w:r w:rsidRPr="00550B77">
        <w:instrText xml:space="preserve"> PAGEREF _Toc195419630 \h </w:instrText>
      </w:r>
      <w:r w:rsidRPr="00550B77">
        <w:fldChar w:fldCharType="separate"/>
      </w:r>
      <w:r w:rsidRPr="00550B77">
        <w:t>22</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8.8.2</w:t>
      </w:r>
      <w:r w:rsidRPr="00550B77">
        <w:rPr>
          <w:sz w:val="24"/>
          <w:szCs w:val="24"/>
        </w:rPr>
        <w:tab/>
      </w:r>
      <w:r w:rsidRPr="00550B77">
        <w:t>Virtuell ungdomsmottagning</w:t>
      </w:r>
      <w:r w:rsidRPr="00550B77">
        <w:tab/>
      </w:r>
      <w:r w:rsidRPr="00550B77">
        <w:fldChar w:fldCharType="begin" w:fldLock="1"/>
      </w:r>
      <w:r w:rsidRPr="00550B77">
        <w:instrText xml:space="preserve"> PAGEREF _Toc195419631 \h </w:instrText>
      </w:r>
      <w:r w:rsidRPr="00550B77">
        <w:fldChar w:fldCharType="separate"/>
      </w:r>
      <w:r w:rsidRPr="00550B77">
        <w:t>23</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8.8.3</w:t>
      </w:r>
      <w:r w:rsidRPr="00550B77">
        <w:rPr>
          <w:sz w:val="24"/>
          <w:szCs w:val="24"/>
        </w:rPr>
        <w:tab/>
      </w:r>
      <w:r w:rsidRPr="00550B77">
        <w:t>Utvidga FHI-uppdrag till HBT</w:t>
      </w:r>
      <w:r w:rsidRPr="00550B77">
        <w:tab/>
      </w:r>
      <w:r w:rsidRPr="00550B77">
        <w:fldChar w:fldCharType="begin" w:fldLock="1"/>
      </w:r>
      <w:r w:rsidRPr="00550B77">
        <w:instrText xml:space="preserve"> PAGEREF _Toc195419632 \h </w:instrText>
      </w:r>
      <w:r w:rsidRPr="00550B77">
        <w:fldChar w:fldCharType="separate"/>
      </w:r>
      <w:r w:rsidRPr="00550B77">
        <w:t>23</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8.8.4</w:t>
      </w:r>
      <w:r w:rsidRPr="00550B77">
        <w:rPr>
          <w:sz w:val="24"/>
          <w:szCs w:val="24"/>
        </w:rPr>
        <w:tab/>
      </w:r>
      <w:r w:rsidRPr="00550B77">
        <w:t>God reproduktiv hälsa</w:t>
      </w:r>
      <w:r w:rsidRPr="00550B77">
        <w:tab/>
      </w:r>
      <w:r w:rsidRPr="00550B77">
        <w:fldChar w:fldCharType="begin" w:fldLock="1"/>
      </w:r>
      <w:r w:rsidRPr="00550B77">
        <w:instrText xml:space="preserve"> PAGEREF _Toc195419633 \h </w:instrText>
      </w:r>
      <w:r w:rsidRPr="00550B77">
        <w:fldChar w:fldCharType="separate"/>
      </w:r>
      <w:r w:rsidRPr="00550B77">
        <w:t>24</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8.8.5</w:t>
      </w:r>
      <w:r w:rsidRPr="00550B77">
        <w:rPr>
          <w:sz w:val="24"/>
          <w:szCs w:val="24"/>
        </w:rPr>
        <w:tab/>
      </w:r>
      <w:r w:rsidRPr="00550B77">
        <w:t>Våld mot kvinnor och i samkönade relationer</w:t>
      </w:r>
      <w:r w:rsidRPr="00550B77">
        <w:tab/>
      </w:r>
      <w:r w:rsidRPr="00550B77">
        <w:fldChar w:fldCharType="begin" w:fldLock="1"/>
      </w:r>
      <w:r w:rsidRPr="00550B77">
        <w:instrText xml:space="preserve"> PAGEREF _Toc195419634 \h </w:instrText>
      </w:r>
      <w:r w:rsidRPr="00550B77">
        <w:fldChar w:fldCharType="separate"/>
      </w:r>
      <w:r w:rsidRPr="00550B77">
        <w:t>24</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8.8.6</w:t>
      </w:r>
      <w:r w:rsidRPr="00550B77">
        <w:rPr>
          <w:sz w:val="24"/>
          <w:szCs w:val="24"/>
        </w:rPr>
        <w:tab/>
      </w:r>
      <w:r w:rsidRPr="00550B77">
        <w:t>Skärpning av socialtjänstlagens 5 kap. 11 §</w:t>
      </w:r>
      <w:r w:rsidRPr="00550B77">
        <w:tab/>
      </w:r>
      <w:r w:rsidRPr="00550B77">
        <w:fldChar w:fldCharType="begin" w:fldLock="1"/>
      </w:r>
      <w:r w:rsidRPr="00550B77">
        <w:instrText xml:space="preserve"> PAGEREF _Toc195419635 \h </w:instrText>
      </w:r>
      <w:r w:rsidRPr="00550B77">
        <w:fldChar w:fldCharType="separate"/>
      </w:r>
      <w:r w:rsidRPr="00550B77">
        <w:t>25</w:t>
      </w:r>
      <w:r w:rsidRPr="00550B77">
        <w:fldChar w:fldCharType="end"/>
      </w:r>
    </w:p>
    <w:p w:rsidR="009F61C7" w:rsidRPr="00550B77" w:rsidRDefault="009F61C7">
      <w:pPr>
        <w:pStyle w:val="Innehll3"/>
        <w:shd w:val="clear" w:color="000000" w:fill="auto"/>
        <w:tabs>
          <w:tab w:val="left" w:pos="1134"/>
        </w:tabs>
        <w:ind w:left="709"/>
        <w:rPr>
          <w:sz w:val="24"/>
          <w:szCs w:val="24"/>
        </w:rPr>
      </w:pPr>
      <w:r w:rsidRPr="00550B77">
        <w:t>8.8.7</w:t>
      </w:r>
      <w:r w:rsidRPr="00550B77">
        <w:rPr>
          <w:sz w:val="24"/>
          <w:szCs w:val="24"/>
        </w:rPr>
        <w:tab/>
      </w:r>
      <w:r w:rsidRPr="00550B77">
        <w:t>Mannens del i våldet</w:t>
      </w:r>
      <w:r w:rsidRPr="00550B77">
        <w:tab/>
      </w:r>
      <w:r w:rsidRPr="00550B77">
        <w:fldChar w:fldCharType="begin" w:fldLock="1"/>
      </w:r>
      <w:r w:rsidRPr="00550B77">
        <w:instrText xml:space="preserve"> PAGEREF _Toc195419636 \h </w:instrText>
      </w:r>
      <w:r w:rsidRPr="00550B77">
        <w:fldChar w:fldCharType="separate"/>
      </w:r>
      <w:r w:rsidRPr="00550B77">
        <w:t>26</w:t>
      </w:r>
      <w:r w:rsidRPr="00550B77">
        <w:fldChar w:fldCharType="end"/>
      </w:r>
    </w:p>
    <w:p w:rsidR="009F61C7" w:rsidRPr="00550B77" w:rsidRDefault="009F61C7">
      <w:pPr>
        <w:pStyle w:val="Innehll3"/>
        <w:shd w:val="clear" w:color="000000" w:fill="auto"/>
        <w:tabs>
          <w:tab w:val="left" w:pos="1134"/>
        </w:tabs>
        <w:ind w:left="709" w:right="283"/>
        <w:rPr>
          <w:sz w:val="24"/>
          <w:szCs w:val="24"/>
        </w:rPr>
      </w:pPr>
      <w:r w:rsidRPr="00550B77">
        <w:t>8.8.8</w:t>
      </w:r>
      <w:r w:rsidRPr="00550B77">
        <w:rPr>
          <w:sz w:val="24"/>
          <w:szCs w:val="24"/>
        </w:rPr>
        <w:tab/>
      </w:r>
      <w:r w:rsidRPr="00550B77">
        <w:t>Fortsatt utveckling av bestämningsfaktorer och indikatorer</w:t>
      </w:r>
      <w:r w:rsidRPr="00550B77">
        <w:tab/>
      </w:r>
      <w:r w:rsidRPr="00550B77">
        <w:fldChar w:fldCharType="begin" w:fldLock="1"/>
      </w:r>
      <w:r w:rsidRPr="00550B77">
        <w:instrText xml:space="preserve"> PAGEREF _Toc195419637 \h </w:instrText>
      </w:r>
      <w:r w:rsidRPr="00550B77">
        <w:fldChar w:fldCharType="separate"/>
      </w:r>
      <w:r w:rsidRPr="00550B77">
        <w:t>26</w:t>
      </w:r>
      <w:r w:rsidRPr="00550B77">
        <w:fldChar w:fldCharType="end"/>
      </w:r>
    </w:p>
    <w:p w:rsidR="009F61C7" w:rsidRPr="00550B77" w:rsidRDefault="009F61C7">
      <w:pPr>
        <w:pStyle w:val="Innehll2"/>
        <w:shd w:val="clear" w:color="000000" w:fill="auto"/>
        <w:tabs>
          <w:tab w:val="left" w:pos="567"/>
        </w:tabs>
        <w:rPr>
          <w:sz w:val="24"/>
          <w:szCs w:val="24"/>
        </w:rPr>
      </w:pPr>
      <w:r w:rsidRPr="00550B77">
        <w:t>8.9</w:t>
      </w:r>
      <w:r w:rsidRPr="00550B77">
        <w:rPr>
          <w:sz w:val="24"/>
          <w:szCs w:val="24"/>
        </w:rPr>
        <w:tab/>
      </w:r>
      <w:r w:rsidRPr="00550B77">
        <w:t>Målområdena 9 och 10 – Fysisk aktivitet och Matvanor och livsmedel</w:t>
      </w:r>
      <w:r w:rsidRPr="00550B77">
        <w:tab/>
      </w:r>
      <w:r w:rsidRPr="00550B77">
        <w:fldChar w:fldCharType="begin" w:fldLock="1"/>
      </w:r>
      <w:r w:rsidRPr="00550B77">
        <w:instrText xml:space="preserve"> PAGEREF _Toc195419638 \h </w:instrText>
      </w:r>
      <w:r w:rsidRPr="00550B77">
        <w:fldChar w:fldCharType="separate"/>
      </w:r>
      <w:r w:rsidRPr="00550B77">
        <w:t>26</w:t>
      </w:r>
      <w:r w:rsidRPr="00550B77">
        <w:fldChar w:fldCharType="end"/>
      </w:r>
    </w:p>
    <w:p w:rsidR="009F61C7" w:rsidRPr="00550B77" w:rsidRDefault="009F61C7">
      <w:pPr>
        <w:pStyle w:val="Innehll2"/>
        <w:shd w:val="clear" w:color="000000" w:fill="auto"/>
        <w:tabs>
          <w:tab w:val="left" w:pos="709"/>
        </w:tabs>
        <w:ind w:right="283"/>
        <w:rPr>
          <w:sz w:val="24"/>
          <w:szCs w:val="24"/>
        </w:rPr>
      </w:pPr>
      <w:r w:rsidRPr="00550B77">
        <w:t>8.10</w:t>
      </w:r>
      <w:r w:rsidRPr="00550B77">
        <w:rPr>
          <w:sz w:val="24"/>
          <w:szCs w:val="24"/>
        </w:rPr>
        <w:tab/>
      </w:r>
      <w:r w:rsidRPr="00550B77">
        <w:t>Målområde 11</w:t>
      </w:r>
      <w:r w:rsidRPr="00550B77">
        <w:rPr>
          <w:spacing w:val="-2"/>
        </w:rPr>
        <w:t xml:space="preserve"> – Tobak, alkohol, narkotika och dopning samt</w:t>
      </w:r>
      <w:r w:rsidRPr="00550B77">
        <w:t xml:space="preserve"> spel</w:t>
      </w:r>
      <w:r w:rsidRPr="00550B77">
        <w:tab/>
        <w:t xml:space="preserve"> </w:t>
      </w:r>
      <w:r w:rsidRPr="00550B77">
        <w:fldChar w:fldCharType="begin" w:fldLock="1"/>
      </w:r>
      <w:r w:rsidRPr="00550B77">
        <w:instrText xml:space="preserve"> PAGEREF _Toc195419639 \h </w:instrText>
      </w:r>
      <w:r w:rsidRPr="00550B77">
        <w:fldChar w:fldCharType="separate"/>
      </w:r>
      <w:r w:rsidRPr="00550B77">
        <w:t>27</w:t>
      </w:r>
      <w:r w:rsidRPr="00550B77">
        <w:fldChar w:fldCharType="end"/>
      </w:r>
    </w:p>
    <w:p w:rsidR="009F61C7" w:rsidRPr="00550B77" w:rsidRDefault="009F61C7">
      <w:pPr>
        <w:pStyle w:val="Innehll3"/>
        <w:shd w:val="clear" w:color="000000" w:fill="auto"/>
        <w:tabs>
          <w:tab w:val="left" w:pos="1276"/>
        </w:tabs>
        <w:ind w:left="709" w:right="283"/>
        <w:rPr>
          <w:sz w:val="24"/>
          <w:szCs w:val="24"/>
        </w:rPr>
      </w:pPr>
      <w:r w:rsidRPr="00550B77">
        <w:t>8.10.1</w:t>
      </w:r>
      <w:r w:rsidRPr="00550B77">
        <w:rPr>
          <w:sz w:val="24"/>
          <w:szCs w:val="24"/>
        </w:rPr>
        <w:tab/>
      </w:r>
      <w:r w:rsidRPr="00550B77">
        <w:t>Beroendeframkallande läkemedel</w:t>
      </w:r>
      <w:r w:rsidRPr="00550B77">
        <w:tab/>
      </w:r>
      <w:r w:rsidRPr="00550B77">
        <w:fldChar w:fldCharType="begin" w:fldLock="1"/>
      </w:r>
      <w:r w:rsidRPr="00550B77">
        <w:instrText xml:space="preserve"> PAGEREF _Toc195419640 \h </w:instrText>
      </w:r>
      <w:r w:rsidRPr="00550B77">
        <w:fldChar w:fldCharType="separate"/>
      </w:r>
      <w:r w:rsidRPr="00550B77">
        <w:t>28</w:t>
      </w:r>
      <w:r w:rsidRPr="00550B77">
        <w:fldChar w:fldCharType="end"/>
      </w:r>
    </w:p>
    <w:p w:rsidR="009F61C7" w:rsidRPr="00550B77" w:rsidRDefault="009F61C7">
      <w:pPr>
        <w:pStyle w:val="Innehll1"/>
        <w:shd w:val="clear" w:color="000000" w:fill="auto"/>
        <w:tabs>
          <w:tab w:val="left" w:pos="198"/>
          <w:tab w:val="left" w:pos="284"/>
        </w:tabs>
        <w:rPr>
          <w:sz w:val="24"/>
          <w:szCs w:val="24"/>
        </w:rPr>
      </w:pPr>
      <w:r w:rsidRPr="00550B77">
        <w:t>9</w:t>
      </w:r>
      <w:r w:rsidRPr="00550B77">
        <w:rPr>
          <w:sz w:val="24"/>
          <w:szCs w:val="24"/>
        </w:rPr>
        <w:tab/>
      </w:r>
      <w:r w:rsidRPr="00550B77">
        <w:t>Självmordsprevention</w:t>
      </w:r>
      <w:r w:rsidRPr="00550B77">
        <w:tab/>
      </w:r>
      <w:r w:rsidRPr="00550B77">
        <w:fldChar w:fldCharType="begin" w:fldLock="1"/>
      </w:r>
      <w:r w:rsidRPr="00550B77">
        <w:instrText xml:space="preserve"> PAGEREF _Toc195419641 \h </w:instrText>
      </w:r>
      <w:r w:rsidRPr="00550B77">
        <w:fldChar w:fldCharType="separate"/>
      </w:r>
      <w:r w:rsidRPr="00550B77">
        <w:t>29</w:t>
      </w:r>
      <w:r w:rsidRPr="00550B77">
        <w:fldChar w:fldCharType="end"/>
      </w:r>
    </w:p>
    <w:p w:rsidR="009F61C7" w:rsidRPr="00550B77" w:rsidRDefault="009F61C7">
      <w:r w:rsidRPr="00550B77">
        <w:fldChar w:fldCharType="end"/>
      </w:r>
      <w:bookmarkStart w:id="1" w:name="_Toc195419601"/>
    </w:p>
    <w:p w:rsidR="009F61C7" w:rsidRPr="00550B77" w:rsidRDefault="009F61C7">
      <w:pPr>
        <w:pStyle w:val="Hemstlrubrik"/>
        <w:pageBreakBefore/>
        <w:shd w:val="clear" w:color="000000" w:fill="auto"/>
        <w:spacing w:before="0"/>
      </w:pPr>
      <w:r w:rsidRPr="00550B77">
        <w:t>Förslag till riksdagsbeslut</w:t>
      </w:r>
      <w:bookmarkEnd w:id="0"/>
      <w:bookmarkEnd w:id="1"/>
    </w:p>
    <w:p w:rsidR="009F61C7" w:rsidRPr="00550B77" w:rsidRDefault="009F61C7">
      <w:pPr>
        <w:pStyle w:val="Hemstlatt"/>
        <w:numPr>
          <w:ilvl w:val="0"/>
          <w:numId w:val="1"/>
        </w:numPr>
        <w:shd w:val="clear" w:color="000000" w:fill="auto"/>
      </w:pPr>
      <w:r w:rsidRPr="00550B77">
        <w:t>Riksdagen avslår regeringens proposition 2007/08:110 En förnyad folkhälsopolitik och därmed ändrad rubricering för folkhälsopolitikens målområden.</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föra en politik där både samhällets ansvar och människors förutsättningar att göra goda val som främjar hälsa beaktas.</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utreda och återkomma med förslag om ett lagreglerat folkhälsopolitiskt ansvar på regional och lokal nivå.</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lokalt folkhälsoarbete.</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bostadspolitikens betydelse för folkhälsan.</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utveckla bestämningsfaktorer och indikatorer.</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främja människors möjlighet att delta i kulturaktiviteter.</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ha ett tydligt integrerat genusperspektiv samtliga folkhälsopolitiska områden, där mäns och kvinnors skilda livsvillkor och förutsättningar är stående analysvariabler.</w:t>
      </w:r>
    </w:p>
    <w:p w:rsidR="009F61C7" w:rsidRPr="00550B77" w:rsidRDefault="009F61C7">
      <w:pPr>
        <w:pStyle w:val="Hemstlatt"/>
        <w:numPr>
          <w:ilvl w:val="0"/>
          <w:numId w:val="1"/>
        </w:numPr>
        <w:shd w:val="clear" w:color="000000" w:fill="auto"/>
      </w:pPr>
      <w:r w:rsidRPr="00550B77">
        <w:t>Riksdagen begär att regeringen återkommer med förslag om hur en utveckling med fler familjecentraler kan stödjas.</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hur fler stödinsatser för barn och ungdomar kan samordnas bättre.</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behov av att balansera kraven i arbetslivet mot människors möjligheter att kunna fungera och må bra under ett helt arbetsliv.</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behov av att folkhälsoaspekter kopplade till miljömålen behöver tydliggöras.</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vikten av klarlagd ansvarsfråga när det gäller miljömålen ur ett folkhälso</w:t>
      </w:r>
      <w:r w:rsidRPr="00550B77">
        <w:softHyphen/>
        <w:t>perspektiv.</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ge ökad prioritering åt behovet av ökad kunskap kring sambanden mellan kemisk exponering i vardagslivet och effekter på folkhälsan.</w:t>
      </w:r>
    </w:p>
    <w:p w:rsidR="009F61C7" w:rsidRPr="00550B77" w:rsidRDefault="009F61C7">
      <w:pPr>
        <w:pStyle w:val="Hemstlatt"/>
        <w:numPr>
          <w:ilvl w:val="0"/>
          <w:numId w:val="1"/>
        </w:numPr>
        <w:shd w:val="clear" w:color="000000" w:fill="auto"/>
      </w:pPr>
      <w:r w:rsidRPr="00550B77">
        <w:t xml:space="preserve">Riksdagen tillkännager för regeringen som sin mening vad som anförs i motionen om </w:t>
      </w:r>
      <w:r w:rsidRPr="00550B77">
        <w:rPr>
          <w:color w:val="000000"/>
        </w:rPr>
        <w:t>att öka medborgarnas kunskaper om gröna miljöers betydelse.</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vikten av att i alla sammanhang där så är möjligt beakta åtgärder för att minska luftföroreningarna i syfte att förbättra folkhälsan.</w:t>
      </w:r>
    </w:p>
    <w:p w:rsidR="009F61C7" w:rsidRPr="00550B77" w:rsidRDefault="009F61C7">
      <w:pPr>
        <w:pStyle w:val="Hemstlatt"/>
        <w:numPr>
          <w:ilvl w:val="0"/>
          <w:numId w:val="1"/>
        </w:numPr>
        <w:shd w:val="clear" w:color="000000" w:fill="auto"/>
      </w:pPr>
      <w:r w:rsidRPr="00550B77">
        <w:t>Riksdagen begär att regeringen lägger fram förslag till en nationell lag med fast</w:t>
      </w:r>
      <w:r w:rsidRPr="00550B77">
        <w:softHyphen/>
        <w:t>ställda gränsvärden för ljudnivåer i offentliga lokaler.</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regler bör utarbetas för att bullerfria rekreationsområden ska kunna inrättas.</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tillsätta en utredning med uppgift att ta fram nationella gränsvärden för strålning från mobiltelefoner.</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staten bör gå före i sin egen upphandling och enbart köpa märkta lågstrålande telefoner.</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krav bör ställas på tillverkare av mobiltelefoner att tydligare redovisa strålningsvärden i sin marknadsföring.</w:t>
      </w:r>
    </w:p>
    <w:p w:rsidR="009F61C7" w:rsidRPr="00550B77" w:rsidRDefault="009F61C7">
      <w:pPr>
        <w:pStyle w:val="Hemstlatt"/>
        <w:numPr>
          <w:ilvl w:val="0"/>
          <w:numId w:val="1"/>
        </w:numPr>
        <w:shd w:val="clear" w:color="000000" w:fill="auto"/>
      </w:pPr>
      <w:r w:rsidRPr="00550B77">
        <w:t>Riksdagen begär att regeringen återkommer med förslag till ändrad lagstiftning så att det blir möjligt för kommuner att införa s.k. lågstrålande zoner.</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tillsätta en utredning med uppgift att göra en kunskapssammanställning över hur elöverkänsligas behov möts.</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alla som har gjort sig skyldiga till rattfylleri ska få ett krav på alkolås inskrivet som villkor för att få behålla körkortet.</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behovet av att lämna in en formell begäran från Sverige för att få undantag från de EU-gemensamma reglerna och införa alkolås som ett obligatorium i alla nya fordon.</w:t>
      </w:r>
    </w:p>
    <w:p w:rsidR="009F61C7" w:rsidRPr="00550B77" w:rsidRDefault="009F61C7">
      <w:pPr>
        <w:pStyle w:val="Hemstlatt"/>
        <w:numPr>
          <w:ilvl w:val="0"/>
          <w:numId w:val="1"/>
        </w:numPr>
        <w:shd w:val="clear" w:color="000000" w:fill="auto"/>
      </w:pPr>
      <w:r w:rsidRPr="00550B77">
        <w:rPr>
          <w:color w:val="000000"/>
        </w:rPr>
        <w:t xml:space="preserve">Riksdagen tillkännager för regeringen som sin mening </w:t>
      </w:r>
      <w:r w:rsidRPr="00550B77">
        <w:t xml:space="preserve">vad som anförs i motionen </w:t>
      </w:r>
      <w:r w:rsidRPr="00550B77">
        <w:rPr>
          <w:color w:val="000000"/>
        </w:rPr>
        <w:t xml:space="preserve">om att ta fram en </w:t>
      </w:r>
      <w:r w:rsidRPr="00550B77">
        <w:t>plan för de politiska förändringar som behöver göras för att skapa beredskap att möta klimatförändringarnas påverkan på hälsan.</w:t>
      </w:r>
    </w:p>
    <w:p w:rsidR="009F61C7" w:rsidRPr="00550B77" w:rsidRDefault="009F61C7">
      <w:pPr>
        <w:pStyle w:val="Hemstlatt"/>
        <w:numPr>
          <w:ilvl w:val="0"/>
          <w:numId w:val="1"/>
        </w:numPr>
        <w:shd w:val="clear" w:color="000000" w:fill="auto"/>
      </w:pPr>
      <w:r w:rsidRPr="00550B77">
        <w:t xml:space="preserve">Riksdagen tillkännager för regeringen som sin mening vad som anförs i motionen om </w:t>
      </w:r>
      <w:r w:rsidRPr="00550B77">
        <w:rPr>
          <w:szCs w:val="24"/>
        </w:rPr>
        <w:t>hälsofrämjande sjukhus och hälsofrämjande sjukvård.</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inom ramen för den särskilda folkhälsopolitiska satsningen 2008–2010, avsätta medel för att stödja nätverksarbetet i Hälsofrämjande sjukhus.</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höja HBT-kompetensen inom hälso- och sjukvården.</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kunskapen om transpersoners livsvillkor i samhället.</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kartläggningar av bemötandefrågor rörande HBT-personer inom bl.a. psykiatri, äldreomsorg och gynekologisk vård.</w:t>
      </w:r>
    </w:p>
    <w:p w:rsidR="009F61C7" w:rsidRPr="00550B77" w:rsidRDefault="009F61C7">
      <w:pPr>
        <w:pStyle w:val="Hemstlatt"/>
        <w:numPr>
          <w:ilvl w:val="0"/>
          <w:numId w:val="1"/>
        </w:numPr>
        <w:shd w:val="clear" w:color="000000" w:fill="auto"/>
      </w:pPr>
      <w:r w:rsidRPr="00550B77">
        <w:t>Riksdagen begär att regeringen återkommer med förslag på satsningar för att möta den kraftiga ökningen av sexuellt överförbara sjukdomar som hiv och klamydia.</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ta fram åtgärder för hur skolans sex- och samlevnadsundervisning kan förbättras.</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ungdomar har rätt till saklig sexualkunskap oavsett sexuell läggning, könsidentitet och könsuttryck.</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inom primärvården öka kunskapen om sexuell hälsa och reproduktion för homosexuella.</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utvidgning av Statens folkhälsoinstituts s.k. homosexuppdrag.</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preventivmedel.</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inrätta manscentrum som en del i att stärka arbetet kring mäns våld mot kvinnor.</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vikten av tydlig och lättförstådd kundinformation för att stärka konsumentens möjlighet att prioritera näringsriktiga, ekologiskt hållbara och nyttiga livsmedel.</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ge Statens folkhälsoinstitut, i samverkan med Livsmedelsverket, i uppdrag att bilda en samverkansgrupp på expertnivå för att samordna, genomföra, följa upp och utvärdera insatser för goda matvanor och ökad fysisk aktivitet med fokus på överviktsproblematiken.</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en utredning bör tillsättas för tillsyn avseende tobakslagens bestämmelser om detaljhandel med fokus på åldersgränser.</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regelverken för tobaksförsäljning behöver skärpas och att regeringen bör låta utreda huruvida licensiering av tobakshandeln är en lämplig metod.</w:t>
      </w:r>
    </w:p>
    <w:p w:rsidR="009F61C7" w:rsidRPr="00550B77" w:rsidRDefault="009F61C7">
      <w:pPr>
        <w:pStyle w:val="Hemstlatt"/>
        <w:numPr>
          <w:ilvl w:val="0"/>
          <w:numId w:val="1"/>
        </w:numPr>
        <w:shd w:val="clear" w:color="000000" w:fill="auto"/>
      </w:pPr>
      <w:r w:rsidRPr="00550B77">
        <w:rPr>
          <w:color w:val="000000"/>
        </w:rPr>
        <w:t xml:space="preserve">Riksdagen tillkännager för regeringen som sin mening vad som anförs i motionen om att </w:t>
      </w:r>
      <w:r w:rsidRPr="00550B77">
        <w:t>tobaksförebyggandearbetet ska följa ramkonventionen om tobakskontroll (WHO Framework Convention on Tobacco Control).</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en långsiktig nationell tobaksstrategi bör tas fram för att nå 2014 års mål.</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initiativ är nödvändiga för att stärka icke-rökarnas möjligheter att slippa utsättas för passiv rökning.</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läkemedelsberoende ska ingå i folkhälsopolitikens målområde 11 samt att ansvaret för uppföljning av läkemedelsberoendet ur ett folkhälsoperspektiv därmed överförs till Statens folkhälsoinstitut.</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uppdra till Socialstyrelsen att initiera ett projekt för att öka kunskapen i befolkningen om självmordsprevention, s.k. första hjälpen utbildningar för dem som mår psykiskt dåligt.</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organisationsstöd till frivilligorganisationen Riksförbundet Suicidprevention och efterlevandes stöd (Spes) och paraplyorganisationen Samarbete för människor i sorg (Sams).</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Statens folkhälsoinstitut i samverkan med Socialstyrelsen bör få i uppdrag att ta fram förslag på utbildningsinsatser för att höja kompetensen avseende vård och omhändertagande av personer med självmordsproblematik.</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kunskapen om självmordsrisken för unga HBT-personer.</w:t>
      </w:r>
    </w:p>
    <w:p w:rsidR="009F61C7" w:rsidRPr="00550B77" w:rsidRDefault="009F61C7">
      <w:pPr>
        <w:pStyle w:val="Hemstlatt"/>
        <w:numPr>
          <w:ilvl w:val="0"/>
          <w:numId w:val="1"/>
        </w:numPr>
        <w:shd w:val="clear" w:color="000000" w:fill="auto"/>
      </w:pPr>
      <w:r w:rsidRPr="00550B77">
        <w:t>Riksdagen tillkännager för regeringen som sin mening vad som anförs i motionen om att fler bör utbildas i evidensbaserade psykoterapeutiska metoder för att göra dessa mer tillgängliga för vårdsökande.</w:t>
      </w:r>
    </w:p>
    <w:p w:rsidR="009F61C7" w:rsidRPr="00550B77" w:rsidRDefault="009F61C7">
      <w:pPr>
        <w:pStyle w:val="Rubrik1"/>
        <w:shd w:val="clear" w:color="000000" w:fill="auto"/>
      </w:pPr>
      <w:bookmarkStart w:id="2" w:name="_Toc194913387"/>
      <w:bookmarkStart w:id="3" w:name="_Toc195419602"/>
      <w:r w:rsidRPr="00550B77">
        <w:t>Inledning</w:t>
      </w:r>
      <w:bookmarkEnd w:id="2"/>
      <w:bookmarkEnd w:id="3"/>
    </w:p>
    <w:p w:rsidR="009F61C7" w:rsidRPr="00550B77" w:rsidRDefault="009F61C7">
      <w:pPr>
        <w:shd w:val="clear" w:color="000000" w:fill="auto"/>
      </w:pPr>
      <w:r w:rsidRPr="00550B77">
        <w:t>Vi har en struktur för samlat folkhälsoarbete i Sverige. Det bygger på det gedigna arbete som gjordes av Nationella folkhälsokommittén 1997–2000, som ledde till att riksdagen våren 2003 fattade beslut om ett nationellt öve</w:t>
      </w:r>
      <w:r w:rsidRPr="00550B77">
        <w:t>r</w:t>
      </w:r>
      <w:r w:rsidRPr="00550B77">
        <w:t>gripande folkhälsomål och en sektorsövergripande målstruktur för det saml</w:t>
      </w:r>
      <w:r w:rsidRPr="00550B77">
        <w:t>a</w:t>
      </w:r>
      <w:r w:rsidRPr="00550B77">
        <w:t>de folkhälsoarbetet med elva mål</w:t>
      </w:r>
      <w:r w:rsidRPr="00550B77">
        <w:softHyphen/>
        <w:t>områden. Människor över hela Sverige arb</w:t>
      </w:r>
      <w:r w:rsidRPr="00550B77">
        <w:t>e</w:t>
      </w:r>
      <w:r w:rsidRPr="00550B77">
        <w:t xml:space="preserve">tar på olika sätt med dessa frågor. Bestämningsfaktorer och indikatorer har tagits fram för uppföljning och utvärdering. </w:t>
      </w:r>
    </w:p>
    <w:p w:rsidR="009F61C7" w:rsidRPr="00550B77" w:rsidRDefault="009F61C7">
      <w:pPr>
        <w:pStyle w:val="Normaltindrag"/>
        <w:shd w:val="clear" w:color="000000" w:fill="auto"/>
      </w:pPr>
      <w:r w:rsidRPr="00550B77">
        <w:t>Kort efter regeringsskiftet lades en skrivelse fram för uppföljning av fol</w:t>
      </w:r>
      <w:r w:rsidRPr="00550B77">
        <w:t>k</w:t>
      </w:r>
      <w:r w:rsidRPr="00550B77">
        <w:t>hälso</w:t>
      </w:r>
      <w:r w:rsidRPr="00550B77">
        <w:softHyphen/>
        <w:t>politiken. Nuvarande regering valde att dra tillbaka denna och återko</w:t>
      </w:r>
      <w:r w:rsidRPr="00550B77">
        <w:t>m</w:t>
      </w:r>
      <w:r w:rsidRPr="00550B77">
        <w:t xml:space="preserve">mer först nu med proposition med titeln ”en förnyad folkhälsopolitik”. </w:t>
      </w:r>
    </w:p>
    <w:p w:rsidR="009F61C7" w:rsidRPr="00550B77" w:rsidRDefault="009F61C7">
      <w:pPr>
        <w:pStyle w:val="Normaltindrag"/>
        <w:shd w:val="clear" w:color="000000" w:fill="auto"/>
      </w:pPr>
      <w:r w:rsidRPr="00550B77">
        <w:t>Miljöpartiet ifrågasätter starkt regeringens grepp på folkhälsoområdet. Det är tydligt att man vill sätta sin politiska prägel, genom att lyfta vissa frågor och tona ned andra. Vi menar dock att man missar essensen för modern fol</w:t>
      </w:r>
      <w:r w:rsidRPr="00550B77">
        <w:t>k</w:t>
      </w:r>
      <w:r w:rsidRPr="00550B77">
        <w:t xml:space="preserve">hälsopolitik. </w:t>
      </w:r>
    </w:p>
    <w:p w:rsidR="009F61C7" w:rsidRPr="00550B77" w:rsidRDefault="009F61C7">
      <w:pPr>
        <w:pStyle w:val="Normaltindrag"/>
        <w:shd w:val="clear" w:color="000000" w:fill="auto"/>
      </w:pPr>
      <w:r w:rsidRPr="00550B77">
        <w:t>Folkhälsopolitik kan aldrig reduceras till det som individer gör, väljer att göra eller skulle kunna göra. Individens situation är självklart viktig, likaså de sociala samman</w:t>
      </w:r>
      <w:r w:rsidRPr="00550B77">
        <w:softHyphen/>
        <w:t>hang man befinner sig i, oavsett om det är familj, vänkretsar, arbetsplatser eller annat. Essensen av folkhälsa är att kunna se de samhälleliga strukturer och sammanhang som skapar förutsättningar för hälsa respektive ohälsa. Det är att se konsekvenser av politiska förslag i ett brett folkhälsopol</w:t>
      </w:r>
      <w:r w:rsidRPr="00550B77">
        <w:t>i</w:t>
      </w:r>
      <w:r w:rsidRPr="00550B77">
        <w:t>tiskt perspektiv. Så länge man inte gör det spelar det ingen roll hur mycket individerna själva är redo att kunna välja. Det samhälleliga ansvaret är nedt</w:t>
      </w:r>
      <w:r w:rsidRPr="00550B77">
        <w:t>o</w:t>
      </w:r>
      <w:r w:rsidRPr="00550B77">
        <w:t>nat och politikens ansvar för att skapa de samhälleliga f</w:t>
      </w:r>
      <w:r w:rsidRPr="00550B77">
        <w:t>örutsättningarna är i propositionen borta.</w:t>
      </w:r>
    </w:p>
    <w:p w:rsidR="009F61C7" w:rsidRPr="00550B77" w:rsidRDefault="009F61C7">
      <w:pPr>
        <w:pStyle w:val="Rubrik1"/>
        <w:shd w:val="clear" w:color="000000" w:fill="auto"/>
      </w:pPr>
      <w:bookmarkStart w:id="4" w:name="_Toc194913388"/>
      <w:bookmarkStart w:id="5" w:name="_Toc195419603"/>
      <w:r w:rsidRPr="00550B77">
        <w:t>Jämlikhet och hållbarhet bortvalt</w:t>
      </w:r>
      <w:bookmarkEnd w:id="4"/>
      <w:bookmarkEnd w:id="5"/>
    </w:p>
    <w:p w:rsidR="009F61C7" w:rsidRPr="00550B77" w:rsidRDefault="009F61C7">
      <w:pPr>
        <w:shd w:val="clear" w:color="000000" w:fill="auto"/>
      </w:pPr>
      <w:r w:rsidRPr="00550B77">
        <w:t xml:space="preserve">Det övergripande nationella målet för folkhälsoarbetet som riksdagen antog 2003, </w:t>
      </w:r>
      <w:r w:rsidRPr="00550B77">
        <w:rPr>
          <w:i/>
        </w:rPr>
        <w:t>att skapa samhälleliga förutsättningar för en god hälsa på lika villkor för hela befolkningen</w:t>
      </w:r>
      <w:r w:rsidRPr="00550B77">
        <w:t>, finns fortfarande kvar. Målet är dock nedtonat i prop</w:t>
      </w:r>
      <w:r w:rsidRPr="00550B77">
        <w:t>o</w:t>
      </w:r>
      <w:r w:rsidRPr="00550B77">
        <w:t xml:space="preserve">sitionstexten. </w:t>
      </w:r>
    </w:p>
    <w:p w:rsidR="009F61C7" w:rsidRPr="00550B77" w:rsidRDefault="009F61C7">
      <w:pPr>
        <w:pStyle w:val="Normaltindrag"/>
        <w:shd w:val="clear" w:color="000000" w:fill="auto"/>
      </w:pPr>
      <w:r w:rsidRPr="00550B77">
        <w:t>I den tidigare skrivelsen från förra regeringen ”Folkhälsopolitik för jä</w:t>
      </w:r>
      <w:r w:rsidRPr="00550B77">
        <w:t>m</w:t>
      </w:r>
      <w:r w:rsidRPr="00550B77">
        <w:t>likhet i hälsa och hållbar tillväxt” som drogs tillbaka fanns följande utgång</w:t>
      </w:r>
      <w:r w:rsidRPr="00550B77">
        <w:t>s</w:t>
      </w:r>
      <w:r w:rsidRPr="00550B77">
        <w:t xml:space="preserve">punkter för den svenska folkhälsopolitiken. </w:t>
      </w:r>
    </w:p>
    <w:p w:rsidR="009F61C7" w:rsidRPr="00550B77" w:rsidRDefault="009F61C7">
      <w:pPr>
        <w:pStyle w:val="PunktlistaBomb"/>
        <w:shd w:val="clear" w:color="000000" w:fill="auto"/>
        <w:tabs>
          <w:tab w:val="clear" w:pos="360"/>
        </w:tabs>
      </w:pPr>
      <w:r w:rsidRPr="00550B77">
        <w:t>Ojämlikhet i hälsa måste motverkas</w:t>
      </w:r>
    </w:p>
    <w:p w:rsidR="009F61C7" w:rsidRPr="00550B77" w:rsidRDefault="009F61C7">
      <w:pPr>
        <w:pStyle w:val="PunktlistaBomb"/>
        <w:shd w:val="clear" w:color="000000" w:fill="auto"/>
        <w:tabs>
          <w:tab w:val="clear" w:pos="360"/>
        </w:tabs>
        <w:spacing w:before="0"/>
      </w:pPr>
      <w:r w:rsidRPr="00550B77">
        <w:t>En god folkhälsa främjar en hållbar tillväxt</w:t>
      </w:r>
    </w:p>
    <w:p w:rsidR="009F61C7" w:rsidRPr="00550B77" w:rsidRDefault="009F61C7">
      <w:pPr>
        <w:pStyle w:val="PunktlistaBomb"/>
        <w:shd w:val="clear" w:color="000000" w:fill="auto"/>
        <w:tabs>
          <w:tab w:val="clear" w:pos="360"/>
        </w:tabs>
        <w:spacing w:before="0"/>
      </w:pPr>
      <w:r w:rsidRPr="00550B77">
        <w:t>En god folkhälsa är en förutsättning för hållbar utveckling</w:t>
      </w:r>
    </w:p>
    <w:p w:rsidR="009F61C7" w:rsidRPr="00550B77" w:rsidRDefault="009F61C7">
      <w:pPr>
        <w:pStyle w:val="PunktlistaBomb"/>
        <w:shd w:val="clear" w:color="000000" w:fill="auto"/>
        <w:tabs>
          <w:tab w:val="clear" w:pos="360"/>
        </w:tabs>
        <w:spacing w:before="0"/>
      </w:pPr>
      <w:r w:rsidRPr="00550B77">
        <w:t>Den svenska folkhälsopolitiken ligger fast</w:t>
      </w:r>
    </w:p>
    <w:p w:rsidR="009F61C7" w:rsidRPr="00550B77" w:rsidRDefault="009F61C7">
      <w:pPr>
        <w:shd w:val="clear" w:color="000000" w:fill="auto"/>
      </w:pPr>
      <w:r w:rsidRPr="00550B77">
        <w:t xml:space="preserve">Dessa utgångspunkter är enligt Miljöpartiets mening grundläggande för att kunna uppnå det övergripande målet för folkhälsopolitiken. Regeringen väljer bort dessa utgångspunkter och samhälleliga förhållanden för folkhälsa och riktar i stället fokus mot individen och det lilla sociala sammanhanget närmast runt individer. Resonemangen rör människans behov av integritet, valfrihet </w:t>
      </w:r>
      <w:r w:rsidRPr="00550B77">
        <w:rPr>
          <w:spacing w:val="-2"/>
        </w:rPr>
        <w:t xml:space="preserve">och bygger på sambandet mellan hälsans villkor och individens förutsättningar. </w:t>
      </w:r>
    </w:p>
    <w:p w:rsidR="009F61C7" w:rsidRPr="00550B77" w:rsidRDefault="009F61C7">
      <w:pPr>
        <w:pStyle w:val="Normaltindrag"/>
        <w:shd w:val="clear" w:color="000000" w:fill="auto"/>
      </w:pPr>
      <w:r w:rsidRPr="00550B77">
        <w:t>Regeringen skriver till och med: ”Folkhälsoarbetet bör ha människans b</w:t>
      </w:r>
      <w:r w:rsidRPr="00550B77">
        <w:t>e</w:t>
      </w:r>
      <w:r w:rsidRPr="00550B77">
        <w:t>hov av integritet och valfrihet som grund.” Det resonemanget bygger inte på modern folkhälsovetenskaplig forskning. Det är mycket olyckligt att rege</w:t>
      </w:r>
      <w:r w:rsidRPr="00550B77">
        <w:t>r</w:t>
      </w:r>
      <w:r w:rsidRPr="00550B77">
        <w:t xml:space="preserve">ingen bortser från den kunskap som finns. </w:t>
      </w:r>
    </w:p>
    <w:p w:rsidR="009F61C7" w:rsidRPr="00550B77" w:rsidRDefault="009F61C7">
      <w:pPr>
        <w:pStyle w:val="Normaltindrag"/>
        <w:shd w:val="clear" w:color="000000" w:fill="auto"/>
      </w:pPr>
      <w:r w:rsidRPr="00550B77">
        <w:t>Ett exempel på kunskap är vad den amerikanske statsvetaren Robert Pu</w:t>
      </w:r>
      <w:r w:rsidRPr="00550B77">
        <w:t>t</w:t>
      </w:r>
      <w:r w:rsidRPr="00550B77">
        <w:t xml:space="preserve">nam har skrivit om begreppet </w:t>
      </w:r>
      <w:r w:rsidRPr="00550B77">
        <w:rPr>
          <w:i/>
        </w:rPr>
        <w:t>socialt kapital</w:t>
      </w:r>
      <w:r w:rsidRPr="00550B77">
        <w:t>. Han visar att ett starkt frivilligt organisationsliv är ett uttryck för förtroendefulla relationer mellan människor och att detta frivilliga engagemang och ömsesidiga förtroende som han kallar ”socialt kapital” i sin tur skapar ekonomisk tillväxt. När socialt kapital min</w:t>
      </w:r>
      <w:r w:rsidRPr="00550B77">
        <w:t>s</w:t>
      </w:r>
      <w:r w:rsidRPr="00550B77">
        <w:t>kar dramatiskt, som i USA, påverkar det enligt Putnam inte bara tillväxten i ett samhälle utan även brottsligheten, sjukdomars utbredning, social utsla</w:t>
      </w:r>
      <w:r w:rsidRPr="00550B77">
        <w:t>g</w:t>
      </w:r>
      <w:r w:rsidRPr="00550B77">
        <w:t>ning och skolornas möjlighet att fungera.</w:t>
      </w:r>
    </w:p>
    <w:p w:rsidR="009F61C7" w:rsidRPr="00550B77" w:rsidRDefault="009F61C7">
      <w:pPr>
        <w:pStyle w:val="Normaltindrag"/>
        <w:shd w:val="clear" w:color="000000" w:fill="auto"/>
      </w:pPr>
      <w:r w:rsidRPr="00550B77">
        <w:t>Professor Michael Marmot skriver i boken ”Statussyndromet – hur vår s</w:t>
      </w:r>
      <w:r w:rsidRPr="00550B77">
        <w:t>o</w:t>
      </w:r>
      <w:r w:rsidRPr="00550B77">
        <w:t>ciala position påverkar hälsan och livslängden” följande: ”De omständigheter under vilka vi lever och arbetar avgör i stor utsträckning hur vi fungerar som individer.” Ett annat exempel är Aron Antonowski som forskat kring vad som får människor att fungera och vara friska. I boken ”Hälsans mysterium” b</w:t>
      </w:r>
      <w:r w:rsidRPr="00550B77">
        <w:t>e</w:t>
      </w:r>
      <w:r w:rsidRPr="00550B77">
        <w:t>skriver han tre viktiga kriterier för god hälsa:</w:t>
      </w:r>
    </w:p>
    <w:p w:rsidR="009F61C7" w:rsidRPr="00550B77" w:rsidRDefault="009F61C7">
      <w:pPr>
        <w:pStyle w:val="PunktlistaBomb"/>
        <w:shd w:val="clear" w:color="000000" w:fill="auto"/>
        <w:tabs>
          <w:tab w:val="clear" w:pos="360"/>
        </w:tabs>
      </w:pPr>
      <w:r w:rsidRPr="00550B77">
        <w:t xml:space="preserve">att man upplever en ”Känsla Av SAMmanhang och begriplighet” (s.k. KASAM) </w:t>
      </w:r>
    </w:p>
    <w:p w:rsidR="009F61C7" w:rsidRPr="00550B77" w:rsidRDefault="009F61C7">
      <w:pPr>
        <w:pStyle w:val="PunktlistaBomb"/>
        <w:shd w:val="clear" w:color="000000" w:fill="auto"/>
        <w:tabs>
          <w:tab w:val="clear" w:pos="360"/>
        </w:tabs>
        <w:spacing w:before="0"/>
      </w:pPr>
      <w:r w:rsidRPr="00550B77">
        <w:t>att uppgiften/situationen är hanterbar och praktiskt möjlig att utföra eller verka i (att det finns tillräckliga resurser)</w:t>
      </w:r>
    </w:p>
    <w:p w:rsidR="009F61C7" w:rsidRPr="00550B77" w:rsidRDefault="009F61C7">
      <w:pPr>
        <w:pStyle w:val="PunktlistaBomb"/>
        <w:shd w:val="clear" w:color="000000" w:fill="auto"/>
        <w:tabs>
          <w:tab w:val="clear" w:pos="360"/>
        </w:tabs>
        <w:spacing w:before="0"/>
      </w:pPr>
      <w:r w:rsidRPr="00550B77">
        <w:t>att man upplever meningsfullhet</w:t>
      </w:r>
    </w:p>
    <w:p w:rsidR="009F61C7" w:rsidRPr="00550B77" w:rsidRDefault="009F61C7">
      <w:pPr>
        <w:shd w:val="clear" w:color="000000" w:fill="auto"/>
      </w:pPr>
      <w:r w:rsidRPr="00550B77">
        <w:t>Miljöpartiet menar att man inte kan välja bort utgångspunkterna ovan och fortsätta att kalla området för ”en folkhälsopolitik på lika villkor”. Det kan inte ses som annat än en tillbakagång i svenskt folkhälsoarbete. Det är mycket olyckligt att regeringen nu bryter den positiva trend med att skapa samhällel</w:t>
      </w:r>
      <w:r w:rsidRPr="00550B77">
        <w:t>i</w:t>
      </w:r>
      <w:r w:rsidRPr="00550B77">
        <w:t xml:space="preserve">ga förutsättningar för hälsa som påbörjats. </w:t>
      </w:r>
    </w:p>
    <w:p w:rsidR="009F61C7" w:rsidRPr="00550B77" w:rsidRDefault="009F61C7">
      <w:pPr>
        <w:pStyle w:val="Normaltindrag"/>
        <w:shd w:val="clear" w:color="000000" w:fill="auto"/>
      </w:pPr>
      <w:r w:rsidRPr="00550B77">
        <w:t>Visst finns det enskilda förslag i propositionen som är bra, t.ex. att intens</w:t>
      </w:r>
      <w:r w:rsidRPr="00550B77">
        <w:t>i</w:t>
      </w:r>
      <w:r w:rsidRPr="00550B77">
        <w:t>fiera det självmordsförebyggande arbetet och att ge Folkhälsoinstitutet och Livsmedelsverket i uppdrag att främja bra kostvanor och fysisk aktivitet.  Det regeringen lägger fram till riksdagen för beslut är dock endast de ändrade rubrikerna på målområdena. Det är förvånande att man inte valt att lägga fler skarpa förslag som riksdagsbeslut. Alla andra förslag i propositionen är skri</w:t>
      </w:r>
      <w:r w:rsidRPr="00550B77">
        <w:t>v</w:t>
      </w:r>
      <w:r w:rsidRPr="00550B77">
        <w:t xml:space="preserve">na på ett sådant sätt att det är en beskrivning av regeringens vilja men ger inte möjlighet för riksdagen att ta ställning i </w:t>
      </w:r>
      <w:r w:rsidRPr="00550B77">
        <w:t>konkreta uppdrag.</w:t>
      </w:r>
    </w:p>
    <w:p w:rsidR="009F61C7" w:rsidRPr="00550B77" w:rsidRDefault="009F61C7">
      <w:pPr>
        <w:pStyle w:val="Normaltindrag"/>
        <w:shd w:val="clear" w:color="000000" w:fill="auto"/>
      </w:pPr>
      <w:r w:rsidRPr="00550B77">
        <w:rPr>
          <w:i/>
        </w:rPr>
        <w:t xml:space="preserve">Vi anser att även den förnyade inriktningen och flera av de policyinriktade förslag som finns borde läggas fram för beslut i riksdagen. </w:t>
      </w:r>
      <w:r w:rsidRPr="00550B77">
        <w:t>Miljöpartiet de gröna anser att den ändrade inriktningen på folkhälsopolitiken är av en sådan art att vi vill avslå propositionen. I stället lägger vi fram de punkter som vi anser är bra för beslut i riksdagen så att alla ledamöter kan få ta ställning och ge uppdrag till regeringen om vilken inriktning folkhälsopolitiken ska ha och inte enbart vad rubrikerna på målområdena ska kallas.</w:t>
      </w:r>
    </w:p>
    <w:p w:rsidR="009F61C7" w:rsidRPr="00550B77" w:rsidRDefault="009F61C7">
      <w:pPr>
        <w:pStyle w:val="Rubrik1"/>
        <w:shd w:val="clear" w:color="000000" w:fill="auto"/>
      </w:pPr>
      <w:bookmarkStart w:id="6" w:name="_Toc194913389"/>
      <w:bookmarkStart w:id="7" w:name="_Toc195419604"/>
      <w:r w:rsidRPr="00550B77">
        <w:t>Ändrade rubriker på målområden</w:t>
      </w:r>
      <w:bookmarkEnd w:id="6"/>
      <w:bookmarkEnd w:id="7"/>
    </w:p>
    <w:p w:rsidR="009F61C7" w:rsidRPr="00550B77" w:rsidRDefault="009F61C7">
      <w:pPr>
        <w:shd w:val="clear" w:color="000000" w:fill="auto"/>
      </w:pPr>
      <w:r w:rsidRPr="00550B77">
        <w:t>Regeringen föreslår ändrade rubriker på flera av nu gällande målområden. Man hänvisar till att regionala och kommunala folkhälsoaktörer och frivilli</w:t>
      </w:r>
      <w:r w:rsidRPr="00550B77">
        <w:t>g</w:t>
      </w:r>
      <w:r w:rsidRPr="00550B77">
        <w:t xml:space="preserve">organisationer uppfattat rubrikerna som missvisande. Eftersom rubrikerna innehållit orden </w:t>
      </w:r>
      <w:r w:rsidRPr="00550B77">
        <w:rPr>
          <w:i/>
        </w:rPr>
        <w:t>öka</w:t>
      </w:r>
      <w:r w:rsidRPr="00550B77">
        <w:t xml:space="preserve"> eller </w:t>
      </w:r>
      <w:r w:rsidRPr="00550B77">
        <w:rPr>
          <w:i/>
        </w:rPr>
        <w:t>minska</w:t>
      </w:r>
      <w:r w:rsidRPr="00550B77">
        <w:t xml:space="preserve"> skulle detta ha inneburit en risk för att de uppfattas som mål i sig och inte som rubrik på ett målområde. Regeringen tycker inte detta är en stor sak och har därför inte heller remissbehandlat det. Man skriver att det ju ändå inte innebär någon förändring i sak. Vi anser att regeringen gör en missbedömning.</w:t>
      </w:r>
    </w:p>
    <w:p w:rsidR="009F61C7" w:rsidRPr="00550B77" w:rsidRDefault="009F61C7">
      <w:pPr>
        <w:pStyle w:val="Normaltindrag"/>
        <w:shd w:val="clear" w:color="000000" w:fill="auto"/>
      </w:pPr>
      <w:r w:rsidRPr="00550B77">
        <w:t>Den värdeladdning som rubrikerna i dag innehåller är en tydlig inriktning för målområdena, vil</w:t>
      </w:r>
      <w:r w:rsidRPr="00550B77">
        <w:t>ket också gör att människor snabbt får en inblick i vad målområdet handlar om. Nationella folkhälsokommittén föreslog ursprungl</w:t>
      </w:r>
      <w:r w:rsidRPr="00550B77">
        <w:t>i</w:t>
      </w:r>
      <w:r w:rsidRPr="00550B77">
        <w:t>gen 18 nationella mål. När den tidigare regeringen i samarbete med mp och v valde att i stället utgå från politikområden, men samtidigt skapa en tydlighet för dessa genom rubriker som hade en tydlig inriktning, var detta inte av slumpmässiga skäl eller obetänksamhet. Det gav en signal om vilket håll man vill gå, och hur man vill se att utveckling sker. Var och en kan uppfatta en ty</w:t>
      </w:r>
      <w:r w:rsidRPr="00550B77">
        <w:t>dlig skillnad i exempelvis rubriceringen ”Hälsa i arbetslivet” respektive ”Ökad hälsa i arbetslivet” liksom ”Miljöer och produkter” jämfört med ”Su</w:t>
      </w:r>
      <w:r w:rsidRPr="00550B77">
        <w:t>n</w:t>
      </w:r>
      <w:r w:rsidRPr="00550B77">
        <w:t>da och säkra miljöer och produkter”. Folkhälsoområdet är komplext och kr</w:t>
      </w:r>
      <w:r w:rsidRPr="00550B77">
        <w:t>ä</w:t>
      </w:r>
      <w:r w:rsidRPr="00550B77">
        <w:t>ver målinriktade arbetssätt. Den tydlighet i färdriktning som rubrikerna hittills inneburit är snarare något man behöver mer av i politiska sammanhang än mindre.  Vi anser att påtagligt viktiga värden går förlorade om man övergår till de helt neutrala rubriceringarna som regeringen föreslår</w:t>
      </w:r>
      <w:r w:rsidRPr="00550B77">
        <w:t>.</w:t>
      </w:r>
    </w:p>
    <w:p w:rsidR="009F61C7" w:rsidRPr="00550B77" w:rsidRDefault="009F61C7">
      <w:pPr>
        <w:pStyle w:val="Rubrik1"/>
        <w:shd w:val="clear" w:color="000000" w:fill="auto"/>
      </w:pPr>
      <w:bookmarkStart w:id="8" w:name="_Toc194913390"/>
      <w:bookmarkStart w:id="9" w:name="_Toc195419605"/>
      <w:r w:rsidRPr="00550B77">
        <w:t>Utveckla lokalt folkhälsoarbete och tydliggör ansvaret</w:t>
      </w:r>
      <w:bookmarkEnd w:id="8"/>
      <w:bookmarkEnd w:id="9"/>
    </w:p>
    <w:p w:rsidR="009F61C7" w:rsidRPr="00550B77" w:rsidRDefault="009F61C7">
      <w:pPr>
        <w:shd w:val="clear" w:color="000000" w:fill="auto"/>
      </w:pPr>
      <w:r w:rsidRPr="00550B77">
        <w:rPr>
          <w:spacing w:val="-6"/>
        </w:rPr>
        <w:t>Det är bra att regeringen avsätter medel för att utveckla det lokalt sektorsövergripa</w:t>
      </w:r>
      <w:r w:rsidRPr="00550B77">
        <w:rPr>
          <w:spacing w:val="-6"/>
        </w:rPr>
        <w:t>n</w:t>
      </w:r>
      <w:r w:rsidRPr="00550B77">
        <w:rPr>
          <w:spacing w:val="-6"/>
        </w:rPr>
        <w:t>de</w:t>
      </w:r>
      <w:r w:rsidRPr="00550B77">
        <w:t xml:space="preserve"> hälsofrämjande arbetet. Likaså är det bra att man pekar på hälsokons</w:t>
      </w:r>
      <w:r w:rsidRPr="00550B77">
        <w:t>e</w:t>
      </w:r>
      <w:r w:rsidRPr="00550B77">
        <w:t>kvens</w:t>
      </w:r>
      <w:r w:rsidRPr="00550B77">
        <w:softHyphen/>
        <w:t>bedömningar, s.k. HKB och välfärdsbokslut och att de med fördel kan kombineras för att visa hur hälsofrågor på ett systematiskt sätt kan inte</w:t>
      </w:r>
      <w:r w:rsidRPr="00550B77">
        <w:t>g</w:t>
      </w:r>
      <w:r w:rsidRPr="00550B77">
        <w:t>reras i befintliga styrsystem. Men det behövs också ett tydliggörande av a</w:t>
      </w:r>
      <w:r w:rsidRPr="00550B77">
        <w:t>n</w:t>
      </w:r>
      <w:r w:rsidRPr="00550B77">
        <w:t>svar i hela det lokala folkhälsoarbetet, vilket saknas i regeringens förslag.</w:t>
      </w:r>
    </w:p>
    <w:p w:rsidR="009F61C7" w:rsidRPr="00550B77" w:rsidRDefault="009F61C7">
      <w:pPr>
        <w:pStyle w:val="Normaltindrag"/>
        <w:shd w:val="clear" w:color="000000" w:fill="auto"/>
      </w:pPr>
      <w:r w:rsidRPr="00550B77">
        <w:t>I Danmark finns ett lagreglerat lokalt folkhälsoansvar. När det infördes och staten samtidigt skickade med pengar gav det en skjuts till h</w:t>
      </w:r>
      <w:r w:rsidRPr="00550B77">
        <w:t>ela det lokala folkhälsoarbetet. Vi menar att detta skulle vara en viktig utveckling av fol</w:t>
      </w:r>
      <w:r w:rsidRPr="00550B77">
        <w:t>k</w:t>
      </w:r>
      <w:r w:rsidRPr="00550B77">
        <w:t xml:space="preserve">hälsoarbetet även i Sverige. </w:t>
      </w:r>
    </w:p>
    <w:p w:rsidR="009F61C7" w:rsidRPr="00550B77" w:rsidRDefault="009F61C7">
      <w:pPr>
        <w:pStyle w:val="Normaltindrag"/>
        <w:shd w:val="clear" w:color="000000" w:fill="auto"/>
      </w:pPr>
      <w:r w:rsidRPr="00550B77">
        <w:t>I Sverige har länsstyrelserna fått i uppdrag att inventera folkhälsoarbetet i respektive län. Det sker dock inte alltid ihop med kommuner och landsting. I vissa regioner och landsting har det tagits fram gemensamma folkhälsoplaner tillsammans med kommunerna, och regionen/landstinget har tagit på sig en samordnande roll. Det lokala folkhälsoarbetet ser mycket olika ut och a</w:t>
      </w:r>
      <w:r w:rsidRPr="00550B77">
        <w:t>n</w:t>
      </w:r>
      <w:r w:rsidRPr="00550B77">
        <w:t>svarsfördelningen mellan länsstyrelse, region/regionförbund, landsting och kommuner är inte tydligt. Miljöpartiet anser att folkhälsoarbete ska vara en del av de av ansvarskommittén skissade region</w:t>
      </w:r>
      <w:r w:rsidRPr="00550B77">
        <w:softHyphen/>
        <w:t>kommunernas uppdrag. Rik</w:t>
      </w:r>
      <w:r w:rsidRPr="00550B77">
        <w:t>s</w:t>
      </w:r>
      <w:r w:rsidRPr="00550B77">
        <w:t>dagen bör ge regeringen till känna att se över möjligheten att i lag förtydliga ansvaret för folkhälsoarbete på lokal och regionalnivå.</w:t>
      </w:r>
    </w:p>
    <w:p w:rsidR="009F61C7" w:rsidRPr="00550B77" w:rsidRDefault="009F61C7">
      <w:pPr>
        <w:pStyle w:val="Normaltindrag"/>
        <w:shd w:val="clear" w:color="000000" w:fill="auto"/>
      </w:pPr>
      <w:r w:rsidRPr="00550B77">
        <w:t>Ett effektivt ekonomiskt utjämningssystem mellan olika kommuner och områden och en effektiv regionalpolitik är nyckelåtgärder i det lokala folkhä</w:t>
      </w:r>
      <w:r w:rsidRPr="00550B77">
        <w:t>l</w:t>
      </w:r>
      <w:r w:rsidRPr="00550B77">
        <w:t>soarbetet, något som regeringen inte nämner i propositionen. En bostadspol</w:t>
      </w:r>
      <w:r w:rsidRPr="00550B77">
        <w:t>i</w:t>
      </w:r>
      <w:r w:rsidRPr="00550B77">
        <w:t>tik som motverkar eller förhindrar segregerat boende är av central betydelse. Viktiga förhållanden på områdesnivå som påverkar hälsan är exempelvis fysisk planering som bl.a. omfattar trafikseparering, minskad trafik i stad</w:t>
      </w:r>
      <w:r w:rsidRPr="00550B77">
        <w:t>s</w:t>
      </w:r>
      <w:r w:rsidRPr="00550B77">
        <w:t>kärnorna, möjligheterna till god försörjning med kollektivtrafik, bullernivå och minskad förekomst av negativa miljöfaktorer samt tillgång till bra och säkra rekreationsområden.</w:t>
      </w:r>
    </w:p>
    <w:p w:rsidR="009F61C7" w:rsidRPr="00550B77" w:rsidRDefault="009F61C7">
      <w:pPr>
        <w:pStyle w:val="Normaltindrag"/>
        <w:shd w:val="clear" w:color="000000" w:fill="auto"/>
      </w:pPr>
      <w:r w:rsidRPr="00550B77">
        <w:t>Den sociala servicen på lokal nivå</w:t>
      </w:r>
      <w:r w:rsidRPr="00550B77">
        <w:t xml:space="preserve"> är också av central betydelse. Bra fr</w:t>
      </w:r>
      <w:r w:rsidRPr="00550B77">
        <w:t>i</w:t>
      </w:r>
      <w:r w:rsidRPr="00550B77">
        <w:t>tids</w:t>
      </w:r>
      <w:r w:rsidRPr="00550B77">
        <w:softHyphen/>
        <w:t>verksamheter för ungdomar och lokal brotts- och skadeförebyggande verksamhet är viktiga inslag i program som ökar känslan av social trygghet på lokal nivå.</w:t>
      </w:r>
    </w:p>
    <w:p w:rsidR="009F61C7" w:rsidRPr="00550B77" w:rsidRDefault="009F61C7">
      <w:pPr>
        <w:pStyle w:val="Normaltindrag"/>
        <w:shd w:val="clear" w:color="000000" w:fill="auto"/>
      </w:pPr>
      <w:r w:rsidRPr="00550B77">
        <w:t>För att stimulera lokalt folkhälsoarbete vill Miljöpartiet öka anslagen till kommuner och landsting/regioner samt ge dem ett tydligt ansvar för att det nationella folkhälso</w:t>
      </w:r>
      <w:r w:rsidRPr="00550B77">
        <w:softHyphen/>
        <w:t>målet med de elva målområdena också omvandlas till regionala mål. Landsting/regioner, i avvaktan på eventuellt kommande reg</w:t>
      </w:r>
      <w:r w:rsidRPr="00550B77">
        <w:t>i</w:t>
      </w:r>
      <w:r w:rsidRPr="00550B77">
        <w:t>onkommuner, ges en samordnande roll i länen.</w:t>
      </w:r>
    </w:p>
    <w:p w:rsidR="009F61C7" w:rsidRPr="00550B77" w:rsidRDefault="009F61C7">
      <w:pPr>
        <w:pStyle w:val="Rubrik1"/>
        <w:shd w:val="clear" w:color="000000" w:fill="auto"/>
      </w:pPr>
      <w:bookmarkStart w:id="10" w:name="_Toc194913391"/>
      <w:bookmarkStart w:id="11" w:name="_Toc195419606"/>
      <w:r w:rsidRPr="00550B77">
        <w:t>Uppföljning och utvärdering av folkhälsoarbetet</w:t>
      </w:r>
      <w:bookmarkEnd w:id="10"/>
      <w:bookmarkEnd w:id="11"/>
    </w:p>
    <w:p w:rsidR="009F61C7" w:rsidRPr="00550B77" w:rsidRDefault="009F61C7">
      <w:pPr>
        <w:shd w:val="clear" w:color="000000" w:fill="auto"/>
      </w:pPr>
      <w:r w:rsidRPr="00550B77">
        <w:t>Att redovisa folkhälsa, det allmänna hälsoläget i befolkningen, kan inte bara göras genom att se på sjukdomar och dödlighet. Den moderna folkhälsopol</w:t>
      </w:r>
      <w:r w:rsidRPr="00550B77">
        <w:t>i</w:t>
      </w:r>
      <w:r w:rsidRPr="00550B77">
        <w:t>tiken fokuserar i stället på att mäta de faktorer som påverkar hälsa, något som också WHO arbetar aktivt för. År 2005 tillsatte WHO en oberoende kommi</w:t>
      </w:r>
      <w:r w:rsidRPr="00550B77">
        <w:t>s</w:t>
      </w:r>
      <w:r w:rsidRPr="00550B77">
        <w:t>sion om de sociala bestämnings</w:t>
      </w:r>
      <w:r w:rsidRPr="00550B77">
        <w:softHyphen/>
        <w:t>faktorerna för hälsa: ”Commission on the Social Determinants of Health” (CSDH). Kommissionen leds av sir Michael Marmot och består av 19 kommissionärer från olika länder. CSDH:s uppdrag är att lämna förslag på hur man ska kunna minska skillnaderna i hälsa världen över. I oktober 2007 publicerades kommissionens första rapport (I</w:t>
      </w:r>
      <w:r w:rsidRPr="00550B77">
        <w:t>nterim Statement) med preliminära ståndpunkter om hälsans bestämningsfaktorer och metoder för en mer jämlik hälsa i världen. Den slutgiltiga rapporten pr</w:t>
      </w:r>
      <w:r w:rsidRPr="00550B77">
        <w:t>e</w:t>
      </w:r>
      <w:r w:rsidRPr="00550B77">
        <w:t>senteras under 2008.</w:t>
      </w:r>
    </w:p>
    <w:p w:rsidR="009F61C7" w:rsidRPr="00550B77" w:rsidRDefault="009F61C7">
      <w:pPr>
        <w:pStyle w:val="Normaltindrag"/>
        <w:shd w:val="clear" w:color="000000" w:fill="auto"/>
      </w:pPr>
      <w:r w:rsidRPr="00550B77">
        <w:t>Bestämningsfaktorer är de faktorer i samhällsorganisationen och männ</w:t>
      </w:r>
      <w:r w:rsidRPr="00550B77">
        <w:t>i</w:t>
      </w:r>
      <w:r w:rsidRPr="00550B77">
        <w:t>skors livsvillkor samt levnadsvanor som bidrar till hälsa och ohälsa.  Fördelen med att utgå från bestämningsfaktorer är att målen blir åtkomliga för politiska initiativ och beslut och därmed kan påverkas genom olika typer av samhäll</w:t>
      </w:r>
      <w:r w:rsidRPr="00550B77">
        <w:t>s</w:t>
      </w:r>
      <w:r w:rsidRPr="00550B77">
        <w:t>insatser. Indikatorer som ”mäter” bestämningsfaktorerna är nödvändiga i</w:t>
      </w:r>
      <w:r w:rsidRPr="00550B77">
        <w:t>n</w:t>
      </w:r>
      <w:r w:rsidRPr="00550B77">
        <w:t>strument både i planering och uppföljning av folkhälsoinsatser.</w:t>
      </w:r>
    </w:p>
    <w:p w:rsidR="009F61C7" w:rsidRPr="00550B77" w:rsidRDefault="009F61C7">
      <w:pPr>
        <w:pStyle w:val="Normaltindrag"/>
        <w:shd w:val="clear" w:color="000000" w:fill="auto"/>
      </w:pPr>
      <w:r w:rsidRPr="00550B77">
        <w:t>FHI redovisade förslag till indikatorer inom folkhälsoområdet till rege</w:t>
      </w:r>
      <w:r w:rsidRPr="00550B77">
        <w:t>r</w:t>
      </w:r>
      <w:r w:rsidRPr="00550B77">
        <w:t>ingen i mars 2003 och har därefter arbetat tillsammans med ett stort antal myndigheter för att förbättra det ursprungliga förslaget. Detta har resulterat i att FHI har antagit 38 huvudindikatorer för folkhälsopolitikens samtliga må</w:t>
      </w:r>
      <w:r w:rsidRPr="00550B77">
        <w:t>l</w:t>
      </w:r>
      <w:r w:rsidRPr="00550B77">
        <w:t>områden utom målområde 6 – En mer hälsofrämjande hälso- och sjukvård – som kräver mer utvecklingsarbete.</w:t>
      </w:r>
    </w:p>
    <w:p w:rsidR="009F61C7" w:rsidRPr="00550B77" w:rsidRDefault="009F61C7">
      <w:pPr>
        <w:pStyle w:val="Normaltindrag"/>
        <w:shd w:val="clear" w:color="000000" w:fill="auto"/>
      </w:pPr>
      <w:r w:rsidRPr="00550B77">
        <w:t xml:space="preserve">Regeringen nämner dock inte bestämningsfaktorer och indikatorer under </w:t>
      </w:r>
      <w:r w:rsidRPr="00550B77">
        <w:rPr>
          <w:i/>
        </w:rPr>
        <w:t>kapitel 3.5 Uppföljning och utvärdering av folkhälsoarbetet</w:t>
      </w:r>
      <w:r w:rsidRPr="00550B77">
        <w:t>. Man skriver i stället: ”När det gäller utvärdering finns det ingen självklar och perfekt m</w:t>
      </w:r>
      <w:r w:rsidRPr="00550B77">
        <w:t>e</w:t>
      </w:r>
      <w:r w:rsidRPr="00550B77">
        <w:t>tod. Erfarenheten visar emellertid att en kombination av kvalitativ och kvant</w:t>
      </w:r>
      <w:r w:rsidRPr="00550B77">
        <w:t>i</w:t>
      </w:r>
      <w:r w:rsidRPr="00550B77">
        <w:t>tativ forskning är mest effektivt och att utvärdering bör ske i termer av pr</w:t>
      </w:r>
      <w:r w:rsidRPr="00550B77">
        <w:t>o</w:t>
      </w:r>
      <w:r w:rsidRPr="00550B77">
        <w:t>cess, implementering och effekt.” Betyder det att man inte längre anser att utvec</w:t>
      </w:r>
      <w:r w:rsidRPr="00550B77">
        <w:t>k</w:t>
      </w:r>
      <w:r w:rsidRPr="00550B77">
        <w:t>ling ska följas med hjälp av bestämningsfaktorer och indikatorer?</w:t>
      </w:r>
    </w:p>
    <w:p w:rsidR="009F61C7" w:rsidRPr="00550B77" w:rsidRDefault="009F61C7">
      <w:pPr>
        <w:pStyle w:val="Normaltindrag"/>
        <w:shd w:val="clear" w:color="000000" w:fill="auto"/>
      </w:pPr>
      <w:r w:rsidRPr="00550B77">
        <w:t>I kapitel 5 Folkhälsopolitikens struktur görs visserligen</w:t>
      </w:r>
      <w:r w:rsidRPr="00550B77">
        <w:t xml:space="preserve"> en beskrivning av nuvarande folkhälsopolitik, och där nämns att folkhälsopolitikens 11 målo</w:t>
      </w:r>
      <w:r w:rsidRPr="00550B77">
        <w:t>m</w:t>
      </w:r>
      <w:r w:rsidRPr="00550B77">
        <w:t>råden omfattar 42 bestämningsfaktorer och att dessa mäts via 36 huvudindik</w:t>
      </w:r>
      <w:r w:rsidRPr="00550B77">
        <w:t>a</w:t>
      </w:r>
      <w:r w:rsidRPr="00550B77">
        <w:t>torer och 47 delindikatorer. Men regeringen säger inte huruvida man anser att arbetet ska fortsätta, ej heller ges någon kommentar till att målområde 6 En mer hälsofrämjande hälso- och sjukvård saknar identifierade bestämningsfa</w:t>
      </w:r>
      <w:r w:rsidRPr="00550B77">
        <w:t>k</w:t>
      </w:r>
      <w:r w:rsidRPr="00550B77">
        <w:t xml:space="preserve">torer och indikatorer. </w:t>
      </w:r>
    </w:p>
    <w:p w:rsidR="009F61C7" w:rsidRPr="00550B77" w:rsidRDefault="009F61C7">
      <w:pPr>
        <w:pStyle w:val="Normaltindrag"/>
        <w:shd w:val="clear" w:color="000000" w:fill="auto"/>
      </w:pPr>
      <w:r w:rsidRPr="00550B77">
        <w:t>I den tidigare regeringens skrivelse ”Folkhälsopolitik för jämlikhet i hälsa och hållbar ti</w:t>
      </w:r>
      <w:r w:rsidRPr="00550B77">
        <w:t>llväxt” (2005/06:205) gavs ett uppdrag ”att inom ramen för det fortsatta arbetet inför nästa folkhälsopolitiska skrivelse är det angeläget att bestämningsfaktorer och indikatorer identifieras”. Eftersom den nuvarande regeringen återtagit den skrivelsen så gäller inte det uppdraget och i den nu liggande propositionen saknas sådant uppdrag.</w:t>
      </w:r>
    </w:p>
    <w:p w:rsidR="009F61C7" w:rsidRPr="00550B77" w:rsidRDefault="009F61C7">
      <w:pPr>
        <w:pStyle w:val="Normaltindrag"/>
        <w:shd w:val="clear" w:color="000000" w:fill="auto"/>
      </w:pPr>
      <w:r w:rsidRPr="00550B77">
        <w:t>Det är talande att man inte heller poängterar vikten av att utgå från b</w:t>
      </w:r>
      <w:r w:rsidRPr="00550B77">
        <w:t>e</w:t>
      </w:r>
      <w:r w:rsidRPr="00550B77">
        <w:t>stämnings</w:t>
      </w:r>
      <w:r w:rsidRPr="00550B77">
        <w:softHyphen/>
        <w:t>faktorer så att det blir tydligt att folkhälsoarbete handlar om politi</w:t>
      </w:r>
      <w:r w:rsidRPr="00550B77">
        <w:t>s</w:t>
      </w:r>
      <w:r w:rsidRPr="00550B77">
        <w:t>ka beslut och initiativ.</w:t>
      </w:r>
    </w:p>
    <w:p w:rsidR="009F61C7" w:rsidRPr="00550B77" w:rsidRDefault="009F61C7">
      <w:pPr>
        <w:pStyle w:val="Normaltindrag"/>
        <w:shd w:val="clear" w:color="000000" w:fill="auto"/>
      </w:pPr>
      <w:r w:rsidRPr="00550B77">
        <w:rPr>
          <w:szCs w:val="24"/>
        </w:rPr>
        <w:t>Miljöpartiet de gröna anser att det behövs ett tydligt uppdrag att jobba v</w:t>
      </w:r>
      <w:r w:rsidRPr="00550B77">
        <w:rPr>
          <w:szCs w:val="24"/>
        </w:rPr>
        <w:t>i</w:t>
      </w:r>
      <w:r w:rsidRPr="00550B77">
        <w:rPr>
          <w:szCs w:val="24"/>
        </w:rPr>
        <w:t xml:space="preserve">dare med bestämningsfaktorer och indikatorer. Det gäller särskilt inom </w:t>
      </w:r>
      <w:r w:rsidRPr="00550B77">
        <w:t>må</w:t>
      </w:r>
      <w:r w:rsidRPr="00550B77">
        <w:t>l</w:t>
      </w:r>
      <w:r w:rsidRPr="00550B77">
        <w:t>område 6 – En mer hälsofrämjande hälso- och sjukvård, där det nu inte finns några</w:t>
      </w:r>
      <w:r w:rsidRPr="00550B77">
        <w:rPr>
          <w:szCs w:val="24"/>
        </w:rPr>
        <w:t xml:space="preserve"> bestämningsfaktorer eller indikatorer.</w:t>
      </w:r>
    </w:p>
    <w:p w:rsidR="009F61C7" w:rsidRPr="00550B77" w:rsidRDefault="009F61C7">
      <w:pPr>
        <w:pStyle w:val="Rubrik1"/>
        <w:shd w:val="clear" w:color="000000" w:fill="auto"/>
      </w:pPr>
      <w:bookmarkStart w:id="12" w:name="_Toc194913392"/>
      <w:bookmarkStart w:id="13" w:name="_Toc195419607"/>
      <w:r w:rsidRPr="00550B77">
        <w:t>Utveckling och insatser inom olika målområden</w:t>
      </w:r>
      <w:bookmarkEnd w:id="12"/>
      <w:bookmarkEnd w:id="13"/>
    </w:p>
    <w:p w:rsidR="009F61C7" w:rsidRPr="00550B77" w:rsidRDefault="009F61C7">
      <w:pPr>
        <w:shd w:val="clear" w:color="000000" w:fill="auto"/>
      </w:pPr>
      <w:r w:rsidRPr="00550B77">
        <w:t>Miljöpartiet saknar att folkhälsoläget inte beskrivs utifrån de bestämningsfa</w:t>
      </w:r>
      <w:r w:rsidRPr="00550B77">
        <w:t>k</w:t>
      </w:r>
      <w:r w:rsidRPr="00550B77">
        <w:t>torer som finns identifierade för de olika målområdena. Nu ges i stället en bild som utgår från riskfaktorer och hälsoutfall medan den folkhälsopolitiska rapporteringen med redovisning av hälsans bestämningsfaktorer saknas. Det är väldigt olika nivå på de förslag som tas upp av regeringen, stort och smått blandas.</w:t>
      </w:r>
    </w:p>
    <w:p w:rsidR="009F61C7" w:rsidRPr="00550B77" w:rsidRDefault="009F61C7">
      <w:pPr>
        <w:pStyle w:val="Normaltindrag"/>
        <w:shd w:val="clear" w:color="000000" w:fill="auto"/>
      </w:pPr>
      <w:r w:rsidRPr="00550B77">
        <w:t xml:space="preserve">Miljöpartiet anser att vissa förslag på insatser inom de olika målområdena är bra medan andra har helt fel fokus. Vi väljer nedan att peka på några av dessa. </w:t>
      </w:r>
    </w:p>
    <w:p w:rsidR="009F61C7" w:rsidRPr="00550B77" w:rsidRDefault="009F61C7">
      <w:pPr>
        <w:pStyle w:val="Rubrik2"/>
        <w:shd w:val="clear" w:color="000000" w:fill="auto"/>
      </w:pPr>
      <w:bookmarkStart w:id="14" w:name="_Toc194913393"/>
      <w:bookmarkStart w:id="15" w:name="_Toc195419608"/>
      <w:r w:rsidRPr="00550B77">
        <w:t>Målområde 1 – Delaktighet och inflytande i samhället</w:t>
      </w:r>
      <w:bookmarkEnd w:id="14"/>
      <w:bookmarkEnd w:id="15"/>
    </w:p>
    <w:p w:rsidR="009F61C7" w:rsidRPr="00550B77" w:rsidRDefault="009F61C7">
      <w:pPr>
        <w:shd w:val="clear" w:color="000000" w:fill="auto"/>
      </w:pPr>
      <w:r w:rsidRPr="00550B77">
        <w:t>Delaktighet och inflytande har stor betydelse för hälsa och välbefinnande. Vi delar synen att den ideella sektorn har stor betydelse och att samarbete är av största vikt både på statlig och lokal nivå. Bestämningsfaktorer inom</w:t>
      </w:r>
      <w:r w:rsidRPr="00550B77">
        <w:rPr>
          <w:color w:val="000000"/>
          <w:szCs w:val="19"/>
        </w:rPr>
        <w:t xml:space="preserve"> </w:t>
      </w:r>
      <w:r w:rsidRPr="00550B77">
        <w:t xml:space="preserve">detta målområde är bl.a. demokratisk delaktighet, jämställdhet, diskriminering och deltagande i kulturaktivitet. </w:t>
      </w:r>
    </w:p>
    <w:p w:rsidR="009F61C7" w:rsidRPr="00550B77" w:rsidRDefault="009F61C7">
      <w:pPr>
        <w:pStyle w:val="Normaltindrag"/>
        <w:shd w:val="clear" w:color="000000" w:fill="auto"/>
      </w:pPr>
      <w:r w:rsidRPr="00550B77">
        <w:t>Det saknas förslag på insatser för att öka möjligheten till deltagande i ku</w:t>
      </w:r>
      <w:r w:rsidRPr="00550B77">
        <w:t>l</w:t>
      </w:r>
      <w:r w:rsidRPr="00550B77">
        <w:t>tur</w:t>
      </w:r>
      <w:r w:rsidRPr="00550B77">
        <w:softHyphen/>
        <w:t>aktiviteter. Miljöpartiet ser satsningar på kultur som förebyggande inv</w:t>
      </w:r>
      <w:r w:rsidRPr="00550B77">
        <w:t>e</w:t>
      </w:r>
      <w:r w:rsidRPr="00550B77">
        <w:t>steringar. Miljöpartiet anser att det åvilar den offentliga sektorn, kommun, landsting och stat, att ta ansvar för att alla har tillgång till kultur, oavsett å</w:t>
      </w:r>
      <w:r w:rsidRPr="00550B77">
        <w:t>l</w:t>
      </w:r>
      <w:r w:rsidRPr="00550B77">
        <w:t>der, ekonomi och utbildningsnivå. Hälsofrämjande kultur är viktigt. Kultur har förebyggande effekter och många studier som gjorts visar också på att kultur även kan ha en läkande effekt.</w:t>
      </w:r>
    </w:p>
    <w:p w:rsidR="009F61C7" w:rsidRPr="00550B77" w:rsidRDefault="009F61C7">
      <w:pPr>
        <w:pStyle w:val="Normaltindrag"/>
        <w:shd w:val="clear" w:color="000000" w:fill="auto"/>
      </w:pPr>
      <w:r w:rsidRPr="00550B77">
        <w:t>Miljöpartiet har i budgetmotion för 2008 gjort en större satsning på regi</w:t>
      </w:r>
      <w:r w:rsidRPr="00550B77">
        <w:t>o</w:t>
      </w:r>
      <w:r w:rsidRPr="00550B77">
        <w:t>nala kulturfonder för att främja det regionala kulturlivet och för att göra kult</w:t>
      </w:r>
      <w:r w:rsidRPr="00550B77">
        <w:t>u</w:t>
      </w:r>
      <w:r w:rsidRPr="00550B77">
        <w:t>ren mer tillgänglig för fler. Inom ramen för detta vill vi också återinföra den populära reformen om fritt inträde på museum, något som regeringen tog bort strax efter att den tillträtt.</w:t>
      </w:r>
    </w:p>
    <w:p w:rsidR="009F61C7" w:rsidRPr="00550B77" w:rsidRDefault="009F61C7">
      <w:pPr>
        <w:pStyle w:val="Normaltindrag"/>
        <w:shd w:val="clear" w:color="000000" w:fill="auto"/>
      </w:pPr>
      <w:r w:rsidRPr="00550B77">
        <w:t>Miljöpartiet de gröna anser att folkhälsopolitiken måste bygga på att u</w:t>
      </w:r>
      <w:r w:rsidRPr="00550B77">
        <w:t>t</w:t>
      </w:r>
      <w:r w:rsidRPr="00550B77">
        <w:t>jämna skillnader i hälsa för att det övergripande målet om ”att skapa föru</w:t>
      </w:r>
      <w:r w:rsidRPr="00550B77">
        <w:t>t</w:t>
      </w:r>
      <w:r w:rsidRPr="00550B77">
        <w:t>sättningar för en god hälsa på lika villkor för hela befolkningen” ska kunna nås, och då är en av förutsättningarna att ge människor mer delaktighet och inflytande i vardagen. Det handlar inte bara om fria val som regeringen skr</w:t>
      </w:r>
      <w:r w:rsidRPr="00550B77">
        <w:t>i</w:t>
      </w:r>
      <w:r w:rsidRPr="00550B77">
        <w:t>ver så mycket om utan om att ge människor förutsättningar att kunna göra val och att våga se de strukturer som finns i samhället.</w:t>
      </w:r>
    </w:p>
    <w:p w:rsidR="009F61C7" w:rsidRPr="00550B77" w:rsidRDefault="009F61C7">
      <w:pPr>
        <w:pStyle w:val="Rubrik3"/>
        <w:shd w:val="clear" w:color="000000" w:fill="auto"/>
      </w:pPr>
      <w:bookmarkStart w:id="16" w:name="_Toc194913394"/>
      <w:bookmarkStart w:id="17" w:name="_Toc195419609"/>
      <w:r w:rsidRPr="00550B77">
        <w:t>Jämställdhet</w:t>
      </w:r>
      <w:bookmarkEnd w:id="16"/>
      <w:bookmarkEnd w:id="17"/>
    </w:p>
    <w:p w:rsidR="009F61C7" w:rsidRPr="00550B77" w:rsidRDefault="009F61C7">
      <w:pPr>
        <w:shd w:val="clear" w:color="000000" w:fill="auto"/>
        <w:rPr>
          <w:sz w:val="20"/>
        </w:rPr>
      </w:pPr>
      <w:r w:rsidRPr="00550B77">
        <w:t>Riksdagen har beslutat att alla förslag som läggs från regeringen ska innehålla en beskrivning av hur förslaget påverkar jämställdhet. I och med att regerin</w:t>
      </w:r>
      <w:r w:rsidRPr="00550B77">
        <w:t>g</w:t>
      </w:r>
      <w:r w:rsidRPr="00550B77">
        <w:t>en tonat ned det övergripande målet och tagit bort formuleringar som ” ojä</w:t>
      </w:r>
      <w:r w:rsidRPr="00550B77">
        <w:t>m</w:t>
      </w:r>
      <w:r w:rsidRPr="00550B77">
        <w:t>likheten i hälsa måste motverkas” så har det också effekter på jämställdheten. Regeringen tar upp handlings</w:t>
      </w:r>
      <w:r w:rsidRPr="00550B77">
        <w:softHyphen/>
        <w:t>plan för att bekämpa mäns våld mot kvinnor och presenterar ytterligare några insatser som den avser att göra.</w:t>
      </w:r>
    </w:p>
    <w:p w:rsidR="009F61C7" w:rsidRPr="00550B77" w:rsidRDefault="009F61C7">
      <w:pPr>
        <w:pStyle w:val="Normaltindrag"/>
        <w:shd w:val="clear" w:color="000000" w:fill="auto"/>
      </w:pPr>
      <w:r w:rsidRPr="00550B77">
        <w:t>Regeringen har i sin politik blundat för de strukturella faktorer som påve</w:t>
      </w:r>
      <w:r w:rsidRPr="00550B77">
        <w:t>r</w:t>
      </w:r>
      <w:r w:rsidRPr="00550B77">
        <w:t>kar jämställdheten i vårt samhälle. Det är viktigt att regeringen öppnar ögonen och tar till sig den kunskap som finns hos expertmyndigheten för folkhälso</w:t>
      </w:r>
      <w:r w:rsidRPr="00550B77">
        <w:softHyphen/>
        <w:t xml:space="preserve">arbetet. Folkhälsoinstitutet (FHI) skriver följande: </w:t>
      </w:r>
    </w:p>
    <w:p w:rsidR="009F61C7" w:rsidRPr="00550B77" w:rsidRDefault="009F61C7">
      <w:pPr>
        <w:pStyle w:val="Citat"/>
        <w:shd w:val="clear" w:color="000000" w:fill="auto"/>
      </w:pPr>
      <w:r w:rsidRPr="00550B77">
        <w:t xml:space="preserve">Genusforskaren Yvonne Hirdman myntade termen </w:t>
      </w:r>
      <w:r w:rsidRPr="00550B77">
        <w:rPr>
          <w:b/>
        </w:rPr>
        <w:t>genussystem</w:t>
      </w:r>
      <w:r w:rsidRPr="00550B77">
        <w:t xml:space="preserve"> i Sver</w:t>
      </w:r>
      <w:r w:rsidRPr="00550B77">
        <w:t>i</w:t>
      </w:r>
      <w:r w:rsidRPr="00550B77">
        <w:t>ge</w:t>
      </w:r>
      <w:r w:rsidRPr="00550B77">
        <w:rPr>
          <w:rStyle w:val="Stark"/>
          <w:rFonts w:ascii="Verdana" w:hAnsi="Verdana"/>
          <w:color w:val="000000"/>
          <w:sz w:val="17"/>
          <w:szCs w:val="17"/>
        </w:rPr>
        <w:t>.</w:t>
      </w:r>
      <w:r w:rsidRPr="00550B77">
        <w:t xml:space="preserve"> Detta system bygger på ett isärhållande och en hierarki mellan män och kvinnor där män som kollektiv tillskrivs mer makt och inflytande i samhället. Att analysera systemet tjänar till att synliggöra dolda mek</w:t>
      </w:r>
      <w:r w:rsidRPr="00550B77">
        <w:t>a</w:t>
      </w:r>
      <w:r w:rsidRPr="00550B77">
        <w:t>nismer och strukturer som orsakar ojämställdhet (könssegregerad arbet</w:t>
      </w:r>
      <w:r w:rsidRPr="00550B77">
        <w:t>s</w:t>
      </w:r>
      <w:r w:rsidRPr="00550B77">
        <w:t>marknad, mäns våld mot kvinnor etc). Andra internationellt kända genus- och queerforskare som RW Connell och Judith Butler påvisar dock att r</w:t>
      </w:r>
      <w:r w:rsidRPr="00550B77">
        <w:t>e</w:t>
      </w:r>
      <w:r w:rsidRPr="00550B77">
        <w:t>lationerna mellan/inom grupper av män och mellan/inom grupper av kvi</w:t>
      </w:r>
      <w:r w:rsidRPr="00550B77">
        <w:t>n</w:t>
      </w:r>
      <w:r w:rsidRPr="00550B77">
        <w:softHyphen/>
        <w:t xml:space="preserve">nor hyser en stor komplexitet. Begreppet </w:t>
      </w:r>
      <w:r w:rsidRPr="00550B77">
        <w:rPr>
          <w:b/>
        </w:rPr>
        <w:t>intersektionalitet</w:t>
      </w:r>
      <w:r w:rsidRPr="00550B77">
        <w:t xml:space="preserve"> försöker analysera hur olika makt</w:t>
      </w:r>
      <w:r w:rsidRPr="00550B77">
        <w:softHyphen/>
        <w:t>dimensioner korsar varandra. Det är inte bara könet som har betydelse i en analys utan även sexuell läggning, etnisk tillhörighet, klass, funktionshinder, ålder och religion. Dessa positioner påverkar hur mycket makt och utrymme en människa har i samhället och i relation till andra människor. Vissa grupper av män, exempelvis tran</w:t>
      </w:r>
      <w:r w:rsidRPr="00550B77">
        <w:t>s</w:t>
      </w:r>
      <w:r w:rsidRPr="00550B77">
        <w:t>sexuella män, underordnas i genussystemet av heterosexuella män. En funktionshindrad</w:t>
      </w:r>
      <w:r w:rsidRPr="00550B77">
        <w:t xml:space="preserve"> kvinna är på samma sätt underordnad en kvinna utan funktionshinder. Det finns alltså skillnader även inom grupperna kvinnor och män. Den heterosexuella mannen är dock övergripande norm i sa</w:t>
      </w:r>
      <w:r w:rsidRPr="00550B77">
        <w:t>m</w:t>
      </w:r>
      <w:r w:rsidRPr="00550B77">
        <w:t xml:space="preserve">hället. </w:t>
      </w:r>
    </w:p>
    <w:p w:rsidR="009F61C7" w:rsidRPr="00550B77" w:rsidRDefault="009F61C7">
      <w:pPr>
        <w:pStyle w:val="Citatindrag"/>
        <w:shd w:val="clear" w:color="000000" w:fill="auto"/>
      </w:pPr>
      <w:r w:rsidRPr="00550B77">
        <w:t>För att inte låta ojämlikheter i hälsa beroende av kön (klass, sexuell läggning och etniskt tillhörighet) fortsätta att normaliseras måste orsaker och bakomliggande maktstrukturer till ohälsa hos kvinnor och män kar</w:t>
      </w:r>
      <w:r w:rsidRPr="00550B77">
        <w:t>t</w:t>
      </w:r>
      <w:r w:rsidRPr="00550B77">
        <w:t>läggas och utredas. Att ha ett tydligt integrerat genusperspektiv i samtliga folkhälsopolitiska områden, där mäns och kvinnors skilda livsvillkor och förutsättningar är stående analysvariabler, är därför ett måste i den fra</w:t>
      </w:r>
      <w:r w:rsidRPr="00550B77">
        <w:t>m</w:t>
      </w:r>
      <w:r w:rsidRPr="00550B77">
        <w:t>tida folkhälsopolitiken.</w:t>
      </w:r>
    </w:p>
    <w:p w:rsidR="009F61C7" w:rsidRPr="00550B77" w:rsidRDefault="009F61C7">
      <w:pPr>
        <w:pStyle w:val="Rubrik3"/>
        <w:shd w:val="clear" w:color="000000" w:fill="auto"/>
      </w:pPr>
      <w:bookmarkStart w:id="18" w:name="_Toc194913395"/>
      <w:bookmarkStart w:id="19" w:name="_Toc195419610"/>
      <w:r w:rsidRPr="00550B77">
        <w:t>Lika rätt</w:t>
      </w:r>
      <w:bookmarkEnd w:id="18"/>
      <w:bookmarkEnd w:id="19"/>
    </w:p>
    <w:p w:rsidR="009F61C7" w:rsidRPr="00550B77" w:rsidRDefault="009F61C7">
      <w:pPr>
        <w:shd w:val="clear" w:color="000000" w:fill="auto"/>
      </w:pPr>
      <w:r w:rsidRPr="00550B77">
        <w:t>Regeringen skriver om att arbetet för att motverka diskriminering har högsta prioritet, samtidigt har regeringen nyligen lagt en proposition ”Ett starkare skydd mot diskriminering 2007/08:95” som tyvärr saknar att bristande til</w:t>
      </w:r>
      <w:r w:rsidRPr="00550B77">
        <w:t>l</w:t>
      </w:r>
      <w:r w:rsidRPr="00550B77">
        <w:t>gänglighet för funktionshindrade utgör diskriminering. Miljöpartiet anser att det borde ha varit med.</w:t>
      </w:r>
    </w:p>
    <w:p w:rsidR="009F61C7" w:rsidRPr="00550B77" w:rsidRDefault="009F61C7">
      <w:pPr>
        <w:pStyle w:val="Normaltindrag"/>
        <w:shd w:val="clear" w:color="000000" w:fill="auto"/>
      </w:pPr>
      <w:r w:rsidRPr="00550B77">
        <w:t>Miljöpartiet de gröna välkomnar stora delar av de föreslagna lagändringa</w:t>
      </w:r>
      <w:r w:rsidRPr="00550B77">
        <w:t>r</w:t>
      </w:r>
      <w:r w:rsidRPr="00550B77">
        <w:t>na. Många av dem är frågor vi drivit i flera år. Vi ser positivt på att diskrim</w:t>
      </w:r>
      <w:r w:rsidRPr="00550B77">
        <w:t>i</w:t>
      </w:r>
      <w:r w:rsidRPr="00550B77">
        <w:t>neringsförbudet utsträcks till nya samhällsområden och att de två nya gru</w:t>
      </w:r>
      <w:r w:rsidRPr="00550B77">
        <w:t>n</w:t>
      </w:r>
      <w:r w:rsidRPr="00550B77">
        <w:t>derna ålder och könsidentitet införs. Miljöpartiet håller däremot inte med regeringen om att slå samman DO, Homo, Jämo och HO till en ombudsman. Det är bättre att de sammanförs i en gemensam myndighetsorganisation, men de separata ombudsmännen bör finns kvar inom organisationen. Vi menar att denna lösning innebär ett helhetsperspektiv på diskrimineringspr</w:t>
      </w:r>
      <w:r w:rsidRPr="00550B77">
        <w:t>oblematiken utan att skillnaderna mellan de olika diskriminerings</w:t>
      </w:r>
      <w:r w:rsidRPr="00550B77">
        <w:softHyphen/>
        <w:t>grunderna suddas ut.</w:t>
      </w:r>
    </w:p>
    <w:p w:rsidR="009F61C7" w:rsidRPr="00550B77" w:rsidRDefault="009F61C7">
      <w:pPr>
        <w:pStyle w:val="Rubrik2"/>
        <w:shd w:val="clear" w:color="000000" w:fill="auto"/>
      </w:pPr>
      <w:bookmarkStart w:id="20" w:name="_Toc194913396"/>
      <w:bookmarkStart w:id="21" w:name="_Toc195419611"/>
      <w:r w:rsidRPr="00550B77">
        <w:t>Målområde 2 – Ekonomiska och sociala förutsättningar</w:t>
      </w:r>
      <w:bookmarkEnd w:id="20"/>
      <w:bookmarkEnd w:id="21"/>
    </w:p>
    <w:p w:rsidR="009F61C7" w:rsidRPr="00550B77" w:rsidRDefault="009F61C7">
      <w:pPr>
        <w:shd w:val="clear" w:color="000000" w:fill="auto"/>
      </w:pPr>
      <w:r w:rsidRPr="00550B77">
        <w:t>Regeringen skriver om fler nystartsjobb och en mer förutsägbar sjukförsä</w:t>
      </w:r>
      <w:r w:rsidRPr="00550B77">
        <w:t>k</w:t>
      </w:r>
      <w:r w:rsidRPr="00550B77">
        <w:t>ring med en tydlig rehabiliteringskedja. Det är insatser som Miljöpartiet m</w:t>
      </w:r>
      <w:r w:rsidRPr="00550B77">
        <w:t>e</w:t>
      </w:r>
      <w:r w:rsidRPr="00550B77">
        <w:t xml:space="preserve">nar snarare riskerar att öka klyftorna i samhället än att bidra till en ekonomisk och social trygghet. </w:t>
      </w:r>
    </w:p>
    <w:p w:rsidR="009F61C7" w:rsidRPr="00550B77" w:rsidRDefault="009F61C7">
      <w:pPr>
        <w:pStyle w:val="Normaltindrag"/>
        <w:shd w:val="clear" w:color="000000" w:fill="auto"/>
      </w:pPr>
      <w:r w:rsidRPr="00550B77">
        <w:t>Ojämlikhet i hälsa handlar om spridningen i hälsa, livskvalitet och liv</w:t>
      </w:r>
      <w:r w:rsidRPr="00550B77">
        <w:t>s</w:t>
      </w:r>
      <w:r w:rsidRPr="00550B77">
        <w:t xml:space="preserve">längd för olika grupper av människor. Ett samhälle med stora välfärdsklyftor bär också på en stor ohälsobörda. </w:t>
      </w:r>
    </w:p>
    <w:p w:rsidR="009F61C7" w:rsidRPr="00550B77" w:rsidRDefault="009F61C7">
      <w:pPr>
        <w:pStyle w:val="Normaltindrag"/>
        <w:shd w:val="clear" w:color="000000" w:fill="auto"/>
      </w:pPr>
      <w:r w:rsidRPr="00550B77">
        <w:t>Rädda Barnens rapport om barnfattigdomen i Sverige visar att skillnaderna mellan olika grupper av barn är stora och har ökat under 2000-talet. De allra rikaste hushållen drar ifrån i inkomststandard medan de fattigaste halkar efter.</w:t>
      </w:r>
    </w:p>
    <w:p w:rsidR="009F61C7" w:rsidRPr="00550B77" w:rsidRDefault="009F61C7">
      <w:pPr>
        <w:pStyle w:val="Normaltindrag"/>
        <w:shd w:val="clear" w:color="000000" w:fill="auto"/>
        <w:rPr>
          <w:color w:val="000000"/>
          <w:szCs w:val="24"/>
        </w:rPr>
      </w:pPr>
      <w:r w:rsidRPr="00550B77">
        <w:t>Miljöpartiet menar att ekonomisk och social trygghet är en av de mest grundläggande förutsättningarna för en god hälsa på lika villkor. Att männ</w:t>
      </w:r>
      <w:r w:rsidRPr="00550B77">
        <w:t>i</w:t>
      </w:r>
      <w:r w:rsidRPr="00550B77">
        <w:t>skor kan försörja sig genom eget arbete skapar självkänsla, vilket är en fris</w:t>
      </w:r>
      <w:r w:rsidRPr="00550B77">
        <w:t>k</w:t>
      </w:r>
      <w:r w:rsidRPr="00550B77">
        <w:t>faktor. Men för att främja en god hälsa behövs även insatser på strukturell nivå, t.ex. ett socialförsäkringssystem som ger trygghet. Vidare behövs u</w:t>
      </w:r>
      <w:r w:rsidRPr="00550B77">
        <w:t>t</w:t>
      </w:r>
      <w:r w:rsidRPr="00550B77">
        <w:t>bildningsmöjligheter under olika perioder i livet, en samhällsplanering som bidrar till trygga miljöer och sociala tjänster av hög kvalitet på lika villkor. Då kan man inte som regeringen gör dra in på vuxenutbildning, eller försämra i sjukförsäkringsregler och a-kassesystem.</w:t>
      </w:r>
    </w:p>
    <w:p w:rsidR="009F61C7" w:rsidRPr="00550B77" w:rsidRDefault="009F61C7">
      <w:pPr>
        <w:pStyle w:val="Rubrik2"/>
        <w:shd w:val="clear" w:color="000000" w:fill="auto"/>
      </w:pPr>
      <w:bookmarkStart w:id="22" w:name="_Toc194913397"/>
      <w:bookmarkStart w:id="23" w:name="_Toc195419612"/>
      <w:r w:rsidRPr="00550B77">
        <w:t>Målomr</w:t>
      </w:r>
      <w:r w:rsidRPr="00550B77">
        <w:t>åde 3 – Barns och ungas uppväxtvillkor</w:t>
      </w:r>
      <w:bookmarkEnd w:id="22"/>
      <w:bookmarkEnd w:id="23"/>
    </w:p>
    <w:p w:rsidR="009F61C7" w:rsidRPr="00550B77" w:rsidRDefault="009F61C7">
      <w:pPr>
        <w:shd w:val="clear" w:color="000000" w:fill="auto"/>
      </w:pPr>
      <w:r w:rsidRPr="00550B77">
        <w:t>Miljöpartiet ser det som mycket positivt att regeringen satsar på föräldrastöd under hela uppväxttiden. Men vi saknar förslag på konkreta åtgärder för fö</w:t>
      </w:r>
      <w:r w:rsidRPr="00550B77">
        <w:t>r</w:t>
      </w:r>
      <w:r w:rsidRPr="00550B77">
        <w:t>äldrar och vilket ansvar kommunerna bör ta. Vi anser också att det är positivt att regeringen lyfter frågan om familjecentraler, men även där saknas det förslag på hur fler kan startas och hur stödinsatser för barn och ungdomar kan samordnas bättre. Regeringen skriver att stödinsatser bör samordnas på ett bättre sätt än i dag men hur tänker regeringen medverka till att det blir så? Folkhälsoinstitutet kom 2004 med sin rapport ”Nya verktyg för föräldrar – förslag till nya former av föräldrastöd för föräldra</w:t>
      </w:r>
      <w:r w:rsidRPr="00550B77">
        <w:t>r med barn i olika åldrar”. Rapporten beskriver mycket förtjänstfullt hur situationen ser ut i dag och kommer med en mängd förslag till åtgärder. Detta skriver också regeringen om, men väljer tyvärr att bara till viss del föreslå konkreta åtgärder när det gäller utveckling av föräldrastöd.</w:t>
      </w:r>
    </w:p>
    <w:p w:rsidR="009F61C7" w:rsidRPr="00550B77" w:rsidRDefault="009F61C7">
      <w:pPr>
        <w:pStyle w:val="Normaltindrag"/>
        <w:shd w:val="clear" w:color="000000" w:fill="auto"/>
      </w:pPr>
      <w:r w:rsidRPr="00550B77">
        <w:t xml:space="preserve">Miljöpartiet vill ge föräldrar och barn mer möjlig tid tillsammans som ett sätt att skapa goda och trygga uppväxtvillkor. Därför har vi lagt ett förslag som vi kallar ”Barntid”. Föräldrar med barn upp till tre år som går </w:t>
      </w:r>
      <w:r w:rsidRPr="00550B77">
        <w:t>ned i a</w:t>
      </w:r>
      <w:r w:rsidRPr="00550B77">
        <w:t>r</w:t>
      </w:r>
      <w:r w:rsidRPr="00550B77">
        <w:t xml:space="preserve">betstid till 75 % eller mindre ska få en ekonomisk ersättning för att täcka upp </w:t>
      </w:r>
      <w:r w:rsidRPr="00550B77">
        <w:rPr>
          <w:spacing w:val="-2"/>
        </w:rPr>
        <w:t>en del av den lägre inkomsten. Det ska vara möjligt för båda föräldrar att samt</w:t>
      </w:r>
      <w:r w:rsidRPr="00550B77">
        <w:rPr>
          <w:spacing w:val="-2"/>
        </w:rPr>
        <w:t>i</w:t>
      </w:r>
      <w:r w:rsidRPr="00550B77">
        <w:rPr>
          <w:spacing w:val="-2"/>
        </w:rPr>
        <w:t>digt gå ned i arbetstid med vårt förslag. Detta förslag främjar livskvalitet.</w:t>
      </w:r>
    </w:p>
    <w:p w:rsidR="009F61C7" w:rsidRPr="00550B77" w:rsidRDefault="009F61C7">
      <w:pPr>
        <w:pStyle w:val="Normaltindrag"/>
        <w:shd w:val="clear" w:color="000000" w:fill="auto"/>
      </w:pPr>
      <w:r w:rsidRPr="00550B77">
        <w:t>För att förbättra situationen för barn som har det särskilt svårt vill Milj</w:t>
      </w:r>
      <w:r w:rsidRPr="00550B77">
        <w:t>ö</w:t>
      </w:r>
      <w:r w:rsidRPr="00550B77">
        <w:t>partiet införa lokala barnombud. Enligt barnkonventionen ska barn ha rätt att uttrycka sina åsikter, och deras åsikter ska tillmätas betydelse. Socialtjänsten har i sitt uppdrag att ge barn som är särskilt utsatta hjälp och stöd. Men efte</w:t>
      </w:r>
      <w:r w:rsidRPr="00550B77">
        <w:t>r</w:t>
      </w:r>
      <w:r w:rsidRPr="00550B77">
        <w:t>som det inte alltid fungerar, och eftersom barn kan ha svårt att anförtro sig åt någon som de inte till 100 % är säkra finns på deras sida anser vi att barno</w:t>
      </w:r>
      <w:r w:rsidRPr="00550B77">
        <w:t>m</w:t>
      </w:r>
      <w:r w:rsidRPr="00550B77">
        <w:t>bud är en reform som behöver införas. Det är ytterligt angeläget, inte minst med anledning av den kritik länsstyre</w:t>
      </w:r>
      <w:r w:rsidRPr="00550B77">
        <w:t>lserna riktat mot kommunernas hante</w:t>
      </w:r>
      <w:r w:rsidRPr="00550B77">
        <w:t>r</w:t>
      </w:r>
      <w:r w:rsidRPr="00550B77">
        <w:t>ing av anmälningar och situationen för placerade barn. Barnombuden bör vara en statlig reform med koppling till Barnombudsmannen och regional föran</w:t>
      </w:r>
      <w:r w:rsidRPr="00550B77">
        <w:t>k</w:t>
      </w:r>
      <w:r w:rsidRPr="00550B77">
        <w:t xml:space="preserve">ring via länsstyrelserna. Till barnombuden ska barn kunna vända sig med fullt förtroende, och barnombuden ska också kunna föra deras talan. </w:t>
      </w:r>
    </w:p>
    <w:p w:rsidR="009F61C7" w:rsidRPr="00550B77" w:rsidRDefault="009F61C7">
      <w:pPr>
        <w:pStyle w:val="Rubrik2"/>
        <w:shd w:val="clear" w:color="000000" w:fill="auto"/>
      </w:pPr>
      <w:bookmarkStart w:id="24" w:name="_Toc194913398"/>
      <w:bookmarkStart w:id="25" w:name="_Toc195419613"/>
      <w:r w:rsidRPr="00550B77">
        <w:t>Målområde 4 – Hälsa i arbetslivet</w:t>
      </w:r>
      <w:bookmarkEnd w:id="24"/>
      <w:bookmarkEnd w:id="25"/>
    </w:p>
    <w:p w:rsidR="009F61C7" w:rsidRPr="00550B77" w:rsidRDefault="009F61C7">
      <w:pPr>
        <w:shd w:val="clear" w:color="000000" w:fill="auto"/>
        <w:autoSpaceDE w:val="0"/>
        <w:autoSpaceDN w:val="0"/>
        <w:adjustRightInd w:val="0"/>
        <w:rPr>
          <w:color w:val="000000"/>
        </w:rPr>
      </w:pPr>
      <w:r w:rsidRPr="00550B77">
        <w:rPr>
          <w:color w:val="000000"/>
        </w:rPr>
        <w:t>Regeringens skrivningar inom detta målområde betonar riskminimering. Först i andra hand talas om att utveckla arbetets positiva faktorer. Miljöpartiet vill vända på det perspektivet och i första hand främja det som bevarar och u</w:t>
      </w:r>
      <w:r w:rsidRPr="00550B77">
        <w:rPr>
          <w:color w:val="000000"/>
        </w:rPr>
        <w:t>t</w:t>
      </w:r>
      <w:r w:rsidRPr="00550B77">
        <w:rPr>
          <w:color w:val="000000"/>
        </w:rPr>
        <w:t xml:space="preserve">vecklar hälsa. </w:t>
      </w:r>
    </w:p>
    <w:p w:rsidR="009F61C7" w:rsidRPr="00550B77" w:rsidRDefault="009F61C7">
      <w:pPr>
        <w:pStyle w:val="Normaltindrag"/>
        <w:shd w:val="clear" w:color="000000" w:fill="auto"/>
      </w:pPr>
      <w:r w:rsidRPr="00550B77">
        <w:t>Av alla målområden är ökad hälsa i arbetslivet det som får minst utrymme i propositionen, vilket vi förvånas över. För Miljöpartiet är det angeläget att inte bara skapa förutsättningar för fler arbeten utan också se till arbetets inn</w:t>
      </w:r>
      <w:r w:rsidRPr="00550B77">
        <w:t>e</w:t>
      </w:r>
      <w:r w:rsidRPr="00550B77">
        <w:t>håll så att arbetet t.ex. inte sliter ut ryggar och handleder. Målområdets b</w:t>
      </w:r>
      <w:r w:rsidRPr="00550B77">
        <w:t>e</w:t>
      </w:r>
      <w:r w:rsidRPr="00550B77">
        <w:t>stämningsfaktorer inkluderar arbetsmiljöfaktorer, anställningstrygghet och återhämtning mellan arbetspass. Miljöpartiet anser att det är angeläget att beskriva hur dessa faktorer utvecklas för att styra politiken.</w:t>
      </w:r>
    </w:p>
    <w:p w:rsidR="009F61C7" w:rsidRPr="00550B77" w:rsidRDefault="009F61C7">
      <w:pPr>
        <w:pStyle w:val="Normaltindrag"/>
        <w:shd w:val="clear" w:color="000000" w:fill="auto"/>
      </w:pPr>
      <w:r w:rsidRPr="00550B77">
        <w:t>Regeringens beslut att skära ned kraftigt på Arbetsmiljöverkets anslag och lägga ned Arbetslivsinstitutet rimmar därför illa med regeringens retorik om ökad hälsa i arbetslivet. Miljöpartiet anser att Arbetsmiljöverket g</w:t>
      </w:r>
      <w:r w:rsidRPr="00550B77">
        <w:t>ör ett o</w:t>
      </w:r>
      <w:r w:rsidRPr="00550B77">
        <w:t>m</w:t>
      </w:r>
      <w:r w:rsidRPr="00550B77">
        <w:t>fattande och mycket viktigt inspektionsarbete på arbetsplatserna, ofta i ett klart förebyggande syfte – ett inspektionsarbete som syftar till att tillsammans med företagen få arbetsplatser och arbetsmiljöer som är säkra och inte farliga eller skadliga för arbetstagarna. Med fler människor i arbete borde mer resu</w:t>
      </w:r>
      <w:r w:rsidRPr="00550B77">
        <w:t>r</w:t>
      </w:r>
      <w:r w:rsidRPr="00550B77">
        <w:t>ser ges till Arbetsmiljöverkets systematiska arbetsmiljöarbete. Stöd till det lokala arbetsmiljöarbetet ute på företagen genom företagshälsovård eller mo</w:t>
      </w:r>
      <w:r w:rsidRPr="00550B77">
        <w:t>t</w:t>
      </w:r>
      <w:r w:rsidRPr="00550B77">
        <w:t xml:space="preserve">svarande resurser är också av stor </w:t>
      </w:r>
      <w:r w:rsidRPr="00550B77">
        <w:t xml:space="preserve">betydelse. Miljöpartiet har därför motsatt sig regeringens neddragningar på Arbetsmiljöverket. </w:t>
      </w:r>
    </w:p>
    <w:p w:rsidR="009F61C7" w:rsidRPr="00550B77" w:rsidRDefault="009F61C7">
      <w:pPr>
        <w:pStyle w:val="Normaltindrag"/>
        <w:shd w:val="clear" w:color="000000" w:fill="auto"/>
      </w:pPr>
      <w:r w:rsidRPr="00550B77">
        <w:t>På samma sätt har Miljöpartiet motsatt sig nedläggningen av Arbetslivsi</w:t>
      </w:r>
      <w:r w:rsidRPr="00550B77">
        <w:t>n</w:t>
      </w:r>
      <w:r w:rsidRPr="00550B77">
        <w:t xml:space="preserve">stitutet som fram till 30 juni 2007 var ett nationellt forskningsinstitut och kunskapscentrum för arbetslivsfrågor. Regeringen sade sig ha för avsikt att föra över forskningen till högskolor och universitet men några nya pengar har inte tillförts för att de ska kunna ta över verksamheten. </w:t>
      </w:r>
    </w:p>
    <w:p w:rsidR="009F61C7" w:rsidRPr="00550B77" w:rsidRDefault="009F61C7">
      <w:pPr>
        <w:pStyle w:val="Normaltindrag"/>
        <w:shd w:val="clear" w:color="000000" w:fill="auto"/>
      </w:pPr>
      <w:r w:rsidRPr="00550B77">
        <w:t>Regeringen beskriver i folkhälsopropositionen de ändringar som gjorts för att underlätta och öka företagens incitament att anställa och för att öka flexib</w:t>
      </w:r>
      <w:r w:rsidRPr="00550B77">
        <w:t>i</w:t>
      </w:r>
      <w:r w:rsidRPr="00550B77">
        <w:t>liteten i regelverket, men det saknas en analys av hur det påverkar de anstäl</w:t>
      </w:r>
      <w:r w:rsidRPr="00550B77">
        <w:t>l</w:t>
      </w:r>
      <w:r w:rsidRPr="00550B77">
        <w:t>das hälsa. Utredningen om arbetsmiljölagen som i maj 2006 lämnade delb</w:t>
      </w:r>
      <w:r w:rsidRPr="00550B77">
        <w:t>e</w:t>
      </w:r>
      <w:r w:rsidRPr="00550B77">
        <w:t>tänkande och juni 2007 slutbetänkande har remissbehandlats men bereds fortfarande av regeringen.</w:t>
      </w:r>
    </w:p>
    <w:p w:rsidR="009F61C7" w:rsidRPr="00550B77" w:rsidRDefault="009F61C7">
      <w:pPr>
        <w:pStyle w:val="Normaltindrag"/>
        <w:shd w:val="clear" w:color="000000" w:fill="auto"/>
      </w:pPr>
      <w:r w:rsidRPr="00550B77">
        <w:t>Det är bra att regeringen skriver att ”arbetslivet måste även utformas så att det finns plats för dem som har en begränsning av sin arbetsförmåga”. Men den politik som regeringen genomför med strängare regler i sjukförsäkring och arbetslöshetsförsäkring underlättar</w:t>
      </w:r>
      <w:r w:rsidRPr="00550B77">
        <w:t xml:space="preserve"> inte det. Ett lysande undantag är dock att regeringen givit möjlighet för människor som länge haft sjukersättning att kunna återgå till arbete med bibehållen ersättning. Miljöpartiet anser att u</w:t>
      </w:r>
      <w:r w:rsidRPr="00550B77">
        <w:t>t</w:t>
      </w:r>
      <w:r w:rsidRPr="00550B77">
        <w:t>gångspunkten för målområdet ska vara att kraven i arbetslivet måste balans</w:t>
      </w:r>
      <w:r w:rsidRPr="00550B77">
        <w:t>e</w:t>
      </w:r>
      <w:r w:rsidRPr="00550B77">
        <w:t>ras mot människors möjligheter att kunna fungera och må bra under ett helt arbetsliv. Det handlar alltså både om hälsofrämjande arbetsplatser och häls</w:t>
      </w:r>
      <w:r w:rsidRPr="00550B77">
        <w:t>o</w:t>
      </w:r>
      <w:r w:rsidRPr="00550B77">
        <w:t>främjande arbetsliv.</w:t>
      </w:r>
    </w:p>
    <w:p w:rsidR="009F61C7" w:rsidRPr="00550B77" w:rsidRDefault="009F61C7">
      <w:pPr>
        <w:pStyle w:val="Rubrik2"/>
        <w:shd w:val="clear" w:color="000000" w:fill="auto"/>
      </w:pPr>
      <w:bookmarkStart w:id="26" w:name="_Toc194913399"/>
      <w:bookmarkStart w:id="27" w:name="_Toc195419614"/>
      <w:r w:rsidRPr="00550B77">
        <w:t>Målområde 5 – Miljöer och produkter</w:t>
      </w:r>
      <w:bookmarkEnd w:id="26"/>
      <w:bookmarkEnd w:id="27"/>
    </w:p>
    <w:p w:rsidR="009F61C7" w:rsidRPr="00550B77" w:rsidRDefault="009F61C7">
      <w:pPr>
        <w:shd w:val="clear" w:color="000000" w:fill="auto"/>
      </w:pPr>
      <w:r w:rsidRPr="00550B77">
        <w:t>Sunda och säkra miljöer och produkter var tidigare utgångspunkten för må</w:t>
      </w:r>
      <w:r w:rsidRPr="00550B77">
        <w:t>l</w:t>
      </w:r>
      <w:r w:rsidRPr="00550B77">
        <w:t>området.</w:t>
      </w:r>
    </w:p>
    <w:p w:rsidR="009F61C7" w:rsidRPr="00550B77" w:rsidRDefault="009F61C7">
      <w:pPr>
        <w:pStyle w:val="Normaltindrag"/>
        <w:shd w:val="clear" w:color="000000" w:fill="auto"/>
        <w:rPr>
          <w:color w:val="000000"/>
          <w:szCs w:val="24"/>
        </w:rPr>
      </w:pPr>
      <w:r w:rsidRPr="00550B77">
        <w:t xml:space="preserve">Detta målområde har nära koppling till de nationella miljömålen som flera av dem direkt påverkar bestämningsfaktorerna. Regeringen skriver att ”man </w:t>
      </w:r>
      <w:r w:rsidRPr="00550B77">
        <w:rPr>
          <w:spacing w:val="-2"/>
        </w:rPr>
        <w:t>har för avsikt att återkomma till riksdagen med förslag om en översyn av miljö</w:t>
      </w:r>
      <w:r w:rsidRPr="00550B77">
        <w:rPr>
          <w:spacing w:val="-2"/>
        </w:rPr>
        <w:softHyphen/>
        <w:t xml:space="preserve">målssystemet </w:t>
      </w:r>
      <w:smartTag w:uri="urn:schemas-microsoft-com:office:smarttags" w:element="metricconverter">
        <w:smartTagPr>
          <w:attr w:name="ProductID" w:val="2009”"/>
        </w:smartTagPr>
        <w:r w:rsidRPr="00550B77">
          <w:rPr>
            <w:spacing w:val="-2"/>
          </w:rPr>
          <w:t>2009”</w:t>
        </w:r>
      </w:smartTag>
      <w:r w:rsidRPr="00550B77">
        <w:rPr>
          <w:spacing w:val="-2"/>
        </w:rPr>
        <w:t xml:space="preserve">. Man skriver vidare ”utsläppen av fossila bränslen och den globala uppvärmningen utgör redan idag hälsohot i delar av världen </w:t>
      </w:r>
      <w:r w:rsidRPr="00550B77">
        <w:t>…”. Men det är ett faktum i alla länder och kommer att påverka även Sverige med u</w:t>
      </w:r>
      <w:r w:rsidRPr="00550B77">
        <w:t>t</w:t>
      </w:r>
      <w:r w:rsidRPr="00550B77">
        <w:t>bredning av nya sjukdomar.  Det är högst anmärkningsvärt att regeringen inte tar upp kopplingen av klimat och hälsa (se vidare avsnittet Kopplingar mellan folkhälsopolitik och klimathot)</w:t>
      </w:r>
      <w:r w:rsidRPr="00550B77">
        <w:rPr>
          <w:szCs w:val="24"/>
        </w:rPr>
        <w:t>.</w:t>
      </w:r>
    </w:p>
    <w:p w:rsidR="009F61C7" w:rsidRPr="00550B77" w:rsidRDefault="009F61C7">
      <w:pPr>
        <w:pStyle w:val="Rubrik3"/>
        <w:shd w:val="clear" w:color="000000" w:fill="auto"/>
      </w:pPr>
      <w:bookmarkStart w:id="28" w:name="_Toc194913400"/>
      <w:bookmarkStart w:id="29" w:name="_Toc195419615"/>
      <w:r w:rsidRPr="00550B77">
        <w:t>Folkhälsa och milj</w:t>
      </w:r>
      <w:r w:rsidRPr="00550B77">
        <w:t>ömål</w:t>
      </w:r>
      <w:bookmarkEnd w:id="28"/>
      <w:bookmarkEnd w:id="29"/>
      <w:r w:rsidRPr="00550B77">
        <w:t xml:space="preserve"> </w:t>
      </w:r>
    </w:p>
    <w:p w:rsidR="009F61C7" w:rsidRPr="00550B77" w:rsidRDefault="009F61C7">
      <w:pPr>
        <w:shd w:val="clear" w:color="000000" w:fill="auto"/>
      </w:pPr>
      <w:r w:rsidRPr="00550B77">
        <w:t>Det finns en stark koppling mellan folkhälsa och miljö. Betydligt starkare skrivningar hade behövs på ett område som ger grundläggande förutsättningar för folkhälsan. Regeringen säger visserligen att man har för avsikt att åte</w:t>
      </w:r>
      <w:r w:rsidRPr="00550B77">
        <w:t>r</w:t>
      </w:r>
      <w:r w:rsidRPr="00550B77">
        <w:t xml:space="preserve">komma till riksdagen med förslag om en översyn av miljömålssystemet under 2009. På vilket sätt det förslaget kommer att se ut återstår att se. Miljöpartiet menar att målen för folkhälsopolitiken och miljömålen måste ses som två sidor av samma mynt. Folkhälsoaspekterna kopplade till miljömålen behöver beskrivas tydligare. Socialstyrelsen har i rapporten ”Hälsofrågor, en självklar del av miljöarbetet” också kommit till samma slutsatser. </w:t>
      </w:r>
    </w:p>
    <w:p w:rsidR="009F61C7" w:rsidRPr="00550B77" w:rsidRDefault="009F61C7">
      <w:pPr>
        <w:pStyle w:val="Normaltindrag"/>
        <w:shd w:val="clear" w:color="000000" w:fill="auto"/>
      </w:pPr>
      <w:r w:rsidRPr="00550B77">
        <w:t>Av folkhälsoskäl måste det bli tydligare vilka handlingsmöjligheter som</w:t>
      </w:r>
      <w:r w:rsidRPr="00550B77">
        <w:t xml:space="preserve"> finns och var ansvarsfrågan ligger när miljömålen inte nås. Enskilda männ</w:t>
      </w:r>
      <w:r w:rsidRPr="00550B77">
        <w:t>i</w:t>
      </w:r>
      <w:r w:rsidRPr="00550B77">
        <w:t>skor är beroende av att politiker tar sitt ansvar på detta viktiga område. Mä</w:t>
      </w:r>
      <w:r w:rsidRPr="00550B77">
        <w:t>n</w:t>
      </w:r>
      <w:r w:rsidRPr="00550B77">
        <w:t>niskor kan demonstrera eller hänga färgade lakan från fönstren, men utan ansvarsfulla politiker händer föga för att t.ex. ändra luftförhållanden i hårt trafikerade områden där människor bor och lever. Människor behöver veta hur riktvärdena ser ut och att de bygger på tillgänglig forskning, hur grän</w:t>
      </w:r>
      <w:r w:rsidRPr="00550B77">
        <w:t>s</w:t>
      </w:r>
      <w:r w:rsidRPr="00550B77">
        <w:t>värden mäts, vilka gränsvärden som inte får överträdas, vad</w:t>
      </w:r>
      <w:r w:rsidRPr="00550B77">
        <w:t xml:space="preserve"> som händer i så fall och vem som är ansvarig och hur den ansvarige ska kunna ställas till svars. Det handlar om ytterst viktiga villkor i människors liv som de själva har mycket liten makt att påverka.</w:t>
      </w:r>
    </w:p>
    <w:p w:rsidR="009F61C7" w:rsidRPr="00550B77" w:rsidRDefault="009F61C7">
      <w:pPr>
        <w:pStyle w:val="Rubrik3"/>
        <w:shd w:val="clear" w:color="000000" w:fill="auto"/>
      </w:pPr>
      <w:bookmarkStart w:id="30" w:name="_Toc194913401"/>
      <w:bookmarkStart w:id="31" w:name="_Toc195419616"/>
      <w:r w:rsidRPr="00550B77">
        <w:t>Kemikalier</w:t>
      </w:r>
      <w:bookmarkEnd w:id="30"/>
      <w:bookmarkEnd w:id="31"/>
    </w:p>
    <w:p w:rsidR="009F61C7" w:rsidRPr="00550B77" w:rsidRDefault="009F61C7">
      <w:pPr>
        <w:shd w:val="clear" w:color="000000" w:fill="auto"/>
      </w:pPr>
      <w:r w:rsidRPr="00550B77">
        <w:t>Regeringen skriver om farliga ämnen men nämner inte att EU:s nya kemik</w:t>
      </w:r>
      <w:r w:rsidRPr="00550B77">
        <w:t>a</w:t>
      </w:r>
      <w:r w:rsidRPr="00550B77">
        <w:t>lielag</w:t>
      </w:r>
      <w:r w:rsidRPr="00550B77">
        <w:softHyphen/>
        <w:t xml:space="preserve">stiftning (Reach) nu är klar och ska implementeras i Sverige. Ej heller föreslås några insatser. </w:t>
      </w:r>
    </w:p>
    <w:p w:rsidR="009F61C7" w:rsidRPr="00550B77" w:rsidRDefault="009F61C7">
      <w:pPr>
        <w:pStyle w:val="Normaltindrag"/>
        <w:shd w:val="clear" w:color="000000" w:fill="auto"/>
      </w:pPr>
      <w:r w:rsidRPr="00550B77">
        <w:t>Miljöpartiet har påtalat problemen med kemikaliseringen av vår vardag</w:t>
      </w:r>
      <w:r w:rsidRPr="00550B77">
        <w:t>s</w:t>
      </w:r>
      <w:r w:rsidRPr="00550B77">
        <w:t>miljö kopplat till folkhälsan i motionen ”Kemikalieexponeringens konsekve</w:t>
      </w:r>
      <w:r w:rsidRPr="00550B77">
        <w:t>n</w:t>
      </w:r>
      <w:r w:rsidRPr="00550B77">
        <w:t xml:space="preserve">ser för folkhälsan </w:t>
      </w:r>
      <w:r w:rsidRPr="00550B77">
        <w:rPr>
          <w:bCs/>
        </w:rPr>
        <w:t>2005/06:MJ592</w:t>
      </w:r>
      <w:r w:rsidRPr="00550B77">
        <w:t xml:space="preserve">”. </w:t>
      </w:r>
    </w:p>
    <w:p w:rsidR="009F61C7" w:rsidRPr="00550B77" w:rsidRDefault="009F61C7">
      <w:pPr>
        <w:pStyle w:val="Normaltindrag"/>
        <w:shd w:val="clear" w:color="000000" w:fill="auto"/>
      </w:pPr>
      <w:r w:rsidRPr="00550B77">
        <w:t>Många forskare menar att många hälsoproblem på befolkningsnivå är kopplade till den nya kemiska förorening som skapats genom spridning av naturfrämmande ämnen men det är i det närmaste omöjligt att veta vilka ä</w:t>
      </w:r>
      <w:r w:rsidRPr="00550B77">
        <w:t>m</w:t>
      </w:r>
      <w:r w:rsidRPr="00550B77">
        <w:t>nen och vilka symtom det handlar om på grund av alla faktorer som inverkar. Bland annat på grund av alla dessa osäkerhetsfaktorer finns det ett stort behov av ökad kunskap om kopplingen mellan folkhälsan och den alltmer föroren</w:t>
      </w:r>
      <w:r w:rsidRPr="00550B77">
        <w:t>a</w:t>
      </w:r>
      <w:r w:rsidRPr="00550B77">
        <w:t>de vardag de flesta av oss människor lever i.</w:t>
      </w:r>
    </w:p>
    <w:p w:rsidR="009F61C7" w:rsidRPr="00550B77" w:rsidRDefault="009F61C7">
      <w:pPr>
        <w:pStyle w:val="Rubrik3"/>
        <w:shd w:val="clear" w:color="000000" w:fill="auto"/>
      </w:pPr>
      <w:bookmarkStart w:id="32" w:name="_Toc194913402"/>
      <w:bookmarkStart w:id="33" w:name="_Toc195419617"/>
      <w:r w:rsidRPr="00550B77">
        <w:t>Gröna miljöer</w:t>
      </w:r>
      <w:bookmarkEnd w:id="32"/>
      <w:bookmarkEnd w:id="33"/>
    </w:p>
    <w:p w:rsidR="009F61C7" w:rsidRPr="00550B77" w:rsidRDefault="009F61C7">
      <w:pPr>
        <w:shd w:val="clear" w:color="000000" w:fill="auto"/>
      </w:pPr>
      <w:r w:rsidRPr="00550B77">
        <w:t>Vår omgivande miljö är av stor betydelse för folkhälsan. Gröna miljöer har stor betydelse, både för människors välbefinnande och även som lunga åt städer. Grönskan renar luften från stoft och avgaser, dämpar buller och påve</w:t>
      </w:r>
      <w:r w:rsidRPr="00550B77">
        <w:t>r</w:t>
      </w:r>
      <w:r w:rsidRPr="00550B77">
        <w:t>kar även stadens klimat positivt genom att grönskan dämpar vindar, höjer luftfuktigheten och utjämnar temperaturskillnader. Vi ser det därför som vi</w:t>
      </w:r>
      <w:r w:rsidRPr="00550B77">
        <w:t>k</w:t>
      </w:r>
      <w:r w:rsidRPr="00550B77">
        <w:t>tigt att kommunerna kartlägger och inventerar sina grönområden. Målet bör vara att öka medborgarnas kunskaper om gröna miljöers betydelse och dä</w:t>
      </w:r>
      <w:r w:rsidRPr="00550B77">
        <w:t>r</w:t>
      </w:r>
      <w:r w:rsidRPr="00550B77">
        <w:t>med öka förståelsen för den kommunala kostnaden samt, sist men inte minst, öka användningen av de gröna miljöerna. Att gröna miljöer inte tas upp i folkhälsopropositionen är en brist.</w:t>
      </w:r>
    </w:p>
    <w:p w:rsidR="009F61C7" w:rsidRPr="00550B77" w:rsidRDefault="009F61C7">
      <w:pPr>
        <w:pStyle w:val="Rubrik3"/>
        <w:shd w:val="clear" w:color="000000" w:fill="auto"/>
      </w:pPr>
      <w:bookmarkStart w:id="34" w:name="_Toc194913403"/>
      <w:bookmarkStart w:id="35" w:name="_Toc195419618"/>
      <w:r w:rsidRPr="00550B77">
        <w:t>Ren luft</w:t>
      </w:r>
      <w:bookmarkEnd w:id="34"/>
      <w:bookmarkEnd w:id="35"/>
    </w:p>
    <w:p w:rsidR="009F61C7" w:rsidRPr="00550B77" w:rsidRDefault="009F61C7">
      <w:pPr>
        <w:shd w:val="clear" w:color="000000" w:fill="auto"/>
      </w:pPr>
      <w:r w:rsidRPr="00550B77">
        <w:t>Luftföroreningar skadar barns lungor för livet och förkortar i dag våra liv lika mycket som trafikolyckor. Nedsatt lungkapacitet är en riskfaktor som ökar dödligheten i både lungsjukdomar och hjärt-kärlsjukdomar. Partiklar i luften har störst negativ effekt och orsakar så mycket som 5 000 förtida dödsfall årligen och marknära ozon som orsakar ca 2 000 dödsfall per år. Till det kommer ökad dödlighet i cancersjukdomar som uppskattas till flera hundra i Sverige per år (regeringens skrivelse 2005/06:205). Över</w:t>
      </w:r>
      <w:r w:rsidRPr="00550B77">
        <w:t>exponering av kv</w:t>
      </w:r>
      <w:r w:rsidRPr="00550B77">
        <w:t>ä</w:t>
      </w:r>
      <w:r w:rsidRPr="00550B77">
        <w:t>vedioxid beräknas enligt IVL, Institutet för vatten- och luftvårdsforskning, leda till nästan 3 000 dödsfall per år (uppgifterna av de olika studierna kan dock inte adderas, då beräkningsmetoderna skiljer sig åt). Sambanden är s</w:t>
      </w:r>
      <w:r w:rsidRPr="00550B77">
        <w:t>å</w:t>
      </w:r>
      <w:r w:rsidRPr="00550B77">
        <w:t xml:space="preserve">dana att varje åtgärd som minskar antalet partiklar i luften påverkar vår hälsa. Biltrafiken är huvudkällan till dessa skadliga ämnen, och det är därför viktigt med bättre reningsmetoder, miljövänligare drivmedel och bättre motorer. Nollutsläpp ska eftersträvas. Vi </w:t>
      </w:r>
      <w:r w:rsidRPr="00550B77">
        <w:t>arbetar för att minska bilberoendet och dä</w:t>
      </w:r>
      <w:r w:rsidRPr="00550B77">
        <w:t>r</w:t>
      </w:r>
      <w:r w:rsidRPr="00550B77">
        <w:t>med användningen av bil. Samtidigt vill vi öka satsningar på kollektivtraf</w:t>
      </w:r>
      <w:r w:rsidRPr="00550B77">
        <w:t>i</w:t>
      </w:r>
      <w:r w:rsidRPr="00550B77">
        <w:t>ken. För att utsläppen ska minska är det viktigt att människor uppmuntras att utnyttja kollektiva färdmedel, till samåkning och till att gå och cykla i större utsträckning än i dag. Försöket med trängselavgifter i Stockholm har varit ett viktigt steg i den riktningen och ledde till förbättrad stadsluft och minskade beräknade dödsfall med 30 dödsfall per år. Fler initiativ i den riktningen är</w:t>
      </w:r>
      <w:r w:rsidRPr="00550B77">
        <w:t xml:space="preserve"> nödvändiga. Regeringen har en rubrik ”Insatser inom väg och trafik” men där föreslås åtgärder med utgångspunkt på trafiksäkerhet. Det är visserligen är lovvärt men där borde också insatser mot luftföroreningar tagits upp.</w:t>
      </w:r>
    </w:p>
    <w:p w:rsidR="009F61C7" w:rsidRPr="00550B77" w:rsidRDefault="009F61C7">
      <w:pPr>
        <w:pStyle w:val="Normaltindrag"/>
        <w:shd w:val="clear" w:color="000000" w:fill="auto"/>
        <w:rPr>
          <w:color w:val="000000"/>
          <w:szCs w:val="19"/>
        </w:rPr>
      </w:pPr>
      <w:r w:rsidRPr="00550B77">
        <w:t>Det är bra att regeringen lyfter frågan om inomhusmiljö och ger Boverket i uppdrag ”att ta fram bl.a. underlag om byggnaders tekniska utformning som medger att vissa befintliga delmål till miljökvalitetsmålet God bebyggd miljö kan följas upp och eventuellt ändras. Vidare ska underlaget ge</w:t>
      </w:r>
      <w:r w:rsidRPr="00550B77">
        <w:t xml:space="preserve"> möjlighet att formulera nya delmål t.ex. beträffande fukt, mögel och buller samt belysa eventuella brister i inomhusmiljön och upplevd ohälsa.”</w:t>
      </w:r>
    </w:p>
    <w:p w:rsidR="009F61C7" w:rsidRPr="00550B77" w:rsidRDefault="009F61C7">
      <w:pPr>
        <w:pStyle w:val="Rubrik3"/>
        <w:shd w:val="clear" w:color="000000" w:fill="auto"/>
      </w:pPr>
      <w:bookmarkStart w:id="36" w:name="_Toc194913404"/>
      <w:bookmarkStart w:id="37" w:name="_Toc195419619"/>
      <w:r w:rsidRPr="00550B77">
        <w:t>Buller</w:t>
      </w:r>
      <w:bookmarkEnd w:id="36"/>
      <w:bookmarkEnd w:id="37"/>
    </w:p>
    <w:p w:rsidR="009F61C7" w:rsidRPr="00550B77" w:rsidRDefault="009F61C7">
      <w:pPr>
        <w:shd w:val="clear" w:color="000000" w:fill="auto"/>
      </w:pPr>
      <w:r w:rsidRPr="00550B77">
        <w:t>Att ständigt utsättas för ljud och oljud framkallar stress. Regeringen beskriver problemet och säger sig vilja prioritera frågan men har inte med några förslag på insatser.</w:t>
      </w:r>
    </w:p>
    <w:p w:rsidR="009F61C7" w:rsidRPr="00550B77" w:rsidRDefault="009F61C7">
      <w:pPr>
        <w:pStyle w:val="Normaltindrag"/>
        <w:shd w:val="clear" w:color="000000" w:fill="auto"/>
      </w:pPr>
      <w:r w:rsidRPr="00550B77">
        <w:t>Miljöpartiet anser att problemen med buller ska ha hög prioritet i folkhä</w:t>
      </w:r>
      <w:r w:rsidRPr="00550B77">
        <w:t>l</w:t>
      </w:r>
      <w:r w:rsidRPr="00550B77">
        <w:t>soarbetet. Därför bör regeringen ge lämpliga myndigheter i uppdrag att lämna förslag på åtgärder. De bör även inventera vilka åtgärder kommunerna vidt</w:t>
      </w:r>
      <w:r w:rsidRPr="00550B77">
        <w:t>a</w:t>
      </w:r>
      <w:r w:rsidRPr="00550B77">
        <w:t xml:space="preserve">git för att minska bullret i respektive kommun. </w:t>
      </w:r>
    </w:p>
    <w:p w:rsidR="009F61C7" w:rsidRPr="00550B77" w:rsidRDefault="009F61C7">
      <w:pPr>
        <w:pStyle w:val="Normaltindrag"/>
        <w:shd w:val="clear" w:color="000000" w:fill="auto"/>
      </w:pPr>
      <w:r w:rsidRPr="00550B77">
        <w:t>Vi vill se mer forskning kring dels buller och dess påverkan på människors hälsa, dels kring hur bullret från trafiken kan minska. Möjligheten att införa generella föreskrifter för att begränsa ljudnivåer i offentliga lokaler, i linje med miljöbalkens intentioner, bör utredas. Vi anser att en nationell lag med</w:t>
      </w:r>
      <w:r w:rsidRPr="00550B77">
        <w:t xml:space="preserve"> fastställda gränsvärden för ljudnivåer i offentliga lokaler bör införas. Bulle</w:t>
      </w:r>
      <w:r w:rsidRPr="00550B77">
        <w:t>r</w:t>
      </w:r>
      <w:r w:rsidRPr="00550B77">
        <w:t>fria rekreationsområden behövs, i exempelvis fjäll- och skärgårdsmiljöer, med strängare regler för motorbåtar, snöskotrar och annat som annars förorenar tystnaden.</w:t>
      </w:r>
    </w:p>
    <w:p w:rsidR="009F61C7" w:rsidRPr="00550B77" w:rsidRDefault="009F61C7">
      <w:pPr>
        <w:pStyle w:val="Rubrik3"/>
        <w:shd w:val="clear" w:color="000000" w:fill="auto"/>
      </w:pPr>
      <w:bookmarkStart w:id="38" w:name="_Toc194913405"/>
      <w:bookmarkStart w:id="39" w:name="_Toc195419620"/>
      <w:r w:rsidRPr="00550B77">
        <w:t>Mobilstrålning</w:t>
      </w:r>
      <w:bookmarkEnd w:id="38"/>
      <w:bookmarkEnd w:id="39"/>
    </w:p>
    <w:p w:rsidR="009F61C7" w:rsidRPr="00550B77" w:rsidRDefault="009F61C7">
      <w:pPr>
        <w:shd w:val="clear" w:color="000000" w:fill="auto"/>
      </w:pPr>
      <w:r w:rsidRPr="00550B77">
        <w:t>Miljöpartiet har länge krävt en mer aktiv roll från samhället när det gäller mobil</w:t>
      </w:r>
      <w:r w:rsidRPr="00550B77">
        <w:softHyphen/>
        <w:t>telefoner och strålning. Det är uppenbart att tillverkarna inte tagit al</w:t>
      </w:r>
      <w:r w:rsidRPr="00550B77">
        <w:t>l</w:t>
      </w:r>
      <w:r w:rsidRPr="00550B77">
        <w:t>mänhetens oro på tillräckligt stort allvar – bolagen borde informera bättre. Statens strålskyddsinstitut skulle kunna ta fram en egen aktuell förteckning, precis som deras tyska motsvarighet har gjort. Konsumentverket skulle kunna kräva att uppgift om strålning finns i bolagens marknadsföring. En miljö- och konsumentmärkning skulle tala om för alla köpare och inköpare att telefone</w:t>
      </w:r>
      <w:r w:rsidRPr="00550B77">
        <w:t>r</w:t>
      </w:r>
      <w:r w:rsidRPr="00550B77">
        <w:t>na uppfyller vissa grundkrav. Vi anser också att state</w:t>
      </w:r>
      <w:r w:rsidRPr="00550B77">
        <w:t>n skulle kunna använda sin makt som stor upphandlare för att stödja en sådan märkning. Det är en brist att regeringen inte har med förslag som främjar konsumenternas valmö</w:t>
      </w:r>
      <w:r w:rsidRPr="00550B77">
        <w:t>j</w:t>
      </w:r>
      <w:r w:rsidRPr="00550B77">
        <w:t>ligheter.</w:t>
      </w:r>
    </w:p>
    <w:p w:rsidR="009F61C7" w:rsidRPr="00550B77" w:rsidRDefault="009F61C7">
      <w:pPr>
        <w:pStyle w:val="Rubrik3"/>
        <w:shd w:val="clear" w:color="000000" w:fill="auto"/>
      </w:pPr>
      <w:bookmarkStart w:id="40" w:name="_Toc194913406"/>
      <w:bookmarkStart w:id="41" w:name="_Toc195419621"/>
      <w:r w:rsidRPr="00550B77">
        <w:t>Elöverkänslighet</w:t>
      </w:r>
      <w:bookmarkEnd w:id="40"/>
      <w:bookmarkEnd w:id="41"/>
    </w:p>
    <w:p w:rsidR="009F61C7" w:rsidRPr="00550B77" w:rsidRDefault="009F61C7">
      <w:pPr>
        <w:shd w:val="clear" w:color="000000" w:fill="auto"/>
      </w:pPr>
      <w:r w:rsidRPr="00550B77">
        <w:t>Forskningen kan i dag inte peka på några säkra samband mellan exponering för el och de allergiska symtom som finns. Att en del människor tydligt up</w:t>
      </w:r>
      <w:r w:rsidRPr="00550B77">
        <w:t>p</w:t>
      </w:r>
      <w:r w:rsidRPr="00550B77">
        <w:t>lever dessa samband gör dock att samhället måste ta problemen på allvar. Många människor vittnar om att de möter oförstående och misstänksamhet när de berättar om sina symtom, trots att elöverkänslighet är klassat som ett funktions</w:t>
      </w:r>
      <w:r w:rsidRPr="00550B77">
        <w:softHyphen/>
        <w:t>hinder. Många gånger är elöverkänsliga även känsliga för kemikal</w:t>
      </w:r>
      <w:r w:rsidRPr="00550B77">
        <w:t>i</w:t>
      </w:r>
      <w:r w:rsidRPr="00550B77">
        <w:t>er, ljud och ljus. Människor som drabbas måste få adekvat hjälp, t.ex. b</w:t>
      </w:r>
      <w:r w:rsidRPr="00550B77">
        <w:t>o</w:t>
      </w:r>
      <w:r w:rsidRPr="00550B77">
        <w:t>stadsanpassningsbidrag till elsanering för att klara sitt boende.</w:t>
      </w:r>
    </w:p>
    <w:p w:rsidR="009F61C7" w:rsidRPr="00550B77" w:rsidRDefault="009F61C7">
      <w:pPr>
        <w:pStyle w:val="Normaltindrag"/>
        <w:shd w:val="clear" w:color="000000" w:fill="auto"/>
      </w:pPr>
      <w:r w:rsidRPr="00550B77">
        <w:t>Miljöpartiet ser det som betydelsefullt att varje kommun reserverar omr</w:t>
      </w:r>
      <w:r w:rsidRPr="00550B77">
        <w:t>å</w:t>
      </w:r>
      <w:r w:rsidRPr="00550B77">
        <w:t>den i översikts- och detaljplaner som är lågstrålande. I dag finns emellertid inget lagrum som tydligt ger kommunerna mandat att peka ut lågstrålande zoner. Lagstiftningen måste ändras så att kommuner kan reservera områden som är lågstrålande i översikts- och detaljplaner. Riksdagen bör begära att regeringen återkommer med förslag till ändringar i lagstiftningen som gör detta möjligt.</w:t>
      </w:r>
    </w:p>
    <w:p w:rsidR="009F61C7" w:rsidRPr="00550B77" w:rsidRDefault="009F61C7">
      <w:pPr>
        <w:pStyle w:val="Normaltindrag"/>
        <w:shd w:val="clear" w:color="000000" w:fill="auto"/>
      </w:pPr>
      <w:r w:rsidRPr="00550B77">
        <w:t>Vi menar också att det är angeläget med ökade forskningsinsatser kring e</w:t>
      </w:r>
      <w:r w:rsidRPr="00550B77">
        <w:t>l</w:t>
      </w:r>
      <w:r w:rsidRPr="00550B77">
        <w:t>över</w:t>
      </w:r>
      <w:r w:rsidRPr="00550B77">
        <w:softHyphen/>
        <w:t>känslighet. Miljöpartiet anser att regeringen bör samla in kunskaper för att utröna hur elöverkänsligas behov tillgodoses i dag.</w:t>
      </w:r>
    </w:p>
    <w:p w:rsidR="009F61C7" w:rsidRPr="00550B77" w:rsidRDefault="009F61C7">
      <w:pPr>
        <w:pStyle w:val="Rubrik3"/>
        <w:shd w:val="clear" w:color="000000" w:fill="auto"/>
      </w:pPr>
      <w:bookmarkStart w:id="42" w:name="_Toc194913407"/>
      <w:bookmarkStart w:id="43" w:name="_Toc195419622"/>
      <w:r w:rsidRPr="00550B77">
        <w:t>Trafiksäkerhet</w:t>
      </w:r>
      <w:bookmarkEnd w:id="42"/>
      <w:bookmarkEnd w:id="43"/>
    </w:p>
    <w:p w:rsidR="009F61C7" w:rsidRPr="00550B77" w:rsidRDefault="009F61C7">
      <w:pPr>
        <w:shd w:val="clear" w:color="000000" w:fill="auto"/>
      </w:pPr>
      <w:r w:rsidRPr="00550B77">
        <w:t>Regeringen tar upp att man arbetat med en alkolåsstrategi för att öka använ</w:t>
      </w:r>
      <w:r w:rsidRPr="00550B77">
        <w:t>d</w:t>
      </w:r>
      <w:r w:rsidRPr="00550B77">
        <w:t>ningen stegvis.</w:t>
      </w:r>
    </w:p>
    <w:p w:rsidR="009F61C7" w:rsidRPr="00550B77" w:rsidRDefault="009F61C7">
      <w:pPr>
        <w:pStyle w:val="Normaltindrag"/>
        <w:shd w:val="clear" w:color="000000" w:fill="auto"/>
      </w:pPr>
      <w:r w:rsidRPr="00550B77">
        <w:t>Maria Larsson (kd) sade följande på folknykterhetens dag den 26 maj 2006: ”Sedan 1998 har antalet rattfylleribrott fördubblats. Vi vet att en tredj</w:t>
      </w:r>
      <w:r w:rsidRPr="00550B77">
        <w:t>e</w:t>
      </w:r>
      <w:r w:rsidRPr="00550B77">
        <w:t xml:space="preserve">del av alla dödsolyckor är alkoholrelaterade. Vid olyckor med dödlig utgång eller svåra personskador har antalet rattfyllerimisstänkta förare ökat med nästan 50 procent under de senaste fem åren. Mot bakgrund av dessa siffror är vi politiker moraliskt förpliktade att agera. Avstår vi, blir vårt budskap att vi inte bryr oss om alla de människor som dör och skadas i trafiken på grund av alkohol. Vi kristdemokrater vill att alkolås ska bli obligatoriskt i alla bilar senast </w:t>
      </w:r>
      <w:smartTag w:uri="urn:schemas-microsoft-com:office:smarttags" w:element="metricconverter">
        <w:smartTagPr>
          <w:attr w:name="ProductID" w:val="2010.”"/>
        </w:smartTagPr>
        <w:r w:rsidRPr="00550B77">
          <w:t>2010.”</w:t>
        </w:r>
      </w:smartTag>
      <w:r w:rsidRPr="00550B77">
        <w:t xml:space="preserve"> Miljöpartiet delar till fullo</w:t>
      </w:r>
      <w:r w:rsidRPr="00550B77">
        <w:t xml:space="preserve"> det som Maria Larsson sade då. Inför valet 2006 förklarade sex av de sju riksdagspartierna att de var för en lagstif</w:t>
      </w:r>
      <w:r w:rsidRPr="00550B77">
        <w:t>t</w:t>
      </w:r>
      <w:r w:rsidRPr="00550B77">
        <w:t>ning om att alkolås skulle finnas i alla nya personbilar, lastbilar och bussar. Frågan om införande av alkolås är utredd. Alkolås – nyckel till nollvisionen (SOU 2005:72) och Öppna möjligheter med alkolås (SOU 2006:72) är r</w:t>
      </w:r>
      <w:r w:rsidRPr="00550B77">
        <w:t>e</w:t>
      </w:r>
      <w:r w:rsidRPr="00550B77">
        <w:t>missbehandlade sedan länge. I utredningarna finns förslag</w:t>
      </w:r>
      <w:r w:rsidRPr="00550B77">
        <w:rPr>
          <w:color w:val="000000"/>
          <w:szCs w:val="19"/>
        </w:rPr>
        <w:t xml:space="preserve"> </w:t>
      </w:r>
      <w:r w:rsidRPr="00550B77">
        <w:t>på EU-strategi, lagtexter och annat som behövs för att gå från ord till handling. Vägverket och andra remissinst</w:t>
      </w:r>
      <w:r w:rsidRPr="00550B77">
        <w:t>anser var positiva. Ändå finns den insatsen varken med i denna proposition eller i den propositionsförteckning regeringen har lämnat till riksdagen.</w:t>
      </w:r>
    </w:p>
    <w:p w:rsidR="009F61C7" w:rsidRPr="00550B77" w:rsidRDefault="009F61C7">
      <w:pPr>
        <w:pStyle w:val="Rubrik3"/>
        <w:shd w:val="clear" w:color="000000" w:fill="auto"/>
      </w:pPr>
      <w:bookmarkStart w:id="44" w:name="_Toc194913408"/>
      <w:bookmarkStart w:id="45" w:name="_Toc195419623"/>
      <w:r w:rsidRPr="00550B77">
        <w:t>Klimathot och koppling till folkhälsa</w:t>
      </w:r>
      <w:bookmarkEnd w:id="44"/>
      <w:bookmarkEnd w:id="45"/>
    </w:p>
    <w:p w:rsidR="009F61C7" w:rsidRPr="00550B77" w:rsidRDefault="009F61C7">
      <w:pPr>
        <w:shd w:val="clear" w:color="000000" w:fill="auto"/>
      </w:pPr>
      <w:r w:rsidRPr="00550B77">
        <w:t>I de politiska inledningstexterna skrivs visserligen att folkhälsoarbetet är en global angelägenhet, men texten inskränker sig till att huvudsakligen handla om sjukdomar, smittospridning, tobaks- och alkoholbruk. Det överhängande klimathot som grundar sig i koldioxidutsläppen och som hela världen numer är medveten om kan vända allas våra livsförutsättningar drastiskt berörs bara med en mening under målområde 5 Miljöer och produkter. Detta trots att FN i sina rapporter tydligt har visat på hälsokonsekvenser</w:t>
      </w:r>
      <w:r w:rsidRPr="00550B77">
        <w:t xml:space="preserve"> som får betydelse för folkhälsan. </w:t>
      </w:r>
    </w:p>
    <w:p w:rsidR="009F61C7" w:rsidRPr="00550B77" w:rsidRDefault="009F61C7">
      <w:pPr>
        <w:pStyle w:val="Normaltindrag"/>
        <w:shd w:val="clear" w:color="000000" w:fill="auto"/>
      </w:pPr>
      <w:r w:rsidRPr="00550B77">
        <w:t>En seriös analys av folkhälsokonsekvenser hade behövts utifrån olika scenarier, men framför allt resonemang om de politiska förändringar som behöver göras, och hur man kan se på dessa ur ett folkhälsoperspektiv. Bere</w:t>
      </w:r>
      <w:r w:rsidRPr="00550B77">
        <w:t>d</w:t>
      </w:r>
      <w:r w:rsidRPr="00550B77">
        <w:t xml:space="preserve">skap för att möta klimatförändringarnas påverkan på hälsan måste finnas även i Sverige. </w:t>
      </w:r>
    </w:p>
    <w:p w:rsidR="009F61C7" w:rsidRPr="00550B77" w:rsidRDefault="009F61C7">
      <w:pPr>
        <w:pStyle w:val="Normaltindrag"/>
        <w:shd w:val="clear" w:color="000000" w:fill="auto"/>
        <w:rPr>
          <w:color w:val="000000"/>
          <w:szCs w:val="19"/>
        </w:rPr>
      </w:pPr>
      <w:r w:rsidRPr="00550B77">
        <w:t>Man kan säga att klimatförändringarna kan påverka hälsosituationen på tre principiellt olika sätt. För det första genom att påverka hur människor direkt exponeras för risker som värmeböljor, stormar och andra extremhändelser, för det andra genom indirekta klimateffekter såsom förändrad smittspridning, vattenkvalitet, luftförorenings</w:t>
      </w:r>
      <w:r w:rsidRPr="00550B77">
        <w:softHyphen/>
        <w:t>halter m.m. För det tredje kan sociala och ek</w:t>
      </w:r>
      <w:r w:rsidRPr="00550B77">
        <w:t>o</w:t>
      </w:r>
      <w:r w:rsidRPr="00550B77">
        <w:t>nomiska effekter av klimatförändringen på andra håll i världen leda till nya svältkatastrofer eller befolkningsomflyttningar, vilka kan få följdverkningar även långt från katastrofområdena. Climatools, ett tvärveten</w:t>
      </w:r>
      <w:r w:rsidRPr="00550B77">
        <w:softHyphen/>
        <w:t>skapligt fors</w:t>
      </w:r>
      <w:r w:rsidRPr="00550B77">
        <w:t>k</w:t>
      </w:r>
      <w:r w:rsidRPr="00550B77">
        <w:t>ningssamarbete mellan Totalförsvarets forskningsinstitut, FOI, KTH, Uppsala universitet och Umeå universitet, har tagit fram en kunskapsöversikt om hä</w:t>
      </w:r>
      <w:r w:rsidRPr="00550B77">
        <w:t>l</w:t>
      </w:r>
      <w:r w:rsidRPr="00550B77">
        <w:t xml:space="preserve">sopåverkan av ett varmare klimat som på en rad sätt har bäring på folkhälsan. </w:t>
      </w:r>
    </w:p>
    <w:p w:rsidR="009F61C7" w:rsidRPr="00550B77" w:rsidRDefault="009F61C7">
      <w:pPr>
        <w:pStyle w:val="Rubrik2"/>
        <w:shd w:val="clear" w:color="000000" w:fill="auto"/>
      </w:pPr>
      <w:bookmarkStart w:id="46" w:name="_Toc194913409"/>
      <w:bookmarkStart w:id="47" w:name="_Toc195419624"/>
      <w:r w:rsidRPr="00550B77">
        <w:t>Målom</w:t>
      </w:r>
      <w:r w:rsidRPr="00550B77">
        <w:t>råde 6 – Hälsofrämjande hälso- och sjukvård</w:t>
      </w:r>
      <w:bookmarkEnd w:id="46"/>
      <w:bookmarkEnd w:id="47"/>
    </w:p>
    <w:p w:rsidR="009F61C7" w:rsidRPr="00550B77" w:rsidRDefault="009F61C7">
      <w:pPr>
        <w:shd w:val="clear" w:color="000000" w:fill="auto"/>
      </w:pPr>
      <w:r w:rsidRPr="00550B77">
        <w:t>Miljöpartiet anser att den framtida hälso- och sjukvården i mycket större utsträckning ska ägna sig åt att förebygga sjukdom och ohälsa i stället för att som nu lägga resurserna på att reparera redan inträffade skador. En mer häls</w:t>
      </w:r>
      <w:r w:rsidRPr="00550B77">
        <w:t>o</w:t>
      </w:r>
      <w:r w:rsidRPr="00550B77">
        <w:t>främjande hälso- och sjukvård leder både till minskat lidande och bättre liv</w:t>
      </w:r>
      <w:r w:rsidRPr="00550B77">
        <w:t>s</w:t>
      </w:r>
      <w:r w:rsidRPr="00550B77">
        <w:t>kvalitet samtidigt som det också på sikt ger effektivare vård.</w:t>
      </w:r>
    </w:p>
    <w:p w:rsidR="009F61C7" w:rsidRPr="00550B77" w:rsidRDefault="009F61C7">
      <w:pPr>
        <w:pStyle w:val="Normaltindrag"/>
        <w:shd w:val="clear" w:color="000000" w:fill="auto"/>
      </w:pPr>
      <w:r w:rsidRPr="00550B77">
        <w:t>Det är bra att regeringen ger FHI i uppdrag att lyfta fram och öka kunsk</w:t>
      </w:r>
      <w:r w:rsidRPr="00550B77">
        <w:t>a</w:t>
      </w:r>
      <w:r w:rsidRPr="00550B77">
        <w:t>pen om fysisk aktivitet på recept, liksom att man skriver att ”ett hälsofrä</w:t>
      </w:r>
      <w:r w:rsidRPr="00550B77">
        <w:t>m</w:t>
      </w:r>
      <w:r w:rsidRPr="00550B77">
        <w:t>jande och sjukdomsförebyggande perspektiv bör även i ökad utsträckning prägla andra delar av hälso- och sjukvården, såväl i hemsjukvården och pr</w:t>
      </w:r>
      <w:r w:rsidRPr="00550B77">
        <w:t>i</w:t>
      </w:r>
      <w:r w:rsidRPr="00550B77">
        <w:t>märvården som i sjukhusvården”.</w:t>
      </w:r>
    </w:p>
    <w:p w:rsidR="009F61C7" w:rsidRPr="00550B77" w:rsidRDefault="009F61C7">
      <w:pPr>
        <w:pStyle w:val="Normaltindrag"/>
        <w:shd w:val="clear" w:color="000000" w:fill="auto"/>
        <w:rPr>
          <w:color w:val="000000"/>
          <w:szCs w:val="24"/>
        </w:rPr>
      </w:pPr>
      <w:r w:rsidRPr="00550B77">
        <w:t xml:space="preserve">Vi menar dock att det behövs en betydligt mer offensiv hållning, och som nämnts tidigare så är det angeläget att bestämningsfaktorer och indikatorer utvecklas för målområdet. </w:t>
      </w:r>
    </w:p>
    <w:p w:rsidR="009F61C7" w:rsidRPr="00550B77" w:rsidRDefault="009F61C7">
      <w:pPr>
        <w:pStyle w:val="Rubrik3"/>
        <w:shd w:val="clear" w:color="000000" w:fill="auto"/>
      </w:pPr>
      <w:r w:rsidRPr="00550B77">
        <w:rPr>
          <w:rStyle w:val="upcast-headingnumber"/>
          <w:color w:val="000000"/>
          <w:szCs w:val="21"/>
        </w:rPr>
        <w:t xml:space="preserve"> </w:t>
      </w:r>
      <w:bookmarkStart w:id="48" w:name="_Toc194913410"/>
      <w:bookmarkStart w:id="49" w:name="_Toc195419625"/>
      <w:r w:rsidRPr="00550B77">
        <w:t>Hälsofrämjande sjukhus</w:t>
      </w:r>
      <w:bookmarkEnd w:id="48"/>
      <w:bookmarkEnd w:id="49"/>
    </w:p>
    <w:p w:rsidR="009F61C7" w:rsidRPr="00550B77" w:rsidRDefault="009F61C7">
      <w:pPr>
        <w:shd w:val="clear" w:color="000000" w:fill="auto"/>
      </w:pPr>
      <w:r w:rsidRPr="00550B77">
        <w:t>Tankarna bakom ”En mer hälsofrämjande hälso- och sjukvård” stämmer väl överens med WHO:s utvecklingsarbete under de senaste decennierna. Det s.k. Ottawamanifestet (1986) skapade ett internationellt nätverk, Health Prom</w:t>
      </w:r>
      <w:r w:rsidRPr="00550B77">
        <w:t>o</w:t>
      </w:r>
      <w:r w:rsidRPr="00550B77">
        <w:t>ting Hospitals. Idén var att kunna använda hela sjukvårdens kompetens, inte minst sjukhusens, för att stärka folkhälsoinsatserna och för att använda häls</w:t>
      </w:r>
      <w:r w:rsidRPr="00550B77">
        <w:t>o</w:t>
      </w:r>
      <w:r w:rsidRPr="00550B77">
        <w:t>orientering som en strategi för att utveckla en mer effektiv hälso- och sju</w:t>
      </w:r>
      <w:r w:rsidRPr="00550B77">
        <w:t>k</w:t>
      </w:r>
      <w:r w:rsidRPr="00550B77">
        <w:t xml:space="preserve">vård. </w:t>
      </w:r>
    </w:p>
    <w:p w:rsidR="009F61C7" w:rsidRPr="00550B77" w:rsidRDefault="009F61C7">
      <w:pPr>
        <w:pStyle w:val="Normaltindrag"/>
        <w:shd w:val="clear" w:color="000000" w:fill="auto"/>
        <w:rPr>
          <w:color w:val="000000"/>
          <w:szCs w:val="19"/>
        </w:rPr>
      </w:pPr>
      <w:r w:rsidRPr="00550B77">
        <w:rPr>
          <w:color w:val="000000"/>
        </w:rPr>
        <w:t>Nätverket vill vidareutveckla sitt arbete, men har begränsade resurser, vi</w:t>
      </w:r>
      <w:r w:rsidRPr="00550B77">
        <w:rPr>
          <w:color w:val="000000"/>
        </w:rPr>
        <w:t>l</w:t>
      </w:r>
      <w:r w:rsidRPr="00550B77">
        <w:rPr>
          <w:color w:val="000000"/>
        </w:rPr>
        <w:t>ket sätter upp hinder för det arbete man vill göra. Miljöpartiet föreslog i vår budgetmotion 2007/08 ett särskilt ekonomiskt bidrag med 3 mkr per år under tre år. Det är i linje med vad man i Danmark gjort, där den danska regeringen under några år gav särskilt stöd till det danska nätverket. Det har betytt stab</w:t>
      </w:r>
      <w:r w:rsidRPr="00550B77">
        <w:rPr>
          <w:color w:val="000000"/>
        </w:rPr>
        <w:t>i</w:t>
      </w:r>
      <w:r w:rsidRPr="00550B77">
        <w:rPr>
          <w:color w:val="000000"/>
        </w:rPr>
        <w:t>litet, möjlighet till långsiktiga åtaganden och tydlig legitimitet i vården. Den utvecklingen vill vi se även i Sverige. Önskemålet är att all sjukvård och utbildning på vårdområdet ska bli hälsofrä</w:t>
      </w:r>
      <w:r w:rsidRPr="00550B77">
        <w:rPr>
          <w:color w:val="000000"/>
        </w:rPr>
        <w:t>mjande. Det är glädjande att rege</w:t>
      </w:r>
      <w:r w:rsidRPr="00550B77">
        <w:rPr>
          <w:color w:val="000000"/>
        </w:rPr>
        <w:t>r</w:t>
      </w:r>
      <w:r w:rsidRPr="00550B77">
        <w:rPr>
          <w:color w:val="000000"/>
        </w:rPr>
        <w:t>ingen nu anslutit sig till det förslag som mp drivit sedan länge, att avsätta medel för att stödja nätverket Hälsofrämjande sjukhus.</w:t>
      </w:r>
    </w:p>
    <w:p w:rsidR="009F61C7" w:rsidRPr="00550B77" w:rsidRDefault="009F61C7">
      <w:pPr>
        <w:pStyle w:val="Rubrik3"/>
        <w:shd w:val="clear" w:color="000000" w:fill="auto"/>
      </w:pPr>
      <w:bookmarkStart w:id="50" w:name="_Toc194913411"/>
      <w:bookmarkStart w:id="51" w:name="_Toc195419626"/>
      <w:r w:rsidRPr="00550B77">
        <w:t>Bemötande av HBT-personer inom hälso- och sjukvården</w:t>
      </w:r>
      <w:bookmarkEnd w:id="50"/>
      <w:bookmarkEnd w:id="51"/>
      <w:r w:rsidRPr="00550B77">
        <w:t xml:space="preserve"> </w:t>
      </w:r>
    </w:p>
    <w:p w:rsidR="009F61C7" w:rsidRPr="00550B77" w:rsidRDefault="009F61C7">
      <w:pPr>
        <w:shd w:val="clear" w:color="000000" w:fill="auto"/>
        <w:rPr>
          <w:sz w:val="20"/>
        </w:rPr>
      </w:pPr>
      <w:r w:rsidRPr="00550B77">
        <w:t>I Folkhälsoinstitutets rapport från juli 2006, Hälsa på lika villkor? – Hälsa och livsvillkor bland HBT-personer, beskrivs situationen ingående och i samma</w:t>
      </w:r>
      <w:r w:rsidRPr="00550B77">
        <w:t>n</w:t>
      </w:r>
      <w:r w:rsidRPr="00550B77">
        <w:t>fattningen skriver man: ”Transpersoner hade nästan genomgående den sämsta hälsan, följt av bisexuella och homosexuella.” Vi anser att det är yttersta a</w:t>
      </w:r>
      <w:r w:rsidRPr="00550B77">
        <w:t>n</w:t>
      </w:r>
      <w:r w:rsidRPr="00550B77">
        <w:t xml:space="preserve">geläget att kunskapen om transpersoners situation ökar i samhället. </w:t>
      </w:r>
    </w:p>
    <w:p w:rsidR="009F61C7" w:rsidRPr="00550B77" w:rsidRDefault="009F61C7">
      <w:pPr>
        <w:pStyle w:val="Normaltindrag"/>
        <w:shd w:val="clear" w:color="000000" w:fill="auto"/>
      </w:pPr>
      <w:r w:rsidRPr="00550B77">
        <w:t>Regeringen skriver också om att diskriminering är en viktig orsak till ohä</w:t>
      </w:r>
      <w:r w:rsidRPr="00550B77">
        <w:t>l</w:t>
      </w:r>
      <w:r w:rsidRPr="00550B77">
        <w:t xml:space="preserve">sa bland homo- och bisexuella samt transpersoner (HBT-personer). Men det föreslås inga insatser eller ges inga uppdrag. Miljöpartiet anser att riksdagen ska begära att regeringen ökar kunskapen hos personal i hälso- och sjukvård, särskilt inom primärvård, psykiatri, gynekologi och vård av äldre om HBT-personers livssituation. Vi anser också att riksdagen bör begära att regeringen återkommer med förslag om hur HBT-personer bättre kan bemötas i hälso- och sjukvården. Trots att olika insatser gjorts på dessa </w:t>
      </w:r>
      <w:r w:rsidRPr="00550B77">
        <w:t>områden så kvarstår behovet i påfallande stor utsträckning.</w:t>
      </w:r>
    </w:p>
    <w:p w:rsidR="009F61C7" w:rsidRPr="00550B77" w:rsidRDefault="009F61C7">
      <w:pPr>
        <w:pStyle w:val="Rubrik3"/>
        <w:shd w:val="clear" w:color="000000" w:fill="auto"/>
      </w:pPr>
      <w:bookmarkStart w:id="52" w:name="_Toc194913412"/>
      <w:bookmarkStart w:id="53" w:name="_Toc195419627"/>
      <w:r w:rsidRPr="00550B77">
        <w:t>Insatser för att skapa förutsättningar för en god vård</w:t>
      </w:r>
      <w:bookmarkEnd w:id="52"/>
      <w:bookmarkEnd w:id="53"/>
    </w:p>
    <w:p w:rsidR="009F61C7" w:rsidRPr="00550B77" w:rsidRDefault="009F61C7">
      <w:pPr>
        <w:shd w:val="clear" w:color="000000" w:fill="auto"/>
      </w:pPr>
      <w:r w:rsidRPr="00550B77">
        <w:t>Regeringen lyfter under avsnittet med ovanstående rubrik fram det kvalitet</w:t>
      </w:r>
      <w:r w:rsidRPr="00550B77">
        <w:t>s</w:t>
      </w:r>
      <w:r w:rsidRPr="00550B77">
        <w:t>arbete som pågår inom vården, vilket är bra. Här poängteras också valfriheten för den enskilde bl.a. genom ökad mångfald samt genom att utveckla ersät</w:t>
      </w:r>
      <w:r w:rsidRPr="00550B77">
        <w:t>t</w:t>
      </w:r>
      <w:r w:rsidRPr="00550B77">
        <w:t xml:space="preserve">ningssystemen. </w:t>
      </w:r>
    </w:p>
    <w:p w:rsidR="009F61C7" w:rsidRPr="00550B77" w:rsidRDefault="009F61C7">
      <w:pPr>
        <w:pStyle w:val="Normaltindrag"/>
        <w:shd w:val="clear" w:color="000000" w:fill="auto"/>
      </w:pPr>
      <w:r w:rsidRPr="00550B77">
        <w:t>Trots att regeringen påstår sig vilja ha mångfald så lade regeringen ned</w:t>
      </w:r>
      <w:r w:rsidRPr="00550B77">
        <w:rPr>
          <w:b/>
        </w:rPr>
        <w:t xml:space="preserve"> </w:t>
      </w:r>
      <w:r w:rsidRPr="00550B77">
        <w:rPr>
          <w:rStyle w:val="Stark"/>
          <w:b w:val="0"/>
          <w:szCs w:val="17"/>
        </w:rPr>
        <w:t xml:space="preserve">Delegationen för mångfald inom vård och omsorg, </w:t>
      </w:r>
      <w:r w:rsidRPr="00550B77">
        <w:t xml:space="preserve">som 1 juni 2007 lämnade delbetänkandet </w:t>
      </w:r>
      <w:r w:rsidRPr="00550B77">
        <w:rPr>
          <w:rStyle w:val="Stark"/>
          <w:b w:val="0"/>
          <w:szCs w:val="17"/>
        </w:rPr>
        <w:t xml:space="preserve">Vård med omsorg – möjligheter och hinder </w:t>
      </w:r>
      <w:r w:rsidRPr="00550B77">
        <w:t xml:space="preserve">(SOU 2007:37). Vi beklagar detta. </w:t>
      </w:r>
    </w:p>
    <w:p w:rsidR="009F61C7" w:rsidRPr="00550B77" w:rsidRDefault="009F61C7">
      <w:pPr>
        <w:pStyle w:val="Normaltindrag"/>
        <w:shd w:val="clear" w:color="000000" w:fill="auto"/>
      </w:pPr>
      <w:r w:rsidRPr="00550B77">
        <w:t>Miljöpartiet anser att det behövs en mångfald inom vården sett främst till innehåll och vårdformer, inte bara till driftsform. Vi delar synen att utveckl</w:t>
      </w:r>
      <w:r w:rsidRPr="00550B77">
        <w:t>a</w:t>
      </w:r>
      <w:r w:rsidRPr="00550B77">
        <w:t>de ersättningssystem kan vara ett sätt att styra sjukvården men det är viktigt att då att sätta upp kriterier som styr mot hälsofrämjande och sjukdomsför</w:t>
      </w:r>
      <w:r w:rsidRPr="00550B77">
        <w:t>e</w:t>
      </w:r>
      <w:r w:rsidRPr="00550B77">
        <w:t>byggande insatser.</w:t>
      </w:r>
    </w:p>
    <w:p w:rsidR="009F61C7" w:rsidRPr="00550B77" w:rsidRDefault="009F61C7">
      <w:pPr>
        <w:pStyle w:val="Rubrik2"/>
        <w:shd w:val="clear" w:color="000000" w:fill="auto"/>
      </w:pPr>
      <w:bookmarkStart w:id="54" w:name="_Toc194913413"/>
      <w:bookmarkStart w:id="55" w:name="_Toc195419628"/>
      <w:r w:rsidRPr="00550B77">
        <w:t>Målområde 7 – Skydd mot smittspridning</w:t>
      </w:r>
      <w:bookmarkEnd w:id="54"/>
      <w:bookmarkEnd w:id="55"/>
    </w:p>
    <w:p w:rsidR="009F61C7" w:rsidRPr="00550B77" w:rsidRDefault="009F61C7">
      <w:pPr>
        <w:shd w:val="clear" w:color="000000" w:fill="auto"/>
      </w:pPr>
      <w:r w:rsidRPr="00550B77">
        <w:t>Smittskyddsinstitutet konstaterar en ökning med 70 % jämfört med tidigare år. Till och med 2007 har 8 014 personer med hivinfektion rapporterats, varav 70 % (5 617) är män. Av de anmälda beräknas omkring 4 500 leva med hiv i Sverige i dag. Antalet nyrapporterade fall av hiv har i Sverige legat relativt konstant sedan slutet av 1980-talet fram till 2002 med knappt 300 fall per år men under de senaste åren har det skett en ökning. Under 2007 anmäldes 541 personer med hiv, vilket är det högsta antalet rapport</w:t>
      </w:r>
      <w:r w:rsidRPr="00550B77">
        <w:t>erade fall ett enskilt år sedan 1986 då hiv nyligen blivit möjligt att diagnostisera. Ökningen sker i alla grupper men är störst bland män som har sex med män. I den gruppen konstaterades förra året 81 fall av nysmitta. En så stor nysmitta har vi aldrig tidigare sett i Sverige. Trots det gör inte regeringen några särskilda satsningar inom området. Summan till insatser inom området har legat på samma nivå i nära tio år.</w:t>
      </w:r>
    </w:p>
    <w:p w:rsidR="009F61C7" w:rsidRPr="00550B77" w:rsidRDefault="009F61C7">
      <w:pPr>
        <w:pStyle w:val="Normaltindrag"/>
        <w:shd w:val="clear" w:color="000000" w:fill="auto"/>
      </w:pPr>
      <w:r w:rsidRPr="00550B77">
        <w:t>Miljöpartiet ser också med oro på den utveckling som sker med kraftig ö</w:t>
      </w:r>
      <w:r w:rsidRPr="00550B77">
        <w:t>k</w:t>
      </w:r>
      <w:r w:rsidRPr="00550B77">
        <w:t>ning av sexuellt överförbara sjukdomar som hiv/aids och klamydia. Det b</w:t>
      </w:r>
      <w:r w:rsidRPr="00550B77">
        <w:t>e</w:t>
      </w:r>
      <w:r w:rsidRPr="00550B77">
        <w:t xml:space="preserve">hövs ökade insatser inom området och ökade resurser. Flera av de insatser som Miljöpartiet tar upp under målområde 8 kan påverka situationen positivt. En nationell kampanj likt den som fanns i början av 90-talet skulle behövas för att vända utvecklingen. Miljöpartiet avser att återkomma i budgetmotion med förslag till ökade resurser. </w:t>
      </w:r>
    </w:p>
    <w:p w:rsidR="009F61C7" w:rsidRPr="00550B77" w:rsidRDefault="009F61C7">
      <w:pPr>
        <w:pStyle w:val="Normaltindrag"/>
        <w:shd w:val="clear" w:color="000000" w:fill="auto"/>
      </w:pPr>
      <w:r w:rsidRPr="00550B77">
        <w:t>Vi saknar en vision och en tydlighet för vad Rådet för samordning av n</w:t>
      </w:r>
      <w:r w:rsidRPr="00550B77">
        <w:t>a</w:t>
      </w:r>
      <w:r w:rsidRPr="00550B77">
        <w:t>tionella insatser mot hiv/aids ska arbeta med de närmaste åren. Rådets u</w:t>
      </w:r>
      <w:r w:rsidRPr="00550B77">
        <w:t>r</w:t>
      </w:r>
      <w:r w:rsidRPr="00550B77">
        <w:t xml:space="preserve">sprungliga funktion var att inneha en central och styrande roll. </w:t>
      </w:r>
    </w:p>
    <w:p w:rsidR="009F61C7" w:rsidRPr="00550B77" w:rsidRDefault="009F61C7">
      <w:pPr>
        <w:pStyle w:val="Rubrik2"/>
        <w:shd w:val="clear" w:color="000000" w:fill="auto"/>
      </w:pPr>
      <w:bookmarkStart w:id="56" w:name="_Toc194913414"/>
      <w:bookmarkStart w:id="57" w:name="_Toc195419629"/>
      <w:r w:rsidRPr="00550B77">
        <w:t>Målområde 8 – Sexualitet och reproduktiv hälsa</w:t>
      </w:r>
      <w:bookmarkEnd w:id="56"/>
      <w:bookmarkEnd w:id="57"/>
    </w:p>
    <w:p w:rsidR="009F61C7" w:rsidRPr="00550B77" w:rsidRDefault="009F61C7">
      <w:pPr>
        <w:shd w:val="clear" w:color="000000" w:fill="auto"/>
        <w:rPr>
          <w:spacing w:val="-2"/>
        </w:rPr>
      </w:pPr>
      <w:r w:rsidRPr="00550B77">
        <w:rPr>
          <w:spacing w:val="-2"/>
        </w:rPr>
        <w:t xml:space="preserve">Miljöpartiet anser att det saknas en hel del i regeringens förslag i målområde 8. </w:t>
      </w:r>
    </w:p>
    <w:p w:rsidR="009F61C7" w:rsidRPr="00550B77" w:rsidRDefault="009F61C7">
      <w:pPr>
        <w:pStyle w:val="Normaltindrag"/>
        <w:shd w:val="clear" w:color="000000" w:fill="auto"/>
        <w:rPr>
          <w:szCs w:val="24"/>
        </w:rPr>
      </w:pPr>
      <w:r w:rsidRPr="00550B77">
        <w:t xml:space="preserve">I stället för att prioritera hur man kan främja trygg och säker sexualitet och en god reproduktiv hälsa som målområdet tidigare kallades för så skriver regeringen nu: </w:t>
      </w:r>
      <w:r w:rsidRPr="00550B77">
        <w:rPr>
          <w:szCs w:val="24"/>
        </w:rPr>
        <w:t>”Hälsorisker förknippade med sexuellt beteende kan föreby</w:t>
      </w:r>
      <w:r w:rsidRPr="00550B77">
        <w:rPr>
          <w:szCs w:val="24"/>
        </w:rPr>
        <w:t>g</w:t>
      </w:r>
      <w:r w:rsidRPr="00550B77">
        <w:rPr>
          <w:szCs w:val="24"/>
        </w:rPr>
        <w:t>gas.” Det är ytterligare ett exempel på att regeringen med sin nya folkhäls</w:t>
      </w:r>
      <w:r w:rsidRPr="00550B77">
        <w:rPr>
          <w:szCs w:val="24"/>
        </w:rPr>
        <w:t>o</w:t>
      </w:r>
      <w:r w:rsidRPr="00550B77">
        <w:rPr>
          <w:szCs w:val="24"/>
        </w:rPr>
        <w:t xml:space="preserve">politik flyttar tillbaks arbetet från att främja till att förebygga risker. </w:t>
      </w:r>
    </w:p>
    <w:p w:rsidR="009F61C7" w:rsidRPr="00550B77" w:rsidRDefault="009F61C7">
      <w:pPr>
        <w:pStyle w:val="Normaltindrag"/>
        <w:shd w:val="clear" w:color="000000" w:fill="auto"/>
      </w:pPr>
      <w:r w:rsidRPr="00550B77">
        <w:t>Vi vänder oss mot att fokus har flyttats från att främja trygg och säker se</w:t>
      </w:r>
      <w:r w:rsidRPr="00550B77">
        <w:t>x</w:t>
      </w:r>
      <w:r w:rsidRPr="00550B77">
        <w:t>ualitet för hela befolkningen till att minska riskbeteende.</w:t>
      </w:r>
    </w:p>
    <w:p w:rsidR="009F61C7" w:rsidRPr="00550B77" w:rsidRDefault="009F61C7">
      <w:pPr>
        <w:pStyle w:val="Normaltindrag"/>
        <w:shd w:val="clear" w:color="000000" w:fill="auto"/>
      </w:pPr>
      <w:r w:rsidRPr="00550B77">
        <w:t>Trygg sexualitet som är fri från fördomar, tvång, våld och diskriminering är viktig för att människor ska må bra. Synen på sexualiteten i samhället b</w:t>
      </w:r>
      <w:r w:rsidRPr="00550B77">
        <w:t>e</w:t>
      </w:r>
      <w:r w:rsidRPr="00550B77">
        <w:t>tyder mycket och avgör om t.ex. homo- eller bisexuella utsätts för fördomar och diskriminering, med ohälsa som följd. Den är också viktig för kvinnors hälsa eftersom en förnedrande syn på kvinnors sexualitet leder till tvång och våld, och därmed ohälsa.</w:t>
      </w:r>
    </w:p>
    <w:p w:rsidR="009F61C7" w:rsidRPr="00550B77" w:rsidRDefault="009F61C7">
      <w:pPr>
        <w:pStyle w:val="Rubrik3"/>
        <w:shd w:val="clear" w:color="000000" w:fill="auto"/>
      </w:pPr>
      <w:bookmarkStart w:id="58" w:name="_Toc195419630"/>
      <w:r w:rsidRPr="00550B77">
        <w:t>Sex- och samlevnadsundervisning</w:t>
      </w:r>
      <w:bookmarkEnd w:id="58"/>
    </w:p>
    <w:p w:rsidR="009F61C7" w:rsidRPr="00550B77" w:rsidRDefault="009F61C7">
      <w:pPr>
        <w:shd w:val="clear" w:color="000000" w:fill="auto"/>
      </w:pPr>
      <w:r w:rsidRPr="00550B77">
        <w:t>Det är verkligen en angelägen fråga att främja sexuell hälsa bland ungdomar. Där har dels skolan en viktig uppgift, dels ungdomsmottagningarna. Vi menar att regeringen borde ha tydligare förslag på åtgärder för hur skolans sex- och samlevnadsundervisning kan förbättras. Det är dock bra att regeringen skriver att ”sexuell hälsa bland ungdomar bör främjas liksom deras förmåga att ha</w:t>
      </w:r>
      <w:r w:rsidRPr="00550B77">
        <w:t>n</w:t>
      </w:r>
      <w:r w:rsidRPr="00550B77">
        <w:t>tera relationer till andra människor. Ungdomar bör ha tillgång till information och individuell rådgivning via ungdomsmottagningar, studenthälsa och andra liknade verksamheter. Undervisning i sex och samlevnad i skolan bör behan</w:t>
      </w:r>
      <w:r w:rsidRPr="00550B77">
        <w:t>d</w:t>
      </w:r>
      <w:r w:rsidRPr="00550B77">
        <w:t>la både fysiska och psykiska (relationsmässiga) aspekter på sexualitet.”</w:t>
      </w:r>
    </w:p>
    <w:p w:rsidR="009F61C7" w:rsidRPr="00550B77" w:rsidRDefault="009F61C7">
      <w:pPr>
        <w:pStyle w:val="Normaltindrag"/>
        <w:shd w:val="clear" w:color="000000" w:fill="auto"/>
      </w:pPr>
      <w:r w:rsidRPr="00550B77">
        <w:t>Frågor som rör homo- och bisexualitet, könsidentitet och könsuttryck må</w:t>
      </w:r>
      <w:r w:rsidRPr="00550B77">
        <w:t>s</w:t>
      </w:r>
      <w:r w:rsidRPr="00550B77">
        <w:t>te vara självklara frågor i sex- och samlevnadsundervisningen i skolan, li</w:t>
      </w:r>
      <w:r w:rsidRPr="00550B77">
        <w:t>k</w:t>
      </w:r>
      <w:r w:rsidRPr="00550B77">
        <w:t>som hur situationen är för HBT-personer. Frågorna är ytterst angelägna, då tonårstiden är en period då många unga funderar över vilken sexuell läggning de har. Miljöpartiet anser att sex- och samlevnadsundervisningen också bör diskutera de stereotypa könsroller och mansbilder som finns i samhället och ge den enskilde styrka att våga bryta normerna. Vi anser att samlevnadsu</w:t>
      </w:r>
      <w:r w:rsidRPr="00550B77">
        <w:t>n</w:t>
      </w:r>
      <w:r w:rsidRPr="00550B77">
        <w:t>dervisningen måste bedrivas utifrån en medvetenhet om könsma</w:t>
      </w:r>
      <w:r w:rsidRPr="00550B77">
        <w:t>kts</w:t>
      </w:r>
      <w:r w:rsidRPr="00550B77">
        <w:softHyphen/>
        <w:t>ordningen och med syfte att bryta denna norm. I och med att det finns brister i undervi</w:t>
      </w:r>
      <w:r w:rsidRPr="00550B77">
        <w:t>s</w:t>
      </w:r>
      <w:r w:rsidRPr="00550B77">
        <w:t>ningen bör detta uppmärksammas på lärarutbildningen. Vi skulle aldrig a</w:t>
      </w:r>
      <w:r w:rsidRPr="00550B77">
        <w:t>c</w:t>
      </w:r>
      <w:r w:rsidRPr="00550B77">
        <w:t>ceptera okunniga lärare i matematik eller att religionsundervisningen ställdes in därför att skolan inte hade någon som kunde eller ville undervisa men när det gäller sex- och samlevnadsundervisning så verkar det vara godkänt. I en C-uppsats från Linköpings universitet skriver författaren utifrån de</w:t>
      </w:r>
      <w:r w:rsidRPr="00550B77">
        <w:rPr>
          <w:rFonts w:ascii="Garamond" w:hAnsi="Garamond" w:cs="Garamond"/>
        </w:rPr>
        <w:t xml:space="preserve"> </w:t>
      </w:r>
      <w:r w:rsidRPr="00550B77">
        <w:t>nio olika skolor hon undersökt</w:t>
      </w:r>
      <w:r w:rsidRPr="00550B77">
        <w:rPr>
          <w:rFonts w:ascii="Garamond" w:hAnsi="Garamond" w:cs="Garamond"/>
        </w:rPr>
        <w:t>: ”</w:t>
      </w:r>
      <w:r w:rsidRPr="00550B77">
        <w:t>Flertalet av l</w:t>
      </w:r>
      <w:r w:rsidRPr="00550B77">
        <w:t>ärarna belyser homosexualitet en till två lektioner och integrering av homosexualitet i hela sex- och samlevnadsunde</w:t>
      </w:r>
      <w:r w:rsidRPr="00550B77">
        <w:t>r</w:t>
      </w:r>
      <w:r w:rsidRPr="00550B77">
        <w:t>visningen är ovanligt. På vissa av de studerade skolorna har inte alla elever fått undervisning om homosexualitet. Det finns ett osynliggörande av hom</w:t>
      </w:r>
      <w:r w:rsidRPr="00550B77">
        <w:t>o</w:t>
      </w:r>
      <w:r w:rsidRPr="00550B77">
        <w:t>sexualitet och ett exkluderande av homosexuella elever.”</w:t>
      </w:r>
      <w:r w:rsidRPr="00550B77">
        <w:rPr>
          <w:rFonts w:ascii="Verdana" w:hAnsi="Verdana"/>
          <w:b/>
          <w:bCs/>
          <w:color w:val="333333"/>
          <w:sz w:val="12"/>
          <w:szCs w:val="12"/>
        </w:rPr>
        <w:t xml:space="preserve"> </w:t>
      </w:r>
      <w:r w:rsidRPr="00550B77">
        <w:t>Skolans verksamhet ska vila på vetenskaplig grund. Det gäller även sex- och samlevnadsundervi</w:t>
      </w:r>
      <w:r w:rsidRPr="00550B77">
        <w:t>s</w:t>
      </w:r>
      <w:r w:rsidRPr="00550B77">
        <w:t>ningen.</w:t>
      </w:r>
    </w:p>
    <w:p w:rsidR="009F61C7" w:rsidRPr="00550B77" w:rsidRDefault="009F61C7">
      <w:pPr>
        <w:pStyle w:val="Normaltindrag"/>
        <w:shd w:val="clear" w:color="000000" w:fill="auto"/>
      </w:pPr>
      <w:r w:rsidRPr="00550B77">
        <w:t>Vi ser fram emot de förslag angående en obligatorisk sex- och samlevnads</w:t>
      </w:r>
      <w:r w:rsidRPr="00550B77">
        <w:softHyphen/>
        <w:t>undervisning som bedrivs av kunniga lärare som kan tänkas komma i sa</w:t>
      </w:r>
      <w:r w:rsidRPr="00550B77">
        <w:t>m</w:t>
      </w:r>
      <w:r w:rsidRPr="00550B77">
        <w:t>band med kommande kursplaneuppdrag samt att sex- och samlevnadsunde</w:t>
      </w:r>
      <w:r w:rsidRPr="00550B77">
        <w:t>r</w:t>
      </w:r>
      <w:r w:rsidRPr="00550B77">
        <w:t>visning är en obligatorisk del i lärarutbildningen.</w:t>
      </w:r>
    </w:p>
    <w:p w:rsidR="009F61C7" w:rsidRPr="00550B77" w:rsidRDefault="009F61C7">
      <w:pPr>
        <w:pStyle w:val="Normaltindrag"/>
        <w:shd w:val="clear" w:color="000000" w:fill="auto"/>
      </w:pPr>
      <w:r w:rsidRPr="00550B77">
        <w:t>Såsom regeringen skriver i propositionen ser det mycket olika ut mellan kommunerna vad det gäller tillgången till ungdomsmottagningar. Då de precis som regeringen lyfter gör ett värdefullt arbete bör regeringen också säkra ungdomarnas tillgång till ungdoms</w:t>
      </w:r>
      <w:r w:rsidRPr="00550B77">
        <w:softHyphen/>
        <w:t>mottagningar. De behöver ges en tydlig plats och utrymme i kommunerna samt ordentliga resurser för att kunna möta ungdomar och deras frågor och funderingar kring livet och sin sexualitet. Alla ungdomar bör enkelt kunna vända sig till en ungdoms</w:t>
      </w:r>
      <w:r w:rsidRPr="00550B77">
        <w:softHyphen/>
        <w:t>mottagning utan att behöva åka en längre resa. Tillgänglighet är en nödvändighet för att etablera kontakt.</w:t>
      </w:r>
    </w:p>
    <w:p w:rsidR="009F61C7" w:rsidRPr="00550B77" w:rsidRDefault="009F61C7">
      <w:pPr>
        <w:pStyle w:val="Normaltindrag"/>
        <w:shd w:val="clear" w:color="000000" w:fill="auto"/>
      </w:pPr>
      <w:r w:rsidRPr="00550B77">
        <w:t>Vi menar också att kunskapen om sexuell hälsa och reproduktion för h</w:t>
      </w:r>
      <w:r w:rsidRPr="00550B77">
        <w:t>o</w:t>
      </w:r>
      <w:r w:rsidRPr="00550B77">
        <w:t xml:space="preserve">mosexuella bör öka inom primärvården. Personalen bör få vidareutbildning för att på ett respektfullt och professionellt sätt kunna möta homosexuellas behov. </w:t>
      </w:r>
    </w:p>
    <w:p w:rsidR="009F61C7" w:rsidRPr="00550B77" w:rsidRDefault="009F61C7">
      <w:pPr>
        <w:pStyle w:val="Normaltindrag"/>
        <w:shd w:val="clear" w:color="000000" w:fill="auto"/>
      </w:pPr>
      <w:r w:rsidRPr="00550B77">
        <w:t xml:space="preserve">Vi saknar också förslag om hur gynekologiska mottagningar för lesbiska kan utvecklas. Många lesbiska känner sig inte bekväma hos gynekologer som har ett utpräglat heterosexuellt perspektiv. I dag finns det enbart ett fåtal gynmottagningar som vänder sig till lesbiska kvinnor. </w:t>
      </w:r>
    </w:p>
    <w:p w:rsidR="009F61C7" w:rsidRPr="00550B77" w:rsidRDefault="009F61C7">
      <w:pPr>
        <w:pStyle w:val="Rubrik3"/>
        <w:shd w:val="clear" w:color="000000" w:fill="auto"/>
      </w:pPr>
      <w:bookmarkStart w:id="59" w:name="_Toc195419631"/>
      <w:r w:rsidRPr="00550B77">
        <w:t>Virtuell ungdomsmottagning</w:t>
      </w:r>
      <w:bookmarkEnd w:id="59"/>
    </w:p>
    <w:p w:rsidR="009F61C7" w:rsidRPr="00550B77" w:rsidRDefault="009F61C7">
      <w:pPr>
        <w:shd w:val="clear" w:color="000000" w:fill="auto"/>
        <w:rPr>
          <w:spacing w:val="-4"/>
        </w:rPr>
      </w:pPr>
      <w:r w:rsidRPr="00550B77">
        <w:rPr>
          <w:spacing w:val="-3"/>
        </w:rPr>
        <w:t xml:space="preserve">En virtuell ungdomsmottagning är ett tämligen nytt grepp att föra ut information och kommunicera med unga människor. För att detta ska nå fram krävs det att det är lätt att hitta till webbplatsen. Vi tror inte att den ska ligga som en separat avdelning inom webbplatsen Sjukvårdsrådgivningen.se, vilket nu föreslås. Den bör ha en </w:t>
      </w:r>
      <w:r w:rsidRPr="00550B77">
        <w:rPr>
          <w:spacing w:val="-4"/>
        </w:rPr>
        <w:t>egen tydlig adress såsom hemsidan www.ungdomsmottagningen.nu.</w:t>
      </w:r>
    </w:p>
    <w:p w:rsidR="009F61C7" w:rsidRPr="00550B77" w:rsidRDefault="009F61C7">
      <w:pPr>
        <w:pStyle w:val="Rubrik3"/>
        <w:shd w:val="clear" w:color="000000" w:fill="auto"/>
      </w:pPr>
      <w:bookmarkStart w:id="60" w:name="_Toc194913415"/>
      <w:bookmarkStart w:id="61" w:name="_Toc195419632"/>
      <w:r w:rsidRPr="00550B77">
        <w:t>Utvidga FHI-uppdrag till HBT</w:t>
      </w:r>
      <w:bookmarkEnd w:id="60"/>
      <w:bookmarkEnd w:id="61"/>
    </w:p>
    <w:p w:rsidR="009F61C7" w:rsidRPr="00550B77" w:rsidRDefault="009F61C7">
      <w:pPr>
        <w:shd w:val="clear" w:color="000000" w:fill="auto"/>
      </w:pPr>
      <w:r w:rsidRPr="00550B77">
        <w:t>Det s.k. homosexuppdraget är ett uppdrag som regeringen gav Socialstyrelsen 1987 och som senare överflyttades till dåvarande Folkhälsoinstitutet 1992. I uppdraget ingår att följa utvecklingen av homosexuellas situation, att ansvara övergripande för insatser för homosexuella, att vidta egna och följa andra myndigheters informations</w:t>
      </w:r>
      <w:r w:rsidRPr="00550B77">
        <w:softHyphen/>
        <w:t>insatser samt att följa forskningen om homosexu</w:t>
      </w:r>
      <w:r w:rsidRPr="00550B77">
        <w:t>a</w:t>
      </w:r>
      <w:r w:rsidRPr="00550B77">
        <w:t>litet och homosexuellas förhållanden. Uppdraget är brett och berör flera fr</w:t>
      </w:r>
      <w:r w:rsidRPr="00550B77">
        <w:t>å</w:t>
      </w:r>
      <w:r w:rsidRPr="00550B77">
        <w:t>gor utanför den renodling som Statens folkhälsoinstitut genomgick sommaren 2001.</w:t>
      </w:r>
    </w:p>
    <w:p w:rsidR="009F61C7" w:rsidRPr="00550B77" w:rsidRDefault="009F61C7">
      <w:pPr>
        <w:pStyle w:val="Normaltindrag"/>
        <w:shd w:val="clear" w:color="000000" w:fill="auto"/>
      </w:pPr>
      <w:r w:rsidRPr="00550B77">
        <w:t>Vi anser att uppdraget i sig bör utvidgas till att omfatta även bisexuella och transpersoner och alltså bli ett HBT-uppdrag. Det måste också säkerställas att uppdraget ska vara övergripande med nationellt ansvar för forskning, utvärd</w:t>
      </w:r>
      <w:r w:rsidRPr="00550B77">
        <w:t>e</w:t>
      </w:r>
      <w:r w:rsidRPr="00550B77">
        <w:t>ring och kunskaps</w:t>
      </w:r>
      <w:r w:rsidRPr="00550B77">
        <w:softHyphen/>
        <w:t xml:space="preserve">spridning. Detta bör riksdagen tillkännage för regeringen som sin mening. </w:t>
      </w:r>
    </w:p>
    <w:p w:rsidR="009F61C7" w:rsidRPr="00550B77" w:rsidRDefault="009F61C7">
      <w:pPr>
        <w:pStyle w:val="Rubrik3"/>
        <w:shd w:val="clear" w:color="000000" w:fill="auto"/>
      </w:pPr>
      <w:bookmarkStart w:id="62" w:name="_Toc194913416"/>
      <w:bookmarkStart w:id="63" w:name="_Toc195419633"/>
      <w:r w:rsidRPr="00550B77">
        <w:t>God reproduktiv hälsa</w:t>
      </w:r>
      <w:bookmarkEnd w:id="62"/>
      <w:bookmarkEnd w:id="63"/>
    </w:p>
    <w:p w:rsidR="009F61C7" w:rsidRPr="00550B77" w:rsidRDefault="009F61C7">
      <w:pPr>
        <w:shd w:val="clear" w:color="000000" w:fill="auto"/>
      </w:pPr>
      <w:r w:rsidRPr="00550B77">
        <w:t>Miljöpartiet saknar ett avsnitt om insemination för ensamstående kvinnor.</w:t>
      </w:r>
      <w:r w:rsidRPr="00550B77">
        <w:rPr>
          <w:szCs w:val="19"/>
        </w:rPr>
        <w:t xml:space="preserve"> </w:t>
      </w:r>
      <w:r w:rsidRPr="00550B77">
        <w:t>Lesbiska par har i dag rätt till assisterad befruktning, men fortfarande är e</w:t>
      </w:r>
      <w:r w:rsidRPr="00550B77">
        <w:t>n</w:t>
      </w:r>
      <w:r w:rsidRPr="00550B77">
        <w:t>samstående kvinnor nekade möjligheten att själva bestämma om de vill föda barn med den metoden. När frågan diskuterats tidigare har kravet oftast a</w:t>
      </w:r>
      <w:r w:rsidRPr="00550B77">
        <w:t>v</w:t>
      </w:r>
      <w:r w:rsidRPr="00550B77">
        <w:t>färdats med att en familj med en förälder är sårbarare om något skulle hända föräldern. Detta är givetvis sant, men inte ett hållbart argument då ensamst</w:t>
      </w:r>
      <w:r w:rsidRPr="00550B77">
        <w:t>å</w:t>
      </w:r>
      <w:r w:rsidRPr="00550B77">
        <w:t>ende tillåts adoptera och vi i dag har mängder av ensamstående föräldrar.</w:t>
      </w:r>
    </w:p>
    <w:p w:rsidR="009F61C7" w:rsidRPr="00550B77" w:rsidRDefault="009F61C7">
      <w:pPr>
        <w:pStyle w:val="Normaltindrag"/>
        <w:shd w:val="clear" w:color="000000" w:fill="auto"/>
        <w:rPr>
          <w:color w:val="000000"/>
        </w:rPr>
      </w:pPr>
      <w:r w:rsidRPr="00550B77">
        <w:t>Självklart är det inte en mänsklig rättighet att få barn.</w:t>
      </w:r>
      <w:r w:rsidRPr="00550B77">
        <w:t xml:space="preserve"> Däremot är det en mänsklig rättighet att inte diskrimineras när det gäller barn på grund av sitt civilstånd. Ensamstående kvinnor borde därför ges samma möjligheter till hjälp som heterosexuella och lesbiska par har.</w:t>
      </w:r>
    </w:p>
    <w:p w:rsidR="009F61C7" w:rsidRPr="00550B77" w:rsidRDefault="009F61C7">
      <w:pPr>
        <w:pStyle w:val="Normaltindrag"/>
        <w:shd w:val="clear" w:color="000000" w:fill="auto"/>
      </w:pPr>
      <w:r w:rsidRPr="00550B77">
        <w:t xml:space="preserve">Vi saknar också en diskussion kring framtagandet av nya preventivmedel dels för kvinnor, dels för män. Dagens utbud är långt ifrån tillfredsställande och när det gäller preventivmedel för män existerar det knappt. </w:t>
      </w:r>
    </w:p>
    <w:p w:rsidR="009F61C7" w:rsidRPr="00550B77" w:rsidRDefault="009F61C7">
      <w:pPr>
        <w:pStyle w:val="Normaltindrag"/>
        <w:shd w:val="clear" w:color="000000" w:fill="auto"/>
      </w:pPr>
      <w:r w:rsidRPr="00550B77">
        <w:t>Vi vill liksom regeringen minska antalet oönskade graviditeter. Men rege</w:t>
      </w:r>
      <w:r w:rsidRPr="00550B77">
        <w:t>r</w:t>
      </w:r>
      <w:r w:rsidRPr="00550B77">
        <w:t>ingen väljer tydligen att prioritera arbetet med oönskade graviditeter på andra sätt. I juni 2007 beslutade regeringen att en arbetsgrupp inom Socialdepart</w:t>
      </w:r>
      <w:r w:rsidRPr="00550B77">
        <w:t>e</w:t>
      </w:r>
      <w:r w:rsidRPr="00550B77">
        <w:t>mentet skulle överväga hur arbetet med att förebygga oönskade graviditeter kan utvecklas bland vuxna, unga vuxna och ungdomar. Det är ett märkligt signalspråk regeringen använder när man i propositionstexten skriver: ”En graviditet som inledningsvis upplevs som oönskad fortsätter inte alltid att vara det, utan en del kvinnor ändrar sig och bestämmer sig</w:t>
      </w:r>
      <w:r w:rsidRPr="00550B77">
        <w:t xml:space="preserve"> för att fullfölja gravid</w:t>
      </w:r>
      <w:r w:rsidRPr="00550B77">
        <w:t>i</w:t>
      </w:r>
      <w:r w:rsidRPr="00550B77">
        <w:t>teten.”</w:t>
      </w:r>
    </w:p>
    <w:p w:rsidR="009F61C7" w:rsidRPr="00550B77" w:rsidRDefault="009F61C7">
      <w:pPr>
        <w:pStyle w:val="Rubrik3"/>
        <w:shd w:val="clear" w:color="000000" w:fill="auto"/>
      </w:pPr>
      <w:bookmarkStart w:id="64" w:name="_Toc194913417"/>
      <w:bookmarkStart w:id="65" w:name="_Toc195419634"/>
      <w:r w:rsidRPr="00550B77">
        <w:t>Våld mot kvinnor och i samkönade relationer</w:t>
      </w:r>
      <w:bookmarkEnd w:id="64"/>
      <w:bookmarkEnd w:id="65"/>
    </w:p>
    <w:p w:rsidR="009F61C7" w:rsidRPr="00550B77" w:rsidRDefault="009F61C7">
      <w:pPr>
        <w:shd w:val="clear" w:color="000000" w:fill="auto"/>
      </w:pPr>
      <w:r w:rsidRPr="00550B77">
        <w:t>Visserligen har frågan om våld mot kvinnor tagits upp i andra sammanhang, men det är ändå en beklämmande tunn och liten text som regeringen lägger fram på ett sådant politiskt tungt, svårt och viktigt område som mäns våld mot kvinnor. Miljöpartiet anser</w:t>
      </w:r>
      <w:r w:rsidRPr="00550B77">
        <w:rPr>
          <w:b/>
        </w:rPr>
        <w:t xml:space="preserve"> </w:t>
      </w:r>
      <w:r w:rsidRPr="00550B77">
        <w:t>att mäns våld mot kvinnor är ett allvarligt sa</w:t>
      </w:r>
      <w:r w:rsidRPr="00550B77">
        <w:t>m</w:t>
      </w:r>
      <w:r w:rsidRPr="00550B77">
        <w:t>hällsproblem.</w:t>
      </w:r>
    </w:p>
    <w:p w:rsidR="009F61C7" w:rsidRPr="00550B77" w:rsidRDefault="009F61C7">
      <w:pPr>
        <w:pStyle w:val="Normaltindrag"/>
        <w:shd w:val="clear" w:color="000000" w:fill="auto"/>
      </w:pPr>
      <w:r w:rsidRPr="00550B77">
        <w:t>Mäns våld mot kvinnor är ett samhällsproblem som kräver en könsmakt</w:t>
      </w:r>
      <w:r w:rsidRPr="00550B77">
        <w:t>s</w:t>
      </w:r>
      <w:r w:rsidRPr="00550B77">
        <w:t>förståelse. Ett sådant perspektiv saknas helt i propositionen. Denna förståelse, som presenterades i utredningen Slag i luften (SOU 2004:121), ställer frågor om våldets avsikter och ser sambandet mellan fysisk och sexuell våldsutö</w:t>
      </w:r>
      <w:r w:rsidRPr="00550B77">
        <w:t>v</w:t>
      </w:r>
      <w:r w:rsidRPr="00550B77">
        <w:t>ning och andra former av kontrollerande beteenden som våldsutövning och köns</w:t>
      </w:r>
      <w:r w:rsidRPr="00550B77">
        <w:softHyphen/>
        <w:t>relaterade kränkningar. Det gäller för myndigheter att inte bara söka individuella avvikelseförklaringar till varför vissa män slår på grund av t.ex. sociala eller kulturella avvikelser. Mäns våld mot kv</w:t>
      </w:r>
      <w:r w:rsidRPr="00550B77">
        <w:t xml:space="preserve">innor måste förstås och ses som ett samhällsproblem som berör oss alla. </w:t>
      </w:r>
    </w:p>
    <w:p w:rsidR="009F61C7" w:rsidRPr="00550B77" w:rsidRDefault="009F61C7">
      <w:pPr>
        <w:pStyle w:val="Normaltindrag"/>
        <w:shd w:val="clear" w:color="000000" w:fill="auto"/>
        <w:rPr>
          <w:b/>
        </w:rPr>
      </w:pPr>
      <w:r w:rsidRPr="00550B77">
        <w:t>Kvinnofridspropositionen från år 1998 fastslog att centrala myndigheter som Riksåklagaren, Rikspolisstyrelsen, Brottsförebyggande rådet, Socialst</w:t>
      </w:r>
      <w:r w:rsidRPr="00550B77">
        <w:t>y</w:t>
      </w:r>
      <w:r w:rsidRPr="00550B77">
        <w:t>relsen osv. måste samverka för att motverka mäns våld mot kvinnor på alla nivåer i samhället. Miljöpartiet anser att myndighetssamverkan är en oerhört central del av arbetet mot mäns våld mot kvinnor och barn som behöver stä</w:t>
      </w:r>
      <w:r w:rsidRPr="00550B77">
        <w:t>r</w:t>
      </w:r>
      <w:r w:rsidRPr="00550B77">
        <w:t>kas ytterligare. Det borde regeringen arbeta vidare med.</w:t>
      </w:r>
    </w:p>
    <w:p w:rsidR="009F61C7" w:rsidRPr="00550B77" w:rsidRDefault="009F61C7">
      <w:pPr>
        <w:pStyle w:val="Normaltindrag"/>
        <w:shd w:val="clear" w:color="000000" w:fill="auto"/>
        <w:rPr>
          <w:b/>
        </w:rPr>
      </w:pPr>
      <w:r w:rsidRPr="00550B77">
        <w:t>För att stärka rättssäkerheten och förebygga kvinnors känsla av utsatthet när de väljer att polisanmäla ett våldsbrott eller sexualbrott begånget av en man krävs det att polisen vidareutvecklar de utbildningar och insatser som gj</w:t>
      </w:r>
      <w:r w:rsidRPr="00550B77">
        <w:t>orts för att öka kunskapen och kompetensen om mäns våld mot kvinnor. Det behövs också ytterligare satsningar på fortbildning av personal inom Åklagarmyndigheten i frågor om mäns våld mot kvinnor ur en könsmaktsfö</w:t>
      </w:r>
      <w:r w:rsidRPr="00550B77">
        <w:t>r</w:t>
      </w:r>
      <w:r w:rsidRPr="00550B77">
        <w:t>ståelse. Domare och nämndemän tillhör en av de viktigaste parterna i rätt</w:t>
      </w:r>
      <w:r w:rsidRPr="00550B77">
        <w:t>s</w:t>
      </w:r>
      <w:r w:rsidRPr="00550B77">
        <w:t>kedjan som säkrar en rättssäker rättsprocess för kvinnor och barn utsatta för våld. Domstolsverket har organiserat utbildningar om mäns våld mot kvinnor för domare och nämndemän separat, med hänvisning till kravet på opartisk</w:t>
      </w:r>
      <w:r w:rsidRPr="00550B77">
        <w:t>het som ställs på domare. Men det är oroväckande att så få domare deltagit i de arrangerade utbildningsdagarna. Det borde oroa regeringen också. Ett hinder för kvinnors rättsliga upprättelse efter ett övergrepp är avsaknaden av bevis. Genom att låta rättsläkare undersöka kvinnan direkt förbättras dokumentati</w:t>
      </w:r>
      <w:r w:rsidRPr="00550B77">
        <w:t>o</w:t>
      </w:r>
      <w:r w:rsidRPr="00550B77">
        <w:t>nen av skador till följd av våld och sexuella övergrepp. I dag har inte alla landsting möjlighet att införa detta rättsmedicinska samarbete eftersom det saknas personal med rätt kompetens. För att kunna</w:t>
      </w:r>
      <w:r w:rsidRPr="00550B77">
        <w:t xml:space="preserve"> tillgodose detta krävs att regeringen ger ökade resurser till rättsmedicinsk kompetens hos landstingen. </w:t>
      </w:r>
    </w:p>
    <w:p w:rsidR="009F61C7" w:rsidRPr="00550B77" w:rsidRDefault="009F61C7">
      <w:pPr>
        <w:pStyle w:val="Normaltindrag"/>
        <w:shd w:val="clear" w:color="000000" w:fill="auto"/>
        <w:rPr>
          <w:b/>
        </w:rPr>
      </w:pPr>
      <w:r w:rsidRPr="00550B77">
        <w:t>Våld förekommer även i samkönade relationer. I dag finns det en dålig b</w:t>
      </w:r>
      <w:r w:rsidRPr="00550B77">
        <w:t>e</w:t>
      </w:r>
      <w:r w:rsidRPr="00550B77">
        <w:t>redskap och kunskap om hur kommunerna bäst kan stödja dessa brottsoffer. Om det är en lesbisk kvinna som har blivit misshandlad finns det i dag få skyddade boenden eller kvinno</w:t>
      </w:r>
      <w:r w:rsidRPr="00550B77">
        <w:softHyphen/>
        <w:t>jourer som tar emot henne. Om det är en h</w:t>
      </w:r>
      <w:r w:rsidRPr="00550B77">
        <w:t>o</w:t>
      </w:r>
      <w:r w:rsidRPr="00550B77">
        <w:t>mosexuell man som har blivit misshandlad av sin man finns det inga skydd</w:t>
      </w:r>
      <w:r w:rsidRPr="00550B77">
        <w:t>a</w:t>
      </w:r>
      <w:r w:rsidRPr="00550B77">
        <w:t>de boenden. Detta måste förändras genom utökad lagstiftad skyldighet för kommuner att stödja alla brottsoffer, oavsett kön och sexuell läggning. Soc</w:t>
      </w:r>
      <w:r w:rsidRPr="00550B77">
        <w:t>i</w:t>
      </w:r>
      <w:r w:rsidRPr="00550B77">
        <w:t>alstyrelsen bör även få ett särskilt uppdrag att ge kommunerna råd och</w:t>
      </w:r>
      <w:r w:rsidRPr="00550B77">
        <w:t xml:space="preserve"> anvi</w:t>
      </w:r>
      <w:r w:rsidRPr="00550B77">
        <w:t>s</w:t>
      </w:r>
      <w:r w:rsidRPr="00550B77">
        <w:t>ningar när det gäller våld i samkönade relationer. Miljöpartiet vill se en ökad samordning och resurssatsning för dem som utsätts för våld i samkönade relationer.</w:t>
      </w:r>
    </w:p>
    <w:p w:rsidR="009F61C7" w:rsidRPr="00550B77" w:rsidRDefault="009F61C7">
      <w:pPr>
        <w:pStyle w:val="Rubrik3"/>
        <w:shd w:val="clear" w:color="000000" w:fill="auto"/>
      </w:pPr>
      <w:bookmarkStart w:id="66" w:name="_Toc194913418"/>
      <w:bookmarkStart w:id="67" w:name="_Toc195419635"/>
      <w:r w:rsidRPr="00550B77">
        <w:t>Skärpning av socialtjänstlagens 5 kap. 11 §</w:t>
      </w:r>
      <w:bookmarkEnd w:id="66"/>
      <w:bookmarkEnd w:id="67"/>
    </w:p>
    <w:p w:rsidR="009F61C7" w:rsidRPr="00550B77" w:rsidRDefault="009F61C7">
      <w:pPr>
        <w:shd w:val="clear" w:color="000000" w:fill="auto"/>
      </w:pPr>
      <w:r w:rsidRPr="00550B77">
        <w:t>År 2007 skärptes socialtjänstlagens skrivning från att kommunerna bör ger stöd till vålds</w:t>
      </w:r>
      <w:r w:rsidRPr="00550B77">
        <w:softHyphen/>
        <w:t>utsatta kvinnor till att socialtjänsten ”ska särskilt beakta” kvi</w:t>
      </w:r>
      <w:r w:rsidRPr="00550B77">
        <w:t>n</w:t>
      </w:r>
      <w:r w:rsidRPr="00550B77">
        <w:t>nors behov. Regeringens förslag som är lag är en kompromiss från utrednin</w:t>
      </w:r>
      <w:r w:rsidRPr="00550B77">
        <w:t>g</w:t>
      </w:r>
      <w:r w:rsidRPr="00550B77">
        <w:t>ens förslag där det tydligt framgår att kommunerna ”ska” stödja våldsutsatta kvinnor. Miljöpartiet anser att den nya formuleringen i socialtjänstlagen for</w:t>
      </w:r>
      <w:r w:rsidRPr="00550B77">
        <w:t>t</w:t>
      </w:r>
      <w:r w:rsidRPr="00550B77">
        <w:t>farande är för vag och att lagen i detta hänseende bör skärpas till ett absolut ansvar för kommunerna i fråga om kvinnor utsatta för våld. Kommunerna ska stödja kvinnor utsatta för mäns våld genom bl.a. resurser till</w:t>
      </w:r>
      <w:r w:rsidRPr="00550B77">
        <w:t xml:space="preserve"> kvinno- och tjejjourer.</w:t>
      </w:r>
    </w:p>
    <w:p w:rsidR="009F61C7" w:rsidRPr="00550B77" w:rsidRDefault="009F61C7">
      <w:pPr>
        <w:pStyle w:val="Normaltindrag"/>
        <w:shd w:val="clear" w:color="000000" w:fill="auto"/>
      </w:pPr>
      <w:r w:rsidRPr="00550B77">
        <w:t>I utredningen Slag i luften (SOU 2004:121) konstaterades att det är till s</w:t>
      </w:r>
      <w:r w:rsidRPr="00550B77">
        <w:t>y</w:t>
      </w:r>
      <w:r w:rsidRPr="00550B77">
        <w:t>nes svårt att skapa en kontinuitet i det samverkande arbetet mellan myndigh</w:t>
      </w:r>
      <w:r w:rsidRPr="00550B77">
        <w:t>e</w:t>
      </w:r>
      <w:r w:rsidRPr="00550B77">
        <w:t>ter samt i samarbete med kvinnojourerna i fråga mot mäns våld mot kvinnor. Ett antal s.k. rättskedje</w:t>
      </w:r>
      <w:r w:rsidRPr="00550B77">
        <w:softHyphen/>
        <w:t>projekt har startat, där polis, åklagare, advokater, do</w:t>
      </w:r>
      <w:r w:rsidRPr="00550B77">
        <w:t>m</w:t>
      </w:r>
      <w:r w:rsidRPr="00550B77">
        <w:t>stol, kriminalvård och ibland även socialtjänst, hälso- och sjukvård samt kvinnojourer enats om arbetsmetoder för hand</w:t>
      </w:r>
      <w:r w:rsidRPr="00550B77">
        <w:softHyphen/>
        <w:t>läggningen av våld mot kvi</w:t>
      </w:r>
      <w:r w:rsidRPr="00550B77">
        <w:t>n</w:t>
      </w:r>
      <w:r w:rsidRPr="00550B77">
        <w:t>nor. Denna typ av samverkan är central i arbetet för att stötta kvinnor och barn som är våldsutsatta. Miljöpartiet ser det som ett o</w:t>
      </w:r>
      <w:r w:rsidRPr="00550B77">
        <w:t xml:space="preserve">undgängligt arbetssätt för att motverka våldet mot barn och kvinnor. </w:t>
      </w:r>
    </w:p>
    <w:p w:rsidR="009F61C7" w:rsidRPr="00550B77" w:rsidRDefault="009F61C7">
      <w:pPr>
        <w:pStyle w:val="Rubrik3"/>
        <w:shd w:val="clear" w:color="000000" w:fill="auto"/>
      </w:pPr>
      <w:bookmarkStart w:id="68" w:name="_Toc194913419"/>
      <w:bookmarkStart w:id="69" w:name="_Toc195419636"/>
      <w:r w:rsidRPr="00550B77">
        <w:t>Mannens del i våldet</w:t>
      </w:r>
      <w:bookmarkEnd w:id="68"/>
      <w:bookmarkEnd w:id="69"/>
    </w:p>
    <w:p w:rsidR="009F61C7" w:rsidRPr="00550B77" w:rsidRDefault="009F61C7">
      <w:pPr>
        <w:shd w:val="clear" w:color="000000" w:fill="auto"/>
      </w:pPr>
      <w:r w:rsidRPr="00550B77">
        <w:t>Vad som helt saknas i propositionen är mannens roll vad det gäller mäns våld mot kvinnor. Detta borde regeringen uppmärksamma. Män och unga killar som har ett aggressivt beteende gentemot både kvinnor och män måste få hjälp med sin destruktiva livsstil. Det finns i dag några få professionella mansmottagningar i landet som tar emot män för rådgivning. Det har visat sig att en del män som använder våld söker sig till dessa mansmottagningar för att få hjälp. Vi vill inrätta manscentrum i hela landet som ger h</w:t>
      </w:r>
      <w:r w:rsidRPr="00550B77">
        <w:t>jälp till män som utövar våld mot kvinnor och barn och frivilligt söker hjälp för sitt bet</w:t>
      </w:r>
      <w:r w:rsidRPr="00550B77">
        <w:t>e</w:t>
      </w:r>
      <w:r w:rsidRPr="00550B77">
        <w:t>ende och för sina allvarliga relationsproblem, utanför kriminalvården. Det finns i dag ett stort behov av mötesplatser för hjälp och vägledning för män som söker sig ur ett destruktivt beteende eller behöver diskutera och förändra sin mansroll.</w:t>
      </w:r>
    </w:p>
    <w:p w:rsidR="009F61C7" w:rsidRPr="00550B77" w:rsidRDefault="009F61C7">
      <w:pPr>
        <w:pStyle w:val="Normaltindrag"/>
        <w:shd w:val="clear" w:color="000000" w:fill="auto"/>
      </w:pPr>
      <w:r w:rsidRPr="00550B77">
        <w:t>Det är även av stor vikt att det finns en behandlande del som ingår i krim</w:t>
      </w:r>
      <w:r w:rsidRPr="00550B77">
        <w:t>i</w:t>
      </w:r>
      <w:r w:rsidRPr="00550B77">
        <w:t>nalvården där män som dömts för denna typ av brott ska genomgå ett behan</w:t>
      </w:r>
      <w:r w:rsidRPr="00550B77">
        <w:t>d</w:t>
      </w:r>
      <w:r w:rsidRPr="00550B77">
        <w:t xml:space="preserve">lingsprogram för att komma till rätta med sina vanföreställningar om hur kvinnor ska behandlas och hur de ser på sin egen mansroll. Därmed arbetar man förebyggande mot återfall i våldsamt och kränkande beteende. </w:t>
      </w:r>
      <w:r w:rsidRPr="00550B77">
        <w:rPr>
          <w:highlight w:val="yellow"/>
        </w:rPr>
        <w:t>Miljöpa</w:t>
      </w:r>
      <w:r w:rsidRPr="00550B77">
        <w:rPr>
          <w:highlight w:val="yellow"/>
        </w:rPr>
        <w:t>r</w:t>
      </w:r>
      <w:r w:rsidRPr="00550B77">
        <w:rPr>
          <w:highlight w:val="yellow"/>
        </w:rPr>
        <w:t>tiet vill även betona vikten av att stödja de frivilliga nätverk av ansvars</w:t>
      </w:r>
      <w:r w:rsidRPr="00550B77">
        <w:rPr>
          <w:highlight w:val="yellow"/>
        </w:rPr>
        <w:softHyphen/>
        <w:t>kännande och engagerade män som bildas på olika ställen i landet (exempe</w:t>
      </w:r>
      <w:r w:rsidRPr="00550B77">
        <w:rPr>
          <w:highlight w:val="yellow"/>
        </w:rPr>
        <w:t>l</w:t>
      </w:r>
      <w:r w:rsidRPr="00550B77">
        <w:rPr>
          <w:highlight w:val="yellow"/>
        </w:rPr>
        <w:t>vis i Piteå).</w:t>
      </w:r>
    </w:p>
    <w:p w:rsidR="009F61C7" w:rsidRPr="00550B77" w:rsidRDefault="009F61C7">
      <w:pPr>
        <w:pStyle w:val="Rubrik3"/>
        <w:shd w:val="clear" w:color="000000" w:fill="auto"/>
      </w:pPr>
      <w:bookmarkStart w:id="70" w:name="_Toc194913420"/>
      <w:bookmarkStart w:id="71" w:name="_Toc195419637"/>
      <w:r w:rsidRPr="00550B77">
        <w:t>Fortsatt utveckling av bestämningsfaktorer och indikato</w:t>
      </w:r>
      <w:r w:rsidRPr="00550B77">
        <w:t>rer</w:t>
      </w:r>
      <w:bookmarkEnd w:id="70"/>
      <w:bookmarkEnd w:id="71"/>
    </w:p>
    <w:p w:rsidR="009F61C7" w:rsidRPr="00550B77" w:rsidRDefault="009F61C7">
      <w:pPr>
        <w:shd w:val="clear" w:color="000000" w:fill="auto"/>
      </w:pPr>
      <w:r w:rsidRPr="00550B77">
        <w:t>Såväl inom målområde 8 som inom övriga målområden tog den tidigare fol</w:t>
      </w:r>
      <w:r w:rsidRPr="00550B77">
        <w:t>k</w:t>
      </w:r>
      <w:r w:rsidRPr="00550B77">
        <w:t>hälsoskrivelsen (2005/06:205) upp behovet av att vidareutveckla bestä</w:t>
      </w:r>
      <w:r w:rsidRPr="00550B77">
        <w:t>m</w:t>
      </w:r>
      <w:r w:rsidRPr="00550B77">
        <w:t>ningsfaktorer och indikatorer. Exempel gavs på fyra områden. Om detta säger regeringen ingenting, vilket vi beklagar</w:t>
      </w:r>
      <w:r w:rsidRPr="00550B77">
        <w:rPr>
          <w:color w:val="000000"/>
          <w:szCs w:val="19"/>
        </w:rPr>
        <w:t>.</w:t>
      </w:r>
    </w:p>
    <w:p w:rsidR="009F61C7" w:rsidRPr="00550B77" w:rsidRDefault="009F61C7">
      <w:pPr>
        <w:pStyle w:val="Rubrik2"/>
        <w:shd w:val="clear" w:color="000000" w:fill="auto"/>
      </w:pPr>
      <w:bookmarkStart w:id="72" w:name="_Toc194913421"/>
      <w:bookmarkStart w:id="73" w:name="_Toc195419638"/>
      <w:r w:rsidRPr="00550B77">
        <w:t>Målområdena 9 och 10 – Fysisk aktivitet och Matvanor och livsmedel</w:t>
      </w:r>
      <w:bookmarkEnd w:id="72"/>
      <w:bookmarkEnd w:id="73"/>
    </w:p>
    <w:p w:rsidR="009F61C7" w:rsidRPr="00550B77" w:rsidRDefault="009F61C7">
      <w:pPr>
        <w:shd w:val="clear" w:color="000000" w:fill="auto"/>
        <w:rPr>
          <w:szCs w:val="24"/>
        </w:rPr>
      </w:pPr>
      <w:r w:rsidRPr="00550B77">
        <w:t>Det är positivt att regeringen avser att ge Statens folkhälsoinstitut (FHI), i samverkan med Livsmedelsverket, i uppdrag att bilda en samverkansgrupp på expertnivå för att samordna, genomföra, följa upp och utvärdera insatser för goda matvanor och ökad fysisk aktivitet med fokus på överviktsproblemat</w:t>
      </w:r>
      <w:r w:rsidRPr="00550B77">
        <w:t>i</w:t>
      </w:r>
      <w:r w:rsidRPr="00550B77">
        <w:t>ken</w:t>
      </w:r>
      <w:r w:rsidRPr="00550B77">
        <w:rPr>
          <w:szCs w:val="24"/>
        </w:rPr>
        <w:t>. Vidare avser regeringen att ge FHI flera uppdrag inom området fysisk aktivitet på recept, vilket Miljöpartiet välkomnar. Men för att det inte bara ska bli en avsikt är det bra om riksdagen ger regeringen till känna att så ska ske.</w:t>
      </w:r>
    </w:p>
    <w:p w:rsidR="009F61C7" w:rsidRPr="00550B77" w:rsidRDefault="009F61C7">
      <w:pPr>
        <w:pStyle w:val="Normaltindrag"/>
        <w:shd w:val="clear" w:color="000000" w:fill="auto"/>
        <w:rPr>
          <w:rStyle w:val="NormaltindragChar"/>
        </w:rPr>
      </w:pPr>
      <w:r w:rsidRPr="00550B77">
        <w:rPr>
          <w:rStyle w:val="NormaltindragChar"/>
        </w:rPr>
        <w:t>”Goda matvanor och säkra livsmedel” som målområdet hette tidigare handlar inte bara om övervikt som regeringen skriver om utan även om ma</w:t>
      </w:r>
      <w:r w:rsidRPr="00550B77">
        <w:rPr>
          <w:rStyle w:val="NormaltindragChar"/>
        </w:rPr>
        <w:t>t</w:t>
      </w:r>
      <w:r w:rsidRPr="00550B77">
        <w:rPr>
          <w:rStyle w:val="NormaltindragChar"/>
        </w:rPr>
        <w:t>kvalitet, näringsfysiologi och mathantering. Det påverkar också vår hälsa. Det är en stor miss att regeringen inte ens nämner frågan om livsmedelssäkerhet trots den senaste tidens diskussioner om hälsoeffekter av tillsatser i mat, t.ex. transfett och konstgjorda sötningsmedel. Ny forskning visar att ekologiskt odlade frukter och grönsaker är nyttigare än konventionellt odlade. En stor EU-studie visade att åtta sorters ekologiskt odlade frukter, grönsaker och sädesslag innehöll upp till 40 % mer antioxidant</w:t>
      </w:r>
      <w:r w:rsidRPr="00550B77">
        <w:rPr>
          <w:rStyle w:val="NormaltindragChar"/>
        </w:rPr>
        <w:t xml:space="preserve">er. Enligt uppgift från Quality low input food project tycks även innehållet av mineraler som järn och zink öka. </w:t>
      </w:r>
    </w:p>
    <w:p w:rsidR="009F61C7" w:rsidRPr="00550B77" w:rsidRDefault="009F61C7">
      <w:pPr>
        <w:pStyle w:val="Normaltindrag"/>
        <w:shd w:val="clear" w:color="000000" w:fill="auto"/>
        <w:rPr>
          <w:rFonts w:ascii="Arial" w:hAnsi="Arial" w:cs="Arial"/>
          <w:color w:val="000000"/>
          <w:sz w:val="22"/>
          <w:szCs w:val="22"/>
        </w:rPr>
      </w:pPr>
      <w:r w:rsidRPr="00550B77">
        <w:t>Miljöpartiet vill öka satsningarna på offensiv information om matens bet</w:t>
      </w:r>
      <w:r w:rsidRPr="00550B77">
        <w:t>y</w:t>
      </w:r>
      <w:r w:rsidRPr="00550B77">
        <w:t>delse för hälsan. Stat, kommuner och landsting upphandlar årligen varor för 400 miljarder kronor och kan med sina inköp styra produktionen i ekologisk riktning. Förra mandatperioden infördes ett mål om 25 % ekologiskt i offen</w:t>
      </w:r>
      <w:r w:rsidRPr="00550B77">
        <w:t>t</w:t>
      </w:r>
      <w:r w:rsidRPr="00550B77">
        <w:t>lig upphandling, och en särskild pott pengar avsattes för att öka produktionen. Nu har regeringen gjort om det så att det inte längre är särskilt öronmärkta pengar till ekologisk produktion, något som Miljöpartiet har kritiserat. Milj</w:t>
      </w:r>
      <w:r w:rsidRPr="00550B77">
        <w:t>ö</w:t>
      </w:r>
      <w:r w:rsidRPr="00550B77">
        <w:t xml:space="preserve">partiet har för övrigt föreslagit ett höjt anslag </w:t>
      </w:r>
      <w:r w:rsidRPr="00550B77">
        <w:t>för åtgärder för främjande av ekologisk produktion.</w:t>
      </w:r>
    </w:p>
    <w:p w:rsidR="009F61C7" w:rsidRPr="00550B77" w:rsidRDefault="009F61C7">
      <w:pPr>
        <w:pStyle w:val="Rubrik2"/>
        <w:shd w:val="clear" w:color="000000" w:fill="auto"/>
      </w:pPr>
      <w:bookmarkStart w:id="74" w:name="_Toc194913422"/>
      <w:bookmarkStart w:id="75" w:name="_Toc195419639"/>
      <w:r w:rsidRPr="00550B77">
        <w:t>Målområde 11 – Tobak, alkohol, narkotika och dopning samt spel</w:t>
      </w:r>
      <w:bookmarkEnd w:id="74"/>
      <w:bookmarkEnd w:id="75"/>
    </w:p>
    <w:p w:rsidR="009F61C7" w:rsidRPr="00550B77" w:rsidRDefault="009F61C7">
      <w:pPr>
        <w:shd w:val="clear" w:color="000000" w:fill="auto"/>
        <w:rPr>
          <w:szCs w:val="24"/>
        </w:rPr>
      </w:pPr>
      <w:r w:rsidRPr="00550B77">
        <w:t>Miljöpartiet instämmer i att Statens folkhälsoinstitut (FHI) bör få i uppdrag att ansvara för en nationell satsning för stöd till lokalt arbete och att samordna det nationella tobaksförebyggande arbetet, l</w:t>
      </w:r>
      <w:r w:rsidRPr="00550B77">
        <w:rPr>
          <w:szCs w:val="24"/>
        </w:rPr>
        <w:t>ikaså att genomföra en nationell rökavvänjningssatsning. Vidare bör FHI få i uppdrag att utveckla och förstä</w:t>
      </w:r>
      <w:r w:rsidRPr="00550B77">
        <w:rPr>
          <w:szCs w:val="24"/>
        </w:rPr>
        <w:t>r</w:t>
      </w:r>
      <w:r w:rsidRPr="00550B77">
        <w:rPr>
          <w:szCs w:val="24"/>
        </w:rPr>
        <w:t>ka det nationella tillsynsarbetet. En utredning bör tillsättas för tillsyn avsee</w:t>
      </w:r>
      <w:r w:rsidRPr="00550B77">
        <w:rPr>
          <w:szCs w:val="24"/>
        </w:rPr>
        <w:t>n</w:t>
      </w:r>
      <w:r w:rsidRPr="00550B77">
        <w:rPr>
          <w:szCs w:val="24"/>
        </w:rPr>
        <w:t>de tobakslagens bestämmelser om detaljhandel med fokus på åldersgränser.  Det bör också riksdagen ge regeringen till känna så att det blir ett tydligt up</w:t>
      </w:r>
      <w:r w:rsidRPr="00550B77">
        <w:rPr>
          <w:szCs w:val="24"/>
        </w:rPr>
        <w:t>p</w:t>
      </w:r>
      <w:r w:rsidRPr="00550B77">
        <w:rPr>
          <w:szCs w:val="24"/>
        </w:rPr>
        <w:t>drag och inte bara en ambition.</w:t>
      </w:r>
    </w:p>
    <w:p w:rsidR="009F61C7" w:rsidRPr="00550B77" w:rsidRDefault="009F61C7">
      <w:pPr>
        <w:pStyle w:val="Normaltindrag"/>
        <w:shd w:val="clear" w:color="000000" w:fill="auto"/>
      </w:pPr>
      <w:r w:rsidRPr="00550B77">
        <w:t>Miljöpartiet anser att regeringen i ovannämnda utredning bör låta utreda behovet av och hur ett licensförfarande på lämpligt sätt skulle</w:t>
      </w:r>
      <w:r w:rsidRPr="00550B77">
        <w:t xml:space="preserve"> kunna utformas för tobaks</w:t>
      </w:r>
      <w:r w:rsidRPr="00550B77">
        <w:softHyphen/>
        <w:t>försäljning. Det finns goda skäl att det görs tydligt vilka regler som gäller, t.ex. vikten av att inte sälja till minderåriga, möjlig egenkontroll av rutiner för personalen, men också kunskapskrav om nikotinets och tobakens skadeverkningar. Socialutskottet har inte tidigare ställt sig bakom denna ta</w:t>
      </w:r>
      <w:r w:rsidRPr="00550B77">
        <w:t>n</w:t>
      </w:r>
      <w:r w:rsidRPr="00550B77">
        <w:t xml:space="preserve">ke, men vi vidhåller behovet, med tanke på tobaksbrukets stora skador på folkhälsan. </w:t>
      </w:r>
    </w:p>
    <w:p w:rsidR="009F61C7" w:rsidRPr="00550B77" w:rsidRDefault="009F61C7">
      <w:pPr>
        <w:pStyle w:val="Normaltindrag"/>
        <w:shd w:val="clear" w:color="000000" w:fill="auto"/>
      </w:pPr>
      <w:r w:rsidRPr="00550B77">
        <w:t xml:space="preserve">Sverige ratificerade 2005 ramkonventionen om tobakskontroll (WHO Framework Convention on Tobacco </w:t>
      </w:r>
      <w:r w:rsidRPr="00550B77">
        <w:t>Control). För att nå de mål som är satta för 2014  behöver det tobaksförebyggande arbetet ta ytterligare steg. Milj</w:t>
      </w:r>
      <w:r w:rsidRPr="00550B77">
        <w:t>ö</w:t>
      </w:r>
      <w:r w:rsidRPr="00550B77">
        <w:t xml:space="preserve">partiet anser att </w:t>
      </w:r>
      <w:r w:rsidRPr="00550B77">
        <w:rPr>
          <w:szCs w:val="24"/>
        </w:rPr>
        <w:t>riksdagen bör ge regeringen till känna att det tobaksföreby</w:t>
      </w:r>
      <w:r w:rsidRPr="00550B77">
        <w:rPr>
          <w:szCs w:val="24"/>
        </w:rPr>
        <w:t>g</w:t>
      </w:r>
      <w:r w:rsidRPr="00550B77">
        <w:rPr>
          <w:szCs w:val="24"/>
        </w:rPr>
        <w:t>gande arbetet ska följa konventionens krav så att det blir ett tydligt uppdrag, inte bara en ambition. En tydlig och långsiktig nationell strategi bör tas fram för att nå 2014 års mål.</w:t>
      </w:r>
    </w:p>
    <w:p w:rsidR="009F61C7" w:rsidRPr="00550B77" w:rsidRDefault="009F61C7">
      <w:pPr>
        <w:pStyle w:val="Normaltindrag"/>
        <w:shd w:val="clear" w:color="000000" w:fill="auto"/>
      </w:pPr>
      <w:r w:rsidRPr="00550B77">
        <w:t>Rökförbudet på krogarna är en succé, men fortfarande är det svårt för dem som inte röker att vistas på många platser i samhället utan</w:t>
      </w:r>
      <w:r w:rsidRPr="00550B77">
        <w:t xml:space="preserve"> att utsättas för passiv rökning. Vi anser att ett nästa steg kan vara att göra fler offentliga platser utomhus rökfria. Självklart är det svårare att utomhus avgränsa omr</w:t>
      </w:r>
      <w:r w:rsidRPr="00550B77">
        <w:t>å</w:t>
      </w:r>
      <w:r w:rsidRPr="00550B77">
        <w:t>den för rökare, men försök bör ändå göras. För rökarna kan det underlätta till att röka mindre (eller ta steget till att sluta) om tillgängligheten begränsas ytterligare.</w:t>
      </w:r>
    </w:p>
    <w:p w:rsidR="009F61C7" w:rsidRPr="00550B77" w:rsidRDefault="009F61C7">
      <w:pPr>
        <w:pStyle w:val="Normaltindrag"/>
        <w:shd w:val="clear" w:color="000000" w:fill="auto"/>
      </w:pPr>
      <w:r w:rsidRPr="00550B77">
        <w:t>Även i flerfamiljshus kan passiv rökning vara ett stort problem. Moderna bostäder är ofta byggda med centrala ventilationssystem som innebär att b</w:t>
      </w:r>
      <w:r w:rsidRPr="00550B77">
        <w:t>o</w:t>
      </w:r>
      <w:r w:rsidRPr="00550B77">
        <w:t>staden är utsatt för undertryck. Detta leder till att tobaksrök från en balkong lätt tränger in i en annan lägenhet om ett fönster står öppet. I dag finns det inget skydd för en rökfri familj, om en storrökare flyttar in i lägenheten under och använder sin balkong, för att de egna barnen ska slippa bli utsatta. Vi föreslår därför att regeringen snarast tar initiativ för att stärka icke-rökarnas möjligheter att slippa utsättas för passiv rökning i sina bostäder och så långt möjligt i offentlig miljö</w:t>
      </w:r>
      <w:r w:rsidRPr="00550B77">
        <w:rPr>
          <w:color w:val="000000"/>
          <w:szCs w:val="19"/>
        </w:rPr>
        <w:t>.</w:t>
      </w:r>
    </w:p>
    <w:p w:rsidR="009F61C7" w:rsidRPr="00550B77" w:rsidRDefault="009F61C7">
      <w:pPr>
        <w:pStyle w:val="Rubrik3"/>
        <w:shd w:val="clear" w:color="000000" w:fill="auto"/>
      </w:pPr>
      <w:bookmarkStart w:id="76" w:name="_Toc194913423"/>
      <w:bookmarkStart w:id="77" w:name="_Toc195419640"/>
      <w:r w:rsidRPr="00550B77">
        <w:t>Beroen</w:t>
      </w:r>
      <w:r w:rsidRPr="00550B77">
        <w:t>deframkallande läkemedel</w:t>
      </w:r>
      <w:bookmarkEnd w:id="76"/>
      <w:bookmarkEnd w:id="77"/>
    </w:p>
    <w:p w:rsidR="009F61C7" w:rsidRPr="00550B77" w:rsidRDefault="009F61C7">
      <w:pPr>
        <w:shd w:val="clear" w:color="000000" w:fill="auto"/>
      </w:pPr>
      <w:r w:rsidRPr="00550B77">
        <w:t>Att bruket av beroendeframkallande medel kan påverka hälsan i negativ m</w:t>
      </w:r>
      <w:r w:rsidRPr="00550B77">
        <w:t>e</w:t>
      </w:r>
      <w:r w:rsidRPr="00550B77">
        <w:t>ning och att de därför bör omfattas av förebyggande strategier inom folkhä</w:t>
      </w:r>
      <w:r w:rsidRPr="00550B77">
        <w:t>l</w:t>
      </w:r>
      <w:r w:rsidRPr="00550B77">
        <w:t xml:space="preserve">soarbetet är de flesta överens om i dag. Detta gäller i dag i första hand tobak, alkohol och illegala droger. </w:t>
      </w:r>
    </w:p>
    <w:p w:rsidR="009F61C7" w:rsidRPr="00550B77" w:rsidRDefault="009F61C7">
      <w:pPr>
        <w:pStyle w:val="Normaltindrag"/>
        <w:shd w:val="clear" w:color="000000" w:fill="auto"/>
      </w:pPr>
      <w:r w:rsidRPr="00550B77">
        <w:t>Såväl internationell som nationell forskning har dock övertygande visat att även användning av narkotiska läkemedel kan ge upphov till – eller förstärka redan existerande – ohälsa. Därför kan det tyckas anmärkningsvärt att läk</w:t>
      </w:r>
      <w:r w:rsidRPr="00550B77">
        <w:t>e</w:t>
      </w:r>
      <w:r w:rsidRPr="00550B77">
        <w:t>medelsberoende helt utelämnades i den folkhälsoproposition (2002/03:35) som riksdagen antog den 16 april 2003.</w:t>
      </w:r>
    </w:p>
    <w:p w:rsidR="009F61C7" w:rsidRPr="00550B77" w:rsidRDefault="009F61C7">
      <w:pPr>
        <w:pStyle w:val="Normaltindrag"/>
        <w:shd w:val="clear" w:color="000000" w:fill="auto"/>
      </w:pPr>
      <w:r w:rsidRPr="00550B77">
        <w:t>I det målområde som berör beroendeframkallande medel, målområde 11, återfinns tobak, alkohol, spel, narkotika och dopning. Inget nämns här om narkotiska läkemedel och vilka åtgärder som bör företas för att minska eve</w:t>
      </w:r>
      <w:r w:rsidRPr="00550B77">
        <w:t>n</w:t>
      </w:r>
      <w:r w:rsidRPr="00550B77">
        <w:t>tuella skadeverkningar på grund av användning av sådana.</w:t>
      </w:r>
    </w:p>
    <w:p w:rsidR="009F61C7" w:rsidRPr="00550B77" w:rsidRDefault="009F61C7">
      <w:pPr>
        <w:pStyle w:val="Normaltindrag"/>
        <w:shd w:val="clear" w:color="000000" w:fill="auto"/>
      </w:pPr>
      <w:r w:rsidRPr="00550B77">
        <w:t>I Nationella folkhälsokommitténs slutbetänkande (SOU 2000:91) som f</w:t>
      </w:r>
      <w:r w:rsidRPr="00550B77">
        <w:t>ö</w:t>
      </w:r>
      <w:r w:rsidRPr="00550B77">
        <w:t>regick folkhälsopropositionen utreddes läkemedelsberoende som ett eget område vid sidan av tobak, alkohol och narkotika och särskilda förslag till åtgärder framfördes. Där fastslogs bl.a. att det finns ett mycket stort behov av studier som visar omfattningen och utbredningen av beroende och missbruk av beroendeframkallande läkemedel. Bland remissvaren på kommitténs b</w:t>
      </w:r>
      <w:r w:rsidRPr="00550B77">
        <w:t>e</w:t>
      </w:r>
      <w:r w:rsidRPr="00550B77">
        <w:t>tänkande ställde sig såväl Läkemedelsverket som Socialstyrelsen bakom fö</w:t>
      </w:r>
      <w:r w:rsidRPr="00550B77">
        <w:t>r</w:t>
      </w:r>
      <w:r w:rsidRPr="00550B77">
        <w:t xml:space="preserve">slaget. </w:t>
      </w:r>
    </w:p>
    <w:p w:rsidR="009F61C7" w:rsidRPr="00550B77" w:rsidRDefault="009F61C7">
      <w:pPr>
        <w:pStyle w:val="Normaltindrag"/>
        <w:shd w:val="clear" w:color="000000" w:fill="auto"/>
      </w:pPr>
      <w:r w:rsidRPr="00550B77">
        <w:t>Narkotiska läkemedel och negativa konsekvenser av användnin</w:t>
      </w:r>
      <w:r w:rsidRPr="00550B77">
        <w:t>gen av de</w:t>
      </w:r>
      <w:r w:rsidRPr="00550B77">
        <w:t>s</w:t>
      </w:r>
      <w:r w:rsidRPr="00550B77">
        <w:t>sa ur ett folkhälsopolitiskt perspektiv berörs över huvud taget inte i folkhäls</w:t>
      </w:r>
      <w:r w:rsidRPr="00550B77">
        <w:t>o</w:t>
      </w:r>
      <w:r w:rsidRPr="00550B77">
        <w:t xml:space="preserve">propositionen. </w:t>
      </w:r>
    </w:p>
    <w:p w:rsidR="009F61C7" w:rsidRPr="00550B77" w:rsidRDefault="009F61C7">
      <w:pPr>
        <w:pStyle w:val="Normaltindrag"/>
        <w:shd w:val="clear" w:color="000000" w:fill="auto"/>
      </w:pPr>
      <w:r w:rsidRPr="00550B77">
        <w:t>Miljöpartiet anser att beroendet av förskrivna narkotiska läkemedel är ett omfattande och mycket allvarligt problem som behöver uppmärksammas särskilt i folkhälsoarbetet. Det berör upp till en kvarts miljon personer och är ett folkhälsoproblem som skär rakt igenom hela samhället, där alla samhäll</w:t>
      </w:r>
      <w:r w:rsidRPr="00550B77">
        <w:t>s</w:t>
      </w:r>
      <w:r w:rsidRPr="00550B77">
        <w:t xml:space="preserve">klasser och yrkeskategorier finns representerade. Problemet är allvarligt, både för den som drabbas av det och för samhället i stort. </w:t>
      </w:r>
    </w:p>
    <w:p w:rsidR="009F61C7" w:rsidRPr="00550B77" w:rsidRDefault="009F61C7">
      <w:pPr>
        <w:pStyle w:val="Normaltindrag"/>
        <w:shd w:val="clear" w:color="000000" w:fill="auto"/>
      </w:pPr>
      <w:r w:rsidRPr="00550B77">
        <w:t>Eftersom Statens folkhälsoinstitut i dag har ansvaret för uppföljningen av folkhälso</w:t>
      </w:r>
      <w:r w:rsidRPr="00550B77">
        <w:softHyphen/>
        <w:t>problem orsakade av beroende av alkohol, tobak, narkotika, spel och dopning, anser vi att det vore logiskt och viktigt att även beroende av nark</w:t>
      </w:r>
      <w:r w:rsidRPr="00550B77">
        <w:t>o</w:t>
      </w:r>
      <w:r w:rsidRPr="00550B77">
        <w:t>tiska läkemedel förs in under målområde 11, och att Statens folkhälsoinstitut får ansvaret för uppföljning av beroende av narkotiska läkemedel.</w:t>
      </w:r>
    </w:p>
    <w:p w:rsidR="009F61C7" w:rsidRPr="00550B77" w:rsidRDefault="009F61C7">
      <w:pPr>
        <w:pStyle w:val="Rubrik1"/>
        <w:shd w:val="clear" w:color="000000" w:fill="auto"/>
      </w:pPr>
      <w:bookmarkStart w:id="78" w:name="_Toc194913424"/>
      <w:bookmarkStart w:id="79" w:name="_Toc195419641"/>
      <w:r w:rsidRPr="00550B77">
        <w:t>Självmordsprevention</w:t>
      </w:r>
      <w:bookmarkEnd w:id="78"/>
      <w:bookmarkEnd w:id="79"/>
    </w:p>
    <w:p w:rsidR="009F61C7" w:rsidRPr="00550B77" w:rsidRDefault="009F61C7">
      <w:pPr>
        <w:shd w:val="clear" w:color="000000" w:fill="auto"/>
      </w:pPr>
      <w:r w:rsidRPr="00550B77">
        <w:t>Det är lovvärt att regeringen gör en tydlig satsning för att förebygga att mä</w:t>
      </w:r>
      <w:r w:rsidRPr="00550B77">
        <w:t>n</w:t>
      </w:r>
      <w:r w:rsidRPr="00550B77">
        <w:t>niskor tar sitt eget liv. Att både ha en vision, sätta till insatser, se över en nationell funktion för händelseanalys och gemensamma utredningar vid självmord anser vi är mycket bra. Det gäller också forskningsinsatser och inte minst stöd till frivilligorganisationerna. Viktig är också ambitionen om att uppdra till Socialstyrelsen att initiera ett projekt för att öka kunskapen i b</w:t>
      </w:r>
      <w:r w:rsidRPr="00550B77">
        <w:t>e</w:t>
      </w:r>
      <w:r w:rsidRPr="00550B77">
        <w:t>folkningen om självmordsprevention, s.k. första-hjälpen-utbildningar för dem som mår psykiskt dåligt. Men även inom detta områ</w:t>
      </w:r>
      <w:r w:rsidRPr="00550B77">
        <w:t>de handlar det om rege</w:t>
      </w:r>
      <w:r w:rsidRPr="00550B77">
        <w:t>r</w:t>
      </w:r>
      <w:r w:rsidRPr="00550B77">
        <w:t>ingens bedömningar, inte om skarpa förslag till riksdagen.</w:t>
      </w:r>
    </w:p>
    <w:p w:rsidR="009F61C7" w:rsidRPr="00550B77" w:rsidRDefault="009F61C7">
      <w:pPr>
        <w:pStyle w:val="Normaltindrag"/>
        <w:shd w:val="clear" w:color="000000" w:fill="auto"/>
      </w:pPr>
      <w:r w:rsidRPr="00550B77">
        <w:t>Det är inte heller tydligt vad regeringen anser om Socialstyrelsens och Folkhälso</w:t>
      </w:r>
      <w:r w:rsidRPr="00550B77">
        <w:softHyphen/>
        <w:t>institutets förslag om att ”fler bör utbildas i evidensbaserade psyk</w:t>
      </w:r>
      <w:r w:rsidRPr="00550B77">
        <w:t>o</w:t>
      </w:r>
      <w:r w:rsidRPr="00550B77">
        <w:t>terapeutiska metoder för att göra dessa mer tillgängliga för vårdsökande”. Miljöpartiet anser att det är mycket angeläget så att människor som har behov ska kunna erbjudas psykoterapeutiska metoder i stället för att som ofta enbart vara hänvisade till läkemedelsbehandling.</w:t>
      </w:r>
    </w:p>
    <w:p w:rsidR="009F61C7" w:rsidRPr="00550B77" w:rsidRDefault="009F61C7">
      <w:pPr>
        <w:pStyle w:val="Normaltindrag"/>
        <w:shd w:val="clear" w:color="000000" w:fill="auto"/>
      </w:pPr>
      <w:r w:rsidRPr="00550B77">
        <w:t>Att förebygga självmord innebär åtgärder som påverkar flera av folkhäls</w:t>
      </w:r>
      <w:r w:rsidRPr="00550B77">
        <w:t>o</w:t>
      </w:r>
      <w:r w:rsidRPr="00550B77">
        <w:t xml:space="preserve">politikens målområden och dess bestämningsfaktorer. Det är glädjande att regeringen här ser behovet av att främja goda livschanser för mindre gynnade grupper. Vi saknar dock en beskrivning och analys av FHI-rapporten om att HBT-personer har betydligt sämre psykisk hälsa än den övriga befolkningen. </w:t>
      </w:r>
    </w:p>
    <w:p w:rsidR="009F61C7" w:rsidRPr="00550B77" w:rsidRDefault="009F61C7">
      <w:pPr>
        <w:pStyle w:val="Normaltindrag"/>
        <w:shd w:val="clear" w:color="000000" w:fill="auto"/>
      </w:pPr>
      <w:r w:rsidRPr="00550B77">
        <w:t xml:space="preserve">Det som är oroande i de jämförelser som gjorts är att den </w:t>
      </w:r>
      <w:r w:rsidRPr="00550B77">
        <w:rPr>
          <w:i/>
          <w:iCs/>
        </w:rPr>
        <w:t xml:space="preserve">psykiska ohälsan </w:t>
      </w:r>
      <w:r w:rsidRPr="00550B77">
        <w:t>var betydligt mer utbredd bland homo- och/eller bisexuella personer än i den övriga befolkningen. Psykisk ohälsa i form av nedsatt psykiskt välbefinnande var dubbelt så vanligt bland homo- och/eller bisexuella personer som i den övriga befolkningen. Psykisk ohälsa mätt som svåra besvär av ängslan, oro eller ångest visade sig dessutom vara betydligt vanligare bland homo- och/eller bisexuella personer än i den övriga befolkningen, särskilt bland homo- och/eller bisexuella kvinnor i åldrarna 1</w:t>
      </w:r>
      <w:r w:rsidRPr="00550B77">
        <w:t xml:space="preserve">6–29 år. Även transpersoner, speciellt i de yngre åldrarna, uppgav ett sämre psykiskt välbefinnande än exempelvis homosexuella personer. </w:t>
      </w:r>
    </w:p>
    <w:p w:rsidR="009F61C7" w:rsidRPr="00550B77" w:rsidRDefault="009F61C7">
      <w:pPr>
        <w:pStyle w:val="Normaltindrag"/>
        <w:shd w:val="clear" w:color="000000" w:fill="auto"/>
      </w:pPr>
      <w:r w:rsidRPr="00550B77">
        <w:t xml:space="preserve">Även när det gäller </w:t>
      </w:r>
      <w:r w:rsidRPr="00550B77">
        <w:rPr>
          <w:i/>
          <w:iCs/>
        </w:rPr>
        <w:t xml:space="preserve">självmordsförsök </w:t>
      </w:r>
      <w:r w:rsidRPr="00550B77">
        <w:t>visade undersökningen att skilln</w:t>
      </w:r>
      <w:r w:rsidRPr="00550B77">
        <w:t>a</w:t>
      </w:r>
      <w:r w:rsidRPr="00550B77">
        <w:t>derna var mycket stora mellan homo- och/eller bisexuella personer och den övriga befolkningen. Självmordsförsök var dubbelt så vanliga bland homo- och/eller bisexuella personer jämfört med den övriga befolkningen. Att någon gång ha övervägt eller att ha försökt ta sitt liv var särskilt vanligt bland unga homo- och/eller bisexuella personer mellan 16 och 29 år. Hälften av de til</w:t>
      </w:r>
      <w:r w:rsidRPr="00550B77">
        <w:t>l</w:t>
      </w:r>
      <w:r w:rsidRPr="00550B77">
        <w:t>frågade transpersonerna hade någon gång övervägt att ta sitt liv.</w:t>
      </w:r>
    </w:p>
    <w:p w:rsidR="009F61C7" w:rsidRPr="00550B77" w:rsidRDefault="009F61C7">
      <w:pPr>
        <w:pStyle w:val="Normaltindrag"/>
        <w:shd w:val="clear" w:color="000000" w:fill="auto"/>
      </w:pPr>
      <w:r w:rsidRPr="00550B77">
        <w:t>Regeringen skri</w:t>
      </w:r>
      <w:r w:rsidRPr="00550B77">
        <w:t>ver följande: ”Självmord går att förebygga och samhällets förebyggande insatser för att motverka psykisk ohälsa och samhällets olika system för att hantera risker för självmord måste ständigt förbättras. Ingen människa ska behöva hamna i en situation där den enda utvägen upplevs vara att ta sitt liv. Det självmordspreventiva arbetet har länge utgått från ett ind</w:t>
      </w:r>
      <w:r w:rsidRPr="00550B77">
        <w:t>i</w:t>
      </w:r>
      <w:r w:rsidRPr="00550B77">
        <w:t>vidperspektiv med fokus på behandling av psykiska sjukdomar. Folkhälso</w:t>
      </w:r>
      <w:r w:rsidRPr="00550B77">
        <w:softHyphen/>
        <w:t>politiken kompletterar detta synsätt. Den svenska befolkningsinriktade själ</w:t>
      </w:r>
      <w:r w:rsidRPr="00550B77">
        <w:t>v</w:t>
      </w:r>
      <w:r w:rsidRPr="00550B77">
        <w:t>mordspreventionen utgår från ett systemperspektiv. Den folkhälsopolitiska målstrukturen innebär att alla faktorer i människors sociala och fysiska miljö som är viktiga för hälsan inkluderas i det självmordspreventiva arbetet. ”</w:t>
      </w:r>
    </w:p>
    <w:p w:rsidR="009F61C7" w:rsidRPr="00550B77" w:rsidRDefault="009F61C7">
      <w:pPr>
        <w:pStyle w:val="Normaltindrag"/>
        <w:shd w:val="clear" w:color="000000" w:fill="auto"/>
      </w:pPr>
      <w:r w:rsidRPr="00550B77">
        <w:t xml:space="preserve">I dessa rader finns en insikt om det strukturella arbetets betydelse. Vi anser att den insikten borde genomsyra hela folkhälsopolitiken.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0B77">
        <w:trPr>
          <w:cantSplit/>
        </w:trPr>
        <w:tc>
          <w:tcPr>
            <w:tcW w:w="3046" w:type="dxa"/>
          </w:tcPr>
          <w:p w:rsidR="009F61C7" w:rsidRPr="00550B77" w:rsidRDefault="009F61C7">
            <w:pPr>
              <w:pStyle w:val="UnderskriftDatum"/>
              <w:shd w:val="clear" w:color="000000" w:fill="auto"/>
              <w:spacing w:before="240"/>
            </w:pPr>
            <w:r w:rsidRPr="00550B77">
              <w:t>Stockholm den 2 april 2008</w:t>
            </w:r>
          </w:p>
        </w:tc>
        <w:tc>
          <w:tcPr>
            <w:tcW w:w="3047" w:type="dxa"/>
          </w:tcPr>
          <w:p w:rsidR="009F61C7" w:rsidRPr="00550B77" w:rsidRDefault="009F61C7">
            <w:pPr>
              <w:pStyle w:val="Underskrifter"/>
              <w:shd w:val="clear" w:color="000000" w:fill="auto"/>
              <w:spacing w:before="240"/>
            </w:pPr>
          </w:p>
        </w:tc>
      </w:tr>
      <w:tr w:rsidR="00000000" w:rsidRPr="00550B77">
        <w:trPr>
          <w:cantSplit/>
        </w:trPr>
        <w:tc>
          <w:tcPr>
            <w:tcW w:w="3046" w:type="dxa"/>
          </w:tcPr>
          <w:p w:rsidR="009F61C7" w:rsidRPr="00550B77" w:rsidRDefault="009F61C7">
            <w:pPr>
              <w:pStyle w:val="Underskrifter"/>
              <w:shd w:val="clear" w:color="000000" w:fill="auto"/>
            </w:pPr>
            <w:r w:rsidRPr="00550B77">
              <w:t>Gunvor G Ericson (mp)</w:t>
            </w:r>
          </w:p>
        </w:tc>
        <w:tc>
          <w:tcPr>
            <w:tcW w:w="3046" w:type="dxa"/>
          </w:tcPr>
          <w:p w:rsidR="009F61C7" w:rsidRPr="00550B77" w:rsidRDefault="009F61C7">
            <w:pPr>
              <w:pStyle w:val="Underskrifter"/>
              <w:shd w:val="clear" w:color="000000" w:fill="auto"/>
            </w:pPr>
          </w:p>
        </w:tc>
      </w:tr>
      <w:tr w:rsidR="00000000" w:rsidRPr="00550B77">
        <w:trPr>
          <w:cantSplit/>
        </w:trPr>
        <w:tc>
          <w:tcPr>
            <w:tcW w:w="3046" w:type="dxa"/>
          </w:tcPr>
          <w:p w:rsidR="009F61C7" w:rsidRPr="00550B77" w:rsidRDefault="009F61C7">
            <w:pPr>
              <w:pStyle w:val="Underskrifter"/>
              <w:shd w:val="clear" w:color="000000" w:fill="auto"/>
            </w:pPr>
            <w:r w:rsidRPr="00550B77">
              <w:t>Thomas Nihlén (mp)</w:t>
            </w:r>
          </w:p>
        </w:tc>
        <w:tc>
          <w:tcPr>
            <w:tcW w:w="3046" w:type="dxa"/>
          </w:tcPr>
          <w:p w:rsidR="009F61C7" w:rsidRPr="00550B77" w:rsidRDefault="009F61C7">
            <w:pPr>
              <w:pStyle w:val="Underskrifter"/>
              <w:shd w:val="clear" w:color="000000" w:fill="auto"/>
            </w:pPr>
            <w:r w:rsidRPr="00550B77">
              <w:t>Jan Lindholm (mp)</w:t>
            </w:r>
          </w:p>
        </w:tc>
      </w:tr>
      <w:tr w:rsidR="00000000" w:rsidRPr="00550B77">
        <w:trPr>
          <w:cantSplit/>
        </w:trPr>
        <w:tc>
          <w:tcPr>
            <w:tcW w:w="3046" w:type="dxa"/>
          </w:tcPr>
          <w:p w:rsidR="009F61C7" w:rsidRPr="00550B77" w:rsidRDefault="009F61C7">
            <w:pPr>
              <w:pStyle w:val="Underskrifter"/>
              <w:shd w:val="clear" w:color="000000" w:fill="auto"/>
            </w:pPr>
            <w:r w:rsidRPr="00550B77">
              <w:t>Mats Pertoft (mp)</w:t>
            </w:r>
          </w:p>
        </w:tc>
        <w:tc>
          <w:tcPr>
            <w:tcW w:w="3046" w:type="dxa"/>
          </w:tcPr>
          <w:p w:rsidR="009F61C7" w:rsidRPr="00550B77" w:rsidRDefault="009F61C7">
            <w:pPr>
              <w:pStyle w:val="Underskrifter"/>
              <w:shd w:val="clear" w:color="000000" w:fill="auto"/>
            </w:pPr>
          </w:p>
        </w:tc>
      </w:tr>
    </w:tbl>
    <w:p w:rsidR="009F61C7" w:rsidRPr="00550B77" w:rsidRDefault="009F61C7">
      <w:pPr>
        <w:pStyle w:val="Normaltindrag"/>
        <w:shd w:val="clear" w:color="000000" w:fill="auto"/>
      </w:pPr>
    </w:p>
    <w:sectPr w:rsidR="009F61C7" w:rsidRPr="00550B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1C7" w:rsidRPr="00550B77" w:rsidRDefault="009F61C7">
      <w:r w:rsidRPr="00550B77">
        <w:separator/>
      </w:r>
    </w:p>
  </w:endnote>
  <w:endnote w:type="continuationSeparator" w:id="0">
    <w:p w:rsidR="009F61C7" w:rsidRPr="00550B77" w:rsidRDefault="009F61C7">
      <w:r w:rsidRPr="00550B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C7" w:rsidRPr="00550B77" w:rsidRDefault="00550B77">
    <w:pPr>
      <w:pStyle w:val="Sidfot"/>
    </w:pPr>
    <w:r w:rsidRPr="00550B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1837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1C7" w:rsidRDefault="009F61C7">
                          <w:pPr>
                            <w:pStyle w:val="NormalS5sidnrV"/>
                          </w:pPr>
                          <w:r>
                            <w:fldChar w:fldCharType="begin"/>
                          </w:r>
                          <w:r>
                            <w:instrText xml:space="preserve"> PAGE *\charformat</w:instrText>
                          </w:r>
                          <w:r>
                            <w:fldChar w:fldCharType="separate"/>
                          </w:r>
                          <w:r>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1C7" w:rsidRDefault="009F61C7">
                    <w:pPr>
                      <w:pStyle w:val="NormalS5sidnrV"/>
                    </w:pPr>
                    <w:r>
                      <w:fldChar w:fldCharType="begin"/>
                    </w:r>
                    <w:r>
                      <w:instrText xml:space="preserve"> PAGE *\charformat</w:instrText>
                    </w:r>
                    <w:r>
                      <w:fldChar w:fldCharType="separate"/>
                    </w:r>
                    <w:r>
                      <w:rPr>
                        <w:noProof/>
                      </w:rPr>
                      <w:t>30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C7" w:rsidRPr="00550B77" w:rsidRDefault="00550B77">
    <w:pPr>
      <w:pStyle w:val="Sidfot"/>
    </w:pPr>
    <w:r w:rsidRPr="00550B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564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1C7" w:rsidRDefault="009F61C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1C7" w:rsidRDefault="009F61C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C7" w:rsidRPr="00550B77" w:rsidRDefault="00550B77">
    <w:pPr>
      <w:pStyle w:val="Sidfot"/>
    </w:pPr>
    <w:r w:rsidRPr="00550B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870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1C7" w:rsidRDefault="009F61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1C7" w:rsidRDefault="009F61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1C7" w:rsidRPr="00550B77" w:rsidRDefault="009F61C7">
      <w:r w:rsidRPr="00550B77">
        <w:separator/>
      </w:r>
    </w:p>
  </w:footnote>
  <w:footnote w:type="continuationSeparator" w:id="0">
    <w:p w:rsidR="009F61C7" w:rsidRPr="00550B77" w:rsidRDefault="009F61C7">
      <w:r w:rsidRPr="00550B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C7" w:rsidRPr="00550B77" w:rsidRDefault="00550B77">
    <w:pPr>
      <w:pStyle w:val="Sidhuvud"/>
    </w:pPr>
    <w:r w:rsidRPr="00550B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53405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1C7" w:rsidRDefault="009F61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1C7" w:rsidRDefault="009F61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C7" w:rsidRPr="00550B77" w:rsidRDefault="00550B77">
    <w:pPr>
      <w:pStyle w:val="Sidhuvud"/>
    </w:pPr>
    <w:r w:rsidRPr="00550B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90864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1C7" w:rsidRDefault="009F61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1C7" w:rsidRDefault="009F61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1C7" w:rsidRPr="00550B77" w:rsidRDefault="009F61C7">
    <w:pPr>
      <w:pStyle w:val="FSHNormal"/>
      <w:tabs>
        <w:tab w:val="right" w:pos="5840"/>
      </w:tabs>
    </w:pPr>
    <w:r w:rsidRPr="00550B77">
      <w:br/>
    </w:r>
    <w:r w:rsidRPr="00550B77">
      <w:fldChar w:fldCharType="begin" w:fldLock="1"/>
    </w:r>
    <w:r w:rsidRPr="00550B77">
      <w:instrText xml:space="preserve"> DOCPROPERTY</w:instrText>
    </w:r>
    <w:r w:rsidRPr="00550B77">
      <w:rPr>
        <w:sz w:val="18"/>
      </w:rPr>
      <w:instrText xml:space="preserve"> "YearUser" *\charformat </w:instrText>
    </w:r>
    <w:r w:rsidRPr="00550B77">
      <w:fldChar w:fldCharType="separate"/>
    </w:r>
    <w:r w:rsidRPr="00550B77">
      <w:t>2007/08</w:t>
    </w:r>
    <w:r w:rsidRPr="00550B77">
      <w:fldChar w:fldCharType="end"/>
    </w:r>
    <w:r w:rsidRPr="00550B77">
      <w:t xml:space="preserve"> </w:t>
    </w:r>
    <w:r w:rsidRPr="00550B77">
      <w:tab/>
      <w:t xml:space="preserve">mnr: </w:t>
    </w:r>
    <w:r w:rsidRPr="00550B77">
      <w:fldChar w:fldCharType="begin" w:fldLock="1"/>
    </w:r>
    <w:r w:rsidRPr="00550B77">
      <w:instrText xml:space="preserve"> DOCPROPERTY</w:instrText>
    </w:r>
    <w:r w:rsidRPr="00550B77">
      <w:rPr>
        <w:sz w:val="18"/>
      </w:rPr>
      <w:instrText xml:space="preserve"> "Motionsnummer" *\charformat </w:instrText>
    </w:r>
    <w:r w:rsidRPr="00550B77">
      <w:fldChar w:fldCharType="separate"/>
    </w:r>
    <w:r w:rsidRPr="00550B77">
      <w:t>So21</w:t>
    </w:r>
    <w:r w:rsidRPr="00550B77">
      <w:fldChar w:fldCharType="end"/>
    </w:r>
    <w:r w:rsidRPr="00550B77">
      <w:br/>
    </w:r>
    <w:r w:rsidRPr="00550B77">
      <w:fldChar w:fldCharType="begin" w:fldLock="1"/>
    </w:r>
    <w:r w:rsidRPr="00550B77">
      <w:instrText xml:space="preserve"> DOCPROPERTY</w:instrText>
    </w:r>
    <w:r w:rsidRPr="00550B77">
      <w:rPr>
        <w:sz w:val="18"/>
      </w:rPr>
      <w:instrText xml:space="preserve"> "Samling" *\charformat </w:instrText>
    </w:r>
    <w:r w:rsidRPr="00550B77">
      <w:fldChar w:fldCharType="end"/>
    </w:r>
    <w:r w:rsidRPr="00550B77">
      <w:tab/>
      <w:t xml:space="preserve">pnr: </w:t>
    </w:r>
    <w:r w:rsidRPr="00550B77">
      <w:fldChar w:fldCharType="begin" w:fldLock="1"/>
    </w:r>
    <w:r w:rsidRPr="00550B77">
      <w:instrText xml:space="preserve"> DOCPROPERTY</w:instrText>
    </w:r>
    <w:r w:rsidRPr="00550B77">
      <w:rPr>
        <w:sz w:val="18"/>
      </w:rPr>
      <w:instrText xml:space="preserve"> "Partinummer" *\charformat </w:instrText>
    </w:r>
    <w:r w:rsidRPr="00550B77">
      <w:fldChar w:fldCharType="separate"/>
    </w:r>
    <w:r w:rsidRPr="00550B77">
      <w:t>mp45</w:t>
    </w:r>
    <w:r w:rsidRPr="00550B77">
      <w:fldChar w:fldCharType="end"/>
    </w:r>
  </w:p>
  <w:p w:rsidR="009F61C7" w:rsidRPr="00550B77" w:rsidRDefault="009F61C7">
    <w:pPr>
      <w:pStyle w:val="FSHRub1"/>
    </w:pPr>
    <w:r w:rsidRPr="00550B77">
      <w:t>Motion till riksdagen</w:t>
    </w:r>
    <w:r w:rsidRPr="00550B77">
      <w:br/>
    </w:r>
    <w:r w:rsidRPr="00550B77">
      <w:fldChar w:fldCharType="begin" w:fldLock="1"/>
    </w:r>
    <w:r w:rsidRPr="00550B77">
      <w:instrText xml:space="preserve"> DOCPROPERTY "YearUser" *\charformat </w:instrText>
    </w:r>
    <w:r w:rsidRPr="00550B77">
      <w:fldChar w:fldCharType="separate"/>
    </w:r>
    <w:r w:rsidRPr="00550B77">
      <w:t>2007/08</w:t>
    </w:r>
    <w:r w:rsidRPr="00550B77">
      <w:fldChar w:fldCharType="end"/>
    </w:r>
    <w:r w:rsidRPr="00550B77">
      <w:t>:</w:t>
    </w:r>
    <w:r w:rsidRPr="00550B77">
      <w:fldChar w:fldCharType="begin" w:fldLock="1"/>
    </w:r>
    <w:r w:rsidRPr="00550B77">
      <w:instrText xml:space="preserve"> DOCPROPERTY "Motionsnummer" *\charformat </w:instrText>
    </w:r>
    <w:r w:rsidRPr="00550B77">
      <w:fldChar w:fldCharType="separate"/>
    </w:r>
    <w:r w:rsidRPr="00550B77">
      <w:t>So21</w:t>
    </w:r>
    <w:r w:rsidRPr="00550B77">
      <w:fldChar w:fldCharType="end"/>
    </w:r>
  </w:p>
  <w:p w:rsidR="009F61C7" w:rsidRPr="00550B77" w:rsidRDefault="009F61C7">
    <w:pPr>
      <w:pStyle w:val="FSHNormalS5"/>
    </w:pPr>
    <w:r w:rsidRPr="00550B77">
      <w:fldChar w:fldCharType="begin" w:fldLock="1"/>
    </w:r>
    <w:r w:rsidRPr="00550B77">
      <w:instrText xml:space="preserve"> DOCPROPERTY "MotionarText" *\charformat </w:instrText>
    </w:r>
    <w:r w:rsidRPr="00550B77">
      <w:fldChar w:fldCharType="separate"/>
    </w:r>
    <w:r w:rsidRPr="00550B77">
      <w:t>av Gunvor G Ericson m.fl. (mp)</w:t>
    </w:r>
    <w:r w:rsidRPr="00550B77">
      <w:fldChar w:fldCharType="end"/>
    </w:r>
    <w:r w:rsidRPr="00550B77">
      <w:br/>
    </w:r>
    <w:r w:rsidRPr="00550B77">
      <w:fldChar w:fldCharType="begin" w:fldLock="1"/>
    </w:r>
    <w:r w:rsidRPr="00550B77">
      <w:instrText xml:space="preserve"> DOCPROPERTY "SvarFrasKort" *\charformat </w:instrText>
    </w:r>
    <w:r w:rsidRPr="00550B77">
      <w:fldChar w:fldCharType="separate"/>
    </w:r>
    <w:r w:rsidRPr="00550B77">
      <w:t>med anledning av prop. 2007/08:110</w:t>
    </w:r>
    <w:r w:rsidRPr="00550B77">
      <w:fldChar w:fldCharType="end"/>
    </w:r>
  </w:p>
  <w:p w:rsidR="009F61C7" w:rsidRPr="00550B77" w:rsidRDefault="009F61C7">
    <w:pPr>
      <w:pStyle w:val="FSHTitel"/>
    </w:pPr>
    <w:r w:rsidRPr="00550B77">
      <w:fldChar w:fldCharType="begin" w:fldLock="1"/>
    </w:r>
    <w:r w:rsidRPr="00550B77">
      <w:instrText xml:space="preserve"> DOCPROPERTY</w:instrText>
    </w:r>
    <w:r w:rsidRPr="00550B77">
      <w:rPr>
        <w:sz w:val="18"/>
      </w:rPr>
      <w:instrText xml:space="preserve"> "RubrikSvar" *\charformat </w:instrText>
    </w:r>
    <w:r w:rsidRPr="00550B77">
      <w:fldChar w:fldCharType="separate"/>
    </w:r>
    <w:r w:rsidRPr="00550B77">
      <w:t>En förnyad folkhälsopolitik</w:t>
    </w:r>
    <w:r w:rsidRPr="00550B77">
      <w:fldChar w:fldCharType="end"/>
    </w:r>
  </w:p>
  <w:p w:rsidR="009F61C7" w:rsidRPr="00550B77" w:rsidRDefault="009F61C7">
    <w:pPr>
      <w:pStyle w:val="Normal00"/>
    </w:pPr>
  </w:p>
  <w:p w:rsidR="009F61C7" w:rsidRPr="00550B77" w:rsidRDefault="009F61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6F6F5B"/>
    <w:multiLevelType w:val="hybridMultilevel"/>
    <w:tmpl w:val="CD8ADBB6"/>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EE74E78"/>
    <w:multiLevelType w:val="hybridMultilevel"/>
    <w:tmpl w:val="21B210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D6416DF"/>
    <w:multiLevelType w:val="multilevel"/>
    <w:tmpl w:val="26E8E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D9054D"/>
    <w:multiLevelType w:val="multilevel"/>
    <w:tmpl w:val="F350C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6B477C"/>
    <w:multiLevelType w:val="multilevel"/>
    <w:tmpl w:val="795098B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DB23C0"/>
    <w:multiLevelType w:val="multilevel"/>
    <w:tmpl w:val="601ED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1633086"/>
    <w:multiLevelType w:val="hybridMultilevel"/>
    <w:tmpl w:val="9526810C"/>
    <w:lvl w:ilvl="0" w:tplc="942CE7A0">
      <w:start w:val="1"/>
      <w:numFmt w:val="bullet"/>
      <w:lvlText w:val="?"/>
      <w:lvlJc w:val="left"/>
      <w:pPr>
        <w:tabs>
          <w:tab w:val="num" w:pos="720"/>
        </w:tabs>
        <w:ind w:left="720" w:hanging="360"/>
      </w:pPr>
      <w:rPr>
        <w:rFonts w:ascii="Symbol" w:hAnsi="Symbol"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164109"/>
    <w:multiLevelType w:val="hybridMultilevel"/>
    <w:tmpl w:val="437A33B6"/>
    <w:lvl w:ilvl="0" w:tplc="0A4689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3068456">
    <w:abstractNumId w:val="8"/>
  </w:num>
  <w:num w:numId="2" w16cid:durableId="424418229">
    <w:abstractNumId w:val="9"/>
  </w:num>
  <w:num w:numId="3" w16cid:durableId="561529729">
    <w:abstractNumId w:val="8"/>
  </w:num>
  <w:num w:numId="4" w16cid:durableId="1997299191">
    <w:abstractNumId w:val="9"/>
  </w:num>
  <w:num w:numId="5" w16cid:durableId="136918679">
    <w:abstractNumId w:val="18"/>
  </w:num>
  <w:num w:numId="6" w16cid:durableId="1784299462">
    <w:abstractNumId w:val="10"/>
  </w:num>
  <w:num w:numId="7" w16cid:durableId="1644889907">
    <w:abstractNumId w:val="13"/>
  </w:num>
  <w:num w:numId="8" w16cid:durableId="1824931186">
    <w:abstractNumId w:val="17"/>
  </w:num>
  <w:num w:numId="9" w16cid:durableId="73866876">
    <w:abstractNumId w:val="8"/>
  </w:num>
  <w:num w:numId="10" w16cid:durableId="1034772200">
    <w:abstractNumId w:val="3"/>
  </w:num>
  <w:num w:numId="11" w16cid:durableId="1060128502">
    <w:abstractNumId w:val="2"/>
  </w:num>
  <w:num w:numId="12" w16cid:durableId="433212314">
    <w:abstractNumId w:val="1"/>
  </w:num>
  <w:num w:numId="13" w16cid:durableId="279723942">
    <w:abstractNumId w:val="0"/>
  </w:num>
  <w:num w:numId="14" w16cid:durableId="283317171">
    <w:abstractNumId w:val="9"/>
  </w:num>
  <w:num w:numId="15" w16cid:durableId="1594321334">
    <w:abstractNumId w:val="7"/>
  </w:num>
  <w:num w:numId="16" w16cid:durableId="851919226">
    <w:abstractNumId w:val="6"/>
  </w:num>
  <w:num w:numId="17" w16cid:durableId="714548320">
    <w:abstractNumId w:val="5"/>
  </w:num>
  <w:num w:numId="18" w16cid:durableId="509686668">
    <w:abstractNumId w:val="4"/>
  </w:num>
  <w:num w:numId="19" w16cid:durableId="1150099432">
    <w:abstractNumId w:val="21"/>
  </w:num>
  <w:num w:numId="20" w16cid:durableId="942344658">
    <w:abstractNumId w:val="12"/>
  </w:num>
  <w:num w:numId="21" w16cid:durableId="2046832763">
    <w:abstractNumId w:val="20"/>
  </w:num>
  <w:num w:numId="22" w16cid:durableId="330840289">
    <w:abstractNumId w:val="15"/>
  </w:num>
  <w:num w:numId="23" w16cid:durableId="1472745243">
    <w:abstractNumId w:val="11"/>
  </w:num>
  <w:num w:numId="24" w16cid:durableId="255331470">
    <w:abstractNumId w:val="19"/>
  </w:num>
  <w:num w:numId="25" w16cid:durableId="1269578209">
    <w:abstractNumId w:val="14"/>
  </w:num>
  <w:num w:numId="26" w16cid:durableId="501508890">
    <w:abstractNumId w:val="16"/>
  </w:num>
  <w:num w:numId="27" w16cid:durableId="202209733">
    <w:abstractNumId w:val="10"/>
  </w:num>
  <w:num w:numId="28" w16cid:durableId="1289894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0"/>
    <w:docVar w:name="PersonGUIDs" w:val="{89ABCACB-191A-460E-9D0D-F493EEE6F9F1},{678A9254-59ED-452D-AB16-7DA16C224668},{C87839E7-C05D-47B9-AB7F-246B82B1F61B},{0F87DCE8-E845-4A82-8576-72C9B4F36723}"/>
  </w:docVars>
  <w:rsids>
    <w:rsidRoot w:val="006B581B"/>
    <w:rsid w:val="00550B77"/>
    <w:rsid w:val="006B581B"/>
    <w:rsid w:val="009F61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6E0FC0A-5382-4D4A-9082-C5F020FD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upcast-headingnumber">
    <w:name w:val="upcast-headingnumber"/>
    <w:basedOn w:val="Standardstycketeckensnitt"/>
    <w:rPr>
      <w:rFonts w:ascii="Verdana" w:hAnsi="Verdana" w:hint="default"/>
    </w:rPr>
  </w:style>
  <w:style w:type="character" w:styleId="Stark">
    <w:name w:val="Strong"/>
    <w:basedOn w:val="Standardstycketeckensnitt"/>
    <w:qFormat/>
    <w:locked/>
    <w:rPr>
      <w:b/>
      <w:bCs/>
    </w:rPr>
  </w:style>
  <w:style w:type="character" w:customStyle="1" w:styleId="footnotereference">
    <w:name w:val="footnote reference"/>
    <w:basedOn w:val="Standardstycketeckensnitt"/>
    <w:rPr>
      <w:rFonts w:ascii="Verdana" w:hAnsi="Verdana" w:hint="default"/>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11984</Words>
  <Characters>70232</Characters>
  <Application>Microsoft Office Word</Application>
  <DocSecurity>4</DocSecurity>
  <Lines>1254</Lines>
  <Paragraphs>335</Paragraphs>
  <ScaleCrop>false</ScaleCrop>
  <HeadingPairs>
    <vt:vector size="2" baseType="variant">
      <vt:variant>
        <vt:lpstr>Rubrik</vt:lpstr>
      </vt:variant>
      <vt:variant>
        <vt:i4>1</vt:i4>
      </vt:variant>
    </vt:vector>
  </HeadingPairs>
  <TitlesOfParts>
    <vt:vector size="1" baseType="lpstr">
      <vt:lpstr>mp045</vt:lpstr>
    </vt:vector>
  </TitlesOfParts>
  <Company>Riksdagen</Company>
  <LinksUpToDate>false</LinksUpToDate>
  <CharactersWithSpaces>81881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mp045</dc:title>
  <dc:subject>mp045</dc:subject>
  <dc:creator>Riksdagen</dc:creator>
  <cp:keywords>Riksdagen</cp:keywords>
  <dc:description>TKG-ktrl, MSMQ4mb, PersReg-Distribution mm</dc:description>
  <cp:lastModifiedBy>Lars Brink</cp:lastModifiedBy>
  <cp:revision>2</cp:revision>
  <cp:lastPrinted>2008-04-08T13:39:00Z</cp:lastPrinted>
  <dcterms:created xsi:type="dcterms:W3CDTF">2025-12-17T08:33:00Z</dcterms:created>
  <dcterms:modified xsi:type="dcterms:W3CDTF">2025-12-17T08:33:00Z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mot2000_492_2008-03-20</vt:lpwstr>
  </property>
  <property fmtid="{D5CDD505-2E9C-101B-9397-08002B2CF9AE}" pid="3" name="version">
    <vt:lpwstr>mot2000_492_2008-03-20</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2007/08:110 En förnyad folkhälsopolitik</vt:lpwstr>
  </property>
  <property fmtid="{D5CDD505-2E9C-101B-9397-08002B2CF9AE}" pid="11" name="SvarFrasKort">
    <vt:lpwstr>med anledning av prop. 2007/08:110</vt:lpwstr>
  </property>
  <property fmtid="{D5CDD505-2E9C-101B-9397-08002B2CF9AE}" pid="12" name="Svar">
    <vt:lpwstr>Proposition</vt:lpwstr>
  </property>
  <property fmtid="{D5CDD505-2E9C-101B-9397-08002B2CF9AE}" pid="13" name="SvarNr">
    <vt:lpwstr>2007/08:110</vt:lpwstr>
  </property>
  <property fmtid="{D5CDD505-2E9C-101B-9397-08002B2CF9AE}" pid="14" name="RubrikSvar">
    <vt:lpwstr>En förnyad folkhälsopolitik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(mp)\Nihlén, Thomas (mp)\Lindholm, Jan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april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20072008000001090112000000450075</vt:lpwstr>
  </property>
  <property fmtid="{D5CDD505-2E9C-101B-9397-08002B2CF9AE}" pid="47" name="datum">
    <vt:lpwstr>080402</vt:lpwstr>
  </property>
  <property fmtid="{D5CDD505-2E9C-101B-9397-08002B2CF9AE}" pid="48" name="avsändar-e-post">
    <vt:lpwstr>magnus.lindgren@riksdagen.se</vt:lpwstr>
  </property>
  <property fmtid="{D5CDD505-2E9C-101B-9397-08002B2CF9AE}" pid="49" name="id">
    <vt:lpwstr>20072008000001090112000000450075</vt:lpwstr>
  </property>
  <property fmtid="{D5CDD505-2E9C-101B-9397-08002B2CF9AE}" pid="50" name="nummer">
    <vt:lpwstr>21</vt:lpwstr>
  </property>
  <property fmtid="{D5CDD505-2E9C-101B-9397-08002B2CF9AE}" pid="51" name="utskottsbeteckning">
    <vt:lpwstr>So</vt:lpwstr>
  </property>
  <property fmtid="{D5CDD505-2E9C-101B-9397-08002B2CF9AE}" pid="52" name="GlobalUID">
    <vt:lpwstr>{3DD9164A-2A0F-4703-9423-11E0EF6D9032}</vt:lpwstr>
  </property>
  <property fmtid="{D5CDD505-2E9C-101B-9397-08002B2CF9AE}" pid="53" name="Överföringar">
    <vt:i4>0</vt:i4>
  </property>
  <property fmtid="{D5CDD505-2E9C-101B-9397-08002B2CF9AE}" pid="54" name="Checksum">
    <vt:lpwstr>*0006734014948*</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15:41:09.100</vt:lpwstr>
  </property>
  <property fmtid="{D5CDD505-2E9C-101B-9397-08002B2CF9AE}" pid="58" name="urixGuid">
    <vt:lpwstr>{95A5960D-7C9C-4079-B54D-B69702CABF6B}</vt:lpwstr>
  </property>
</Properties>
</file>