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6201" w:rsidRPr="0016455F" w:rsidRDefault="00586201">
      <w:pPr>
        <w:pStyle w:val="Hemstlrubrik"/>
      </w:pPr>
      <w:r w:rsidRPr="0016455F">
        <w:t>Förslag till riksdagsbeslut</w:t>
      </w:r>
    </w:p>
    <w:p w:rsidR="00586201" w:rsidRPr="0016455F" w:rsidRDefault="00586201">
      <w:pPr>
        <w:pStyle w:val="Hemstlatt"/>
        <w:numPr>
          <w:ilvl w:val="0"/>
          <w:numId w:val="1"/>
        </w:numPr>
      </w:pPr>
      <w:r w:rsidRPr="0016455F">
        <w:t>Riksdagen tillkännager för regeringen som sin mening vad som anförs i motionen om behovet av att brottmål, särskilt för sexual- och barnpornografibrott där barn är målsägande, ska avgöras av specialutbildade domare.</w:t>
      </w:r>
    </w:p>
    <w:p w:rsidR="00586201" w:rsidRPr="0016455F" w:rsidRDefault="00586201">
      <w:pPr>
        <w:pStyle w:val="Hemstlatt"/>
        <w:numPr>
          <w:ilvl w:val="0"/>
          <w:numId w:val="1"/>
        </w:numPr>
      </w:pPr>
      <w:r w:rsidRPr="0016455F">
        <w:t>Riksdagen tillkännager för regeringen som sin mening vad som anförs i motionen om behovet av att i mål som gäller sexualbrott mot barn, domstolar i ökad utsträckning använder sig av sakkunniga med expertis inom frågan.</w:t>
      </w:r>
    </w:p>
    <w:p w:rsidR="00586201" w:rsidRPr="0016455F" w:rsidRDefault="00586201">
      <w:pPr>
        <w:pStyle w:val="Rubrik1"/>
      </w:pPr>
      <w:r w:rsidRPr="0016455F">
        <w:t>Motivering</w:t>
      </w:r>
    </w:p>
    <w:p w:rsidR="00586201" w:rsidRPr="0016455F" w:rsidRDefault="00586201">
      <w:r w:rsidRPr="0016455F">
        <w:t>Misstänkta förövare frias gång på gång i sexualbrottmål, eftersom barnets vittnesmål inte anses vara tillförlitligt. Barn anses som icke trovärdiga, efte</w:t>
      </w:r>
      <w:r w:rsidRPr="0016455F">
        <w:t>r</w:t>
      </w:r>
      <w:r w:rsidRPr="0016455F">
        <w:t>som barnet ”ändrat sin berättelse”, ”väntat länge med att berätta för n</w:t>
      </w:r>
      <w:r w:rsidRPr="0016455F">
        <w:t>å</w:t>
      </w:r>
      <w:r w:rsidRPr="0016455F">
        <w:t>gon”, ”någon i omgivningen borde ha upptäckt det” m.m.</w:t>
      </w:r>
    </w:p>
    <w:p w:rsidR="00586201" w:rsidRPr="0016455F" w:rsidRDefault="00586201">
      <w:pPr>
        <w:pStyle w:val="Normaltindrag"/>
      </w:pPr>
      <w:r w:rsidRPr="0016455F">
        <w:t>Bland forskare och andra experter på området är det väl dokumenterat att barn utsatta för sexuella övergrepp inte självmant spontant berättar om öve</w:t>
      </w:r>
      <w:r w:rsidRPr="0016455F">
        <w:t>r</w:t>
      </w:r>
      <w:r w:rsidRPr="0016455F">
        <w:t>greppen. Barn berättar många gånger inte ens när de konfronteras med dok</w:t>
      </w:r>
      <w:r w:rsidRPr="0016455F">
        <w:t>u</w:t>
      </w:r>
      <w:r w:rsidRPr="0016455F">
        <w:t>mentationen av övergreppen.</w:t>
      </w:r>
    </w:p>
    <w:p w:rsidR="00586201" w:rsidRPr="0016455F" w:rsidRDefault="00586201">
      <w:pPr>
        <w:pStyle w:val="Normaltindrag"/>
      </w:pPr>
      <w:r w:rsidRPr="0016455F">
        <w:t>Det är också väl dokumenterat att barnet berättar först när det känner sig tryggt, har förtroende för den vuxne och känner att den vuxne orkar lyssna på vad barnet har att berätta</w:t>
      </w:r>
      <w:r w:rsidRPr="0016455F">
        <w:rPr>
          <w:rStyle w:val="Fotnotsreferens"/>
        </w:rPr>
        <w:footnoteReference w:id="2"/>
      </w:r>
      <w:r w:rsidRPr="0016455F">
        <w:t>. Att såsom sker idag avfärda barnet som ”icke til</w:t>
      </w:r>
      <w:r w:rsidRPr="0016455F">
        <w:t>l</w:t>
      </w:r>
      <w:r w:rsidRPr="0016455F">
        <w:t xml:space="preserve">förlitligt”, när det berättar mer först under det andra och tredje förhöret, tyder </w:t>
      </w:r>
      <w:r w:rsidRPr="0016455F">
        <w:lastRenderedPageBreak/>
        <w:t>på brist på kunskap och att rättsprocessen sker helt och hållet på de vuxnas villkor.</w:t>
      </w:r>
    </w:p>
    <w:p w:rsidR="00586201" w:rsidRPr="0016455F" w:rsidRDefault="00586201">
      <w:pPr>
        <w:pStyle w:val="Normaltindrag"/>
        <w:rPr>
          <w:b/>
        </w:rPr>
      </w:pPr>
      <w:r w:rsidRPr="0016455F">
        <w:t>Både poliser och åklagare har obligatorisk vidareutbildning och en viss möjlighet till specialisering. Så är dock inte fallet inom domarkåren, som saknar möjlighet till specialisering och där det är upp till varje enskild do</w:t>
      </w:r>
      <w:r w:rsidRPr="0016455F">
        <w:t>m</w:t>
      </w:r>
      <w:r w:rsidRPr="0016455F">
        <w:t>stol att bedöma utbildningsbehovet. Avsaknaden av möjlighet till specialis</w:t>
      </w:r>
      <w:r w:rsidRPr="0016455F">
        <w:t>e</w:t>
      </w:r>
      <w:r w:rsidRPr="0016455F">
        <w:t>ring inom domarkåren blir ytterst märkbar vid valet av vilka utbildningsinsa</w:t>
      </w:r>
      <w:r w:rsidRPr="0016455F">
        <w:t>t</w:t>
      </w:r>
      <w:r w:rsidRPr="0016455F">
        <w:t>ser som ska anses relevanta. Väldokumenterade erfarenheter av det sistnäm</w:t>
      </w:r>
      <w:r w:rsidRPr="0016455F">
        <w:t>n</w:t>
      </w:r>
      <w:r w:rsidRPr="0016455F">
        <w:t>da har också visat att domarkåren är en svår grupp att locka till utbildningsi</w:t>
      </w:r>
      <w:r w:rsidRPr="0016455F">
        <w:t>n</w:t>
      </w:r>
      <w:r w:rsidRPr="0016455F">
        <w:t>satser. Den generella uppfattningen inom kåren är dessutom att det finns en övervägande risk att den enskilda utbildningen skulle kunna påverka dom</w:t>
      </w:r>
      <w:r w:rsidRPr="0016455F">
        <w:t>a</w:t>
      </w:r>
      <w:r w:rsidRPr="0016455F">
        <w:t>rens objektivitet. Den yttersta konsekvensen av den rådand</w:t>
      </w:r>
      <w:r w:rsidRPr="0016455F">
        <w:t>e situationen, vad gäller åtminstone sexualbrottmål där barn är målsägande, är den uppenbara bristen på kunskap om barns mognad och utveckling, vilket gång på gång resulterar i att barnperspektivet negligeras vid den juridiska bedömningen.</w:t>
      </w:r>
    </w:p>
    <w:p w:rsidR="00586201" w:rsidRPr="0016455F" w:rsidRDefault="00586201">
      <w:pPr>
        <w:pStyle w:val="Normaltindrag"/>
        <w:rPr>
          <w:i/>
        </w:rPr>
      </w:pPr>
      <w:r w:rsidRPr="0016455F">
        <w:t>Så sent som i januari 2005 kritiserade FN:s barnrättskommitté Sverige för bristen på adekvat utbildning för domare</w:t>
      </w:r>
      <w:r w:rsidRPr="0016455F">
        <w:rPr>
          <w:rStyle w:val="Fotnotsreferens"/>
        </w:rPr>
        <w:footnoteReference w:id="3"/>
      </w:r>
      <w:r w:rsidRPr="0016455F">
        <w:t>. Under FN:s barnrättskommittés he</w:t>
      </w:r>
      <w:r w:rsidRPr="0016455F">
        <w:t>a</w:t>
      </w:r>
      <w:r w:rsidRPr="0016455F">
        <w:t xml:space="preserve">ring med regeringen uttrycktes en förvåning över att vidareutbildningen för domare, som har ”barnmål”, inte är obligatorisk. </w:t>
      </w:r>
      <w:r w:rsidRPr="0016455F">
        <w:t>Som det uttrycktes av ko</w:t>
      </w:r>
      <w:r w:rsidRPr="0016455F">
        <w:t>m</w:t>
      </w:r>
      <w:r w:rsidRPr="0016455F">
        <w:t>mitténs ordförande: ”</w:t>
      </w:r>
      <w:r w:rsidRPr="0016455F">
        <w:rPr>
          <w:i/>
        </w:rPr>
        <w:t xml:space="preserve">Make it compulsory! </w:t>
      </w:r>
      <w:r w:rsidRPr="0016455F">
        <w:rPr>
          <w:i/>
        </w:rPr>
        <w:t>If you don’t comply, you are out of bus</w:t>
      </w:r>
      <w:r w:rsidRPr="0016455F">
        <w:rPr>
          <w:i/>
        </w:rPr>
        <w:t>i</w:t>
      </w:r>
      <w:r w:rsidRPr="0016455F">
        <w:rPr>
          <w:i/>
        </w:rPr>
        <w:t>ness, that’s the way to do it!”</w:t>
      </w:r>
    </w:p>
    <w:p w:rsidR="00586201" w:rsidRPr="0016455F" w:rsidRDefault="00586201">
      <w:pPr>
        <w:pStyle w:val="Normaltindrag"/>
      </w:pPr>
      <w:r w:rsidRPr="0016455F">
        <w:t>Redan i SOU 2004:71 – Sexuell exploatering av barn i Sverige konstater</w:t>
      </w:r>
      <w:r w:rsidRPr="0016455F">
        <w:t>a</w:t>
      </w:r>
      <w:r w:rsidRPr="0016455F">
        <w:t>des att det måste ske en förändring vad gäller sexual- och barnpornografimål på sidan 197: ”</w:t>
      </w:r>
      <w:r w:rsidRPr="0016455F">
        <w:rPr>
          <w:i/>
        </w:rPr>
        <w:t>Det har vid utredningens genomgång av domar framgått, att domstolarna ofta saknar kunskap om dynamiken i och konsekvenserna av denna typ av brott. Exempel finns på domar där ansvaret för exploatering lagts på minderåriga barn och att risken för upprepad brottslighet neglig</w:t>
      </w:r>
      <w:r w:rsidRPr="0016455F">
        <w:rPr>
          <w:i/>
        </w:rPr>
        <w:t>e</w:t>
      </w:r>
      <w:r w:rsidRPr="0016455F">
        <w:rPr>
          <w:i/>
        </w:rPr>
        <w:t>rats</w:t>
      </w:r>
      <w:r w:rsidRPr="0016455F">
        <w:t>.”</w:t>
      </w:r>
    </w:p>
    <w:p w:rsidR="00586201" w:rsidRPr="0016455F" w:rsidRDefault="00586201">
      <w:pPr>
        <w:pStyle w:val="Normaltindrag"/>
      </w:pPr>
      <w:r w:rsidRPr="0016455F">
        <w:t xml:space="preserve">”Även </w:t>
      </w:r>
      <w:r w:rsidRPr="0016455F">
        <w:rPr>
          <w:b/>
        </w:rPr>
        <w:t xml:space="preserve">domare </w:t>
      </w:r>
      <w:r w:rsidRPr="0016455F">
        <w:t>… behöver särskild kompetens i mål som gäller sexuell exploatering av barn”, för att citera ovan angivna SOU.</w:t>
      </w:r>
    </w:p>
    <w:p w:rsidR="00586201" w:rsidRPr="0016455F" w:rsidRDefault="00586201">
      <w:pPr>
        <w:pStyle w:val="Normaltindrag"/>
      </w:pPr>
      <w:r w:rsidRPr="0016455F">
        <w:t>Mot bakgrund av ovanstående anser vi att specialiserade domare för brottmål där barn är målsägande bör införas i Sverige för att garantera bar</w:t>
      </w:r>
      <w:r w:rsidRPr="0016455F">
        <w:t>n</w:t>
      </w:r>
      <w:r w:rsidRPr="0016455F">
        <w:t>perspektivet vid den juridiska bedömningen. Domare som ska döma i denna typ av mål ska därför specialutbildas och kontinuerligt genomgå en obligat</w:t>
      </w:r>
      <w:r w:rsidRPr="0016455F">
        <w:t>o</w:t>
      </w:r>
      <w:r w:rsidRPr="0016455F">
        <w:t>risk vidareutbildning för att kontinuerligt ta del av den senaste forskningen inom juridik, medicin och psykologi.</w:t>
      </w:r>
    </w:p>
    <w:p w:rsidR="00586201" w:rsidRPr="0016455F" w:rsidRDefault="00586201">
      <w:pPr>
        <w:pStyle w:val="Normaltindrag"/>
        <w:rPr>
          <w:snapToGrid w:val="0"/>
        </w:rPr>
      </w:pPr>
      <w:r w:rsidRPr="0016455F">
        <w:t xml:space="preserve">En ytterligare åtgärd för att tillvarata barns rättigheter i denna typ av mål borde vara att utöka förordnandet av sakkunniga i rätten. Användningen av sakkunniga har minskat drastiskt sedan Högsta domstolen </w:t>
      </w:r>
      <w:r w:rsidRPr="0016455F">
        <w:rPr>
          <w:snapToGrid w:val="0"/>
        </w:rPr>
        <w:t>1992 uttalade att sakkunniga psykologer bara borde förekomma i de fall då barnet inte alls hördes i rättegången. Fram till början av 1990-talet förekom psykologiskt sakkunniga i över 20 procent av alla mål rörande sexualbrott mot barn. Sedan 1995 har andelen sjunkit och understiger numera 7 procent.</w:t>
      </w:r>
    </w:p>
    <w:p w:rsidR="00586201" w:rsidRPr="0016455F" w:rsidRDefault="00586201">
      <w:pPr>
        <w:pStyle w:val="Normaltindrag"/>
      </w:pPr>
      <w:r w:rsidRPr="0016455F">
        <w:rPr>
          <w:snapToGrid w:val="0"/>
        </w:rPr>
        <w:t>Från aktuell svensk forskning kan vi även hämta följande slutsats som ett argument för en förbättrad rättssäkerhet: ”En ännu större restriktivitet, försi</w:t>
      </w:r>
      <w:r w:rsidRPr="0016455F">
        <w:rPr>
          <w:snapToGrid w:val="0"/>
        </w:rPr>
        <w:t>k</w:t>
      </w:r>
      <w:r w:rsidRPr="0016455F">
        <w:rPr>
          <w:snapToGrid w:val="0"/>
        </w:rPr>
        <w:t>tighet och skepticism mot unga sexualbrottsoffer finns i domstolarna – trots att de allra flesta åtal idag innehåller en massiv stödbevisning är friandefr</w:t>
      </w:r>
      <w:r w:rsidRPr="0016455F">
        <w:rPr>
          <w:snapToGrid w:val="0"/>
        </w:rPr>
        <w:t>e</w:t>
      </w:r>
      <w:r w:rsidRPr="0016455F">
        <w:rPr>
          <w:snapToGrid w:val="0"/>
        </w:rPr>
        <w:t>kvensen minst 4 gånger högre i mål rörande sexualbrott mot barn jämfört med brott i allmänhet. Man kan anta att det är domstolarnas skepsis mot uppgifter från unga sexualbrottsoffer, en skepsis som till stor del bottnar i okunskap och obenägenhet att anlita sakkunniga, som på ett mer generellt plan är styrande för åklagarnas restriktivitet.”</w:t>
      </w:r>
      <w:r w:rsidRPr="0016455F">
        <w:rPr>
          <w:rStyle w:val="Fotnotsreferens"/>
          <w:snapToGrid w:val="0"/>
        </w:rPr>
        <w:footnoteReference w:id="4"/>
      </w:r>
    </w:p>
    <w:p w:rsidR="00586201" w:rsidRPr="0016455F" w:rsidRDefault="00586201">
      <w:pPr>
        <w:pStyle w:val="Normaltindrag"/>
      </w:pPr>
      <w:r w:rsidRPr="0016455F">
        <w:t>Sammantaget ger detta en mycket bristfällig bild ur ett barnrättsperspektiv. Domstolar besitter en låg kompetens vad gäller förståelsen av barns mek</w:t>
      </w:r>
      <w:r w:rsidRPr="0016455F">
        <w:t>a</w:t>
      </w:r>
      <w:r w:rsidRPr="0016455F">
        <w:t>nismer vid sexuella övergrepp och sexuell exploatering. Anlitande av sakku</w:t>
      </w:r>
      <w:r w:rsidRPr="0016455F">
        <w:t>n</w:t>
      </w:r>
      <w:r w:rsidRPr="0016455F">
        <w:t>niga i större utsträckning som stödbevisning i ärenden som gäller sexuella övergrepp mot barn skulle därför med största sannolikhet leda till fler fällande domar. Detta gäller inte minst sexualbrott mot barn som har en kommersiell karaktär. Dessa former av brott inbegriper barnpornografibrottet, människ</w:t>
      </w:r>
      <w:r w:rsidRPr="0016455F">
        <w:t>o</w:t>
      </w:r>
      <w:r w:rsidRPr="0016455F">
        <w:t>handelsbrottet, sexköpsbrottet (personer som köper sex av människohandel</w:t>
      </w:r>
      <w:r w:rsidRPr="0016455F">
        <w:t>s</w:t>
      </w:r>
      <w:r w:rsidRPr="0016455F">
        <w:t>offer), sexualbrott som begås mot barn där ersättning före</w:t>
      </w:r>
      <w:r w:rsidRPr="0016455F">
        <w:t>kommer, sexua</w:t>
      </w:r>
      <w:r w:rsidRPr="0016455F">
        <w:t>l</w:t>
      </w:r>
      <w:r w:rsidRPr="0016455F">
        <w:t>brott som begås mot barn av svenskar utomlands och andra former av brott där sexuellt utnyttjande av barn sker på kommersiell väg eller med någon form av ersättning involverad. Dessa brott kräver särskild kunskap, då offren många gånger har bristande förtroende för myndigheter och tolkar, de kä</w:t>
      </w:r>
      <w:r w:rsidRPr="0016455F">
        <w:t>n</w:t>
      </w:r>
      <w:r w:rsidRPr="0016455F">
        <w:t>ner rädsla för repressalier från förövarna och skam och skuld över att tala om de sexuella övergrepp de varit med om. Sakkunniga i dessa mål behövs för att redogöra för vilka sociala villkor barnen leve</w:t>
      </w:r>
      <w:r w:rsidRPr="0016455F">
        <w:t>r under i hemlandet och för hur det sociala stigmat och det psykiska traumat kan yttra sig.</w:t>
      </w:r>
    </w:p>
    <w:p w:rsidR="00586201" w:rsidRPr="0016455F" w:rsidRDefault="00586201">
      <w:pPr>
        <w:pStyle w:val="Normaltindrag"/>
      </w:pPr>
      <w:r w:rsidRPr="0016455F">
        <w:t>Genom införande av domare med specialkompetens och anlitande av sa</w:t>
      </w:r>
      <w:r w:rsidRPr="0016455F">
        <w:t>k</w:t>
      </w:r>
      <w:r w:rsidRPr="0016455F">
        <w:t>kunniga, skulle barns rättigheter tas tillvara på ett betydligt bättre sätt än vad som görs idag. Genom införande av specialistdomare skulle också denna typ av mål få större prioritet, vilket i sin tur skulle leda till kortare handläggning</w:t>
      </w:r>
      <w:r w:rsidRPr="0016455F">
        <w:t>s</w:t>
      </w:r>
      <w:r w:rsidRPr="0016455F">
        <w:t>tider och snabbare processer, som i sin tur skulle underlätta det utsatta barnets möjligheter till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455F">
        <w:trPr>
          <w:cantSplit/>
        </w:trPr>
        <w:tc>
          <w:tcPr>
            <w:tcW w:w="3046" w:type="dxa"/>
          </w:tcPr>
          <w:p w:rsidR="00586201" w:rsidRPr="0016455F" w:rsidRDefault="00586201">
            <w:pPr>
              <w:pStyle w:val="UnderskriftDatum"/>
              <w:spacing w:before="240"/>
            </w:pPr>
            <w:r w:rsidRPr="0016455F">
              <w:t>Stockholm den 4 oktober 2007</w:t>
            </w:r>
          </w:p>
        </w:tc>
        <w:tc>
          <w:tcPr>
            <w:tcW w:w="3047" w:type="dxa"/>
          </w:tcPr>
          <w:p w:rsidR="00586201" w:rsidRPr="0016455F" w:rsidRDefault="00586201">
            <w:pPr>
              <w:pStyle w:val="Underskrifter"/>
              <w:spacing w:before="240"/>
            </w:pPr>
          </w:p>
        </w:tc>
      </w:tr>
      <w:tr w:rsidR="00000000" w:rsidRPr="0016455F">
        <w:trPr>
          <w:cantSplit/>
        </w:trPr>
        <w:tc>
          <w:tcPr>
            <w:tcW w:w="3046" w:type="dxa"/>
          </w:tcPr>
          <w:p w:rsidR="00586201" w:rsidRPr="0016455F" w:rsidRDefault="00586201">
            <w:pPr>
              <w:pStyle w:val="Underskrifter"/>
            </w:pPr>
            <w:r w:rsidRPr="0016455F">
              <w:t>Jan Lindholm (mp)</w:t>
            </w:r>
          </w:p>
        </w:tc>
        <w:tc>
          <w:tcPr>
            <w:tcW w:w="3046" w:type="dxa"/>
          </w:tcPr>
          <w:p w:rsidR="00586201" w:rsidRPr="0016455F" w:rsidRDefault="00586201">
            <w:pPr>
              <w:pStyle w:val="Underskrifter"/>
            </w:pPr>
          </w:p>
        </w:tc>
      </w:tr>
      <w:tr w:rsidR="00000000" w:rsidRPr="0016455F">
        <w:trPr>
          <w:cantSplit/>
        </w:trPr>
        <w:tc>
          <w:tcPr>
            <w:tcW w:w="3046" w:type="dxa"/>
          </w:tcPr>
          <w:p w:rsidR="00586201" w:rsidRPr="0016455F" w:rsidRDefault="00586201">
            <w:pPr>
              <w:pStyle w:val="Underskrifter"/>
            </w:pPr>
            <w:r w:rsidRPr="0016455F">
              <w:t>Bodil Ceballos (mp)</w:t>
            </w:r>
          </w:p>
        </w:tc>
        <w:tc>
          <w:tcPr>
            <w:tcW w:w="3046" w:type="dxa"/>
          </w:tcPr>
          <w:p w:rsidR="00586201" w:rsidRPr="0016455F" w:rsidRDefault="00586201">
            <w:pPr>
              <w:pStyle w:val="Underskrifter"/>
            </w:pPr>
            <w:r w:rsidRPr="0016455F">
              <w:t>Karla López (mp)</w:t>
            </w:r>
          </w:p>
        </w:tc>
      </w:tr>
      <w:tr w:rsidR="00000000" w:rsidRPr="0016455F">
        <w:trPr>
          <w:cantSplit/>
        </w:trPr>
        <w:tc>
          <w:tcPr>
            <w:tcW w:w="3046" w:type="dxa"/>
          </w:tcPr>
          <w:p w:rsidR="00586201" w:rsidRPr="0016455F" w:rsidRDefault="00586201">
            <w:pPr>
              <w:pStyle w:val="Underskrifter"/>
            </w:pPr>
            <w:r w:rsidRPr="0016455F">
              <w:t>Mehmet Kaplan (mp)</w:t>
            </w:r>
          </w:p>
        </w:tc>
        <w:tc>
          <w:tcPr>
            <w:tcW w:w="3046" w:type="dxa"/>
          </w:tcPr>
          <w:p w:rsidR="00586201" w:rsidRPr="0016455F" w:rsidRDefault="00586201">
            <w:pPr>
              <w:pStyle w:val="Underskrifter"/>
            </w:pPr>
          </w:p>
        </w:tc>
      </w:tr>
    </w:tbl>
    <w:p w:rsidR="00586201" w:rsidRPr="0016455F" w:rsidRDefault="00586201">
      <w:pPr>
        <w:pStyle w:val="Normaltindrag"/>
      </w:pPr>
    </w:p>
    <w:sectPr w:rsidR="00586201" w:rsidRPr="001645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201" w:rsidRPr="0016455F" w:rsidRDefault="00586201">
      <w:r w:rsidRPr="0016455F">
        <w:separator/>
      </w:r>
    </w:p>
  </w:endnote>
  <w:endnote w:type="continuationSeparator" w:id="0">
    <w:p w:rsidR="00586201" w:rsidRPr="0016455F" w:rsidRDefault="00586201">
      <w:r w:rsidRPr="001645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16455F">
    <w:pPr>
      <w:pStyle w:val="Sidfot"/>
    </w:pPr>
    <w:r w:rsidRPr="001645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4625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201" w:rsidRDefault="005862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6201" w:rsidRDefault="005862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16455F">
    <w:pPr>
      <w:pStyle w:val="Sidfot"/>
    </w:pPr>
    <w:r w:rsidRPr="001645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841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201" w:rsidRDefault="0058620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6201" w:rsidRDefault="0058620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16455F">
    <w:pPr>
      <w:pStyle w:val="Sidfot"/>
    </w:pPr>
    <w:r w:rsidRPr="001645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7652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201" w:rsidRDefault="00586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6201" w:rsidRDefault="00586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201" w:rsidRPr="0016455F" w:rsidRDefault="00586201">
      <w:pPr>
        <w:pStyle w:val="Sidfot"/>
      </w:pPr>
    </w:p>
  </w:footnote>
  <w:footnote w:type="continuationSeparator" w:id="0">
    <w:p w:rsidR="00586201" w:rsidRPr="0016455F" w:rsidRDefault="00586201">
      <w:pPr>
        <w:pStyle w:val="Sidfot"/>
      </w:pPr>
    </w:p>
  </w:footnote>
  <w:footnote w:type="continuationNotice" w:id="1">
    <w:p w:rsidR="00586201" w:rsidRPr="0016455F" w:rsidRDefault="00586201"/>
  </w:footnote>
  <w:footnote w:id="2">
    <w:p w:rsidR="00586201" w:rsidRPr="0016455F" w:rsidRDefault="00586201">
      <w:pPr>
        <w:pStyle w:val="Fotnotstext"/>
        <w:rPr>
          <w:sz w:val="16"/>
          <w:szCs w:val="16"/>
        </w:rPr>
      </w:pPr>
      <w:r w:rsidRPr="0016455F">
        <w:rPr>
          <w:rStyle w:val="Fotnotsreferens"/>
        </w:rPr>
        <w:footnoteRef/>
      </w:r>
      <w:r w:rsidRPr="0016455F">
        <w:t xml:space="preserve"> </w:t>
      </w:r>
      <w:r w:rsidRPr="0016455F">
        <w:rPr>
          <w:sz w:val="16"/>
          <w:szCs w:val="16"/>
        </w:rPr>
        <w:t xml:space="preserve">Se t.ex. Svedin, Carl Göran och Back, Christina </w:t>
      </w:r>
      <w:r w:rsidRPr="0016455F">
        <w:rPr>
          <w:i/>
          <w:sz w:val="16"/>
          <w:szCs w:val="16"/>
        </w:rPr>
        <w:t>Varför berättar de inte? Om att utnyttjas i barnpornografi</w:t>
      </w:r>
      <w:r w:rsidRPr="0016455F">
        <w:rPr>
          <w:sz w:val="16"/>
          <w:szCs w:val="16"/>
        </w:rPr>
        <w:t xml:space="preserve"> Rädda Barnen 2003.</w:t>
      </w:r>
    </w:p>
  </w:footnote>
  <w:footnote w:id="3">
    <w:p w:rsidR="00586201" w:rsidRPr="0016455F" w:rsidRDefault="00586201">
      <w:pPr>
        <w:pStyle w:val="Fotnotstext"/>
        <w:rPr>
          <w:sz w:val="16"/>
          <w:szCs w:val="16"/>
        </w:rPr>
      </w:pPr>
      <w:r w:rsidRPr="0016455F">
        <w:rPr>
          <w:rStyle w:val="Fotnotsreferens"/>
        </w:rPr>
        <w:footnoteRef/>
      </w:r>
      <w:r w:rsidRPr="0016455F">
        <w:t xml:space="preserve"> </w:t>
      </w:r>
      <w:r w:rsidRPr="0016455F">
        <w:rPr>
          <w:sz w:val="16"/>
          <w:szCs w:val="16"/>
        </w:rPr>
        <w:t>FN:s barnrättskommittés Concluding Observations, punkt 13, sidan 3.</w:t>
      </w:r>
    </w:p>
  </w:footnote>
  <w:footnote w:id="4">
    <w:p w:rsidR="00586201" w:rsidRPr="0016455F" w:rsidRDefault="00586201">
      <w:pPr>
        <w:spacing w:line="200" w:lineRule="atLeast"/>
        <w:rPr>
          <w:snapToGrid w:val="0"/>
          <w:sz w:val="16"/>
          <w:szCs w:val="16"/>
        </w:rPr>
      </w:pPr>
      <w:r w:rsidRPr="0016455F">
        <w:rPr>
          <w:rStyle w:val="Fotnotsreferens"/>
          <w:sz w:val="20"/>
        </w:rPr>
        <w:footnoteRef/>
      </w:r>
      <w:r w:rsidRPr="0016455F">
        <w:rPr>
          <w:sz w:val="20"/>
        </w:rPr>
        <w:t xml:space="preserve"> </w:t>
      </w:r>
      <w:r w:rsidRPr="0016455F">
        <w:rPr>
          <w:sz w:val="16"/>
          <w:szCs w:val="16"/>
        </w:rPr>
        <w:t xml:space="preserve">Citat från ”Inga bevis för oskyldigt dömda”, Christian Diesen, </w:t>
      </w:r>
      <w:r w:rsidRPr="0016455F">
        <w:rPr>
          <w:snapToGrid w:val="0"/>
          <w:sz w:val="16"/>
          <w:szCs w:val="16"/>
        </w:rPr>
        <w:t>2006-07 NR 1, sidan 13–14.</w:t>
      </w:r>
    </w:p>
    <w:p w:rsidR="00586201" w:rsidRPr="0016455F" w:rsidRDefault="00586201">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16455F">
    <w:pPr>
      <w:pStyle w:val="Sidhuvud"/>
    </w:pPr>
    <w:r w:rsidRPr="001645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5769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201" w:rsidRDefault="005862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6201" w:rsidRDefault="005862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16455F">
    <w:pPr>
      <w:pStyle w:val="Sidhuvud"/>
    </w:pPr>
    <w:r w:rsidRPr="001645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364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201" w:rsidRDefault="005862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6201" w:rsidRDefault="005862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6201" w:rsidRPr="0016455F" w:rsidRDefault="00586201">
    <w:pPr>
      <w:pStyle w:val="FSHNormal"/>
      <w:tabs>
        <w:tab w:val="right" w:pos="5840"/>
      </w:tabs>
    </w:pPr>
    <w:r w:rsidRPr="0016455F">
      <w:br/>
    </w:r>
    <w:r w:rsidRPr="0016455F">
      <w:fldChar w:fldCharType="begin" w:fldLock="1"/>
    </w:r>
    <w:r w:rsidRPr="0016455F">
      <w:instrText xml:space="preserve"> DOCPROPERTY</w:instrText>
    </w:r>
    <w:r w:rsidRPr="0016455F">
      <w:rPr>
        <w:sz w:val="18"/>
      </w:rPr>
      <w:instrText xml:space="preserve"> "YearUser" *\charformat </w:instrText>
    </w:r>
    <w:r w:rsidRPr="0016455F">
      <w:fldChar w:fldCharType="separate"/>
    </w:r>
    <w:r w:rsidRPr="0016455F">
      <w:t>2007/08</w:t>
    </w:r>
    <w:r w:rsidRPr="0016455F">
      <w:fldChar w:fldCharType="end"/>
    </w:r>
    <w:r w:rsidRPr="0016455F">
      <w:t xml:space="preserve"> </w:t>
    </w:r>
    <w:r w:rsidRPr="0016455F">
      <w:tab/>
      <w:t xml:space="preserve">mnr: </w:t>
    </w:r>
    <w:r w:rsidRPr="0016455F">
      <w:fldChar w:fldCharType="begin" w:fldLock="1"/>
    </w:r>
    <w:r w:rsidRPr="0016455F">
      <w:instrText xml:space="preserve"> DOCPROPERTY</w:instrText>
    </w:r>
    <w:r w:rsidRPr="0016455F">
      <w:rPr>
        <w:sz w:val="18"/>
      </w:rPr>
      <w:instrText xml:space="preserve"> "Motionsnummer" *\charformat </w:instrText>
    </w:r>
    <w:r w:rsidRPr="0016455F">
      <w:fldChar w:fldCharType="separate"/>
    </w:r>
    <w:r w:rsidRPr="0016455F">
      <w:t>Ju397</w:t>
    </w:r>
    <w:r w:rsidRPr="0016455F">
      <w:fldChar w:fldCharType="end"/>
    </w:r>
    <w:r w:rsidRPr="0016455F">
      <w:br/>
    </w:r>
    <w:r w:rsidRPr="0016455F">
      <w:fldChar w:fldCharType="begin" w:fldLock="1"/>
    </w:r>
    <w:r w:rsidRPr="0016455F">
      <w:instrText xml:space="preserve"> DOCPROPERTY</w:instrText>
    </w:r>
    <w:r w:rsidRPr="0016455F">
      <w:rPr>
        <w:sz w:val="18"/>
      </w:rPr>
      <w:instrText xml:space="preserve"> "Samling" *\charformat </w:instrText>
    </w:r>
    <w:r w:rsidRPr="0016455F">
      <w:fldChar w:fldCharType="end"/>
    </w:r>
    <w:r w:rsidRPr="0016455F">
      <w:tab/>
      <w:t xml:space="preserve">pnr: </w:t>
    </w:r>
    <w:r w:rsidRPr="0016455F">
      <w:fldChar w:fldCharType="begin" w:fldLock="1"/>
    </w:r>
    <w:r w:rsidRPr="0016455F">
      <w:instrText xml:space="preserve"> DOCPROPERTY</w:instrText>
    </w:r>
    <w:r w:rsidRPr="0016455F">
      <w:rPr>
        <w:sz w:val="18"/>
      </w:rPr>
      <w:instrText xml:space="preserve"> "Partinummer" *\charformat </w:instrText>
    </w:r>
    <w:r w:rsidRPr="0016455F">
      <w:fldChar w:fldCharType="separate"/>
    </w:r>
    <w:r w:rsidRPr="0016455F">
      <w:t>mp809</w:t>
    </w:r>
    <w:r w:rsidRPr="0016455F">
      <w:fldChar w:fldCharType="end"/>
    </w:r>
  </w:p>
  <w:p w:rsidR="00586201" w:rsidRPr="0016455F" w:rsidRDefault="00586201">
    <w:pPr>
      <w:pStyle w:val="FSHRub1"/>
    </w:pPr>
    <w:r w:rsidRPr="0016455F">
      <w:t>Motion till riksdagen</w:t>
    </w:r>
    <w:r w:rsidRPr="0016455F">
      <w:br/>
    </w:r>
    <w:r w:rsidRPr="0016455F">
      <w:fldChar w:fldCharType="begin" w:fldLock="1"/>
    </w:r>
    <w:r w:rsidRPr="0016455F">
      <w:instrText xml:space="preserve"> DOCPROPERTY "YearUser" *\charformat </w:instrText>
    </w:r>
    <w:r w:rsidRPr="0016455F">
      <w:fldChar w:fldCharType="separate"/>
    </w:r>
    <w:r w:rsidRPr="0016455F">
      <w:t>2007/08</w:t>
    </w:r>
    <w:r w:rsidRPr="0016455F">
      <w:fldChar w:fldCharType="end"/>
    </w:r>
    <w:r w:rsidRPr="0016455F">
      <w:t>:</w:t>
    </w:r>
    <w:r w:rsidRPr="0016455F">
      <w:fldChar w:fldCharType="begin" w:fldLock="1"/>
    </w:r>
    <w:r w:rsidRPr="0016455F">
      <w:instrText xml:space="preserve"> DOCPROPERTY "Motionsnummer" *\charformat </w:instrText>
    </w:r>
    <w:r w:rsidRPr="0016455F">
      <w:fldChar w:fldCharType="separate"/>
    </w:r>
    <w:r w:rsidRPr="0016455F">
      <w:t>Ju397</w:t>
    </w:r>
    <w:r w:rsidRPr="0016455F">
      <w:fldChar w:fldCharType="end"/>
    </w:r>
  </w:p>
  <w:p w:rsidR="00586201" w:rsidRPr="0016455F" w:rsidRDefault="00586201">
    <w:pPr>
      <w:pStyle w:val="FSHNormalS5"/>
    </w:pPr>
    <w:r w:rsidRPr="0016455F">
      <w:fldChar w:fldCharType="begin" w:fldLock="1"/>
    </w:r>
    <w:r w:rsidRPr="0016455F">
      <w:instrText xml:space="preserve"> DOCPROPERTY "MotionarText" *\charformat </w:instrText>
    </w:r>
    <w:r w:rsidRPr="0016455F">
      <w:fldChar w:fldCharType="separate"/>
    </w:r>
    <w:r w:rsidRPr="0016455F">
      <w:t>av Jan Lindholm m.fl. (mp)</w:t>
    </w:r>
    <w:r w:rsidRPr="0016455F">
      <w:fldChar w:fldCharType="end"/>
    </w:r>
    <w:r w:rsidRPr="0016455F">
      <w:br/>
    </w:r>
    <w:r w:rsidRPr="0016455F">
      <w:fldChar w:fldCharType="begin" w:fldLock="1"/>
    </w:r>
    <w:r w:rsidRPr="0016455F">
      <w:instrText xml:space="preserve"> DOCPROPERTY "SvarFrasKort" *\charformat </w:instrText>
    </w:r>
    <w:r w:rsidRPr="0016455F">
      <w:fldChar w:fldCharType="end"/>
    </w:r>
  </w:p>
  <w:p w:rsidR="00586201" w:rsidRPr="0016455F" w:rsidRDefault="00586201">
    <w:pPr>
      <w:pStyle w:val="FSHTitel"/>
    </w:pPr>
    <w:r w:rsidRPr="0016455F">
      <w:fldChar w:fldCharType="begin" w:fldLock="1"/>
    </w:r>
    <w:r w:rsidRPr="0016455F">
      <w:instrText xml:space="preserve"> DOCPROPERTY</w:instrText>
    </w:r>
    <w:r w:rsidRPr="0016455F">
      <w:rPr>
        <w:sz w:val="18"/>
      </w:rPr>
      <w:instrText xml:space="preserve"> "RubrikSvar" *\charformat </w:instrText>
    </w:r>
    <w:r w:rsidRPr="0016455F">
      <w:fldChar w:fldCharType="separate"/>
    </w:r>
    <w:r w:rsidRPr="0016455F">
      <w:t>Specialutbildade domare</w:t>
    </w:r>
    <w:r w:rsidRPr="0016455F">
      <w:fldChar w:fldCharType="end"/>
    </w:r>
  </w:p>
  <w:p w:rsidR="00586201" w:rsidRPr="0016455F" w:rsidRDefault="00586201">
    <w:pPr>
      <w:pStyle w:val="Normal00"/>
    </w:pPr>
  </w:p>
  <w:p w:rsidR="00586201" w:rsidRPr="0016455F" w:rsidRDefault="005862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3E56F93"/>
    <w:multiLevelType w:val="hybridMultilevel"/>
    <w:tmpl w:val="5EBE0428"/>
    <w:lvl w:ilvl="0" w:tplc="8DB4CD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5716CFF"/>
    <w:multiLevelType w:val="hybridMultilevel"/>
    <w:tmpl w:val="A57AACAA"/>
    <w:lvl w:ilvl="0" w:tplc="0790A3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C459BA"/>
    <w:multiLevelType w:val="hybridMultilevel"/>
    <w:tmpl w:val="0D40D40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166711">
    <w:abstractNumId w:val="8"/>
  </w:num>
  <w:num w:numId="2" w16cid:durableId="1270963651">
    <w:abstractNumId w:val="9"/>
  </w:num>
  <w:num w:numId="3" w16cid:durableId="1437673109">
    <w:abstractNumId w:val="8"/>
  </w:num>
  <w:num w:numId="4" w16cid:durableId="1692342083">
    <w:abstractNumId w:val="9"/>
  </w:num>
  <w:num w:numId="5" w16cid:durableId="341859232">
    <w:abstractNumId w:val="15"/>
  </w:num>
  <w:num w:numId="6" w16cid:durableId="1581526336">
    <w:abstractNumId w:val="10"/>
  </w:num>
  <w:num w:numId="7" w16cid:durableId="614169390">
    <w:abstractNumId w:val="12"/>
  </w:num>
  <w:num w:numId="8" w16cid:durableId="1790586485">
    <w:abstractNumId w:val="14"/>
  </w:num>
  <w:num w:numId="9" w16cid:durableId="73745026">
    <w:abstractNumId w:val="8"/>
  </w:num>
  <w:num w:numId="10" w16cid:durableId="1233808750">
    <w:abstractNumId w:val="3"/>
  </w:num>
  <w:num w:numId="11" w16cid:durableId="1588490765">
    <w:abstractNumId w:val="2"/>
  </w:num>
  <w:num w:numId="12" w16cid:durableId="461847225">
    <w:abstractNumId w:val="1"/>
  </w:num>
  <w:num w:numId="13" w16cid:durableId="359749468">
    <w:abstractNumId w:val="0"/>
  </w:num>
  <w:num w:numId="14" w16cid:durableId="923760007">
    <w:abstractNumId w:val="9"/>
  </w:num>
  <w:num w:numId="15" w16cid:durableId="43214062">
    <w:abstractNumId w:val="7"/>
  </w:num>
  <w:num w:numId="16" w16cid:durableId="944851198">
    <w:abstractNumId w:val="6"/>
  </w:num>
  <w:num w:numId="17" w16cid:durableId="123042058">
    <w:abstractNumId w:val="5"/>
  </w:num>
  <w:num w:numId="18" w16cid:durableId="1367679535">
    <w:abstractNumId w:val="4"/>
  </w:num>
  <w:num w:numId="19" w16cid:durableId="302466912">
    <w:abstractNumId w:val="11"/>
  </w:num>
  <w:num w:numId="20" w16cid:durableId="2041585835">
    <w:abstractNumId w:val="16"/>
  </w:num>
  <w:num w:numId="21" w16cid:durableId="1817989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C87839E7-C05D-47B9-AB7F-246B82B1F61B},{44E1179A-EAF6-4300-B094-8294DC01CCC9},{0E71467A-6349-43F5-98CD-8FE9CE232562},{118C048D-818B-4EE9-99AD-DE1F328BC164}"/>
  </w:docVars>
  <w:rsids>
    <w:rsidRoot w:val="004E20C4"/>
    <w:rsid w:val="0016455F"/>
    <w:rsid w:val="004E20C4"/>
    <w:rsid w:val="005862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088C37-02EF-4328-BF81-47735596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997</Words>
  <Characters>5729</Characters>
  <Application>Microsoft Office Word</Application>
  <DocSecurity>4</DocSecurity>
  <Lines>106</Lines>
  <Paragraphs>24</Paragraphs>
  <ScaleCrop>false</ScaleCrop>
  <HeadingPairs>
    <vt:vector size="2" baseType="variant">
      <vt:variant>
        <vt:lpstr>Rubrik</vt:lpstr>
      </vt:variant>
      <vt:variant>
        <vt:i4>1</vt:i4>
      </vt:variant>
    </vt:vector>
  </HeadingPairs>
  <TitlesOfParts>
    <vt:vector size="1" baseType="lpstr">
      <vt:lpstr>mp809</vt:lpstr>
    </vt:vector>
  </TitlesOfParts>
  <Company>Riksdagen</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mp809</dc:title>
  <dc:subject>mp809</dc:subject>
  <dc:creator>Riksdagen</dc:creator>
  <cp:keywords>Riksdagen</cp:keywords>
  <dc:description>TKG-ktrl, MSMQ4mb, PersReg-Distribution mm</dc:description>
  <cp:lastModifiedBy>Lars Brink</cp:lastModifiedBy>
  <cp:revision>2</cp:revision>
  <cp:lastPrinted>2007-12-13T14:19:00Z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Specialutbildade domare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Specialutbildade domare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Jan Lindholm m.fl. (mp)</vt:lpwstr>
  </property>
  <property fmtid="{D5CDD505-2E9C-101B-9397-08002B2CF9AE}" pid="26" name="MotionarLista">
    <vt:lpwstr>Lindholm, Jan (mp)\Ceballos, Bodil (mp)\López, Karla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Bodil Ceballos (mp), Karla López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20072008000001090112000008090069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20072008000001090112000008090069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{74CFFE69-E273-4ECD-826C-8DA4A1E4A6E9}</vt:lpwstr>
  </property>
  <property fmtid="{D5CDD505-2E9C-101B-9397-08002B2CF9AE}" pid="53" name="Överföringar">
    <vt:i4>0</vt:i4>
  </property>
  <property fmtid="{D5CDD505-2E9C-101B-9397-08002B2CF9AE}" pid="54" name="Checksum">
    <vt:lpwstr>*0018702836612*</vt:lpwstr>
  </property>
  <property fmtid="{D5CDD505-2E9C-101B-9397-08002B2CF9AE}" pid="55" name="skuggnummer">
    <vt:lpwstr>2446</vt:lpwstr>
  </property>
  <property fmtid="{D5CDD505-2E9C-101B-9397-08002B2CF9AE}" pid="56" name="urixVersion">
    <vt:lpwstr>3.2.0.8</vt:lpwstr>
  </property>
  <property fmtid="{D5CDD505-2E9C-101B-9397-08002B2CF9AE}" pid="57" name="urixOrigin">
    <vt:lpwstr>071213 15:19:21.734</vt:lpwstr>
  </property>
  <property fmtid="{D5CDD505-2E9C-101B-9397-08002B2CF9AE}" pid="58" name="urixGuid">
    <vt:lpwstr>{61D6219E-D57B-43C5-A32B-A2F8AF224859}</vt:lpwstr>
  </property>
</Properties>
</file>