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61A9D1408AB4002B3B5E9A6FCB163B2"/>
        </w:placeholder>
        <w:text/>
      </w:sdtPr>
      <w:sdtEndPr/>
      <w:sdtContent>
        <w:p w:rsidRPr="009B062B" w:rsidR="00AF30DD" w:rsidP="00795671" w:rsidRDefault="00AF30DD" w14:paraId="64DB10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7b16a8-5c2d-4da2-a58e-c56ba4e0f25f"/>
        <w:id w:val="280921264"/>
        <w:lock w:val="sdtLocked"/>
      </w:sdtPr>
      <w:sdtEndPr/>
      <w:sdtContent>
        <w:p w:rsidR="007F170E" w:rsidRDefault="00030954" w14:paraId="64DB10EA" w14:textId="609FB8E8">
          <w:pPr>
            <w:pStyle w:val="Frslagstext"/>
          </w:pPr>
          <w:r>
            <w:t>Riksdagen avslår regeringens förslag till ändringar i 1 kap. 13 § tryckfrihetsförordningen.</w:t>
          </w:r>
        </w:p>
      </w:sdtContent>
    </w:sdt>
    <w:sdt>
      <w:sdtPr>
        <w:alias w:val="Yrkande 2"/>
        <w:tag w:val="77ff858a-9f1f-4aac-894b-c4b11b749007"/>
        <w:id w:val="-1479065048"/>
        <w:lock w:val="sdtLocked"/>
      </w:sdtPr>
      <w:sdtEndPr/>
      <w:sdtContent>
        <w:p w:rsidR="007F170E" w:rsidRDefault="00030954" w14:paraId="64DB10EB" w14:textId="30E11DFB">
          <w:pPr>
            <w:pStyle w:val="Frslagstext"/>
          </w:pPr>
          <w:r>
            <w:t>Riksdagen avslår regeringens förslag till ändringar i 1 kap. 20 § yttrandefrihetsgrundlagen.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37B57ECBE1454598EF27A747114041"/>
        </w:placeholder>
        <w:text/>
      </w:sdtPr>
      <w:sdtEndPr/>
      <w:sdtContent>
        <w:p w:rsidRPr="009B062B" w:rsidR="006D79C9" w:rsidP="00333E95" w:rsidRDefault="006D79C9" w14:paraId="64DB10EC" w14:textId="77777777">
          <w:pPr>
            <w:pStyle w:val="Rubrik1"/>
          </w:pPr>
          <w:r>
            <w:t>Motivering</w:t>
          </w:r>
        </w:p>
      </w:sdtContent>
    </w:sdt>
    <w:p w:rsidR="003719C0" w:rsidP="00F672A8" w:rsidRDefault="00644B4A" w14:paraId="64DB10ED" w14:textId="0CB6613A">
      <w:pPr>
        <w:pStyle w:val="Normalutanindragellerluft"/>
      </w:pPr>
      <w:r w:rsidRPr="004A4B4F">
        <w:t>I propositionen föreslås ändringar i tryckfrihetsförordningen</w:t>
      </w:r>
      <w:r w:rsidRPr="004A4B4F" w:rsidR="00E507AC">
        <w:t xml:space="preserve"> (TF)</w:t>
      </w:r>
      <w:r w:rsidR="00325C28">
        <w:t xml:space="preserve"> och</w:t>
      </w:r>
      <w:r w:rsidRPr="004A4B4F" w:rsidR="00E507AC">
        <w:t xml:space="preserve"> yttrandefrihets</w:t>
      </w:r>
      <w:r w:rsidR="00A81C03">
        <w:softHyphen/>
      </w:r>
      <w:r w:rsidRPr="004A4B4F" w:rsidR="00E507AC">
        <w:t>grundlagen (YGL).</w:t>
      </w:r>
      <w:r w:rsidRPr="004A4B4F" w:rsidR="00051705">
        <w:t xml:space="preserve"> Förslagen innebär bl</w:t>
      </w:r>
      <w:r w:rsidR="00D75CF0">
        <w:t>.</w:t>
      </w:r>
      <w:r w:rsidRPr="004A4B4F" w:rsidR="00051705">
        <w:t>a</w:t>
      </w:r>
      <w:r w:rsidR="00D75CF0">
        <w:t>.</w:t>
      </w:r>
      <w:r w:rsidRPr="004A4B4F" w:rsidR="00051705">
        <w:t xml:space="preserve"> att </w:t>
      </w:r>
      <w:r w:rsidR="00D75CF0">
        <w:t>TF:s</w:t>
      </w:r>
      <w:r w:rsidRPr="004A4B4F" w:rsidR="00051705">
        <w:t xml:space="preserve"> territoriella tillämpningsområde utvidgas </w:t>
      </w:r>
      <w:r w:rsidR="00D75CF0">
        <w:t xml:space="preserve">för att omfatta </w:t>
      </w:r>
      <w:r w:rsidRPr="004A4B4F" w:rsidR="00051705">
        <w:t>vissa satellitsänd</w:t>
      </w:r>
      <w:r w:rsidRPr="004A4B4F" w:rsidR="00D4057B">
        <w:t>ningar av program med mycket stark anknyt</w:t>
      </w:r>
      <w:r w:rsidR="00A81C03">
        <w:softHyphen/>
      </w:r>
      <w:r w:rsidRPr="004A4B4F" w:rsidR="00D4057B">
        <w:t>ning</w:t>
      </w:r>
      <w:r w:rsidRPr="004A4B4F" w:rsidR="00051123">
        <w:t xml:space="preserve"> till Sverige</w:t>
      </w:r>
      <w:r w:rsidRPr="004A4B4F" w:rsidR="00D4057B">
        <w:t xml:space="preserve">, att ett införande av avbildningsförbud </w:t>
      </w:r>
      <w:r w:rsidRPr="004A4B4F" w:rsidR="00C32613">
        <w:t xml:space="preserve">av skyddsobjekt </w:t>
      </w:r>
      <w:r w:rsidRPr="004A4B4F" w:rsidR="00D4057B">
        <w:t>på det grund</w:t>
      </w:r>
      <w:r w:rsidR="00A81C03">
        <w:softHyphen/>
      </w:r>
      <w:r w:rsidRPr="004A4B4F" w:rsidR="00D4057B">
        <w:t>lagsskyddade området</w:t>
      </w:r>
      <w:r w:rsidRPr="00325C28" w:rsidR="00325C28">
        <w:t xml:space="preserve"> </w:t>
      </w:r>
      <w:r w:rsidRPr="004A4B4F" w:rsidR="00325C28">
        <w:t>möjliggör</w:t>
      </w:r>
      <w:r w:rsidR="00325C28">
        <w:t>s</w:t>
      </w:r>
      <w:r w:rsidRPr="004A4B4F" w:rsidR="00D4057B">
        <w:t xml:space="preserve">, att webbsändningsregelns tillämpningsområde </w:t>
      </w:r>
      <w:r w:rsidRPr="004A4B4F" w:rsidR="00325C28">
        <w:t>begränsa</w:t>
      </w:r>
      <w:r w:rsidR="00325C28">
        <w:t>s</w:t>
      </w:r>
      <w:r w:rsidRPr="004A4B4F" w:rsidR="00325C28">
        <w:t xml:space="preserve"> </w:t>
      </w:r>
      <w:r w:rsidRPr="004A4B4F" w:rsidR="00051123">
        <w:t xml:space="preserve">till </w:t>
      </w:r>
      <w:r w:rsidRPr="004A4B4F" w:rsidR="001F322F">
        <w:t>databasregeln</w:t>
      </w:r>
      <w:r w:rsidRPr="004A4B4F" w:rsidR="003719C0">
        <w:t xml:space="preserve"> och att skyddet för den personliga integriteten </w:t>
      </w:r>
      <w:r w:rsidRPr="004A4B4F" w:rsidR="00325C28">
        <w:t>stärk</w:t>
      </w:r>
      <w:r w:rsidR="00325C28">
        <w:t>s</w:t>
      </w:r>
      <w:r w:rsidRPr="004A4B4F" w:rsidR="00325C28">
        <w:t xml:space="preserve"> </w:t>
      </w:r>
      <w:r w:rsidRPr="004A4B4F" w:rsidR="003719C0">
        <w:t>genom att grundlagsskyddet för söktjänster som offentliggör personuppgifter om lagöver</w:t>
      </w:r>
      <w:r w:rsidR="00A81C03">
        <w:softHyphen/>
      </w:r>
      <w:r w:rsidRPr="004A4B4F" w:rsidR="003719C0">
        <w:t xml:space="preserve">trädelser begränsas. </w:t>
      </w:r>
      <w:r w:rsidRPr="00A542F6" w:rsidR="00D07F2D">
        <w:t xml:space="preserve">Centerpartiet anser att </w:t>
      </w:r>
      <w:r w:rsidRPr="00A542F6" w:rsidR="00C32613">
        <w:t xml:space="preserve">propositionen </w:t>
      </w:r>
      <w:r w:rsidRPr="00A542F6" w:rsidR="00306F6A">
        <w:t xml:space="preserve">i stora delar </w:t>
      </w:r>
      <w:r w:rsidRPr="00A542F6" w:rsidR="00C32613">
        <w:t xml:space="preserve">är </w:t>
      </w:r>
      <w:r w:rsidRPr="00A542F6" w:rsidR="009355B3">
        <w:t xml:space="preserve">väl avvägd och grundligt </w:t>
      </w:r>
      <w:r w:rsidRPr="00A542F6" w:rsidR="00A542F6">
        <w:t>utredd</w:t>
      </w:r>
      <w:r w:rsidRPr="00A542F6" w:rsidR="009355B3">
        <w:t>.</w:t>
      </w:r>
      <w:r w:rsidRPr="004A4B4F" w:rsidR="009355B3">
        <w:t xml:space="preserve"> Vad gäller </w:t>
      </w:r>
      <w:r w:rsidRPr="004A4B4F" w:rsidR="00881621">
        <w:t xml:space="preserve">förslaget om förändringar av </w:t>
      </w:r>
      <w:r w:rsidRPr="004A4B4F" w:rsidR="009355B3">
        <w:t xml:space="preserve">grundlagsskyddet för </w:t>
      </w:r>
      <w:r w:rsidRPr="004A4B4F" w:rsidR="00881621">
        <w:t>sök</w:t>
      </w:r>
      <w:r w:rsidR="00A81C03">
        <w:softHyphen/>
      </w:r>
      <w:r w:rsidRPr="004A4B4F" w:rsidR="00881621">
        <w:t xml:space="preserve">tjänster som offentliggör personuppgifter om lagöverträdelser </w:t>
      </w:r>
      <w:r w:rsidRPr="004A4B4F" w:rsidR="004A4B4F">
        <w:t>är vi emellertid av en annan uppfattning än regeringen. Våra ställningstaganden i detta hänseende utvecklas nedan.</w:t>
      </w:r>
    </w:p>
    <w:p w:rsidR="004A4B4F" w:rsidP="004A4B4F" w:rsidRDefault="004A4B4F" w14:paraId="64DB10EE" w14:textId="77777777">
      <w:pPr>
        <w:pStyle w:val="Rubrik1"/>
      </w:pPr>
      <w:r>
        <w:lastRenderedPageBreak/>
        <w:t>Tryck- och yttrandefrihete</w:t>
      </w:r>
      <w:r w:rsidR="00A1624F">
        <w:t>rna är en central del av statsskickets grunder</w:t>
      </w:r>
    </w:p>
    <w:p w:rsidR="00613548" w:rsidP="00F672A8" w:rsidRDefault="00FB2E80" w14:paraId="64DB10EF" w14:textId="0B18BD83">
      <w:pPr>
        <w:pStyle w:val="Normalutanindragellerluft"/>
      </w:pPr>
      <w:r>
        <w:t xml:space="preserve">Av </w:t>
      </w:r>
      <w:r w:rsidR="00A70B25">
        <w:t xml:space="preserve">1 kap. 1 § </w:t>
      </w:r>
      <w:r>
        <w:t>regeringsformen</w:t>
      </w:r>
      <w:r w:rsidR="00464478">
        <w:t xml:space="preserve"> (RF) </w:t>
      </w:r>
      <w:r>
        <w:t xml:space="preserve">framgår att </w:t>
      </w:r>
      <w:r w:rsidR="00464478">
        <w:t xml:space="preserve">den svenska folkstyrelsen bygger på fri åsiktsbildning. </w:t>
      </w:r>
      <w:r w:rsidR="00340815">
        <w:t xml:space="preserve">Regeringsformens rättighetskatalog framhåller också tryck- och yttrandefriheternas avgörande vikt i vår demokratiska ordning genom att inleda det så viktiga andra kapitlet med just </w:t>
      </w:r>
      <w:r w:rsidR="00AC3132">
        <w:t>opinionsfriheterna,</w:t>
      </w:r>
      <w:r w:rsidR="00340815">
        <w:t xml:space="preserve"> tillsammans med hänvisningar till TF och YGL och dessa grundlagars särskilda ställning.</w:t>
      </w:r>
      <w:r w:rsidR="00AC535F">
        <w:t xml:space="preserve"> Av förarbetena till RF </w:t>
      </w:r>
      <w:r w:rsidR="00D127B7">
        <w:t>framgår också den fria åsiktsbildningens stora betydelse för vårt statsskick och att opinions</w:t>
      </w:r>
      <w:r w:rsidR="00A81C03">
        <w:softHyphen/>
      </w:r>
      <w:r w:rsidR="00D127B7">
        <w:t>friheterna</w:t>
      </w:r>
      <w:r w:rsidR="00D13FAD">
        <w:t xml:space="preserve"> utgör grundläggande principer i vårt konstitutionella system (se t.ex. prop. 2001/02:72 s</w:t>
      </w:r>
      <w:r w:rsidR="00325C28">
        <w:t>. </w:t>
      </w:r>
      <w:r w:rsidR="00D13FAD">
        <w:t>34 och 2001/</w:t>
      </w:r>
      <w:proofErr w:type="gramStart"/>
      <w:r w:rsidR="00D13FAD">
        <w:t>02:KU</w:t>
      </w:r>
      <w:proofErr w:type="gramEnd"/>
      <w:r w:rsidR="00D13FAD">
        <w:t xml:space="preserve">18 </w:t>
      </w:r>
      <w:r w:rsidR="00325C28">
        <w:t>s. </w:t>
      </w:r>
      <w:r w:rsidR="00D13FAD">
        <w:t>42</w:t>
      </w:r>
      <w:r w:rsidR="00325C28">
        <w:t> </w:t>
      </w:r>
      <w:r w:rsidR="00D13FAD">
        <w:t>f</w:t>
      </w:r>
      <w:r w:rsidR="00325C28">
        <w:t>.</w:t>
      </w:r>
      <w:r w:rsidR="00D13FAD">
        <w:t>).</w:t>
      </w:r>
      <w:r w:rsidR="00CE4102">
        <w:t xml:space="preserve"> Det är med andra ord svårt att överskatta den fundamentala betydelse dessa fri- och rättigheter har </w:t>
      </w:r>
      <w:r w:rsidR="00325C28">
        <w:t xml:space="preserve">såväl </w:t>
      </w:r>
      <w:r w:rsidR="00CE4102">
        <w:t xml:space="preserve">i vårt statsskick som i vår rättsordning. I ljuset av detta </w:t>
      </w:r>
      <w:r w:rsidR="00613548">
        <w:t xml:space="preserve">är det tydligt att </w:t>
      </w:r>
      <w:r w:rsidR="005032B6">
        <w:t>hanteringen av begränsningar av tryck- och yttrandefriheterna</w:t>
      </w:r>
      <w:r w:rsidR="00613548">
        <w:t xml:space="preserve"> </w:t>
      </w:r>
      <w:r w:rsidR="00AC3132">
        <w:t xml:space="preserve">(med informationsfriheten innefattad) </w:t>
      </w:r>
      <w:r w:rsidR="00613548">
        <w:t>måste ske med stor varsamhet</w:t>
      </w:r>
      <w:r w:rsidR="005032B6">
        <w:t xml:space="preserve">. </w:t>
      </w:r>
      <w:r w:rsidR="00C4651C">
        <w:t xml:space="preserve">Detta </w:t>
      </w:r>
      <w:r w:rsidR="00E06BB4">
        <w:t xml:space="preserve">gäller i synnerhet när begränsningarna närmar sig kärnan av det tryck- och yttrandefrihetsrättsliga området, som </w:t>
      </w:r>
      <w:r w:rsidR="00BD0905">
        <w:t xml:space="preserve">så </w:t>
      </w:r>
      <w:r w:rsidR="00E06BB4">
        <w:t xml:space="preserve">tydligt är fallet i fråga om </w:t>
      </w:r>
      <w:r w:rsidR="007945EB">
        <w:t xml:space="preserve">de föreslagna förändringar </w:t>
      </w:r>
      <w:r w:rsidR="00306F6A">
        <w:t>som rör</w:t>
      </w:r>
      <w:r w:rsidR="007945EB">
        <w:t xml:space="preserve"> grundlagsskyddet för vissa söktjänster.</w:t>
      </w:r>
      <w:r w:rsidR="00E06BB4">
        <w:t xml:space="preserve"> </w:t>
      </w:r>
      <w:r w:rsidR="00BD0905">
        <w:t xml:space="preserve">I det sammanhanget är </w:t>
      </w:r>
      <w:r w:rsidR="00613548">
        <w:t xml:space="preserve">det också </w:t>
      </w:r>
      <w:r w:rsidR="005032B6">
        <w:t xml:space="preserve">centralt att framhålla vikten av den konstitutionella praxis som innebär att grundlagsändringar genomförs i bred samsyn. </w:t>
      </w:r>
      <w:r w:rsidR="00D30D8D">
        <w:t>Ändringar i statsskickets fundament bör ha ett brett och gediget stöd i riksdagen</w:t>
      </w:r>
      <w:r w:rsidR="0005086C">
        <w:t>.</w:t>
      </w:r>
      <w:r w:rsidR="00613548">
        <w:t xml:space="preserve"> </w:t>
      </w:r>
      <w:r w:rsidR="00D30D8D">
        <w:t xml:space="preserve">I ljuset av frågornas principiella vikt </w:t>
      </w:r>
      <w:r w:rsidR="00C810C0">
        <w:t xml:space="preserve">anser därför inte Centerpartiet att en grundlagsändring </w:t>
      </w:r>
      <w:r w:rsidR="00BD0905">
        <w:t xml:space="preserve">av den dignitet som nu är aktuell </w:t>
      </w:r>
      <w:r w:rsidR="00306F6A">
        <w:t xml:space="preserve">bör ske </w:t>
      </w:r>
      <w:r w:rsidR="00BD0905">
        <w:t xml:space="preserve">utan </w:t>
      </w:r>
      <w:r w:rsidR="00306F6A">
        <w:t xml:space="preserve">ett avsevärt </w:t>
      </w:r>
      <w:r w:rsidR="00BD0905">
        <w:t xml:space="preserve">brett stöd i </w:t>
      </w:r>
      <w:r w:rsidR="00C810C0">
        <w:t xml:space="preserve">riksdagen. </w:t>
      </w:r>
    </w:p>
    <w:p w:rsidR="00613548" w:rsidP="00613548" w:rsidRDefault="00342AB5" w14:paraId="64DB10F0" w14:textId="77777777">
      <w:pPr>
        <w:pStyle w:val="Rubrik1"/>
      </w:pPr>
      <w:r>
        <w:t>Balansen mellan tryck- och yttrandefrihet och integritetsskyddet</w:t>
      </w:r>
    </w:p>
    <w:p w:rsidR="00342AB5" w:rsidP="00342AB5" w:rsidRDefault="00342AB5" w14:paraId="64DB10F1" w14:textId="0A11FCC6">
      <w:pPr>
        <w:pStyle w:val="Normalutanindragellerluft"/>
      </w:pPr>
      <w:r>
        <w:t>Personuppgiftsregleringens grundläggande syfte är att värna enskildas personliga integritet</w:t>
      </w:r>
      <w:r w:rsidR="00F066A2">
        <w:t xml:space="preserve"> vid behandlingen av personuppgifter. Den svenska regleringen</w:t>
      </w:r>
      <w:r w:rsidR="00F672A8">
        <w:t xml:space="preserve">, som </w:t>
      </w:r>
      <w:r w:rsidR="0015076F">
        <w:t>implementerar</w:t>
      </w:r>
      <w:r w:rsidR="00F672A8">
        <w:t xml:space="preserve"> EU:s dataskyddsförordning</w:t>
      </w:r>
      <w:r w:rsidR="00F672A8">
        <w:rPr>
          <w:rStyle w:val="Fotnotsreferens"/>
        </w:rPr>
        <w:footnoteReference w:id="1"/>
      </w:r>
      <w:r w:rsidR="0015076F">
        <w:t>, tillämpas inte om den är oförenlig med TF eller YGL</w:t>
      </w:r>
      <w:r w:rsidR="00FC75FC">
        <w:t xml:space="preserve">. </w:t>
      </w:r>
      <w:r w:rsidR="00E8695D">
        <w:t xml:space="preserve">År </w:t>
      </w:r>
      <w:r w:rsidR="00FC75FC">
        <w:t xml:space="preserve">2019 </w:t>
      </w:r>
      <w:r w:rsidR="00E8695D">
        <w:t>infördes därför</w:t>
      </w:r>
      <w:r w:rsidR="00FC75FC">
        <w:t xml:space="preserve"> delegationsbestämmelser i 1</w:t>
      </w:r>
      <w:r w:rsidR="00325C28">
        <w:t> </w:t>
      </w:r>
      <w:r w:rsidR="00FC75FC">
        <w:t>kap</w:t>
      </w:r>
      <w:r w:rsidR="00A307C4">
        <w:t>.</w:t>
      </w:r>
      <w:r w:rsidR="00FC75FC">
        <w:t xml:space="preserve"> 13</w:t>
      </w:r>
      <w:r w:rsidR="00325C28">
        <w:t> </w:t>
      </w:r>
      <w:r w:rsidR="00FC75FC">
        <w:t>§</w:t>
      </w:r>
      <w:r w:rsidR="00325C28">
        <w:t> </w:t>
      </w:r>
      <w:r w:rsidR="00FC75FC">
        <w:t>TF och 1</w:t>
      </w:r>
      <w:r w:rsidR="00325C28">
        <w:t> </w:t>
      </w:r>
      <w:r w:rsidR="00FC75FC">
        <w:t>kap</w:t>
      </w:r>
      <w:r w:rsidR="00A307C4">
        <w:t>.</w:t>
      </w:r>
      <w:r w:rsidR="00FC75FC">
        <w:t xml:space="preserve"> 20</w:t>
      </w:r>
      <w:r w:rsidR="00325C28">
        <w:t> </w:t>
      </w:r>
      <w:r w:rsidR="00FC75FC">
        <w:t xml:space="preserve">§ YGL för att skydda den personliga integriteten mot vissa slag av offentliggöranden av s.k. känsliga personuppgifter, såsom bl.a. politiska åsikter och hälsa. </w:t>
      </w:r>
      <w:r w:rsidR="00C61D86">
        <w:t xml:space="preserve">Genom delegationsbestämmelserna är det möjligt att i vanlig lag begränsa eller förbjuda </w:t>
      </w:r>
      <w:r w:rsidR="00672D6B">
        <w:t>offentliggöranden</w:t>
      </w:r>
      <w:r w:rsidR="00C61D86">
        <w:t xml:space="preserve"> av sådana personuppgifter. Förslaget i den nu aktuella propositionen innebär att </w:t>
      </w:r>
      <w:r w:rsidR="00672D6B">
        <w:t>uppgifter som rör fällande domar i brottmål, eller lagöverträdelser som innefattar brott</w:t>
      </w:r>
      <w:r w:rsidR="00E8695D">
        <w:t>,</w:t>
      </w:r>
      <w:r w:rsidR="00672D6B">
        <w:t xml:space="preserve"> </w:t>
      </w:r>
      <w:r w:rsidR="007F4C55">
        <w:t>förs in i</w:t>
      </w:r>
      <w:r w:rsidR="00672D6B">
        <w:t xml:space="preserve"> </w:t>
      </w:r>
      <w:r w:rsidR="00A307C4">
        <w:t xml:space="preserve">delegationsbestämmelsernas </w:t>
      </w:r>
      <w:r w:rsidR="00672D6B">
        <w:t>katalog</w:t>
      </w:r>
      <w:r w:rsidR="00A307C4">
        <w:t xml:space="preserve"> </w:t>
      </w:r>
      <w:r w:rsidR="00672D6B">
        <w:t>av s.k. känsliga person</w:t>
      </w:r>
      <w:r w:rsidR="00A81C03">
        <w:softHyphen/>
      </w:r>
      <w:bookmarkStart w:name="_GoBack" w:id="1"/>
      <w:bookmarkEnd w:id="1"/>
      <w:r w:rsidR="00672D6B">
        <w:t xml:space="preserve">uppgifter. </w:t>
      </w:r>
      <w:r w:rsidR="00F532CB">
        <w:t>Detta skulle</w:t>
      </w:r>
      <w:r w:rsidR="00A307C4">
        <w:t xml:space="preserve"> vidare</w:t>
      </w:r>
      <w:r w:rsidR="00F532CB">
        <w:t>, enligt förslaget, endast gälla om det med hänsyn till uppgiftssamlingens karaktär står klart att det finns särskilda risker för otillbörliga intrång i enskildas personliga integritet</w:t>
      </w:r>
      <w:r w:rsidR="0061287C">
        <w:t>.</w:t>
      </w:r>
      <w:r w:rsidR="007C55BD">
        <w:t xml:space="preserve"> </w:t>
      </w:r>
    </w:p>
    <w:p w:rsidR="007C55BD" w:rsidP="007C55BD" w:rsidRDefault="00AC3132" w14:paraId="64DB10F2" w14:textId="04F16BDD">
      <w:r>
        <w:t>Opinionsfriheterna, och då särskilt t</w:t>
      </w:r>
      <w:r w:rsidR="004F310D">
        <w:t>ryck- och yttrandefriheterna</w:t>
      </w:r>
      <w:r>
        <w:t>,</w:t>
      </w:r>
      <w:r w:rsidR="004F310D">
        <w:t xml:space="preserve"> står ofta i konflikt med rätten till personlig integritet. Det är också tydligt att </w:t>
      </w:r>
      <w:r w:rsidR="00085D9B">
        <w:t xml:space="preserve">tryck- och yttrandefriheterna värderas särskilt högt </w:t>
      </w:r>
      <w:r w:rsidR="00A307C4">
        <w:t xml:space="preserve">i förhållande till den personliga integriteten och rätten till privatliv </w:t>
      </w:r>
      <w:r w:rsidR="00085D9B">
        <w:t xml:space="preserve">i den svenska </w:t>
      </w:r>
      <w:r w:rsidR="005D2780">
        <w:t xml:space="preserve">ordningen </w:t>
      </w:r>
      <w:r w:rsidR="00085D9B">
        <w:t>jämfört med de allra flesta liberala demokratier</w:t>
      </w:r>
      <w:r w:rsidR="000B47B2">
        <w:t>,</w:t>
      </w:r>
      <w:r w:rsidR="009E02D5">
        <w:t xml:space="preserve"> men särskilt </w:t>
      </w:r>
      <w:r w:rsidR="009E02D5">
        <w:lastRenderedPageBreak/>
        <w:t xml:space="preserve">påtagligt </w:t>
      </w:r>
      <w:r w:rsidR="005D2780">
        <w:t xml:space="preserve">är detta </w:t>
      </w:r>
      <w:r w:rsidR="009E02D5">
        <w:t xml:space="preserve">i förhållande till </w:t>
      </w:r>
      <w:r w:rsidR="00325C28">
        <w:t>E</w:t>
      </w:r>
      <w:r w:rsidR="009E02D5">
        <w:t xml:space="preserve">uroparätten. </w:t>
      </w:r>
      <w:r w:rsidR="000B47B2">
        <w:t>Såväl EU:s rättighetsstadga</w:t>
      </w:r>
      <w:r w:rsidR="000B47B2">
        <w:rPr>
          <w:rStyle w:val="Fotnotsreferens"/>
        </w:rPr>
        <w:footnoteReference w:id="2"/>
      </w:r>
      <w:r w:rsidR="000B47B2">
        <w:t xml:space="preserve"> som Europakonventionen</w:t>
      </w:r>
      <w:r w:rsidR="000B47B2">
        <w:rPr>
          <w:rStyle w:val="Fotnotsreferens"/>
        </w:rPr>
        <w:footnoteReference w:id="3"/>
      </w:r>
      <w:r w:rsidR="005D2780">
        <w:t xml:space="preserve"> </w:t>
      </w:r>
      <w:r w:rsidR="007401A5">
        <w:t xml:space="preserve">har en tydligare jämvikt dem emellan. Det är också tydligt att den svenska ordningens starka skydd för </w:t>
      </w:r>
      <w:r>
        <w:t>tryck- och yttrandefriheterna</w:t>
      </w:r>
      <w:r w:rsidR="00EE0314">
        <w:t>, på den personliga integritetens bekostnad, är i alltmer behov av en översyn och balansering. De</w:t>
      </w:r>
      <w:r w:rsidR="004F5406">
        <w:t>t</w:t>
      </w:r>
      <w:r w:rsidR="00EE0314">
        <w:t xml:space="preserve"> senaste decenniets digitala utveckling har skapat nya konflikter mellan dessa centrala fri- och rättigheter</w:t>
      </w:r>
      <w:r w:rsidR="007E6973">
        <w:t xml:space="preserve">, konflikter som måste lösas ut på ett hållbart och välavvägt sätt. Alla intrång i den personliga integriteten kommer inte att kunna motverkas, men vissa ytterligare begränsningar i tryck- och yttrandefriheten kommer att vara oundvikliga. Just därför är det så viktigt att alla sådana åtgärder och avvägningar sker varsamt, lyhört och </w:t>
      </w:r>
      <w:r w:rsidR="007A1295">
        <w:t>med förbehållet att man ibland måste göra om för att göra rätt.</w:t>
      </w:r>
    </w:p>
    <w:p w:rsidR="00524DA4" w:rsidP="007C55BD" w:rsidRDefault="007A1295" w14:paraId="64DB10F3" w14:textId="787E312E">
      <w:r>
        <w:t xml:space="preserve">Det förslag på begränsningar i grundlagsskyddet för vissa söktjänster som presenteras i propositionen har mött stark kritik. </w:t>
      </w:r>
      <w:r w:rsidR="00F76043">
        <w:t xml:space="preserve">En majoritet av remissinstanserna har t.ex. motsatt sig förslaget </w:t>
      </w:r>
      <w:r w:rsidR="00080F80">
        <w:t xml:space="preserve">på grund av att de föreslagna bestämmelserna är för vaga eller svårtolkade. </w:t>
      </w:r>
      <w:r w:rsidR="004303F6">
        <w:t xml:space="preserve">Såväl </w:t>
      </w:r>
      <w:r w:rsidR="00080F80">
        <w:t xml:space="preserve">Riksdagens ombudsmän (JO) </w:t>
      </w:r>
      <w:r w:rsidR="004303F6">
        <w:t xml:space="preserve">som Justitiekanslern (JK) </w:t>
      </w:r>
      <w:r w:rsidR="00080F80">
        <w:t>framhåller risken att de föreslagna bestämmelserna även kommer att träffa sådana skyddsvärda uppgiftssamlingar som är nödvändiga verktyg i journalistisk verksamhet</w:t>
      </w:r>
      <w:r w:rsidR="004F6047">
        <w:t xml:space="preserve">. Både JO </w:t>
      </w:r>
      <w:r w:rsidR="0021570C">
        <w:t xml:space="preserve">och </w:t>
      </w:r>
      <w:r w:rsidR="00325C28">
        <w:t>j</w:t>
      </w:r>
      <w:r w:rsidR="0021570C">
        <w:t>uridiska</w:t>
      </w:r>
      <w:r w:rsidR="006D59FE">
        <w:t xml:space="preserve"> fakultetsnämnden vid Uppsala universitet </w:t>
      </w:r>
      <w:r w:rsidR="004F6047">
        <w:t xml:space="preserve">anser </w:t>
      </w:r>
      <w:r w:rsidR="006D59FE">
        <w:t>att kommittén borde ha gjort närmare överväganden i fråga om att i</w:t>
      </w:r>
      <w:r w:rsidR="00325C28">
        <w:t xml:space="preserve"> </w:t>
      </w:r>
      <w:r w:rsidR="006D59FE">
        <w:t>stället införa ett nytt tryck- och yttrandefrihetsbrott. Många remissinstanser vänder sig också emot valet av delegationsbestä</w:t>
      </w:r>
      <w:r w:rsidR="003C4D7C">
        <w:t xml:space="preserve">mmelser </w:t>
      </w:r>
      <w:r w:rsidR="00524DA4">
        <w:t xml:space="preserve">som </w:t>
      </w:r>
      <w:r w:rsidR="003C4D7C">
        <w:t xml:space="preserve">reglering av begränsningen eftersom värdeförskjutningar i samhället kan leda till att delegationen utnyttjas för andra syften är vad lagstiftaren </w:t>
      </w:r>
      <w:r w:rsidR="004F5406">
        <w:t>avsett</w:t>
      </w:r>
      <w:r w:rsidR="003C4D7C">
        <w:t xml:space="preserve">. </w:t>
      </w:r>
      <w:r w:rsidR="004303F6">
        <w:t>Risken för en oföruts</w:t>
      </w:r>
      <w:r w:rsidR="00B82FDC">
        <w:t>äg</w:t>
      </w:r>
      <w:r w:rsidR="004303F6">
        <w:t xml:space="preserve">bar tillämpning, och ett </w:t>
      </w:r>
      <w:r w:rsidR="00524DA4">
        <w:t>allt</w:t>
      </w:r>
      <w:r w:rsidR="004303F6">
        <w:t xml:space="preserve">för </w:t>
      </w:r>
      <w:r w:rsidR="004F6047">
        <w:t xml:space="preserve">brett </w:t>
      </w:r>
      <w:r w:rsidR="004303F6">
        <w:t>tolkningsutrymme</w:t>
      </w:r>
      <w:r w:rsidR="004F6047">
        <w:t xml:space="preserve">, är </w:t>
      </w:r>
      <w:r w:rsidR="00524DA4">
        <w:t>skäl nog</w:t>
      </w:r>
      <w:r w:rsidR="004F6047">
        <w:t xml:space="preserve"> att </w:t>
      </w:r>
      <w:r w:rsidR="00C44B5F">
        <w:t xml:space="preserve">inte gå vidare med förslagen. Som både Stockholms tingsrätt och JO framfört finns det dessutom en alltför stor risk att förslagens utformning leder till att uppgiftssamlingens innehåll blir avgörande för </w:t>
      </w:r>
      <w:r w:rsidR="00350A53">
        <w:t xml:space="preserve">frågan om huruvida grundlagsskyddet är tillämpbart. Detta riskerar, som även </w:t>
      </w:r>
      <w:r w:rsidR="00325C28">
        <w:t>T</w:t>
      </w:r>
      <w:r w:rsidR="00350A53">
        <w:t>idningsutgivarna framhåller, att slå särskilt hårt mot små redaktioner</w:t>
      </w:r>
      <w:r w:rsidR="0021570C">
        <w:t xml:space="preserve"> som saknar möjlighet att på egen hand utföra den bevakning och research som söktjänstföretagen </w:t>
      </w:r>
      <w:r w:rsidR="00B82FDC">
        <w:t>tillhandahåller</w:t>
      </w:r>
      <w:r w:rsidR="0021570C">
        <w:t>.</w:t>
      </w:r>
    </w:p>
    <w:p w:rsidR="00BB6339" w:rsidP="00A81C03" w:rsidRDefault="00524DA4" w14:paraId="64DB10F7" w14:textId="68220BAA">
      <w:r>
        <w:t xml:space="preserve">Mot bakgrund av detta anser Centerpartiet därför, särskilt i ljuset av </w:t>
      </w:r>
      <w:r w:rsidR="00D338FC">
        <w:t>opinionsfriheternas fundamentala vikt för grunderna i statsskicket, att förslagen om begränsning av grundlagsskyddet för vissa söktjänster ska avslås.</w:t>
      </w:r>
    </w:p>
    <w:sdt>
      <w:sdtPr>
        <w:alias w:val="CC_Underskrifter"/>
        <w:tag w:val="CC_Underskrifter"/>
        <w:id w:val="583496634"/>
        <w:lock w:val="sdtContentLocked"/>
        <w:placeholder>
          <w:docPart w:val="8C3F3E7885414D1E928B752C9ABF0FB2"/>
        </w:placeholder>
      </w:sdtPr>
      <w:sdtEndPr/>
      <w:sdtContent>
        <w:p w:rsidR="00795671" w:rsidP="00795671" w:rsidRDefault="00795671" w14:paraId="64DB10F8" w14:textId="77777777"/>
        <w:p w:rsidRPr="008E0FE2" w:rsidR="004801AC" w:rsidP="00795671" w:rsidRDefault="00A81C03" w14:paraId="64DB10F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Modig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Björk (C)</w:t>
            </w:r>
          </w:p>
        </w:tc>
      </w:tr>
    </w:tbl>
    <w:p w:rsidR="00467461" w:rsidRDefault="00467461" w14:paraId="64DB1100" w14:textId="77777777"/>
    <w:sectPr w:rsidR="004674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B1102" w14:textId="77777777" w:rsidR="00AF4470" w:rsidRDefault="00AF4470" w:rsidP="000C1CAD">
      <w:pPr>
        <w:spacing w:line="240" w:lineRule="auto"/>
      </w:pPr>
      <w:r>
        <w:separator/>
      </w:r>
    </w:p>
  </w:endnote>
  <w:endnote w:type="continuationSeparator" w:id="0">
    <w:p w14:paraId="64DB1103" w14:textId="77777777" w:rsidR="00AF4470" w:rsidRDefault="00AF44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11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11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B1100" w14:textId="7D265CB5" w:rsidR="00AF4470" w:rsidRDefault="00AF4470" w:rsidP="000C1CAD">
      <w:pPr>
        <w:spacing w:line="240" w:lineRule="auto"/>
      </w:pPr>
    </w:p>
  </w:footnote>
  <w:footnote w:type="continuationSeparator" w:id="0">
    <w:p w14:paraId="64DB1101" w14:textId="77777777" w:rsidR="00AF4470" w:rsidRDefault="00AF4470" w:rsidP="000C1CAD">
      <w:pPr>
        <w:spacing w:line="240" w:lineRule="auto"/>
      </w:pPr>
      <w:r>
        <w:continuationSeparator/>
      </w:r>
    </w:p>
  </w:footnote>
  <w:footnote w:id="1">
    <w:p w14:paraId="64DB1116" w14:textId="405A49D4" w:rsidR="00F672A8" w:rsidRDefault="00F672A8">
      <w:pPr>
        <w:pStyle w:val="Fotnotstext"/>
      </w:pPr>
      <w:r>
        <w:rPr>
          <w:rStyle w:val="Fotnotsreferens"/>
        </w:rPr>
        <w:footnoteRef/>
      </w:r>
      <w:r>
        <w:t xml:space="preserve"> Europ</w:t>
      </w:r>
      <w:r w:rsidR="00325C28">
        <w:t>ap</w:t>
      </w:r>
      <w:r>
        <w:t xml:space="preserve">arlamentets och rådets förordning (EU) </w:t>
      </w:r>
      <w:r w:rsidR="0015076F">
        <w:t>2016/679 av den 27 april 2016 om skydd för fysiska personer med avseende på behandling av personuppgifter och om det fria flödet av sådana uppgifter</w:t>
      </w:r>
      <w:r w:rsidR="00325C28">
        <w:t> </w:t>
      </w:r>
      <w:r w:rsidR="00C61D86">
        <w:t>…</w:t>
      </w:r>
    </w:p>
  </w:footnote>
  <w:footnote w:id="2">
    <w:p w14:paraId="64DB1117" w14:textId="7990D6D0" w:rsidR="000B47B2" w:rsidRDefault="000B47B2" w:rsidP="000B47B2">
      <w:pPr>
        <w:pStyle w:val="Fotnotstext"/>
      </w:pPr>
      <w:r>
        <w:rPr>
          <w:rStyle w:val="Fotnotsreferens"/>
        </w:rPr>
        <w:footnoteRef/>
      </w:r>
      <w:r>
        <w:t xml:space="preserve"> Europeiska unionens stadga om de grundläggande rättigheterna (2010/C 83/02)</w:t>
      </w:r>
      <w:r w:rsidR="00325C28">
        <w:t>.</w:t>
      </w:r>
    </w:p>
  </w:footnote>
  <w:footnote w:id="3">
    <w:p w14:paraId="64DB1118" w14:textId="448DD2C3" w:rsidR="000B47B2" w:rsidRDefault="000B47B2">
      <w:pPr>
        <w:pStyle w:val="Fotnotstext"/>
      </w:pPr>
      <w:r>
        <w:rPr>
          <w:rStyle w:val="Fotnotsreferens"/>
        </w:rPr>
        <w:footnoteRef/>
      </w:r>
      <w:r>
        <w:t xml:space="preserve"> Europeiska konventionen om skydd för de mänskliga </w:t>
      </w:r>
      <w:r w:rsidR="005D2780">
        <w:t>rättigheterna och de grundläggande friheterna</w:t>
      </w:r>
      <w:r w:rsidR="00325C28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DB11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DB1113" wp14:anchorId="64DB11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81C03" w14:paraId="64DB11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B18C5E4DBA4FEEB6521D4F50B77896"/>
                              </w:placeholder>
                              <w:text/>
                            </w:sdtPr>
                            <w:sdtEndPr/>
                            <w:sdtContent>
                              <w:r w:rsidR="00AF447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BD7041AA8046ABB1501EFE502CF2C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DB11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1C03" w14:paraId="64DB11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B18C5E4DBA4FEEB6521D4F50B77896"/>
                        </w:placeholder>
                        <w:text/>
                      </w:sdtPr>
                      <w:sdtEndPr/>
                      <w:sdtContent>
                        <w:r w:rsidR="00AF447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BD7041AA8046ABB1501EFE502CF2C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DB11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DB1106" w14:textId="77777777">
    <w:pPr>
      <w:jc w:val="right"/>
    </w:pPr>
  </w:p>
  <w:p w:rsidR="00262EA3" w:rsidP="00776B74" w:rsidRDefault="00262EA3" w14:paraId="64DB11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81C03" w14:paraId="64DB110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DB1115" wp14:anchorId="64DB11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81C03" w14:paraId="64DB11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447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81C03" w14:paraId="64DB11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81C03" w14:paraId="64DB110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:4329</w:t>
        </w:r>
      </w:sdtContent>
    </w:sdt>
  </w:p>
  <w:p w:rsidR="00262EA3" w:rsidP="00E03A3D" w:rsidRDefault="00A81C03" w14:paraId="64DB110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Modig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F04B5" w14:paraId="64DB110F" w14:textId="77777777">
        <w:pPr>
          <w:pStyle w:val="FSHRub2"/>
        </w:pPr>
        <w:r>
          <w:t>med anledning av prop. 2021/22:59 Ett ändamålsenligt skydd för tryck- och yttrandefriheten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DB11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F44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954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063"/>
    <w:rsid w:val="00047CB1"/>
    <w:rsid w:val="0005086C"/>
    <w:rsid w:val="00050A98"/>
    <w:rsid w:val="00050DBC"/>
    <w:rsid w:val="00051123"/>
    <w:rsid w:val="00051705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0F80"/>
    <w:rsid w:val="00082BEA"/>
    <w:rsid w:val="00083467"/>
    <w:rsid w:val="000845E2"/>
    <w:rsid w:val="00084C74"/>
    <w:rsid w:val="00084CE8"/>
    <w:rsid w:val="00084E2A"/>
    <w:rsid w:val="00084E38"/>
    <w:rsid w:val="000859E4"/>
    <w:rsid w:val="00085D9B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D3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A37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7B2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B1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76F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D18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22F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70C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BB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69A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F6A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C28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815"/>
    <w:rsid w:val="00341459"/>
    <w:rsid w:val="00342AB5"/>
    <w:rsid w:val="00342BD2"/>
    <w:rsid w:val="003430B4"/>
    <w:rsid w:val="003430E4"/>
    <w:rsid w:val="00343927"/>
    <w:rsid w:val="003447BC"/>
    <w:rsid w:val="00347453"/>
    <w:rsid w:val="00347F27"/>
    <w:rsid w:val="003504DC"/>
    <w:rsid w:val="00350A53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9C0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7C"/>
    <w:rsid w:val="003C4DA1"/>
    <w:rsid w:val="003C535B"/>
    <w:rsid w:val="003C6151"/>
    <w:rsid w:val="003C7235"/>
    <w:rsid w:val="003C72A0"/>
    <w:rsid w:val="003C77FA"/>
    <w:rsid w:val="003D0371"/>
    <w:rsid w:val="003D0D72"/>
    <w:rsid w:val="003D10D8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3F6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478"/>
    <w:rsid w:val="00466051"/>
    <w:rsid w:val="00466424"/>
    <w:rsid w:val="004666A3"/>
    <w:rsid w:val="00467151"/>
    <w:rsid w:val="004671C7"/>
    <w:rsid w:val="00467461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5C3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B4F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0D"/>
    <w:rsid w:val="004F35FE"/>
    <w:rsid w:val="004F43F8"/>
    <w:rsid w:val="004F4D9E"/>
    <w:rsid w:val="004F50AF"/>
    <w:rsid w:val="004F529B"/>
    <w:rsid w:val="004F5406"/>
    <w:rsid w:val="004F5A7B"/>
    <w:rsid w:val="004F6047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2B6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4DA4"/>
    <w:rsid w:val="005256A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AA3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003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78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87C"/>
    <w:rsid w:val="00612D6C"/>
    <w:rsid w:val="00613397"/>
    <w:rsid w:val="00613548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B4A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D6B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9FE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1A5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5EB"/>
    <w:rsid w:val="00795617"/>
    <w:rsid w:val="00795671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295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5BD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973"/>
    <w:rsid w:val="007E6F88"/>
    <w:rsid w:val="007E7007"/>
    <w:rsid w:val="007E7298"/>
    <w:rsid w:val="007E7717"/>
    <w:rsid w:val="007E7F25"/>
    <w:rsid w:val="007F0212"/>
    <w:rsid w:val="007F0655"/>
    <w:rsid w:val="007F170E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C55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335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21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5B3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D5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24F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7C4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2F6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B25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9BD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C0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32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35F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470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DDA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2FDC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905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254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13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5F"/>
    <w:rsid w:val="00C44FC0"/>
    <w:rsid w:val="00C4564E"/>
    <w:rsid w:val="00C45E40"/>
    <w:rsid w:val="00C463D5"/>
    <w:rsid w:val="00C4651C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D86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C0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10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F2D"/>
    <w:rsid w:val="00D101A5"/>
    <w:rsid w:val="00D10C57"/>
    <w:rsid w:val="00D127B7"/>
    <w:rsid w:val="00D12A28"/>
    <w:rsid w:val="00D12A78"/>
    <w:rsid w:val="00D12B31"/>
    <w:rsid w:val="00D131C0"/>
    <w:rsid w:val="00D13FA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D8D"/>
    <w:rsid w:val="00D30F1B"/>
    <w:rsid w:val="00D3131A"/>
    <w:rsid w:val="00D3134F"/>
    <w:rsid w:val="00D31CB7"/>
    <w:rsid w:val="00D324FF"/>
    <w:rsid w:val="00D328D4"/>
    <w:rsid w:val="00D3290D"/>
    <w:rsid w:val="00D32A4F"/>
    <w:rsid w:val="00D338FC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57B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5CF0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608"/>
    <w:rsid w:val="00DE5859"/>
    <w:rsid w:val="00DE5C0B"/>
    <w:rsid w:val="00DE610C"/>
    <w:rsid w:val="00DE6DDA"/>
    <w:rsid w:val="00DE7C77"/>
    <w:rsid w:val="00DF04B5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BB4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65C"/>
    <w:rsid w:val="00E507AC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95D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314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6A2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2CB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19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786"/>
    <w:rsid w:val="00F66952"/>
    <w:rsid w:val="00F66E5F"/>
    <w:rsid w:val="00F672A8"/>
    <w:rsid w:val="00F701AC"/>
    <w:rsid w:val="00F70D9F"/>
    <w:rsid w:val="00F70E2B"/>
    <w:rsid w:val="00F711F8"/>
    <w:rsid w:val="00F71B58"/>
    <w:rsid w:val="00F722EE"/>
    <w:rsid w:val="00F7427F"/>
    <w:rsid w:val="00F75848"/>
    <w:rsid w:val="00F758BF"/>
    <w:rsid w:val="00F75A6B"/>
    <w:rsid w:val="00F76043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E80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5FC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DB10E8"/>
  <w15:chartTrackingRefBased/>
  <w15:docId w15:val="{D424572E-CB1B-4BFA-B4AC-A05C15D1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F67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1A9D1408AB4002B3B5E9A6FCB16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67AD7-20D8-48A3-8F9A-A3C28D81956F}"/>
      </w:docPartPr>
      <w:docPartBody>
        <w:p w:rsidR="0061231A" w:rsidRDefault="0061231A">
          <w:pPr>
            <w:pStyle w:val="D61A9D1408AB4002B3B5E9A6FCB163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37B57ECBE1454598EF27A747114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24C1B-45F0-4EBD-8B50-C94C1AAA1D88}"/>
      </w:docPartPr>
      <w:docPartBody>
        <w:p w:rsidR="0061231A" w:rsidRDefault="0061231A">
          <w:pPr>
            <w:pStyle w:val="8737B57ECBE1454598EF27A7471140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B18C5E4DBA4FEEB6521D4F50B77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2BE43-0116-4746-8014-3A1956693A86}"/>
      </w:docPartPr>
      <w:docPartBody>
        <w:p w:rsidR="0061231A" w:rsidRDefault="0061231A">
          <w:pPr>
            <w:pStyle w:val="2BB18C5E4DBA4FEEB6521D4F50B778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BD7041AA8046ABB1501EFE502CF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1585C-291C-4E72-A777-A08244B01AE8}"/>
      </w:docPartPr>
      <w:docPartBody>
        <w:p w:rsidR="0061231A" w:rsidRDefault="0061231A">
          <w:pPr>
            <w:pStyle w:val="E6BD7041AA8046ABB1501EFE502CF2C0"/>
          </w:pPr>
          <w:r>
            <w:t xml:space="preserve"> </w:t>
          </w:r>
        </w:p>
      </w:docPartBody>
    </w:docPart>
    <w:docPart>
      <w:docPartPr>
        <w:name w:val="8C3F3E7885414D1E928B752C9ABF0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EC6CC-7DE9-4293-8581-E20519583929}"/>
      </w:docPartPr>
      <w:docPartBody>
        <w:p w:rsidR="00101A90" w:rsidRDefault="00101A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1A"/>
    <w:rsid w:val="00101A90"/>
    <w:rsid w:val="0061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1A9D1408AB4002B3B5E9A6FCB163B2">
    <w:name w:val="D61A9D1408AB4002B3B5E9A6FCB163B2"/>
  </w:style>
  <w:style w:type="paragraph" w:customStyle="1" w:styleId="72E776787B144818BAD63D3974A1BDCC">
    <w:name w:val="72E776787B144818BAD63D3974A1BDC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6C075AA6D8A4231877A4B128399E721">
    <w:name w:val="66C075AA6D8A4231877A4B128399E721"/>
  </w:style>
  <w:style w:type="paragraph" w:customStyle="1" w:styleId="8737B57ECBE1454598EF27A747114041">
    <w:name w:val="8737B57ECBE1454598EF27A747114041"/>
  </w:style>
  <w:style w:type="paragraph" w:customStyle="1" w:styleId="DCD97BE260144AF4B5F3826A8B7B703A">
    <w:name w:val="DCD97BE260144AF4B5F3826A8B7B703A"/>
  </w:style>
  <w:style w:type="paragraph" w:customStyle="1" w:styleId="7AD37B0A7E844E54AF1AD174CC788CAF">
    <w:name w:val="7AD37B0A7E844E54AF1AD174CC788CAF"/>
  </w:style>
  <w:style w:type="paragraph" w:customStyle="1" w:styleId="2BB18C5E4DBA4FEEB6521D4F50B77896">
    <w:name w:val="2BB18C5E4DBA4FEEB6521D4F50B77896"/>
  </w:style>
  <w:style w:type="paragraph" w:customStyle="1" w:styleId="E6BD7041AA8046ABB1501EFE502CF2C0">
    <w:name w:val="E6BD7041AA8046ABB1501EFE502CF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7EF89-0CAA-4EB1-9319-6CF8B23DE163}"/>
</file>

<file path=customXml/itemProps2.xml><?xml version="1.0" encoding="utf-8"?>
<ds:datastoreItem xmlns:ds="http://schemas.openxmlformats.org/officeDocument/2006/customXml" ds:itemID="{01C4CCD9-3C6D-4C7F-A003-4D473865FA21}"/>
</file>

<file path=customXml/itemProps3.xml><?xml version="1.0" encoding="utf-8"?>
<ds:datastoreItem xmlns:ds="http://schemas.openxmlformats.org/officeDocument/2006/customXml" ds:itemID="{C69337A1-CEAF-41B9-8E0E-9EC9FA62E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944</Words>
  <Characters>5989</Characters>
  <Application>Microsoft Office Word</Application>
  <DocSecurity>0</DocSecurity>
  <Lines>99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2021 22 59 Ett ändamålsenligt skydd för tryck  och yttrandefriheten</vt:lpstr>
      <vt:lpstr>
      </vt:lpstr>
    </vt:vector>
  </TitlesOfParts>
  <Company>Sveriges riksdag</Company>
  <LinksUpToDate>false</LinksUpToDate>
  <CharactersWithSpaces>6916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