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36230A">
              <w:rPr>
                <w:b/>
              </w:rPr>
              <w:t>2</w:t>
            </w:r>
            <w:r w:rsidR="001B11E1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36230A">
              <w:t>0</w:t>
            </w:r>
            <w:r w:rsidR="001B11E1">
              <w:t>5-04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6230A" w:rsidP="0096348C">
            <w:r w:rsidRPr="00A22C84">
              <w:t>1</w:t>
            </w:r>
            <w:r w:rsidR="001B11E1" w:rsidRPr="00A22C84">
              <w:t>1</w:t>
            </w:r>
            <w:r w:rsidRPr="00A22C84">
              <w:t>.00–</w:t>
            </w:r>
            <w:r w:rsidR="00826929">
              <w:t>12.10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A22C84"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ledamöter och suppleanter:</w:t>
            </w:r>
            <w:r w:rsidR="00E066D8">
              <w:rPr>
                <w:bCs/>
              </w:rPr>
              <w:t xml:space="preserve">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>Hillevi Larsson (S), Helena Bouveng (M), Eric Westroth (SD), Sultan Kayhan (S), Tony Haddou (V),</w:t>
            </w:r>
            <w:r w:rsidR="00737928">
              <w:t xml:space="preserve"> Boriana Åberg (M), </w:t>
            </w:r>
            <w:r w:rsidR="00E066D8">
              <w:t>David Lång (SD),</w:t>
            </w:r>
            <w:r w:rsidR="00737928">
              <w:t xml:space="preserve"> Patrik Lundqvist (S),</w:t>
            </w:r>
            <w:r w:rsidR="00E066D8">
              <w:t xml:space="preserve"> Hampus Hagman (KD),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 Fredrik Schulte (M)</w:t>
            </w:r>
            <w:r w:rsidR="00454688">
              <w:t>,</w:t>
            </w:r>
            <w:r w:rsidR="00A63738">
              <w:t xml:space="preserve"> Johnny Skalin (SD)</w:t>
            </w:r>
            <w:r w:rsidR="00454688">
              <w:t xml:space="preserve"> och Helena Vilhelmsson (C)</w:t>
            </w:r>
            <w:r w:rsidR="00E066D8">
              <w:t>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454688" w:rsidP="004673D5">
            <w:r>
              <w:t xml:space="preserve">Tre </w:t>
            </w:r>
            <w:r w:rsidR="00064405">
              <w:t>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11E1" w:rsidTr="00D12EAD">
        <w:tc>
          <w:tcPr>
            <w:tcW w:w="567" w:type="dxa"/>
          </w:tcPr>
          <w:p w:rsidR="001B11E1" w:rsidRDefault="001B11E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55DCC" w:rsidRDefault="001B11E1" w:rsidP="001B11E1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1B11E1">
              <w:rPr>
                <w:b/>
              </w:rPr>
              <w:t>Tullverket</w:t>
            </w:r>
            <w:r>
              <w:t xml:space="preserve"> </w:t>
            </w:r>
          </w:p>
          <w:p w:rsidR="001B11E1" w:rsidRPr="009C2ED3" w:rsidRDefault="001B11E1" w:rsidP="001B11E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br/>
              <w:t xml:space="preserve">Generaltulldirektör Charlotte Svensson med medarbetare </w:t>
            </w:r>
            <w:r>
              <w:rPr>
                <w:szCs w:val="24"/>
              </w:rPr>
              <w:t>deltog på distans och lämnade information och svarade på utskottets frågor.</w:t>
            </w:r>
          </w:p>
          <w:p w:rsidR="001B11E1" w:rsidRDefault="001B11E1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6230A">
              <w:rPr>
                <w:b/>
                <w:snapToGrid w:val="0"/>
              </w:rPr>
              <w:t xml:space="preserve"> </w:t>
            </w:r>
            <w:r w:rsidR="001B11E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41A89" w:rsidRPr="001E1FAC" w:rsidRDefault="00941A89" w:rsidP="00941A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</w:p>
          <w:p w:rsidR="00941A89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2020/21:2</w:t>
            </w:r>
            <w:r w:rsidR="001B11E1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36230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11E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41A89" w:rsidRPr="001E1FAC" w:rsidRDefault="00941A89" w:rsidP="00941A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</w:p>
          <w:p w:rsidR="00941A89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0D3043" w:rsidRPr="009C2ED3" w:rsidRDefault="000D3043" w:rsidP="00941A89">
            <w:pPr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6230A">
              <w:rPr>
                <w:b/>
                <w:snapToGrid w:val="0"/>
              </w:rPr>
              <w:t xml:space="preserve"> </w:t>
            </w:r>
            <w:r w:rsidR="001B11E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Säkrare samordningsnummer och bättre förutsättningar för korrekta uppgifter i folkbokföringen (SkU11)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5F7905" w:rsidRDefault="005F7905" w:rsidP="005F79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2020/21:160 och motioner.</w:t>
            </w:r>
          </w:p>
          <w:p w:rsidR="005F7905" w:rsidRPr="00AC70C3" w:rsidRDefault="005F7905" w:rsidP="005F79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55DCC" w:rsidRDefault="005F7905" w:rsidP="005F7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11.</w:t>
            </w:r>
          </w:p>
          <w:p w:rsidR="00E57DF8" w:rsidRDefault="00F55DCC" w:rsidP="005F79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M-, SD- och KD-ledamöterna anmälde reservationer. L-ledamoten anmälde ett särskilt yttrande.</w:t>
            </w:r>
            <w:r w:rsidR="00941A89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11E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F7905" w:rsidRDefault="005F7905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F7905">
              <w:rPr>
                <w:b/>
              </w:rPr>
              <w:t>Slopad nedsättning av energiskatt på bränslen i vissa sektorer (SkU24)</w:t>
            </w:r>
          </w:p>
          <w:p w:rsidR="005F7905" w:rsidRDefault="005F7905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F7905" w:rsidRDefault="005F7905" w:rsidP="005F79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2020/21:97 och motioner.</w:t>
            </w:r>
          </w:p>
          <w:p w:rsidR="005F7905" w:rsidRPr="00AC70C3" w:rsidRDefault="005F7905" w:rsidP="005F79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A5C5A" w:rsidRDefault="005F7905" w:rsidP="005F7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24.</w:t>
            </w:r>
          </w:p>
          <w:p w:rsidR="00275CD2" w:rsidRDefault="005F7905" w:rsidP="005F7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</w:r>
            <w:r w:rsidR="00F55DCC">
              <w:rPr>
                <w:rFonts w:eastAsiaTheme="minorHAnsi"/>
                <w:color w:val="000000"/>
                <w:szCs w:val="24"/>
                <w:lang w:eastAsia="en-US"/>
              </w:rPr>
              <w:t xml:space="preserve">M- och SD-ledamöterna anmälde reservationer. </w:t>
            </w:r>
            <w:r w:rsidR="00737928">
              <w:rPr>
                <w:rFonts w:eastAsiaTheme="minorHAnsi"/>
                <w:color w:val="000000"/>
                <w:szCs w:val="24"/>
                <w:lang w:eastAsia="en-US"/>
              </w:rPr>
              <w:t>C</w:t>
            </w:r>
            <w:r w:rsidR="00F55DCC">
              <w:rPr>
                <w:rFonts w:eastAsiaTheme="minorHAnsi"/>
                <w:color w:val="000000"/>
                <w:szCs w:val="24"/>
                <w:lang w:eastAsia="en-US"/>
              </w:rPr>
              <w:t>- och KD-ledamöterna anmälde särskilda yttranden.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B11E1">
              <w:rPr>
                <w:b/>
                <w:snapToGrid w:val="0"/>
              </w:rPr>
              <w:t>7</w:t>
            </w:r>
          </w:p>
          <w:p w:rsidR="001A5C5A" w:rsidRDefault="001A5C5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7905" w:rsidRDefault="005F7905" w:rsidP="005F79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F7905">
              <w:rPr>
                <w:b/>
              </w:rPr>
              <w:t>En heltäckande tobaksbeskattning – för ökad tydlighet och enhetlighet (SkU26)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941A89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Utskottet fortsatte behandling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2020/21:112 och motioner.</w:t>
            </w:r>
          </w:p>
          <w:p w:rsidR="005F7905" w:rsidRPr="00AC70C3" w:rsidRDefault="005F7905" w:rsidP="005F79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A729A" w:rsidRDefault="005F7905" w:rsidP="005F7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26.</w:t>
            </w:r>
          </w:p>
          <w:p w:rsidR="00F55DCC" w:rsidRDefault="00F55DCC" w:rsidP="005F7905">
            <w:pPr>
              <w:tabs>
                <w:tab w:val="left" w:pos="1701"/>
              </w:tabs>
              <w:rPr>
                <w:snapToGrid w:val="0"/>
              </w:rPr>
            </w:pPr>
          </w:p>
          <w:p w:rsidR="00F55DCC" w:rsidRDefault="00F55DCC" w:rsidP="005F7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KD-ledamoten anmälde en reservation. C-ledamoten anmälde ett särskilt yttrande.</w:t>
            </w:r>
          </w:p>
          <w:p w:rsidR="005F7905" w:rsidRDefault="005F7905" w:rsidP="005F79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41A89" w:rsidTr="00D12EAD">
        <w:tc>
          <w:tcPr>
            <w:tcW w:w="567" w:type="dxa"/>
          </w:tcPr>
          <w:p w:rsidR="00941A89" w:rsidRDefault="0036230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90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941A89" w:rsidRPr="005F7905" w:rsidRDefault="005F7905" w:rsidP="00941A89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5F7905">
              <w:rPr>
                <w:b/>
              </w:rPr>
              <w:t>Riksdagens skrivelser till regeringen – åtgärder under 2020 (SkU6y)</w:t>
            </w:r>
            <w:r w:rsidR="00941A89" w:rsidRPr="005F790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5F7905" w:rsidRDefault="005F7905" w:rsidP="005F79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 av </w:t>
            </w:r>
            <w:r w:rsidR="008D1CBB">
              <w:rPr>
                <w:snapToGrid w:val="0"/>
              </w:rPr>
              <w:t>fråga om yttrande till konstitutionsutskottet över skrivelse</w:t>
            </w:r>
            <w:r>
              <w:rPr>
                <w:snapToGrid w:val="0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2020/21:75.</w:t>
            </w:r>
          </w:p>
          <w:p w:rsidR="005F7905" w:rsidRPr="00AC70C3" w:rsidRDefault="005F7905" w:rsidP="005F790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F7905" w:rsidRDefault="005F7905" w:rsidP="005F7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="008D1CBB">
              <w:rPr>
                <w:snapToGrid w:val="0"/>
              </w:rPr>
              <w:t>yttrande</w:t>
            </w:r>
            <w:r>
              <w:rPr>
                <w:snapToGrid w:val="0"/>
              </w:rPr>
              <w:t xml:space="preserve">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6y.</w:t>
            </w:r>
          </w:p>
          <w:p w:rsidR="00737928" w:rsidRDefault="00737928" w:rsidP="005F7905">
            <w:pPr>
              <w:tabs>
                <w:tab w:val="left" w:pos="1701"/>
              </w:tabs>
              <w:rPr>
                <w:snapToGrid w:val="0"/>
              </w:rPr>
            </w:pPr>
          </w:p>
          <w:p w:rsidR="00737928" w:rsidRDefault="00737928" w:rsidP="005F79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 och KD-ledamöterna anmälde avvikande meningar</w:t>
            </w:r>
            <w:r w:rsidR="002F2D87">
              <w:rPr>
                <w:snapToGrid w:val="0"/>
              </w:rPr>
              <w:t>.</w:t>
            </w:r>
          </w:p>
          <w:p w:rsidR="00941A89" w:rsidRDefault="00941A89" w:rsidP="00C62A1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F7905" w:rsidTr="00D12EAD">
        <w:tc>
          <w:tcPr>
            <w:tcW w:w="567" w:type="dxa"/>
          </w:tcPr>
          <w:p w:rsidR="005F7905" w:rsidRDefault="005F79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C0465B" w:rsidRDefault="005F7905" w:rsidP="00C0465B">
            <w:pPr>
              <w:tabs>
                <w:tab w:val="left" w:pos="1701"/>
              </w:tabs>
              <w:rPr>
                <w:snapToGrid w:val="0"/>
              </w:rPr>
            </w:pPr>
            <w:r w:rsidRPr="005F7905">
              <w:rPr>
                <w:b/>
              </w:rPr>
              <w:t>Årsredovisningen för staten 2020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C0465B">
              <w:rPr>
                <w:snapToGrid w:val="0"/>
              </w:rPr>
              <w:t xml:space="preserve">Utskottet behandlade fråga om yttrande till </w:t>
            </w:r>
            <w:r w:rsidR="00C0465B">
              <w:rPr>
                <w:rFonts w:eastAsiaTheme="minorHAnsi"/>
                <w:color w:val="000000"/>
                <w:szCs w:val="24"/>
                <w:lang w:eastAsia="en-US"/>
              </w:rPr>
              <w:t>finansutskottet</w:t>
            </w:r>
            <w:r w:rsidR="00C0465B">
              <w:rPr>
                <w:snapToGrid w:val="0"/>
              </w:rPr>
              <w:t xml:space="preserve"> över skrivelse 2020/21:</w:t>
            </w:r>
            <w:r w:rsidR="001A5C5A">
              <w:rPr>
                <w:snapToGrid w:val="0"/>
              </w:rPr>
              <w:t xml:space="preserve"> </w:t>
            </w:r>
            <w:r w:rsidR="002F6F67">
              <w:rPr>
                <w:snapToGrid w:val="0"/>
              </w:rPr>
              <w:t>101</w:t>
            </w:r>
            <w:r w:rsidR="001A5C5A">
              <w:rPr>
                <w:snapToGrid w:val="0"/>
              </w:rPr>
              <w:t>.</w:t>
            </w:r>
          </w:p>
          <w:p w:rsidR="00C0465B" w:rsidRDefault="00C0465B" w:rsidP="00C0465B">
            <w:pPr>
              <w:tabs>
                <w:tab w:val="left" w:pos="1701"/>
              </w:tabs>
              <w:rPr>
                <w:snapToGrid w:val="0"/>
              </w:rPr>
            </w:pPr>
          </w:p>
          <w:p w:rsidR="002F6F67" w:rsidRDefault="002F6F67" w:rsidP="002F6F6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55DCC">
              <w:rPr>
                <w:rFonts w:eastAsiaTheme="minorHAnsi"/>
                <w:color w:val="000000"/>
                <w:szCs w:val="24"/>
                <w:lang w:eastAsia="en-US"/>
              </w:rPr>
              <w:t>Utskottet beslutade att inte yttra sig.</w:t>
            </w:r>
          </w:p>
          <w:p w:rsidR="002F6F67" w:rsidRDefault="002F6F67" w:rsidP="002F6F6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F6F67" w:rsidRPr="00BF3649" w:rsidRDefault="002F6F67" w:rsidP="002F6F6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5F7905" w:rsidRPr="005F7905" w:rsidRDefault="005F7905" w:rsidP="00941A8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905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1D2FFA">
              <w:rPr>
                <w:snapToGrid w:val="0"/>
              </w:rPr>
              <w:t>t</w:t>
            </w:r>
            <w:r w:rsidR="001A5C5A">
              <w:rPr>
                <w:snapToGrid w:val="0"/>
              </w:rPr>
              <w:t>orsdagen</w:t>
            </w:r>
            <w:r w:rsidR="00EF70DA">
              <w:rPr>
                <w:snapToGrid w:val="0"/>
              </w:rPr>
              <w:t xml:space="preserve"> den </w:t>
            </w:r>
            <w:r w:rsidR="001A5C5A">
              <w:rPr>
                <w:snapToGrid w:val="0"/>
              </w:rPr>
              <w:t>6</w:t>
            </w:r>
            <w:r w:rsidR="001D2FFA">
              <w:rPr>
                <w:snapToGrid w:val="0"/>
              </w:rPr>
              <w:t xml:space="preserve">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1D2FFA">
              <w:rPr>
                <w:snapToGrid w:val="0"/>
              </w:rPr>
              <w:t>1</w:t>
            </w:r>
            <w:r w:rsidR="001A5C5A">
              <w:rPr>
                <w:snapToGrid w:val="0"/>
              </w:rPr>
              <w:t>0</w:t>
            </w:r>
            <w:r w:rsidR="001D2FFA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1A5C5A">
              <w:t>6</w:t>
            </w:r>
            <w:r w:rsidR="0036230A">
              <w:t xml:space="preserve">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36230A">
              <w:t>2</w:t>
            </w:r>
            <w:r w:rsidR="00F0254B">
              <w:t>4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737928">
              <w:rPr>
                <w:sz w:val="22"/>
              </w:rPr>
              <w:t>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5468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7C2E1F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A5C5A"/>
    <w:rsid w:val="001B11E1"/>
    <w:rsid w:val="001C74B4"/>
    <w:rsid w:val="001D2FFA"/>
    <w:rsid w:val="001E1FAC"/>
    <w:rsid w:val="001F5E55"/>
    <w:rsid w:val="001F67F5"/>
    <w:rsid w:val="002174A8"/>
    <w:rsid w:val="002373C0"/>
    <w:rsid w:val="00245992"/>
    <w:rsid w:val="00246D79"/>
    <w:rsid w:val="00246FAC"/>
    <w:rsid w:val="00247F07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2F2D87"/>
    <w:rsid w:val="002F6F67"/>
    <w:rsid w:val="003102EF"/>
    <w:rsid w:val="00310D95"/>
    <w:rsid w:val="00314F14"/>
    <w:rsid w:val="003378A2"/>
    <w:rsid w:val="00360479"/>
    <w:rsid w:val="0036230A"/>
    <w:rsid w:val="00362805"/>
    <w:rsid w:val="00363647"/>
    <w:rsid w:val="0037217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4688"/>
    <w:rsid w:val="004673D5"/>
    <w:rsid w:val="00481B64"/>
    <w:rsid w:val="00494D6F"/>
    <w:rsid w:val="004A0DC8"/>
    <w:rsid w:val="004A72AA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5F7905"/>
    <w:rsid w:val="00614540"/>
    <w:rsid w:val="006150AA"/>
    <w:rsid w:val="00697EB5"/>
    <w:rsid w:val="006A511D"/>
    <w:rsid w:val="006B7B0C"/>
    <w:rsid w:val="006C21FA"/>
    <w:rsid w:val="006D3126"/>
    <w:rsid w:val="00723D66"/>
    <w:rsid w:val="00726EE5"/>
    <w:rsid w:val="00731EE4"/>
    <w:rsid w:val="00737928"/>
    <w:rsid w:val="00750FF0"/>
    <w:rsid w:val="007515BB"/>
    <w:rsid w:val="007557B6"/>
    <w:rsid w:val="00755B50"/>
    <w:rsid w:val="00767BDA"/>
    <w:rsid w:val="00771B76"/>
    <w:rsid w:val="00780720"/>
    <w:rsid w:val="007C2E1F"/>
    <w:rsid w:val="007E4B5A"/>
    <w:rsid w:val="007F6B0D"/>
    <w:rsid w:val="00815B5B"/>
    <w:rsid w:val="00826929"/>
    <w:rsid w:val="00834B38"/>
    <w:rsid w:val="008378F7"/>
    <w:rsid w:val="008557FA"/>
    <w:rsid w:val="0086262B"/>
    <w:rsid w:val="00867917"/>
    <w:rsid w:val="008808A5"/>
    <w:rsid w:val="008C2DE4"/>
    <w:rsid w:val="008C68ED"/>
    <w:rsid w:val="008D12B1"/>
    <w:rsid w:val="008D1CBB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1A89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08A4"/>
    <w:rsid w:val="009C3BE7"/>
    <w:rsid w:val="009D1BB5"/>
    <w:rsid w:val="009D6560"/>
    <w:rsid w:val="009F6E99"/>
    <w:rsid w:val="00A01787"/>
    <w:rsid w:val="00A22C84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E6263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E7A1F"/>
    <w:rsid w:val="00C00C2D"/>
    <w:rsid w:val="00C03BBC"/>
    <w:rsid w:val="00C0465B"/>
    <w:rsid w:val="00C16B87"/>
    <w:rsid w:val="00C25306"/>
    <w:rsid w:val="00C30332"/>
    <w:rsid w:val="00C3591B"/>
    <w:rsid w:val="00C3694B"/>
    <w:rsid w:val="00C4713F"/>
    <w:rsid w:val="00C60220"/>
    <w:rsid w:val="00C62A10"/>
    <w:rsid w:val="00C702CD"/>
    <w:rsid w:val="00C81684"/>
    <w:rsid w:val="00C82D82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788F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1366E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254B"/>
    <w:rsid w:val="00F0569E"/>
    <w:rsid w:val="00F064EF"/>
    <w:rsid w:val="00F236AC"/>
    <w:rsid w:val="00F37A94"/>
    <w:rsid w:val="00F46F5A"/>
    <w:rsid w:val="00F55DCC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254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540</Words>
  <Characters>3936</Characters>
  <Application>Microsoft Office Word</Application>
  <DocSecurity>4</DocSecurity>
  <Lines>1312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2021-05-07T13:33:00Z</dcterms:created>
  <dcterms:modified xsi:type="dcterms:W3CDTF">2021-05-07T13:33:00Z</dcterms:modified>
</cp:coreProperties>
</file>