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75B74AE-3593-43D6-ABFA-66600EF3D12B}"/>
</file>

<file path=customXml/itemProps3.xml><?xml version="1.0" encoding="utf-8"?>
<ds:datastoreItem xmlns:ds="http://schemas.openxmlformats.org/officeDocument/2006/customXml" ds:itemID="{36EEE255-C81C-4C92-94FF-D1B606F2A8D2}"/>
</file>

<file path=customXml/itemProps4.xml><?xml version="1.0" encoding="utf-8"?>
<ds:datastoreItem xmlns:ds="http://schemas.openxmlformats.org/officeDocument/2006/customXml" ds:itemID="{2E6E639A-4925-4C8F-B349-2EDB7B886559}"/>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