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4F93B07" w14:textId="77777777" w:rsidTr="00FA6478">
        <w:tc>
          <w:tcPr>
            <w:tcW w:w="2268" w:type="dxa"/>
          </w:tcPr>
          <w:p w14:paraId="27103327" w14:textId="690F846B" w:rsidR="006E4E11" w:rsidRPr="0096265C" w:rsidRDefault="006E4E11" w:rsidP="003C38E3">
            <w:pPr>
              <w:framePr w:w="5035" w:h="1644" w:wrap="notBeside" w:vAnchor="page" w:hAnchor="page" w:x="6573" w:y="721"/>
              <w:spacing w:line="276" w:lineRule="auto"/>
              <w:rPr>
                <w:rFonts w:ascii="TradeGothic" w:hAnsi="TradeGothic"/>
                <w:sz w:val="18"/>
              </w:rPr>
            </w:pPr>
          </w:p>
        </w:tc>
        <w:tc>
          <w:tcPr>
            <w:tcW w:w="2999" w:type="dxa"/>
            <w:gridSpan w:val="2"/>
          </w:tcPr>
          <w:p w14:paraId="33873496" w14:textId="77777777" w:rsidR="006E4E11" w:rsidRDefault="006E4E11" w:rsidP="003C38E3">
            <w:pPr>
              <w:framePr w:w="5035" w:h="1644" w:wrap="notBeside" w:vAnchor="page" w:hAnchor="page" w:x="6573" w:y="721"/>
              <w:spacing w:line="276" w:lineRule="auto"/>
              <w:rPr>
                <w:rFonts w:ascii="TradeGothic" w:hAnsi="TradeGothic"/>
                <w:i/>
                <w:sz w:val="18"/>
              </w:rPr>
            </w:pPr>
          </w:p>
        </w:tc>
      </w:tr>
      <w:tr w:rsidR="00FA6478" w14:paraId="4E6A6CAD" w14:textId="77777777" w:rsidTr="00FA6478">
        <w:tc>
          <w:tcPr>
            <w:tcW w:w="5267" w:type="dxa"/>
            <w:gridSpan w:val="3"/>
          </w:tcPr>
          <w:p w14:paraId="485A61E5" w14:textId="77777777" w:rsidR="00FA6478" w:rsidRDefault="00FA6478" w:rsidP="003C38E3">
            <w:pPr>
              <w:framePr w:w="5035" w:h="1644" w:wrap="notBeside" w:vAnchor="page" w:hAnchor="page" w:x="6573" w:y="721"/>
              <w:spacing w:line="276" w:lineRule="auto"/>
              <w:rPr>
                <w:rFonts w:ascii="TradeGothic" w:hAnsi="TradeGothic"/>
                <w:b/>
                <w:sz w:val="22"/>
              </w:rPr>
            </w:pPr>
            <w:r>
              <w:rPr>
                <w:rFonts w:ascii="TradeGothic" w:hAnsi="TradeGothic"/>
                <w:b/>
                <w:sz w:val="22"/>
              </w:rPr>
              <w:t>Kommenterad dagordning</w:t>
            </w:r>
          </w:p>
        </w:tc>
      </w:tr>
      <w:tr w:rsidR="006E4E11" w14:paraId="6A9AF053" w14:textId="77777777" w:rsidTr="00FA6478">
        <w:tc>
          <w:tcPr>
            <w:tcW w:w="3402" w:type="dxa"/>
            <w:gridSpan w:val="2"/>
          </w:tcPr>
          <w:p w14:paraId="63D8048F" w14:textId="77777777" w:rsidR="006E4E11" w:rsidRPr="00FA6478" w:rsidRDefault="00FA6478" w:rsidP="003C38E3">
            <w:pPr>
              <w:framePr w:w="5035" w:h="1644" w:wrap="notBeside" w:vAnchor="page" w:hAnchor="page" w:x="6573" w:y="721"/>
              <w:spacing w:line="276" w:lineRule="auto"/>
              <w:rPr>
                <w:rFonts w:ascii="TradeGothic" w:hAnsi="TradeGothic"/>
                <w:b/>
                <w:sz w:val="22"/>
              </w:rPr>
            </w:pPr>
            <w:r>
              <w:rPr>
                <w:rFonts w:ascii="TradeGothic" w:hAnsi="TradeGothic"/>
                <w:b/>
                <w:sz w:val="22"/>
              </w:rPr>
              <w:t>rådet</w:t>
            </w:r>
          </w:p>
        </w:tc>
        <w:tc>
          <w:tcPr>
            <w:tcW w:w="1865" w:type="dxa"/>
          </w:tcPr>
          <w:p w14:paraId="7133C860" w14:textId="77777777" w:rsidR="006E4E11" w:rsidRDefault="006E4E11" w:rsidP="003C38E3">
            <w:pPr>
              <w:framePr w:w="5035" w:h="1644" w:wrap="notBeside" w:vAnchor="page" w:hAnchor="page" w:x="6573" w:y="721"/>
              <w:spacing w:line="276" w:lineRule="auto"/>
            </w:pPr>
          </w:p>
        </w:tc>
      </w:tr>
      <w:tr w:rsidR="006E4E11" w14:paraId="03EC3A9B" w14:textId="77777777" w:rsidTr="00FA6478">
        <w:tc>
          <w:tcPr>
            <w:tcW w:w="2268" w:type="dxa"/>
          </w:tcPr>
          <w:p w14:paraId="55029E1B" w14:textId="4230547B" w:rsidR="006E4E11" w:rsidRDefault="00A15BDE" w:rsidP="005B12C4">
            <w:pPr>
              <w:framePr w:w="5035" w:h="1644" w:wrap="notBeside" w:vAnchor="page" w:hAnchor="page" w:x="6573" w:y="721"/>
              <w:spacing w:line="276" w:lineRule="auto"/>
            </w:pPr>
            <w:r>
              <w:t>2013-</w:t>
            </w:r>
            <w:r w:rsidR="0013060B">
              <w:t>12-0</w:t>
            </w:r>
            <w:r w:rsidR="0008305F">
              <w:t>9</w:t>
            </w:r>
          </w:p>
        </w:tc>
        <w:tc>
          <w:tcPr>
            <w:tcW w:w="2999" w:type="dxa"/>
            <w:gridSpan w:val="2"/>
          </w:tcPr>
          <w:p w14:paraId="6078589C" w14:textId="77777777" w:rsidR="006E4E11" w:rsidRPr="00ED583F" w:rsidRDefault="006E4E11" w:rsidP="003C38E3">
            <w:pPr>
              <w:framePr w:w="5035" w:h="1644" w:wrap="notBeside" w:vAnchor="page" w:hAnchor="page" w:x="6573" w:y="721"/>
              <w:spacing w:line="276" w:lineRule="auto"/>
              <w:rPr>
                <w:sz w:val="20"/>
              </w:rPr>
            </w:pPr>
          </w:p>
        </w:tc>
      </w:tr>
      <w:tr w:rsidR="006E4E11" w14:paraId="1B6B660F" w14:textId="77777777" w:rsidTr="00FA6478">
        <w:tc>
          <w:tcPr>
            <w:tcW w:w="2268" w:type="dxa"/>
          </w:tcPr>
          <w:p w14:paraId="18910F4C" w14:textId="77777777" w:rsidR="006E4E11" w:rsidRDefault="006E4E11" w:rsidP="003C38E3">
            <w:pPr>
              <w:framePr w:w="5035" w:h="1644" w:wrap="notBeside" w:vAnchor="page" w:hAnchor="page" w:x="6573" w:y="721"/>
              <w:spacing w:line="276" w:lineRule="auto"/>
            </w:pPr>
          </w:p>
        </w:tc>
        <w:tc>
          <w:tcPr>
            <w:tcW w:w="2999" w:type="dxa"/>
            <w:gridSpan w:val="2"/>
          </w:tcPr>
          <w:p w14:paraId="100498ED" w14:textId="77777777" w:rsidR="006E4E11" w:rsidRDefault="006E4E11" w:rsidP="003C38E3">
            <w:pPr>
              <w:framePr w:w="5035" w:h="1644" w:wrap="notBeside" w:vAnchor="page" w:hAnchor="page" w:x="6573" w:y="721"/>
              <w:spacing w:line="276" w:lineRule="auto"/>
            </w:pPr>
          </w:p>
        </w:tc>
      </w:tr>
    </w:tbl>
    <w:tbl>
      <w:tblPr>
        <w:tblW w:w="0" w:type="auto"/>
        <w:tblLayout w:type="fixed"/>
        <w:tblLook w:val="0000" w:firstRow="0" w:lastRow="0" w:firstColumn="0" w:lastColumn="0" w:noHBand="0" w:noVBand="0"/>
      </w:tblPr>
      <w:tblGrid>
        <w:gridCol w:w="4911"/>
      </w:tblGrid>
      <w:tr w:rsidR="006E4E11" w14:paraId="174D262E" w14:textId="77777777">
        <w:trPr>
          <w:trHeight w:val="284"/>
        </w:trPr>
        <w:tc>
          <w:tcPr>
            <w:tcW w:w="4911" w:type="dxa"/>
          </w:tcPr>
          <w:p w14:paraId="02371C81" w14:textId="77777777" w:rsidR="006E4E11" w:rsidRDefault="00FA6478" w:rsidP="003C38E3">
            <w:pPr>
              <w:pStyle w:val="Avsndare"/>
              <w:framePr w:h="2483" w:wrap="notBeside" w:x="1504"/>
              <w:spacing w:line="276" w:lineRule="auto"/>
              <w:rPr>
                <w:b/>
                <w:i w:val="0"/>
                <w:sz w:val="22"/>
              </w:rPr>
            </w:pPr>
            <w:r>
              <w:rPr>
                <w:b/>
                <w:i w:val="0"/>
                <w:sz w:val="22"/>
              </w:rPr>
              <w:t>Statsrådsberedningen</w:t>
            </w:r>
          </w:p>
        </w:tc>
      </w:tr>
      <w:tr w:rsidR="006E4E11" w14:paraId="7703C9D9" w14:textId="77777777">
        <w:trPr>
          <w:trHeight w:val="284"/>
        </w:trPr>
        <w:tc>
          <w:tcPr>
            <w:tcW w:w="4911" w:type="dxa"/>
          </w:tcPr>
          <w:p w14:paraId="05BE77BA" w14:textId="77777777" w:rsidR="006E4E11" w:rsidRDefault="006E4E11" w:rsidP="003C38E3">
            <w:pPr>
              <w:pStyle w:val="Avsndare"/>
              <w:framePr w:h="2483" w:wrap="notBeside" w:x="1504"/>
              <w:spacing w:line="276" w:lineRule="auto"/>
              <w:rPr>
                <w:bCs/>
                <w:iCs/>
              </w:rPr>
            </w:pPr>
          </w:p>
        </w:tc>
      </w:tr>
      <w:tr w:rsidR="006E4E11" w14:paraId="6E7D066B" w14:textId="77777777">
        <w:trPr>
          <w:trHeight w:val="284"/>
        </w:trPr>
        <w:tc>
          <w:tcPr>
            <w:tcW w:w="4911" w:type="dxa"/>
          </w:tcPr>
          <w:p w14:paraId="67637B45" w14:textId="77777777" w:rsidR="006E4E11" w:rsidRDefault="00FA6478" w:rsidP="003C38E3">
            <w:pPr>
              <w:pStyle w:val="Avsndare"/>
              <w:framePr w:h="2483" w:wrap="notBeside" w:x="1504"/>
              <w:spacing w:line="276" w:lineRule="auto"/>
              <w:rPr>
                <w:bCs/>
                <w:iCs/>
              </w:rPr>
            </w:pPr>
            <w:r>
              <w:rPr>
                <w:bCs/>
                <w:iCs/>
              </w:rPr>
              <w:t>EU-kansliet</w:t>
            </w:r>
          </w:p>
        </w:tc>
      </w:tr>
      <w:tr w:rsidR="006E4E11" w14:paraId="46A73DD5" w14:textId="77777777">
        <w:trPr>
          <w:trHeight w:val="284"/>
        </w:trPr>
        <w:tc>
          <w:tcPr>
            <w:tcW w:w="4911" w:type="dxa"/>
          </w:tcPr>
          <w:p w14:paraId="4D6C167B" w14:textId="77777777" w:rsidR="006E4E11" w:rsidRDefault="006E4E11" w:rsidP="003C38E3">
            <w:pPr>
              <w:pStyle w:val="Avsndare"/>
              <w:framePr w:h="2483" w:wrap="notBeside" w:x="1504"/>
              <w:spacing w:line="276" w:lineRule="auto"/>
              <w:rPr>
                <w:bCs/>
                <w:iCs/>
              </w:rPr>
            </w:pPr>
          </w:p>
        </w:tc>
      </w:tr>
      <w:tr w:rsidR="006E4E11" w14:paraId="124DDEC5" w14:textId="77777777">
        <w:trPr>
          <w:trHeight w:val="284"/>
        </w:trPr>
        <w:tc>
          <w:tcPr>
            <w:tcW w:w="4911" w:type="dxa"/>
          </w:tcPr>
          <w:p w14:paraId="18FBE35B" w14:textId="77777777" w:rsidR="006E4E11" w:rsidRDefault="006E4E11" w:rsidP="003C38E3">
            <w:pPr>
              <w:pStyle w:val="Avsndare"/>
              <w:framePr w:h="2483" w:wrap="notBeside" w:x="1504"/>
              <w:spacing w:line="276" w:lineRule="auto"/>
              <w:rPr>
                <w:bCs/>
                <w:iCs/>
              </w:rPr>
            </w:pPr>
          </w:p>
        </w:tc>
      </w:tr>
      <w:tr w:rsidR="006E4E11" w14:paraId="3F23354B" w14:textId="77777777">
        <w:trPr>
          <w:trHeight w:val="284"/>
        </w:trPr>
        <w:tc>
          <w:tcPr>
            <w:tcW w:w="4911" w:type="dxa"/>
          </w:tcPr>
          <w:p w14:paraId="5067F4B2" w14:textId="77777777" w:rsidR="006E4E11" w:rsidRDefault="006E4E11" w:rsidP="003C38E3">
            <w:pPr>
              <w:pStyle w:val="Avsndare"/>
              <w:framePr w:h="2483" w:wrap="notBeside" w:x="1504"/>
              <w:spacing w:line="276" w:lineRule="auto"/>
              <w:rPr>
                <w:bCs/>
                <w:iCs/>
              </w:rPr>
            </w:pPr>
          </w:p>
        </w:tc>
      </w:tr>
      <w:tr w:rsidR="006E4E11" w14:paraId="21ACB96B" w14:textId="77777777">
        <w:trPr>
          <w:trHeight w:val="284"/>
        </w:trPr>
        <w:tc>
          <w:tcPr>
            <w:tcW w:w="4911" w:type="dxa"/>
          </w:tcPr>
          <w:p w14:paraId="44C055EA" w14:textId="77777777" w:rsidR="006E4E11" w:rsidRDefault="006E4E11" w:rsidP="003C38E3">
            <w:pPr>
              <w:pStyle w:val="Avsndare"/>
              <w:framePr w:h="2483" w:wrap="notBeside" w:x="1504"/>
              <w:spacing w:line="276" w:lineRule="auto"/>
              <w:rPr>
                <w:bCs/>
                <w:iCs/>
              </w:rPr>
            </w:pPr>
          </w:p>
        </w:tc>
      </w:tr>
      <w:tr w:rsidR="006E4E11" w14:paraId="353D0E27" w14:textId="77777777">
        <w:trPr>
          <w:trHeight w:val="284"/>
        </w:trPr>
        <w:tc>
          <w:tcPr>
            <w:tcW w:w="4911" w:type="dxa"/>
          </w:tcPr>
          <w:p w14:paraId="7A51F551" w14:textId="77777777" w:rsidR="006E4E11" w:rsidRDefault="006E4E11" w:rsidP="003C38E3">
            <w:pPr>
              <w:pStyle w:val="Avsndare"/>
              <w:framePr w:h="2483" w:wrap="notBeside" w:x="1504"/>
              <w:spacing w:line="276" w:lineRule="auto"/>
              <w:rPr>
                <w:bCs/>
                <w:iCs/>
              </w:rPr>
            </w:pPr>
          </w:p>
        </w:tc>
      </w:tr>
      <w:tr w:rsidR="006E4E11" w14:paraId="057EF4F6" w14:textId="77777777">
        <w:trPr>
          <w:trHeight w:val="284"/>
        </w:trPr>
        <w:tc>
          <w:tcPr>
            <w:tcW w:w="4911" w:type="dxa"/>
          </w:tcPr>
          <w:p w14:paraId="0254AD09" w14:textId="77777777" w:rsidR="006E4E11" w:rsidRDefault="006E4E11" w:rsidP="003C38E3">
            <w:pPr>
              <w:pStyle w:val="Avsndare"/>
              <w:framePr w:h="2483" w:wrap="notBeside" w:x="1504"/>
              <w:spacing w:line="276" w:lineRule="auto"/>
              <w:rPr>
                <w:bCs/>
                <w:iCs/>
              </w:rPr>
            </w:pPr>
          </w:p>
        </w:tc>
      </w:tr>
    </w:tbl>
    <w:p w14:paraId="728827CE" w14:textId="77777777" w:rsidR="006E4E11" w:rsidRPr="00FA6478" w:rsidRDefault="006E4E11" w:rsidP="003C38E3">
      <w:pPr>
        <w:framePr w:w="4400" w:h="2523" w:wrap="notBeside" w:vAnchor="page" w:hAnchor="page" w:x="6453" w:y="2445"/>
        <w:spacing w:line="276" w:lineRule="auto"/>
        <w:ind w:left="142"/>
        <w:rPr>
          <w:b/>
        </w:rPr>
      </w:pPr>
    </w:p>
    <w:p w14:paraId="6C6C01A4" w14:textId="3069FF2A" w:rsidR="00FA6478" w:rsidRDefault="00A15BDE" w:rsidP="003C38E3">
      <w:pPr>
        <w:pStyle w:val="RKrubrik"/>
        <w:pBdr>
          <w:bottom w:val="single" w:sz="6" w:space="1" w:color="auto"/>
        </w:pBdr>
        <w:spacing w:line="276" w:lineRule="auto"/>
      </w:pPr>
      <w:bookmarkStart w:id="0" w:name="bRubrik"/>
      <w:bookmarkEnd w:id="0"/>
      <w:r>
        <w:t xml:space="preserve">Allmänna rådets möte </w:t>
      </w:r>
      <w:r w:rsidR="00FA6478">
        <w:t xml:space="preserve">den </w:t>
      </w:r>
      <w:r w:rsidR="00437075">
        <w:t>17 december 2013</w:t>
      </w:r>
    </w:p>
    <w:p w14:paraId="23D76C53" w14:textId="44D62FCA" w:rsidR="00FA6478" w:rsidRDefault="00FA6478" w:rsidP="003C38E3">
      <w:pPr>
        <w:pStyle w:val="RKrubrik"/>
        <w:spacing w:line="276" w:lineRule="auto"/>
      </w:pPr>
      <w:r>
        <w:t>Kommenterad dagordning</w:t>
      </w:r>
    </w:p>
    <w:p w14:paraId="1A6377FB" w14:textId="77777777" w:rsidR="00FA6478" w:rsidRDefault="00FA6478" w:rsidP="003C38E3">
      <w:pPr>
        <w:pStyle w:val="RKrubrik"/>
        <w:spacing w:line="276" w:lineRule="auto"/>
      </w:pPr>
      <w:r>
        <w:t>1.</w:t>
      </w:r>
      <w:r>
        <w:tab/>
        <w:t>Godkännande av dagordningen</w:t>
      </w:r>
      <w:bookmarkStart w:id="1" w:name="_GoBack"/>
      <w:bookmarkEnd w:id="1"/>
    </w:p>
    <w:p w14:paraId="74FEAB20" w14:textId="77777777" w:rsidR="00FA6478" w:rsidRPr="00FA6478" w:rsidRDefault="00FA6478" w:rsidP="003C38E3">
      <w:pPr>
        <w:pStyle w:val="RKnormal"/>
        <w:spacing w:line="276" w:lineRule="auto"/>
      </w:pPr>
    </w:p>
    <w:p w14:paraId="68F7EDBF" w14:textId="77777777" w:rsidR="00FA6478" w:rsidRDefault="00FA6478" w:rsidP="003C38E3">
      <w:pPr>
        <w:pStyle w:val="RKnormal"/>
        <w:spacing w:line="276" w:lineRule="auto"/>
      </w:pPr>
      <w:r w:rsidRPr="00FA6478">
        <w:rPr>
          <w:i/>
          <w:color w:val="000000"/>
          <w:u w:val="single"/>
        </w:rPr>
        <w:t>Lagstiftningsöverläggningar</w:t>
      </w:r>
    </w:p>
    <w:p w14:paraId="0A68B3A6" w14:textId="77777777" w:rsidR="00FA6478" w:rsidRDefault="00FA6478" w:rsidP="003C38E3">
      <w:pPr>
        <w:pStyle w:val="RKrubrik"/>
        <w:spacing w:line="276" w:lineRule="auto"/>
      </w:pPr>
      <w:r>
        <w:t>2.</w:t>
      </w:r>
      <w:r>
        <w:tab/>
        <w:t>(ev.) Godkännande av A-punktslistan</w:t>
      </w:r>
    </w:p>
    <w:p w14:paraId="0FD6A9A7" w14:textId="77777777" w:rsidR="00FA6478" w:rsidRDefault="00FA6478" w:rsidP="003C38E3">
      <w:pPr>
        <w:pStyle w:val="RKrubrik"/>
        <w:spacing w:line="276" w:lineRule="auto"/>
      </w:pPr>
      <w:r>
        <w:t>3.</w:t>
      </w:r>
      <w:r>
        <w:tab/>
        <w:t>Övriga frågor</w:t>
      </w:r>
    </w:p>
    <w:p w14:paraId="3937213E" w14:textId="77777777" w:rsidR="00FA6478" w:rsidRPr="00FA6478" w:rsidRDefault="00FA6478" w:rsidP="003C38E3">
      <w:pPr>
        <w:pStyle w:val="RKnormal"/>
        <w:tabs>
          <w:tab w:val="clear" w:pos="2835"/>
          <w:tab w:val="left" w:pos="1276"/>
        </w:tabs>
        <w:spacing w:line="276" w:lineRule="auto"/>
        <w:ind w:left="567"/>
        <w:rPr>
          <w:color w:val="000000"/>
          <w:szCs w:val="24"/>
        </w:rPr>
      </w:pPr>
      <w:bookmarkStart w:id="2" w:name="_Toc309385852"/>
      <w:bookmarkStart w:id="3" w:name="_Toc309385762"/>
      <w:r w:rsidRPr="00FA6478">
        <w:rPr>
          <w:color w:val="000000"/>
          <w:szCs w:val="24"/>
        </w:rPr>
        <w:t>=</w:t>
      </w:r>
      <w:r w:rsidRPr="00FA6478">
        <w:rPr>
          <w:color w:val="000000"/>
          <w:szCs w:val="24"/>
        </w:rPr>
        <w:tab/>
        <w:t>(ev.) Information från ordförandeskapet om aktuella lagförslag</w:t>
      </w:r>
    </w:p>
    <w:bookmarkEnd w:id="2"/>
    <w:bookmarkEnd w:id="3"/>
    <w:p w14:paraId="13031C7F" w14:textId="77777777" w:rsidR="00FA6478" w:rsidRPr="00FA6478" w:rsidRDefault="00FA6478" w:rsidP="003C38E3">
      <w:pPr>
        <w:pStyle w:val="RKnormal"/>
        <w:spacing w:line="276" w:lineRule="auto"/>
        <w:rPr>
          <w:color w:val="000000"/>
        </w:rPr>
      </w:pPr>
    </w:p>
    <w:p w14:paraId="7968E6DC" w14:textId="77777777" w:rsidR="00FA6478" w:rsidRPr="00FA6478" w:rsidRDefault="00FA6478" w:rsidP="003C38E3">
      <w:pPr>
        <w:pStyle w:val="Default"/>
        <w:spacing w:line="276" w:lineRule="auto"/>
        <w:rPr>
          <w:i/>
          <w:iCs/>
          <w:u w:val="single"/>
        </w:rPr>
      </w:pPr>
      <w:r w:rsidRPr="00FA6478">
        <w:rPr>
          <w:i/>
          <w:iCs/>
          <w:u w:val="single"/>
        </w:rPr>
        <w:t>Icke lagstiftande verksamhet</w:t>
      </w:r>
    </w:p>
    <w:p w14:paraId="5FBCC949" w14:textId="300CCEB4" w:rsidR="003C38E3" w:rsidRPr="003C38E3" w:rsidRDefault="00FA6478" w:rsidP="003C38E3">
      <w:pPr>
        <w:pStyle w:val="RKrubrik"/>
        <w:numPr>
          <w:ilvl w:val="0"/>
          <w:numId w:val="2"/>
        </w:numPr>
        <w:tabs>
          <w:tab w:val="clear" w:pos="1134"/>
        </w:tabs>
        <w:spacing w:line="276" w:lineRule="auto"/>
        <w:ind w:left="142" w:hanging="142"/>
      </w:pPr>
      <w:r w:rsidRPr="005F490D">
        <w:rPr>
          <w:color w:val="000000"/>
        </w:rPr>
        <w:t>Godkännande av A-punktslistan</w:t>
      </w:r>
    </w:p>
    <w:p w14:paraId="4730AC8E" w14:textId="573853E6" w:rsidR="0013060B" w:rsidRPr="0013060B" w:rsidRDefault="00FA6478" w:rsidP="003C38E3">
      <w:pPr>
        <w:pStyle w:val="RKrubrik"/>
        <w:numPr>
          <w:ilvl w:val="0"/>
          <w:numId w:val="2"/>
        </w:numPr>
        <w:tabs>
          <w:tab w:val="clear" w:pos="1134"/>
        </w:tabs>
        <w:spacing w:line="276" w:lineRule="auto"/>
        <w:ind w:left="142" w:hanging="142"/>
        <w:rPr>
          <w:color w:val="000000"/>
        </w:rPr>
      </w:pPr>
      <w:r>
        <w:t>Resolutioner, synpunkter och beslut antagna av Europaparlamentet</w:t>
      </w:r>
      <w:r w:rsidRPr="00FA6478">
        <w:rPr>
          <w:color w:val="000000"/>
        </w:rPr>
        <w:t xml:space="preserve"> </w:t>
      </w:r>
    </w:p>
    <w:p w14:paraId="2C01272F" w14:textId="77777777" w:rsidR="00FA6478" w:rsidRDefault="00FA6478" w:rsidP="003C38E3">
      <w:pPr>
        <w:pStyle w:val="Default"/>
        <w:spacing w:line="276" w:lineRule="auto"/>
        <w:rPr>
          <w:rFonts w:cs="Times New Roman"/>
          <w:i/>
          <w:color w:val="auto"/>
          <w:lang w:eastAsia="en-US"/>
        </w:rPr>
      </w:pPr>
      <w:r>
        <w:rPr>
          <w:rFonts w:cs="Times New Roman"/>
          <w:i/>
          <w:color w:val="auto"/>
          <w:lang w:eastAsia="en-US"/>
        </w:rPr>
        <w:t>Informationspunkt</w:t>
      </w:r>
    </w:p>
    <w:p w14:paraId="4349104A" w14:textId="77777777" w:rsidR="00FA6478" w:rsidRDefault="00FA6478" w:rsidP="003C38E3">
      <w:pPr>
        <w:pStyle w:val="Default"/>
        <w:spacing w:line="276" w:lineRule="auto"/>
        <w:rPr>
          <w:rFonts w:cs="Times New Roman"/>
          <w:i/>
          <w:color w:val="auto"/>
          <w:lang w:eastAsia="en-US"/>
        </w:rPr>
      </w:pPr>
    </w:p>
    <w:p w14:paraId="6882D25B" w14:textId="7662AC60" w:rsidR="003C38E3" w:rsidRDefault="00FA6478" w:rsidP="003C38E3">
      <w:pPr>
        <w:spacing w:after="120" w:line="276" w:lineRule="auto"/>
      </w:pPr>
      <w:r>
        <w:t xml:space="preserve">Allmänna rådet avser att notera resolutioner, yttranden och beslut antagna av Europaparlamentet </w:t>
      </w:r>
      <w:r w:rsidR="0013060B">
        <w:t>under sammanträdesperioden den 18-21 november</w:t>
      </w:r>
      <w:r>
        <w:t xml:space="preserve"> 2013. Detta är en standardpunkt på dagordningen.</w:t>
      </w:r>
    </w:p>
    <w:p w14:paraId="0A726725" w14:textId="1EDE9763" w:rsidR="0013060B" w:rsidRDefault="0013060B" w:rsidP="003C38E3">
      <w:pPr>
        <w:pStyle w:val="RKrubrik"/>
        <w:numPr>
          <w:ilvl w:val="0"/>
          <w:numId w:val="2"/>
        </w:numPr>
        <w:tabs>
          <w:tab w:val="clear" w:pos="1134"/>
        </w:tabs>
        <w:spacing w:line="276" w:lineRule="auto"/>
        <w:ind w:left="142" w:hanging="142"/>
      </w:pPr>
      <w:r w:rsidRPr="00A839AF">
        <w:t>Översynen av EEAS</w:t>
      </w:r>
    </w:p>
    <w:p w14:paraId="3981EB01" w14:textId="48215EE7" w:rsidR="00873710" w:rsidRDefault="00873710" w:rsidP="00D91220">
      <w:pPr>
        <w:pStyle w:val="RKnormal"/>
      </w:pPr>
      <w:r>
        <w:t>= Rådsslutsatser</w:t>
      </w:r>
    </w:p>
    <w:p w14:paraId="0C145472" w14:textId="77777777" w:rsidR="00D91220" w:rsidRPr="00D91220" w:rsidRDefault="00D91220" w:rsidP="00D91220">
      <w:pPr>
        <w:pStyle w:val="RKnormal"/>
      </w:pPr>
    </w:p>
    <w:p w14:paraId="61EB9AEE" w14:textId="4FBB643C" w:rsidR="0013060B" w:rsidRPr="00DB35CC" w:rsidRDefault="005B12C4" w:rsidP="003C38E3">
      <w:pPr>
        <w:pStyle w:val="RKnormal"/>
        <w:spacing w:line="276" w:lineRule="auto"/>
        <w:rPr>
          <w:i/>
          <w:color w:val="000000" w:themeColor="text1"/>
        </w:rPr>
      </w:pPr>
      <w:r>
        <w:rPr>
          <w:i/>
          <w:color w:val="000000" w:themeColor="text1"/>
        </w:rPr>
        <w:t>B</w:t>
      </w:r>
      <w:r w:rsidR="0013060B">
        <w:rPr>
          <w:i/>
          <w:color w:val="000000" w:themeColor="text1"/>
        </w:rPr>
        <w:t>eslutspunkt</w:t>
      </w:r>
    </w:p>
    <w:p w14:paraId="26A387E9" w14:textId="77777777" w:rsidR="0013060B" w:rsidRPr="00DB35CC" w:rsidRDefault="0013060B" w:rsidP="003C38E3">
      <w:pPr>
        <w:pStyle w:val="RKnormal"/>
        <w:spacing w:line="276" w:lineRule="auto"/>
        <w:rPr>
          <w:color w:val="000000" w:themeColor="text1"/>
        </w:rPr>
      </w:pPr>
    </w:p>
    <w:p w14:paraId="6AA1BB40" w14:textId="77777777" w:rsidR="0013060B" w:rsidRDefault="0013060B" w:rsidP="003C38E3">
      <w:pPr>
        <w:pStyle w:val="RKnormal"/>
        <w:spacing w:line="276" w:lineRule="auto"/>
        <w:rPr>
          <w:b/>
          <w:color w:val="000000" w:themeColor="text1"/>
        </w:rPr>
      </w:pPr>
      <w:r w:rsidRPr="00DB35CC">
        <w:rPr>
          <w:b/>
          <w:color w:val="000000" w:themeColor="text1"/>
        </w:rPr>
        <w:lastRenderedPageBreak/>
        <w:t>Bakgrund</w:t>
      </w:r>
    </w:p>
    <w:p w14:paraId="59997CA3" w14:textId="5511FCFB" w:rsidR="0013060B" w:rsidRDefault="0013060B" w:rsidP="003C38E3">
      <w:pPr>
        <w:pStyle w:val="RKnormal"/>
        <w:spacing w:line="276" w:lineRule="auto"/>
        <w:rPr>
          <w:color w:val="000000" w:themeColor="text1"/>
        </w:rPr>
      </w:pPr>
      <w:r>
        <w:rPr>
          <w:color w:val="000000" w:themeColor="text1"/>
        </w:rPr>
        <w:t>I enlighet med ett åtagande i rådsbeslutet om inrättande av den Europeiska utrikestjänsten (EEAS) presenterade</w:t>
      </w:r>
      <w:r w:rsidR="00FC1CD0">
        <w:rPr>
          <w:color w:val="000000" w:themeColor="text1"/>
        </w:rPr>
        <w:t xml:space="preserve"> den höga representanten för utrikes- och säkerhetspolitik (HR/VP)</w:t>
      </w:r>
      <w:r w:rsidR="00DB5AF1">
        <w:rPr>
          <w:color w:val="000000" w:themeColor="text1"/>
        </w:rPr>
        <w:t xml:space="preserve">, </w:t>
      </w:r>
      <w:r w:rsidR="00FC1CD0">
        <w:rPr>
          <w:color w:val="000000" w:themeColor="text1"/>
        </w:rPr>
        <w:t>Catherine</w:t>
      </w:r>
      <w:r>
        <w:rPr>
          <w:color w:val="000000" w:themeColor="text1"/>
        </w:rPr>
        <w:t xml:space="preserve"> Ashton i juli en rapport om en översyn av utrikestjänstens organisation och funktionssätt. Rapporten innehåller ett betydande antal rekommendationer, dels på kort sikt avseende organisation, funktion och personalfrågor, dels på medellång sikt om organisation och funktion. Det gäller t ex förslag till åtgärder för att i olika avseenden förbättra och utveckla samarbetet EEAS-</w:t>
      </w:r>
      <w:r w:rsidR="00873710">
        <w:rPr>
          <w:color w:val="000000" w:themeColor="text1"/>
        </w:rPr>
        <w:t xml:space="preserve">kommissionen </w:t>
      </w:r>
      <w:r>
        <w:rPr>
          <w:color w:val="000000" w:themeColor="text1"/>
        </w:rPr>
        <w:t>och bättre utnyttja HR/VP</w:t>
      </w:r>
      <w:r w:rsidR="00FC1CD0">
        <w:rPr>
          <w:color w:val="000000" w:themeColor="text1"/>
        </w:rPr>
        <w:t>:</w:t>
      </w:r>
      <w:r>
        <w:rPr>
          <w:color w:val="000000" w:themeColor="text1"/>
        </w:rPr>
        <w:t>s ”</w:t>
      </w:r>
      <w:proofErr w:type="spellStart"/>
      <w:r>
        <w:rPr>
          <w:color w:val="000000" w:themeColor="text1"/>
        </w:rPr>
        <w:t>dubbelhattning</w:t>
      </w:r>
      <w:proofErr w:type="spellEnd"/>
      <w:r>
        <w:rPr>
          <w:color w:val="000000" w:themeColor="text1"/>
        </w:rPr>
        <w:t>” för att främja effektivitet och samstämmighet i EU</w:t>
      </w:r>
      <w:r w:rsidR="00FC1CD0">
        <w:rPr>
          <w:color w:val="000000" w:themeColor="text1"/>
        </w:rPr>
        <w:t>:</w:t>
      </w:r>
      <w:r>
        <w:rPr>
          <w:color w:val="000000" w:themeColor="text1"/>
        </w:rPr>
        <w:t>s externa agerande. Avsikten är att anta rådsslutsatser om EEAS-översynen.</w:t>
      </w:r>
    </w:p>
    <w:p w14:paraId="704F52C0" w14:textId="77777777" w:rsidR="0013060B" w:rsidRDefault="0013060B" w:rsidP="003C38E3">
      <w:pPr>
        <w:pStyle w:val="RKnormal"/>
        <w:spacing w:line="276" w:lineRule="auto"/>
        <w:rPr>
          <w:color w:val="000000" w:themeColor="text1"/>
        </w:rPr>
      </w:pPr>
    </w:p>
    <w:p w14:paraId="2E269247" w14:textId="77777777" w:rsidR="0013060B" w:rsidRPr="00474A80" w:rsidRDefault="0013060B" w:rsidP="003C38E3">
      <w:pPr>
        <w:pStyle w:val="RKnormal"/>
        <w:spacing w:line="276" w:lineRule="auto"/>
        <w:rPr>
          <w:b/>
        </w:rPr>
      </w:pPr>
      <w:r>
        <w:rPr>
          <w:b/>
        </w:rPr>
        <w:t>Förslag till svensk ståndpunkt</w:t>
      </w:r>
    </w:p>
    <w:p w14:paraId="18C6714E" w14:textId="0A1E76CE" w:rsidR="0013060B" w:rsidRPr="00474A80" w:rsidRDefault="00873710" w:rsidP="003C38E3">
      <w:pPr>
        <w:spacing w:line="276" w:lineRule="auto"/>
      </w:pPr>
      <w:r>
        <w:t>Regeringen</w:t>
      </w:r>
      <w:r w:rsidRPr="00474A80">
        <w:t xml:space="preserve"> </w:t>
      </w:r>
      <w:r w:rsidR="0013060B">
        <w:t>stöder HR</w:t>
      </w:r>
      <w:r w:rsidR="00FC1CD0">
        <w:t>/VP:</w:t>
      </w:r>
      <w:r w:rsidR="0013060B" w:rsidRPr="00474A80">
        <w:t>s</w:t>
      </w:r>
      <w:r w:rsidR="0013060B">
        <w:t xml:space="preserve"> ansträngningar att stärka och utveckla EEAS och skapa bästa möjliga förutsättningar för ett effektivt och samstämmigt externt agerande. </w:t>
      </w:r>
      <w:r>
        <w:t xml:space="preserve">Regeringen </w:t>
      </w:r>
      <w:r w:rsidR="0013060B">
        <w:t xml:space="preserve">välkomnar rapporten om EEAS-översynen och ser det som angeläget att </w:t>
      </w:r>
      <w:r>
        <w:t xml:space="preserve">rådsslutsatserna bekräftar att </w:t>
      </w:r>
      <w:r w:rsidR="0013060B">
        <w:t xml:space="preserve">rapporten följs upp och reformarbetet fortskrider. </w:t>
      </w:r>
    </w:p>
    <w:p w14:paraId="7DCCC8EB" w14:textId="77777777" w:rsidR="003C38E3" w:rsidRDefault="003C38E3" w:rsidP="003C38E3">
      <w:pPr>
        <w:spacing w:after="120" w:line="276" w:lineRule="auto"/>
      </w:pPr>
    </w:p>
    <w:p w14:paraId="6164EC2F" w14:textId="2DA29A07" w:rsidR="009F769A" w:rsidRPr="003C38E3" w:rsidRDefault="00FA6478" w:rsidP="003C38E3">
      <w:pPr>
        <w:numPr>
          <w:ilvl w:val="0"/>
          <w:numId w:val="2"/>
        </w:numPr>
        <w:spacing w:after="120" w:line="276" w:lineRule="auto"/>
        <w:ind w:left="142" w:hanging="142"/>
        <w:rPr>
          <w:rFonts w:ascii="TradeGothic" w:hAnsi="TradeGothic"/>
          <w:b/>
          <w:sz w:val="20"/>
        </w:rPr>
      </w:pPr>
      <w:r w:rsidRPr="003C38E3">
        <w:rPr>
          <w:rFonts w:ascii="TradeGothic" w:hAnsi="TradeGothic"/>
          <w:b/>
          <w:color w:val="000000"/>
          <w:sz w:val="22"/>
        </w:rPr>
        <w:t xml:space="preserve">Förberedelser av Europeiska rådet den </w:t>
      </w:r>
      <w:r w:rsidR="0013060B" w:rsidRPr="003C38E3">
        <w:rPr>
          <w:rFonts w:ascii="TradeGothic" w:hAnsi="TradeGothic"/>
          <w:b/>
          <w:color w:val="000000"/>
          <w:sz w:val="22"/>
        </w:rPr>
        <w:t>19-20 december</w:t>
      </w:r>
      <w:r w:rsidRPr="003C38E3">
        <w:rPr>
          <w:rFonts w:ascii="TradeGothic" w:hAnsi="TradeGothic"/>
          <w:b/>
          <w:color w:val="000000"/>
          <w:sz w:val="22"/>
        </w:rPr>
        <w:t xml:space="preserve"> 2013</w:t>
      </w:r>
      <w:r w:rsidR="009F769A" w:rsidRPr="003C38E3">
        <w:rPr>
          <w:rFonts w:eastAsiaTheme="minorHAnsi" w:cstheme="minorBidi"/>
          <w:sz w:val="22"/>
          <w:szCs w:val="22"/>
        </w:rPr>
        <w:t xml:space="preserve"> </w:t>
      </w:r>
    </w:p>
    <w:p w14:paraId="77C5A794" w14:textId="77777777" w:rsidR="009F769A" w:rsidRDefault="009F769A" w:rsidP="003C38E3">
      <w:pPr>
        <w:spacing w:after="120" w:line="276" w:lineRule="auto"/>
        <w:rPr>
          <w:rFonts w:eastAsia="Calibri"/>
          <w:i/>
          <w:color w:val="000000"/>
          <w:szCs w:val="22"/>
        </w:rPr>
      </w:pPr>
      <w:r>
        <w:rPr>
          <w:rFonts w:eastAsiaTheme="minorHAnsi" w:cstheme="minorBidi"/>
          <w:szCs w:val="22"/>
        </w:rPr>
        <w:t xml:space="preserve">= </w:t>
      </w:r>
      <w:r w:rsidRPr="009F769A">
        <w:rPr>
          <w:rFonts w:eastAsia="Calibri"/>
          <w:szCs w:val="22"/>
        </w:rPr>
        <w:t>Utkast till Europeiska rådets slutsatser</w:t>
      </w:r>
      <w:r w:rsidRPr="009F769A">
        <w:rPr>
          <w:rFonts w:eastAsia="Calibri"/>
          <w:i/>
          <w:color w:val="000000"/>
          <w:szCs w:val="22"/>
        </w:rPr>
        <w:t xml:space="preserve"> </w:t>
      </w:r>
    </w:p>
    <w:p w14:paraId="4EEE2E5E" w14:textId="77777777" w:rsidR="00FC689B" w:rsidRDefault="00FC689B" w:rsidP="00FC689B">
      <w:pPr>
        <w:tabs>
          <w:tab w:val="left" w:pos="709"/>
          <w:tab w:val="left" w:pos="2835"/>
        </w:tabs>
        <w:spacing w:line="240" w:lineRule="atLeast"/>
        <w:textAlignment w:val="auto"/>
        <w:rPr>
          <w:rFonts w:eastAsia="Calibri"/>
          <w:i/>
          <w:color w:val="000000"/>
          <w:szCs w:val="22"/>
        </w:rPr>
      </w:pPr>
    </w:p>
    <w:p w14:paraId="3C986D20" w14:textId="77777777" w:rsidR="00FC689B" w:rsidRPr="00FC689B" w:rsidRDefault="00FC689B" w:rsidP="00FC689B">
      <w:pPr>
        <w:tabs>
          <w:tab w:val="left" w:pos="709"/>
          <w:tab w:val="left" w:pos="2835"/>
        </w:tabs>
        <w:spacing w:line="240" w:lineRule="atLeast"/>
        <w:textAlignment w:val="auto"/>
        <w:rPr>
          <w:rFonts w:eastAsia="Calibri"/>
          <w:i/>
          <w:color w:val="000000"/>
          <w:szCs w:val="22"/>
        </w:rPr>
      </w:pPr>
      <w:r w:rsidRPr="00FC689B">
        <w:rPr>
          <w:rFonts w:eastAsia="Calibri"/>
          <w:i/>
          <w:color w:val="000000"/>
          <w:szCs w:val="22"/>
        </w:rPr>
        <w:t xml:space="preserve">Diskussionspunkt </w:t>
      </w:r>
    </w:p>
    <w:p w14:paraId="3E9F47AE" w14:textId="77777777" w:rsidR="00FC689B" w:rsidRPr="00FC689B" w:rsidRDefault="00FC689B" w:rsidP="00FC689B">
      <w:pPr>
        <w:tabs>
          <w:tab w:val="left" w:pos="709"/>
          <w:tab w:val="left" w:pos="2835"/>
        </w:tabs>
        <w:spacing w:line="240" w:lineRule="atLeast"/>
        <w:textAlignment w:val="auto"/>
        <w:rPr>
          <w:rFonts w:eastAsia="Calibri"/>
          <w:b/>
          <w:color w:val="000000"/>
          <w:szCs w:val="22"/>
        </w:rPr>
      </w:pPr>
    </w:p>
    <w:p w14:paraId="7F8DBCFE" w14:textId="77777777" w:rsidR="00FC689B" w:rsidRPr="00FC689B" w:rsidRDefault="00FC689B" w:rsidP="00FC689B">
      <w:pPr>
        <w:tabs>
          <w:tab w:val="left" w:pos="709"/>
          <w:tab w:val="left" w:pos="2835"/>
        </w:tabs>
        <w:spacing w:line="240" w:lineRule="atLeast"/>
        <w:textAlignment w:val="auto"/>
        <w:rPr>
          <w:rFonts w:eastAsia="Calibri"/>
          <w:b/>
          <w:color w:val="000000"/>
          <w:szCs w:val="22"/>
        </w:rPr>
      </w:pPr>
      <w:r w:rsidRPr="00FC689B">
        <w:rPr>
          <w:rFonts w:eastAsia="Calibri"/>
          <w:b/>
          <w:color w:val="000000"/>
          <w:szCs w:val="22"/>
        </w:rPr>
        <w:t>Bakgrund</w:t>
      </w:r>
    </w:p>
    <w:p w14:paraId="7B9853DB" w14:textId="04D3AEE4" w:rsidR="00FC689B" w:rsidRPr="00FC689B" w:rsidRDefault="00FC689B" w:rsidP="00FC689B">
      <w:pPr>
        <w:tabs>
          <w:tab w:val="left" w:pos="709"/>
          <w:tab w:val="left" w:pos="2835"/>
        </w:tabs>
        <w:spacing w:line="240" w:lineRule="atLeast"/>
        <w:textAlignment w:val="auto"/>
        <w:rPr>
          <w:rFonts w:eastAsia="Calibri"/>
          <w:color w:val="000000"/>
          <w:szCs w:val="22"/>
        </w:rPr>
      </w:pPr>
      <w:r w:rsidRPr="00FC689B">
        <w:rPr>
          <w:rFonts w:eastAsia="Calibri"/>
          <w:color w:val="000000"/>
          <w:szCs w:val="22"/>
        </w:rPr>
        <w:t xml:space="preserve">Ett </w:t>
      </w:r>
      <w:r w:rsidR="0072106D">
        <w:rPr>
          <w:rFonts w:eastAsia="Calibri"/>
          <w:color w:val="000000"/>
          <w:szCs w:val="22"/>
        </w:rPr>
        <w:t xml:space="preserve">annoterat </w:t>
      </w:r>
      <w:r w:rsidRPr="00FC689B">
        <w:rPr>
          <w:rFonts w:eastAsia="Calibri"/>
          <w:color w:val="000000"/>
          <w:szCs w:val="22"/>
        </w:rPr>
        <w:t>utkast till dagordning till Europeiska rådets möte har delgivits EU-nämnden. Något utkast till slutsatser föreligger ännu inte.</w:t>
      </w:r>
    </w:p>
    <w:p w14:paraId="1DD5F4DE"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341FA950" w14:textId="5599F08A" w:rsidR="00FC689B" w:rsidRPr="00FC689B" w:rsidRDefault="00FC689B" w:rsidP="00FC689B">
      <w:pPr>
        <w:tabs>
          <w:tab w:val="left" w:pos="709"/>
          <w:tab w:val="left" w:pos="2835"/>
        </w:tabs>
        <w:spacing w:line="240" w:lineRule="atLeast"/>
        <w:textAlignment w:val="auto"/>
        <w:rPr>
          <w:rFonts w:eastAsia="Calibri"/>
          <w:color w:val="000000"/>
          <w:szCs w:val="22"/>
        </w:rPr>
      </w:pPr>
      <w:r w:rsidRPr="00FC689B">
        <w:rPr>
          <w:rFonts w:eastAsia="Calibri"/>
          <w:color w:val="000000"/>
          <w:szCs w:val="22"/>
        </w:rPr>
        <w:t xml:space="preserve">I enlighet med slutsatserna från Europeiska rådet i december 2012 står utvecklingen av EU:s gemensamma säkerhets- och försvarspolitik (GSFP) på dagordningen. Europeiska rådet förväntas fastställa prioriteringar kring tre kluster på området; öka </w:t>
      </w:r>
      <w:proofErr w:type="spellStart"/>
      <w:r w:rsidRPr="00FC689B">
        <w:rPr>
          <w:rFonts w:eastAsia="Calibri"/>
          <w:color w:val="000000"/>
          <w:szCs w:val="22"/>
        </w:rPr>
        <w:t>GS</w:t>
      </w:r>
      <w:r w:rsidR="00A15790">
        <w:rPr>
          <w:rFonts w:eastAsia="Calibri"/>
          <w:color w:val="000000"/>
          <w:szCs w:val="22"/>
        </w:rPr>
        <w:t>F</w:t>
      </w:r>
      <w:r w:rsidRPr="00FC689B">
        <w:rPr>
          <w:rFonts w:eastAsia="Calibri"/>
          <w:color w:val="000000"/>
          <w:szCs w:val="22"/>
        </w:rPr>
        <w:t>P:s</w:t>
      </w:r>
      <w:proofErr w:type="spellEnd"/>
      <w:r w:rsidRPr="00FC689B">
        <w:rPr>
          <w:rFonts w:eastAsia="Calibri"/>
          <w:color w:val="000000"/>
          <w:szCs w:val="22"/>
        </w:rPr>
        <w:t xml:space="preserve"> effektivitet, synlighet och </w:t>
      </w:r>
      <w:r w:rsidR="002A2ADD">
        <w:rPr>
          <w:rFonts w:eastAsia="Calibri"/>
          <w:color w:val="000000"/>
          <w:szCs w:val="22"/>
        </w:rPr>
        <w:t>genomslag</w:t>
      </w:r>
      <w:r w:rsidRPr="00FC689B">
        <w:rPr>
          <w:rFonts w:eastAsia="Calibri"/>
          <w:color w:val="000000"/>
          <w:szCs w:val="22"/>
        </w:rPr>
        <w:t>, förbättra utvecklingen av försvarsförmågor och stärkandet av Europas försvarsindustri. Två viktiga underlag utgörs av kommissionens meddelande ”</w:t>
      </w:r>
      <w:r w:rsidRPr="00FC689B">
        <w:rPr>
          <w:szCs w:val="24"/>
        </w:rPr>
        <w:t>Mot en mer konkurrenskraftig och effektiv försvars- och säkerhetssektor i EU” som presenterades i juli och d</w:t>
      </w:r>
      <w:r w:rsidRPr="00FC689B">
        <w:rPr>
          <w:rFonts w:eastAsia="Calibri"/>
          <w:color w:val="000000"/>
          <w:szCs w:val="22"/>
        </w:rPr>
        <w:t xml:space="preserve">en rapport om GSFP som den höga representanten för utrikes- och säkerhetspolitik, Catherine Ashton, presenterade i mitten på oktober. Europeiska rådets behandling av frågorna har också förberetts i rådet, bl.a. genom antagande av utförliga rådsslutsatser om GSFP i november. </w:t>
      </w:r>
    </w:p>
    <w:p w14:paraId="3DAF3289"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05328EC2" w14:textId="0DADBDF8" w:rsidR="00FC689B" w:rsidRPr="00FC689B" w:rsidRDefault="00FC689B" w:rsidP="00FC689B">
      <w:pPr>
        <w:tabs>
          <w:tab w:val="left" w:pos="709"/>
          <w:tab w:val="left" w:pos="2835"/>
        </w:tabs>
        <w:spacing w:line="240" w:lineRule="atLeast"/>
        <w:textAlignment w:val="auto"/>
        <w:rPr>
          <w:rFonts w:eastAsia="Calibri"/>
          <w:color w:val="000000"/>
          <w:szCs w:val="22"/>
        </w:rPr>
      </w:pPr>
      <w:r w:rsidRPr="00FC689B">
        <w:rPr>
          <w:rFonts w:eastAsia="Calibri"/>
          <w:color w:val="000000"/>
          <w:szCs w:val="22"/>
        </w:rPr>
        <w:t>Europeiska rådet ska</w:t>
      </w:r>
      <w:r w:rsidR="00BF325C">
        <w:rPr>
          <w:rFonts w:eastAsia="Calibri"/>
          <w:color w:val="000000"/>
          <w:szCs w:val="22"/>
        </w:rPr>
        <w:t xml:space="preserve"> </w:t>
      </w:r>
      <w:r w:rsidR="00873710">
        <w:rPr>
          <w:rFonts w:eastAsia="Calibri"/>
          <w:color w:val="000000"/>
          <w:szCs w:val="22"/>
        </w:rPr>
        <w:t>vidare</w:t>
      </w:r>
      <w:r w:rsidRPr="00FC689B">
        <w:rPr>
          <w:rFonts w:eastAsia="Calibri"/>
          <w:color w:val="000000"/>
          <w:szCs w:val="22"/>
        </w:rPr>
        <w:t xml:space="preserve"> följa upp arbetet med fördjupningen av EMU. Stats- och regeringscheferna ska diskutera kontrakt</w:t>
      </w:r>
      <w:r w:rsidR="00BF325C">
        <w:rPr>
          <w:rFonts w:eastAsia="Calibri"/>
          <w:color w:val="000000"/>
          <w:szCs w:val="22"/>
        </w:rPr>
        <w:t>s</w:t>
      </w:r>
      <w:r w:rsidRPr="00FC689B">
        <w:rPr>
          <w:rFonts w:eastAsia="Calibri"/>
          <w:color w:val="000000"/>
          <w:szCs w:val="22"/>
        </w:rPr>
        <w:t>arrangemang och tillhörande solidaritetsmekanismer</w:t>
      </w:r>
      <w:r w:rsidR="0072106D">
        <w:rPr>
          <w:rFonts w:eastAsia="Calibri"/>
          <w:color w:val="000000"/>
          <w:szCs w:val="22"/>
        </w:rPr>
        <w:t>. Inriktningen från Europeiska rådets ordförande är att Europeiska rådet ska</w:t>
      </w:r>
      <w:r w:rsidRPr="00FC689B">
        <w:rPr>
          <w:rFonts w:eastAsia="Calibri"/>
          <w:color w:val="000000"/>
          <w:szCs w:val="22"/>
        </w:rPr>
        <w:t xml:space="preserve"> fatta beslut om huvuddragen i dessa. Ett fortsatt arbete om dessa frågor är att vänta under 2014. </w:t>
      </w:r>
    </w:p>
    <w:p w14:paraId="7F9B6BE9"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0887B5C5" w14:textId="5D5D92C8" w:rsidR="00FC689B" w:rsidRPr="00FC689B" w:rsidRDefault="00FC689B" w:rsidP="00FC689B">
      <w:pPr>
        <w:tabs>
          <w:tab w:val="left" w:pos="709"/>
          <w:tab w:val="left" w:pos="2835"/>
        </w:tabs>
        <w:spacing w:line="240" w:lineRule="atLeast"/>
        <w:textAlignment w:val="auto"/>
        <w:rPr>
          <w:rFonts w:eastAsia="Calibri"/>
          <w:color w:val="000000"/>
          <w:szCs w:val="22"/>
        </w:rPr>
      </w:pPr>
      <w:r w:rsidRPr="00FC689B">
        <w:rPr>
          <w:rFonts w:eastAsia="Calibri"/>
          <w:color w:val="000000"/>
          <w:szCs w:val="22"/>
        </w:rPr>
        <w:t xml:space="preserve">Europeiska rådet förväntas vidare stämma av arbetet med att upprätta den så kallade bankunionen. </w:t>
      </w:r>
      <w:r w:rsidR="0072106D">
        <w:rPr>
          <w:rFonts w:eastAsia="Calibri"/>
          <w:color w:val="000000"/>
          <w:szCs w:val="22"/>
        </w:rPr>
        <w:t xml:space="preserve">Diskussionen blir avhängig utfallet i rådet (EKOFIN). </w:t>
      </w:r>
      <w:r w:rsidRPr="00FC689B">
        <w:rPr>
          <w:rFonts w:eastAsia="Calibri"/>
          <w:color w:val="000000"/>
          <w:szCs w:val="22"/>
        </w:rPr>
        <w:t>Genomförandet av den så kallade tillväxtpakten som antogs av Europeiska rådet i juni 2012 ska även den följas upp liksom arbetet på skatteområdet i ljuset av stats- och regeringschefernas möte i maj 2013.</w:t>
      </w:r>
    </w:p>
    <w:p w14:paraId="5954FE3D"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2CAA426D" w14:textId="77777777" w:rsidR="00FC689B" w:rsidRPr="00FC689B" w:rsidRDefault="00FC689B" w:rsidP="00FC689B">
      <w:pPr>
        <w:tabs>
          <w:tab w:val="left" w:pos="709"/>
          <w:tab w:val="left" w:pos="2835"/>
        </w:tabs>
        <w:spacing w:line="240" w:lineRule="atLeast"/>
        <w:textAlignment w:val="auto"/>
      </w:pPr>
      <w:r w:rsidRPr="00FC689B">
        <w:rPr>
          <w:rFonts w:eastAsia="Calibri"/>
          <w:color w:val="000000"/>
          <w:szCs w:val="22"/>
        </w:rPr>
        <w:t xml:space="preserve">Utvidgningsfrågorna ska på sedvanligt sätt behandlas vid decembertoppmötet. Här kommer utfallet av Allmänna rådets behandling av frågorna dagarna före toppmötet att bli avgörande. I enlighet med Europeiska rådets slutsatser från oktober ska rådets ordförande informera stats- och regeringscheferna om det arbete som bedrivits i arbetsgruppen för Medelhavet under hösten. </w:t>
      </w:r>
      <w:r w:rsidRPr="00FC689B">
        <w:t>Avslutningsvis kan noteras att Europeiska rådet väntas välkomna två rapporter om pågående arbete på energiområdet. Det kan inte uteslutas att Europeiska rådet också antar slutsatser om aktuella utrikespolitiska frågor.</w:t>
      </w:r>
    </w:p>
    <w:p w14:paraId="1AC32864"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4BF1412B" w14:textId="77777777" w:rsidR="00FC689B" w:rsidRPr="00FC689B" w:rsidRDefault="00FC689B" w:rsidP="00FC689B">
      <w:pPr>
        <w:tabs>
          <w:tab w:val="left" w:pos="709"/>
          <w:tab w:val="left" w:pos="2835"/>
        </w:tabs>
        <w:spacing w:line="240" w:lineRule="atLeast"/>
        <w:textAlignment w:val="auto"/>
        <w:rPr>
          <w:rFonts w:eastAsia="Calibri"/>
          <w:color w:val="000000"/>
          <w:szCs w:val="22"/>
        </w:rPr>
      </w:pPr>
    </w:p>
    <w:p w14:paraId="0D8027F4" w14:textId="151A7BD8" w:rsidR="00FC689B" w:rsidRPr="00FC689B" w:rsidRDefault="00FC689B" w:rsidP="00FC689B">
      <w:pPr>
        <w:overflowPunct/>
        <w:autoSpaceDE/>
        <w:adjustRightInd/>
        <w:spacing w:after="200" w:line="276" w:lineRule="auto"/>
        <w:textAlignment w:val="auto"/>
        <w:rPr>
          <w:rFonts w:eastAsia="Calibri"/>
          <w:b/>
          <w:color w:val="000000"/>
          <w:szCs w:val="22"/>
        </w:rPr>
      </w:pPr>
      <w:r w:rsidRPr="00FC689B">
        <w:rPr>
          <w:rFonts w:eastAsia="Calibri"/>
          <w:b/>
          <w:color w:val="000000"/>
          <w:szCs w:val="22"/>
        </w:rPr>
        <w:t>Förslag till svensk ståndpunkt</w:t>
      </w:r>
    </w:p>
    <w:p w14:paraId="08896BF9" w14:textId="3E0F82C0" w:rsidR="00FC689B" w:rsidRPr="00FC689B" w:rsidRDefault="00FC689B" w:rsidP="00FC689B">
      <w:pPr>
        <w:tabs>
          <w:tab w:val="left" w:pos="709"/>
          <w:tab w:val="left" w:pos="2835"/>
        </w:tabs>
        <w:spacing w:line="240" w:lineRule="atLeast"/>
        <w:textAlignment w:val="auto"/>
        <w:rPr>
          <w:color w:val="000000"/>
        </w:rPr>
      </w:pPr>
      <w:r w:rsidRPr="00FC689B">
        <w:rPr>
          <w:rFonts w:eastAsia="Calibri"/>
          <w:color w:val="000000"/>
          <w:szCs w:val="22"/>
        </w:rPr>
        <w:t xml:space="preserve">Regeringen </w:t>
      </w:r>
      <w:r w:rsidR="00B0594F">
        <w:rPr>
          <w:rFonts w:eastAsia="Calibri"/>
          <w:color w:val="000000"/>
          <w:szCs w:val="22"/>
        </w:rPr>
        <w:t xml:space="preserve">välkomnar Europeiska rådets </w:t>
      </w:r>
      <w:r w:rsidRPr="00FC689B">
        <w:rPr>
          <w:rFonts w:eastAsia="Calibri"/>
          <w:color w:val="000000"/>
          <w:szCs w:val="22"/>
        </w:rPr>
        <w:t>behandling av den gemensamma säkerhets- och försvarspolitiken</w:t>
      </w:r>
      <w:r w:rsidR="00B0594F">
        <w:rPr>
          <w:rFonts w:eastAsia="Calibri"/>
          <w:color w:val="000000"/>
          <w:szCs w:val="22"/>
        </w:rPr>
        <w:t xml:space="preserve"> som ett led i att stärka EU:s roll som internationell aktör</w:t>
      </w:r>
      <w:r w:rsidRPr="00FC689B">
        <w:rPr>
          <w:rFonts w:eastAsia="Calibri"/>
          <w:color w:val="000000"/>
          <w:szCs w:val="22"/>
        </w:rPr>
        <w:t xml:space="preserve">. </w:t>
      </w:r>
    </w:p>
    <w:p w14:paraId="4C7303F6" w14:textId="1DCEA5FB" w:rsidR="00B0594F" w:rsidRPr="005B12C4" w:rsidRDefault="00B0594F" w:rsidP="00B0594F">
      <w:pPr>
        <w:overflowPunct/>
        <w:spacing w:line="240" w:lineRule="auto"/>
        <w:textAlignment w:val="auto"/>
        <w:rPr>
          <w:rFonts w:cs="OrigGarmnd BT"/>
          <w:color w:val="000000"/>
          <w:szCs w:val="24"/>
          <w:lang w:eastAsia="sv-SE"/>
        </w:rPr>
      </w:pPr>
      <w:r w:rsidRPr="005B12C4">
        <w:rPr>
          <w:rFonts w:cs="OrigGarmnd BT"/>
          <w:color w:val="000000"/>
          <w:szCs w:val="24"/>
          <w:lang w:eastAsia="sv-SE"/>
        </w:rPr>
        <w:t xml:space="preserve">Sverige har ett starkt intresse av ett väl fungerande EMU. I första hand gäller det att effektivt genomföra och tillämpa det redan beslutade förstärkta ramverket för ekonomisk-politisk samordning. Nya samordningsförfaranden bör ha ett tydligt mervärde. Sverige </w:t>
      </w:r>
      <w:r w:rsidR="00D35786">
        <w:rPr>
          <w:rFonts w:cs="OrigGarmnd BT"/>
          <w:color w:val="000000"/>
          <w:szCs w:val="24"/>
          <w:lang w:eastAsia="sv-SE"/>
        </w:rPr>
        <w:t>kommer att</w:t>
      </w:r>
      <w:r w:rsidRPr="005B12C4">
        <w:rPr>
          <w:rFonts w:cs="OrigGarmnd BT"/>
          <w:color w:val="000000"/>
          <w:szCs w:val="24"/>
          <w:lang w:eastAsia="sv-SE"/>
        </w:rPr>
        <w:t xml:space="preserve"> bevaka att eventuella kontraktsliknande arrangemang</w:t>
      </w:r>
      <w:r w:rsidR="00D35786">
        <w:rPr>
          <w:rFonts w:cs="OrigGarmnd BT"/>
          <w:color w:val="000000"/>
          <w:szCs w:val="24"/>
          <w:lang w:eastAsia="sv-SE"/>
        </w:rPr>
        <w:t xml:space="preserve"> och</w:t>
      </w:r>
      <w:r w:rsidRPr="005B12C4">
        <w:rPr>
          <w:rFonts w:cs="OrigGarmnd BT"/>
          <w:color w:val="000000"/>
          <w:szCs w:val="24"/>
          <w:lang w:eastAsia="sv-SE"/>
        </w:rPr>
        <w:t xml:space="preserve"> tillhörande finansiering</w:t>
      </w:r>
      <w:r w:rsidR="00D35786">
        <w:rPr>
          <w:rFonts w:cs="OrigGarmnd BT"/>
          <w:color w:val="000000"/>
          <w:szCs w:val="24"/>
          <w:lang w:eastAsia="sv-SE"/>
        </w:rPr>
        <w:t xml:space="preserve"> </w:t>
      </w:r>
      <w:r w:rsidRPr="005B12C4">
        <w:rPr>
          <w:rFonts w:cs="OrigGarmnd BT"/>
          <w:color w:val="000000"/>
          <w:szCs w:val="24"/>
          <w:lang w:eastAsia="sv-SE"/>
        </w:rPr>
        <w:t xml:space="preserve">förblir öppna men frivilliga för icke euroländer. </w:t>
      </w:r>
    </w:p>
    <w:p w14:paraId="3D2CEEA5" w14:textId="736BD971" w:rsidR="00FC689B" w:rsidRDefault="00B0594F" w:rsidP="00B0594F">
      <w:pPr>
        <w:tabs>
          <w:tab w:val="left" w:pos="709"/>
          <w:tab w:val="left" w:pos="2835"/>
        </w:tabs>
        <w:spacing w:line="240" w:lineRule="atLeast"/>
        <w:textAlignment w:val="auto"/>
        <w:rPr>
          <w:rFonts w:cs="OrigGarmnd BT"/>
          <w:color w:val="000000"/>
          <w:szCs w:val="24"/>
          <w:lang w:eastAsia="sv-SE"/>
        </w:rPr>
      </w:pPr>
      <w:r w:rsidRPr="005B12C4">
        <w:rPr>
          <w:rFonts w:cs="OrigGarmnd BT"/>
          <w:color w:val="000000"/>
          <w:szCs w:val="24"/>
          <w:lang w:eastAsia="sv-SE"/>
        </w:rPr>
        <w:t>Förändringar i det ekonomiska samarbetet måste i alla delar ha demokratisk förankring och ge möjlighet till ett effektivt ansvarsutkrävande. En viktig utgångspunkt i diskussionerna om ett fördjupat EMU är att medlemsstaternas befogenheter gällande arbetsmarknad, sociala frågor och skatter inte får försvagas.</w:t>
      </w:r>
    </w:p>
    <w:p w14:paraId="1BC24389" w14:textId="77777777" w:rsidR="00D35786" w:rsidRPr="005B12C4" w:rsidRDefault="00D35786" w:rsidP="00B0594F">
      <w:pPr>
        <w:tabs>
          <w:tab w:val="left" w:pos="709"/>
          <w:tab w:val="left" w:pos="2835"/>
        </w:tabs>
        <w:spacing w:line="240" w:lineRule="atLeast"/>
        <w:textAlignment w:val="auto"/>
        <w:rPr>
          <w:rFonts w:cs="OrigGarmnd BT"/>
          <w:color w:val="000000"/>
          <w:szCs w:val="24"/>
          <w:lang w:eastAsia="sv-SE"/>
        </w:rPr>
      </w:pPr>
    </w:p>
    <w:p w14:paraId="7A54D510" w14:textId="77777777" w:rsidR="00B0594F" w:rsidRPr="00B0594F" w:rsidRDefault="00B0594F" w:rsidP="00B0594F">
      <w:pPr>
        <w:tabs>
          <w:tab w:val="left" w:pos="709"/>
          <w:tab w:val="left" w:pos="2835"/>
        </w:tabs>
        <w:spacing w:line="240" w:lineRule="atLeast"/>
        <w:textAlignment w:val="auto"/>
        <w:rPr>
          <w:rFonts w:eastAsia="Calibri"/>
          <w:color w:val="000000"/>
          <w:szCs w:val="24"/>
        </w:rPr>
      </w:pPr>
    </w:p>
    <w:p w14:paraId="54DC8F49" w14:textId="24A2B3D4" w:rsidR="00250F30" w:rsidRPr="003C38E3" w:rsidRDefault="00250F30" w:rsidP="003C38E3">
      <w:pPr>
        <w:numPr>
          <w:ilvl w:val="0"/>
          <w:numId w:val="2"/>
        </w:numPr>
        <w:spacing w:after="120" w:line="276" w:lineRule="auto"/>
        <w:ind w:left="142" w:hanging="142"/>
        <w:rPr>
          <w:rFonts w:ascii="Cambria" w:hAnsi="Cambria"/>
        </w:rPr>
      </w:pPr>
      <w:r w:rsidRPr="003C38E3">
        <w:rPr>
          <w:rFonts w:ascii="TradeGothic" w:hAnsi="TradeGothic"/>
          <w:b/>
          <w:color w:val="000000"/>
          <w:sz w:val="22"/>
        </w:rPr>
        <w:t>EU:s utvidgning</w:t>
      </w:r>
    </w:p>
    <w:p w14:paraId="256E4215" w14:textId="5C6271B4" w:rsidR="00250F30" w:rsidRDefault="003C38E3" w:rsidP="00A839AF">
      <w:pPr>
        <w:pStyle w:val="RKnormal"/>
        <w:spacing w:after="240" w:line="276" w:lineRule="auto"/>
        <w:rPr>
          <w:color w:val="000000" w:themeColor="text1"/>
        </w:rPr>
      </w:pPr>
      <w:r w:rsidRPr="003C38E3">
        <w:rPr>
          <w:color w:val="000000" w:themeColor="text1"/>
        </w:rPr>
        <w:t xml:space="preserve">= </w:t>
      </w:r>
      <w:r w:rsidR="00250F30" w:rsidRPr="003C38E3">
        <w:rPr>
          <w:color w:val="000000" w:themeColor="text1"/>
        </w:rPr>
        <w:t xml:space="preserve">Antagande av ett förhandlingsramverk för Serbien </w:t>
      </w:r>
    </w:p>
    <w:p w14:paraId="11E9EF5B" w14:textId="794BD0F0" w:rsidR="00250F30" w:rsidRDefault="00250F30" w:rsidP="003C38E3">
      <w:pPr>
        <w:pStyle w:val="RKnormal"/>
        <w:spacing w:line="276" w:lineRule="auto"/>
        <w:rPr>
          <w:i/>
          <w:color w:val="000000" w:themeColor="text1"/>
        </w:rPr>
      </w:pPr>
      <w:r w:rsidRPr="004D7F09">
        <w:rPr>
          <w:i/>
          <w:color w:val="000000" w:themeColor="text1"/>
        </w:rPr>
        <w:lastRenderedPageBreak/>
        <w:t>Beslutspunkt</w:t>
      </w:r>
    </w:p>
    <w:p w14:paraId="63B38F41" w14:textId="77777777" w:rsidR="00A839AF" w:rsidRPr="004D7F09" w:rsidRDefault="00A839AF" w:rsidP="003C38E3">
      <w:pPr>
        <w:pStyle w:val="RKnormal"/>
        <w:spacing w:line="276" w:lineRule="auto"/>
        <w:rPr>
          <w:i/>
          <w:color w:val="000000" w:themeColor="text1"/>
        </w:rPr>
      </w:pPr>
    </w:p>
    <w:p w14:paraId="569033B9" w14:textId="7A8B9F5B" w:rsidR="00250F30" w:rsidRDefault="00A839AF" w:rsidP="003C38E3">
      <w:pPr>
        <w:pStyle w:val="RKnormal"/>
        <w:spacing w:line="276" w:lineRule="auto"/>
        <w:rPr>
          <w:i/>
          <w:color w:val="000000" w:themeColor="text1"/>
        </w:rPr>
      </w:pPr>
      <w:r w:rsidRPr="004934EB">
        <w:rPr>
          <w:b/>
          <w:color w:val="000000" w:themeColor="text1"/>
        </w:rPr>
        <w:t>Bakgrund</w:t>
      </w:r>
    </w:p>
    <w:p w14:paraId="751D2CDA" w14:textId="77777777" w:rsidR="00250F30" w:rsidRDefault="00250F30" w:rsidP="003C38E3">
      <w:pPr>
        <w:pStyle w:val="RKnormal"/>
        <w:spacing w:line="276" w:lineRule="auto"/>
        <w:rPr>
          <w:color w:val="000000" w:themeColor="text1"/>
        </w:rPr>
      </w:pPr>
      <w:r>
        <w:rPr>
          <w:color w:val="000000" w:themeColor="text1"/>
        </w:rPr>
        <w:t>Allmänna rådet ska anta förhandlingsramverk för Serbiens anslutningsförhandlingar som i stor utsträckning bygger på det ramverk som används i pågående förhandlingar med Montenegro.</w:t>
      </w:r>
    </w:p>
    <w:p w14:paraId="7B4E8F91" w14:textId="77777777" w:rsidR="00250F30" w:rsidRDefault="00250F30" w:rsidP="003C38E3">
      <w:pPr>
        <w:pStyle w:val="RKnormal"/>
        <w:spacing w:line="276" w:lineRule="auto"/>
        <w:rPr>
          <w:color w:val="000000" w:themeColor="text1"/>
        </w:rPr>
      </w:pPr>
    </w:p>
    <w:p w14:paraId="0FE6AEEE" w14:textId="6C9B9014" w:rsidR="00250F30" w:rsidRDefault="00250F30" w:rsidP="003C38E3">
      <w:pPr>
        <w:pStyle w:val="RKnormal"/>
        <w:spacing w:line="276" w:lineRule="auto"/>
        <w:rPr>
          <w:color w:val="000000" w:themeColor="text1"/>
        </w:rPr>
      </w:pPr>
      <w:r>
        <w:rPr>
          <w:color w:val="000000" w:themeColor="text1"/>
        </w:rPr>
        <w:t xml:space="preserve">Den så kallade nya ansatsen ska användas även för Serbien. Det innebär att förhandlingskapitel 23 och 24 om rättsliga frågor ska inleda förhandlingarna och ges en grundlig behandling med </w:t>
      </w:r>
      <w:proofErr w:type="spellStart"/>
      <w:r>
        <w:rPr>
          <w:color w:val="000000" w:themeColor="text1"/>
        </w:rPr>
        <w:t>interimsvillkor</w:t>
      </w:r>
      <w:proofErr w:type="spellEnd"/>
      <w:r>
        <w:rPr>
          <w:color w:val="000000" w:themeColor="text1"/>
        </w:rPr>
        <w:t xml:space="preserve"> fram till avslutande av förhandlingarna. Först när kapitel 23 och 24 har öppnats ska övriga förhandlingskapitel behandlas. Nu kommer även normaliseringen av Serbiens relation med Kosovo att ges en liknande grundlig behandling i förhandlingskapitel 35. De utestående frågorna gäller främst i vilken utsträckning normaliseringsprocessen även ska påverka andra kapitel, hur normaliseringen ska beskrivas, till exempel </w:t>
      </w:r>
      <w:r w:rsidRPr="0096421B">
        <w:rPr>
          <w:i/>
          <w:color w:val="000000" w:themeColor="text1"/>
        </w:rPr>
        <w:t xml:space="preserve">”full </w:t>
      </w:r>
      <w:proofErr w:type="spellStart"/>
      <w:r w:rsidRPr="0096421B">
        <w:rPr>
          <w:i/>
          <w:color w:val="000000" w:themeColor="text1"/>
        </w:rPr>
        <w:t>normalisation</w:t>
      </w:r>
      <w:proofErr w:type="spellEnd"/>
      <w:r w:rsidRPr="0096421B">
        <w:rPr>
          <w:i/>
          <w:color w:val="000000" w:themeColor="text1"/>
        </w:rPr>
        <w:t xml:space="preserve">” </w:t>
      </w:r>
      <w:r>
        <w:rPr>
          <w:color w:val="000000" w:themeColor="text1"/>
        </w:rPr>
        <w:t xml:space="preserve">eller </w:t>
      </w:r>
      <w:r w:rsidRPr="0096421B">
        <w:rPr>
          <w:i/>
          <w:color w:val="000000" w:themeColor="text1"/>
        </w:rPr>
        <w:t>”</w:t>
      </w:r>
      <w:proofErr w:type="spellStart"/>
      <w:r w:rsidRPr="0096421B">
        <w:rPr>
          <w:i/>
          <w:color w:val="000000" w:themeColor="text1"/>
        </w:rPr>
        <w:t>comprehensive</w:t>
      </w:r>
      <w:proofErr w:type="spellEnd"/>
      <w:r w:rsidRPr="0096421B">
        <w:rPr>
          <w:i/>
          <w:color w:val="000000" w:themeColor="text1"/>
        </w:rPr>
        <w:t xml:space="preserve"> </w:t>
      </w:r>
      <w:proofErr w:type="spellStart"/>
      <w:r w:rsidRPr="0096421B">
        <w:rPr>
          <w:i/>
          <w:color w:val="000000" w:themeColor="text1"/>
        </w:rPr>
        <w:t>normalisation</w:t>
      </w:r>
      <w:proofErr w:type="spellEnd"/>
      <w:r w:rsidRPr="0096421B">
        <w:rPr>
          <w:i/>
          <w:color w:val="000000" w:themeColor="text1"/>
        </w:rPr>
        <w:t>”</w:t>
      </w:r>
      <w:r>
        <w:rPr>
          <w:color w:val="000000" w:themeColor="text1"/>
        </w:rPr>
        <w:t xml:space="preserve"> samt om normaliseringen ska resultera i ett </w:t>
      </w:r>
      <w:r w:rsidRPr="0096421B">
        <w:rPr>
          <w:i/>
          <w:color w:val="000000" w:themeColor="text1"/>
        </w:rPr>
        <w:t>”</w:t>
      </w:r>
      <w:proofErr w:type="spellStart"/>
      <w:r w:rsidRPr="0096421B">
        <w:rPr>
          <w:i/>
          <w:color w:val="000000" w:themeColor="text1"/>
        </w:rPr>
        <w:t>legally</w:t>
      </w:r>
      <w:proofErr w:type="spellEnd"/>
      <w:r w:rsidRPr="0096421B">
        <w:rPr>
          <w:i/>
          <w:color w:val="000000" w:themeColor="text1"/>
        </w:rPr>
        <w:t xml:space="preserve"> </w:t>
      </w:r>
      <w:proofErr w:type="spellStart"/>
      <w:r w:rsidRPr="0096421B">
        <w:rPr>
          <w:i/>
          <w:color w:val="000000" w:themeColor="text1"/>
        </w:rPr>
        <w:t>binding</w:t>
      </w:r>
      <w:proofErr w:type="spellEnd"/>
      <w:r w:rsidRPr="0096421B">
        <w:rPr>
          <w:i/>
          <w:color w:val="000000" w:themeColor="text1"/>
        </w:rPr>
        <w:t xml:space="preserve"> </w:t>
      </w:r>
      <w:proofErr w:type="spellStart"/>
      <w:r w:rsidRPr="0096421B">
        <w:rPr>
          <w:i/>
          <w:color w:val="000000" w:themeColor="text1"/>
        </w:rPr>
        <w:t>agreement</w:t>
      </w:r>
      <w:proofErr w:type="spellEnd"/>
      <w:r w:rsidRPr="0096421B">
        <w:rPr>
          <w:i/>
          <w:color w:val="000000" w:themeColor="text1"/>
        </w:rPr>
        <w:t>”.</w:t>
      </w:r>
    </w:p>
    <w:p w14:paraId="1FD1A0AD" w14:textId="77777777" w:rsidR="00250F30" w:rsidRDefault="00250F30" w:rsidP="003C38E3">
      <w:pPr>
        <w:pStyle w:val="RKnormal"/>
        <w:spacing w:line="276" w:lineRule="auto"/>
        <w:rPr>
          <w:color w:val="000000" w:themeColor="text1"/>
        </w:rPr>
      </w:pPr>
    </w:p>
    <w:p w14:paraId="566C35B9" w14:textId="7D714FCD" w:rsidR="00250F30" w:rsidRDefault="00250F30" w:rsidP="003C38E3">
      <w:pPr>
        <w:pStyle w:val="RKnormal"/>
        <w:spacing w:line="276" w:lineRule="auto"/>
        <w:rPr>
          <w:color w:val="000000" w:themeColor="text1"/>
        </w:rPr>
      </w:pPr>
      <w:r w:rsidRPr="00630B72">
        <w:rPr>
          <w:b/>
          <w:color w:val="000000" w:themeColor="text1"/>
        </w:rPr>
        <w:t>Förslag till svensk ståndpunkt</w:t>
      </w:r>
    </w:p>
    <w:p w14:paraId="1055E1C3" w14:textId="77777777" w:rsidR="00250F30" w:rsidRDefault="00250F30" w:rsidP="003C38E3">
      <w:pPr>
        <w:pStyle w:val="RKnormal"/>
        <w:spacing w:line="276" w:lineRule="auto"/>
      </w:pPr>
      <w:r>
        <w:t xml:space="preserve">Regeringens utgångspunkt är att det är viktigt att en procedur liknande den nya ansatsen, utformad för normaliseringsprocessen, tar hänsyn till att vi </w:t>
      </w:r>
      <w:r w:rsidRPr="00240D17">
        <w:t>inte</w:t>
      </w:r>
      <w:r>
        <w:t xml:space="preserve"> har att göra med en </w:t>
      </w:r>
      <w:proofErr w:type="spellStart"/>
      <w:r>
        <w:t>acquisbaserad</w:t>
      </w:r>
      <w:proofErr w:type="spellEnd"/>
      <w:r>
        <w:t xml:space="preserve"> process utan en politisk dialog mellan Serbien och Kosovo. Det måste därför återspeglas när man mäter framsteg som gjorts i dialogen och måste tas i beaktande innan man beslutar om att försena förhandlingarna inom andra kapitel.</w:t>
      </w:r>
    </w:p>
    <w:p w14:paraId="7A0EF9C0" w14:textId="77777777" w:rsidR="00250F30" w:rsidRDefault="00250F30" w:rsidP="003C38E3">
      <w:pPr>
        <w:spacing w:after="120" w:line="276" w:lineRule="auto"/>
        <w:rPr>
          <w:rFonts w:ascii="TradeGothic" w:hAnsi="TradeGothic"/>
          <w:b/>
          <w:sz w:val="22"/>
        </w:rPr>
      </w:pPr>
    </w:p>
    <w:p w14:paraId="4B317390" w14:textId="517C4946" w:rsidR="00250F30" w:rsidRDefault="00250F30" w:rsidP="003C38E3">
      <w:pPr>
        <w:numPr>
          <w:ilvl w:val="0"/>
          <w:numId w:val="2"/>
        </w:numPr>
        <w:spacing w:after="120" w:line="276" w:lineRule="auto"/>
        <w:ind w:left="142" w:hanging="142"/>
      </w:pPr>
      <w:r w:rsidRPr="00A839AF">
        <w:rPr>
          <w:rFonts w:ascii="TradeGothic" w:hAnsi="TradeGothic"/>
          <w:b/>
          <w:color w:val="000000"/>
          <w:sz w:val="22"/>
        </w:rPr>
        <w:t>Utvidgning och stabiliserings- och associationsprocessen</w:t>
      </w:r>
    </w:p>
    <w:p w14:paraId="6CF61B94" w14:textId="04A782C2" w:rsidR="00250F30" w:rsidRDefault="00A839AF" w:rsidP="00A839AF">
      <w:pPr>
        <w:spacing w:after="120" w:line="276" w:lineRule="auto"/>
        <w:rPr>
          <w:i/>
          <w:color w:val="000000" w:themeColor="text1"/>
        </w:rPr>
      </w:pPr>
      <w:r>
        <w:rPr>
          <w:rFonts w:eastAsiaTheme="minorHAnsi" w:cstheme="minorBidi"/>
          <w:szCs w:val="22"/>
        </w:rPr>
        <w:t xml:space="preserve">= </w:t>
      </w:r>
      <w:r w:rsidR="00250F30" w:rsidRPr="00A839AF">
        <w:rPr>
          <w:rFonts w:eastAsiaTheme="minorHAnsi" w:cstheme="minorBidi"/>
          <w:szCs w:val="22"/>
        </w:rPr>
        <w:t>Rådsslutsatser</w:t>
      </w:r>
    </w:p>
    <w:p w14:paraId="388CE298" w14:textId="26F34A13" w:rsidR="00250F30" w:rsidRDefault="00250F30" w:rsidP="003C38E3">
      <w:pPr>
        <w:pStyle w:val="RKnormal"/>
        <w:spacing w:line="276" w:lineRule="auto"/>
        <w:rPr>
          <w:i/>
          <w:color w:val="000000" w:themeColor="text1"/>
        </w:rPr>
      </w:pPr>
      <w:r>
        <w:rPr>
          <w:i/>
          <w:color w:val="000000" w:themeColor="text1"/>
        </w:rPr>
        <w:t>Diskussions- och b</w:t>
      </w:r>
      <w:r w:rsidRPr="00023966">
        <w:rPr>
          <w:i/>
          <w:color w:val="000000" w:themeColor="text1"/>
        </w:rPr>
        <w:t>eslutspunkt</w:t>
      </w:r>
    </w:p>
    <w:p w14:paraId="0FDDB55E" w14:textId="77777777" w:rsidR="00250F30" w:rsidRDefault="00250F30" w:rsidP="003C38E3">
      <w:pPr>
        <w:pStyle w:val="RKnormal"/>
        <w:spacing w:line="276" w:lineRule="auto"/>
        <w:rPr>
          <w:i/>
          <w:color w:val="000000" w:themeColor="text1"/>
        </w:rPr>
      </w:pPr>
    </w:p>
    <w:p w14:paraId="1C500EF7" w14:textId="29500234" w:rsidR="00250F30" w:rsidRDefault="00250F30" w:rsidP="003C38E3">
      <w:pPr>
        <w:pStyle w:val="RKnormal"/>
        <w:spacing w:line="276" w:lineRule="auto"/>
        <w:rPr>
          <w:rFonts w:cs="OrigGarmnd BT"/>
          <w:iCs/>
          <w:color w:val="000000"/>
          <w:szCs w:val="24"/>
          <w:lang w:eastAsia="sv-SE"/>
        </w:rPr>
      </w:pPr>
      <w:r w:rsidRPr="004934EB">
        <w:rPr>
          <w:b/>
          <w:color w:val="000000" w:themeColor="text1"/>
        </w:rPr>
        <w:t>Bakgrund</w:t>
      </w:r>
    </w:p>
    <w:p w14:paraId="465ACB7C" w14:textId="77777777" w:rsidR="00250F30" w:rsidRDefault="00250F30" w:rsidP="003C38E3">
      <w:pPr>
        <w:pStyle w:val="RKnormal"/>
        <w:spacing w:line="276" w:lineRule="auto"/>
        <w:rPr>
          <w:b/>
          <w:color w:val="000000" w:themeColor="text1"/>
        </w:rPr>
      </w:pPr>
      <w:r>
        <w:rPr>
          <w:rFonts w:cs="OrigGarmnd BT"/>
          <w:iCs/>
          <w:color w:val="000000"/>
          <w:szCs w:val="24"/>
          <w:lang w:eastAsia="sv-SE"/>
        </w:rPr>
        <w:t>Allmänna r</w:t>
      </w:r>
      <w:r w:rsidRPr="00D12966">
        <w:rPr>
          <w:rFonts w:cs="OrigGarmnd BT"/>
          <w:iCs/>
          <w:color w:val="000000"/>
          <w:szCs w:val="24"/>
          <w:lang w:eastAsia="sv-SE"/>
        </w:rPr>
        <w:t xml:space="preserve">ådet ska </w:t>
      </w:r>
      <w:r>
        <w:rPr>
          <w:rFonts w:cs="OrigGarmnd BT"/>
          <w:iCs/>
          <w:color w:val="000000"/>
          <w:szCs w:val="24"/>
          <w:lang w:eastAsia="sv-SE"/>
        </w:rPr>
        <w:t>anta slutsatser om utvidgningen baserat på k</w:t>
      </w:r>
      <w:r w:rsidRPr="00D12966">
        <w:rPr>
          <w:rFonts w:cs="OrigGarmnd BT"/>
          <w:iCs/>
          <w:color w:val="000000"/>
          <w:szCs w:val="24"/>
          <w:lang w:eastAsia="sv-SE"/>
        </w:rPr>
        <w:t>ommissionens årliga strategirapport och land</w:t>
      </w:r>
      <w:r>
        <w:rPr>
          <w:rFonts w:cs="OrigGarmnd BT"/>
          <w:iCs/>
          <w:color w:val="000000"/>
          <w:szCs w:val="24"/>
          <w:lang w:eastAsia="sv-SE"/>
        </w:rPr>
        <w:t>specifika</w:t>
      </w:r>
      <w:r w:rsidRPr="00D12966">
        <w:rPr>
          <w:rFonts w:cs="OrigGarmnd BT"/>
          <w:iCs/>
          <w:color w:val="000000"/>
          <w:szCs w:val="24"/>
          <w:lang w:eastAsia="sv-SE"/>
        </w:rPr>
        <w:t xml:space="preserve"> översynsrapporter som publicerades den</w:t>
      </w:r>
      <w:r>
        <w:rPr>
          <w:rFonts w:cs="OrigGarmnd BT"/>
          <w:iCs/>
          <w:color w:val="000000"/>
          <w:szCs w:val="24"/>
          <w:lang w:eastAsia="sv-SE"/>
        </w:rPr>
        <w:t xml:space="preserve"> 16 oktober i år.</w:t>
      </w:r>
      <w:r w:rsidRPr="00D12966">
        <w:rPr>
          <w:rFonts w:cs="OrigGarmnd BT"/>
          <w:iCs/>
          <w:color w:val="000000"/>
          <w:szCs w:val="24"/>
          <w:lang w:eastAsia="sv-SE"/>
        </w:rPr>
        <w:t xml:space="preserve"> Rapporterna omfattar</w:t>
      </w:r>
      <w:r w:rsidRPr="00D12966">
        <w:rPr>
          <w:color w:val="000000"/>
          <w:lang w:eastAsia="sv-SE"/>
        </w:rPr>
        <w:t xml:space="preserve"> kandidatländerna, </w:t>
      </w:r>
      <w:r>
        <w:rPr>
          <w:color w:val="000000"/>
          <w:lang w:eastAsia="sv-SE"/>
        </w:rPr>
        <w:t>det vill säga</w:t>
      </w:r>
      <w:r w:rsidRPr="00D12966">
        <w:rPr>
          <w:color w:val="000000"/>
          <w:lang w:eastAsia="sv-SE"/>
        </w:rPr>
        <w:t xml:space="preserve"> Turkiet, Makedonien, Montenegro, Serbien och Island, samt </w:t>
      </w:r>
      <w:r>
        <w:rPr>
          <w:color w:val="000000"/>
          <w:lang w:eastAsia="sv-SE"/>
        </w:rPr>
        <w:t>de potentiella kandidatländerna Albanien, Bosnien och Hercegovina</w:t>
      </w:r>
      <w:r w:rsidRPr="00D12966">
        <w:rPr>
          <w:color w:val="000000"/>
          <w:lang w:eastAsia="sv-SE"/>
        </w:rPr>
        <w:t xml:space="preserve"> och Kosovo.</w:t>
      </w:r>
      <w:r>
        <w:rPr>
          <w:color w:val="000000"/>
          <w:lang w:eastAsia="sv-SE"/>
        </w:rPr>
        <w:t xml:space="preserve"> I årets rapporter rekommenderar kommissionen att anslutningsförhandlingar inleds </w:t>
      </w:r>
      <w:r>
        <w:rPr>
          <w:color w:val="000000"/>
          <w:lang w:eastAsia="sv-SE"/>
        </w:rPr>
        <w:lastRenderedPageBreak/>
        <w:t xml:space="preserve">med Serbien och Makedonien. Albanien rekommenderas kandidatlandsstatus. </w:t>
      </w:r>
    </w:p>
    <w:p w14:paraId="243D1EE7" w14:textId="77777777" w:rsidR="00250F30" w:rsidRPr="004934EB" w:rsidRDefault="00250F30" w:rsidP="003C38E3">
      <w:pPr>
        <w:pStyle w:val="RKnormal"/>
        <w:spacing w:line="276" w:lineRule="auto"/>
        <w:rPr>
          <w:b/>
          <w:color w:val="000000" w:themeColor="text1"/>
        </w:rPr>
      </w:pPr>
    </w:p>
    <w:p w14:paraId="57D74900" w14:textId="77777777" w:rsidR="00250F30" w:rsidRPr="00214DBD" w:rsidRDefault="00250F30" w:rsidP="003C38E3">
      <w:pPr>
        <w:pStyle w:val="RKnormal"/>
        <w:spacing w:line="276" w:lineRule="auto"/>
        <w:rPr>
          <w:b/>
          <w:color w:val="000000" w:themeColor="text1"/>
        </w:rPr>
      </w:pPr>
      <w:r w:rsidRPr="004934EB">
        <w:rPr>
          <w:b/>
          <w:color w:val="000000" w:themeColor="text1"/>
        </w:rPr>
        <w:t>Förslag till svensk ståndpunkt</w:t>
      </w:r>
    </w:p>
    <w:p w14:paraId="39B2D07B" w14:textId="77777777" w:rsidR="00250F30" w:rsidRDefault="00250F30" w:rsidP="003C38E3">
      <w:pPr>
        <w:pStyle w:val="Liststycke"/>
        <w:spacing w:line="276" w:lineRule="auto"/>
        <w:ind w:left="0"/>
        <w:rPr>
          <w:szCs w:val="24"/>
        </w:rPr>
      </w:pPr>
      <w:r w:rsidRPr="00D12966">
        <w:rPr>
          <w:szCs w:val="24"/>
        </w:rPr>
        <w:t>EU:s utvidgning är en central fråg</w:t>
      </w:r>
      <w:r>
        <w:rPr>
          <w:szCs w:val="24"/>
        </w:rPr>
        <w:t>a i svensk utrikespolitik och regeringen välkomnar att kommissionen</w:t>
      </w:r>
      <w:r w:rsidRPr="00D12966">
        <w:rPr>
          <w:szCs w:val="24"/>
        </w:rPr>
        <w:t xml:space="preserve"> </w:t>
      </w:r>
      <w:r>
        <w:rPr>
          <w:szCs w:val="24"/>
        </w:rPr>
        <w:t>i sina rapporter</w:t>
      </w:r>
      <w:r w:rsidRPr="00D12966">
        <w:rPr>
          <w:szCs w:val="24"/>
        </w:rPr>
        <w:t xml:space="preserve"> tydligt </w:t>
      </w:r>
      <w:r>
        <w:rPr>
          <w:szCs w:val="24"/>
        </w:rPr>
        <w:t>framhåller</w:t>
      </w:r>
      <w:r w:rsidRPr="00D12966">
        <w:rPr>
          <w:szCs w:val="24"/>
        </w:rPr>
        <w:t xml:space="preserve"> att det ligger i både EU:s och ansökarländernas intresse att utvidgningsprocessen fortsätter</w:t>
      </w:r>
      <w:r>
        <w:rPr>
          <w:szCs w:val="24"/>
        </w:rPr>
        <w:t>.</w:t>
      </w:r>
      <w:r w:rsidRPr="00D12966">
        <w:rPr>
          <w:szCs w:val="24"/>
        </w:rPr>
        <w:t xml:space="preserve"> </w:t>
      </w:r>
      <w:r>
        <w:rPr>
          <w:szCs w:val="24"/>
        </w:rPr>
        <w:t>Det är viktigt att kommissionen</w:t>
      </w:r>
      <w:r w:rsidRPr="00D12966">
        <w:rPr>
          <w:szCs w:val="24"/>
        </w:rPr>
        <w:t xml:space="preserve"> </w:t>
      </w:r>
      <w:r>
        <w:rPr>
          <w:szCs w:val="24"/>
        </w:rPr>
        <w:t>slår fast</w:t>
      </w:r>
      <w:r w:rsidRPr="00D12966">
        <w:rPr>
          <w:szCs w:val="24"/>
        </w:rPr>
        <w:t xml:space="preserve"> att utvidgningen </w:t>
      </w:r>
      <w:r>
        <w:rPr>
          <w:szCs w:val="24"/>
        </w:rPr>
        <w:t>även fortsättningsvis</w:t>
      </w:r>
      <w:r w:rsidRPr="00D12966">
        <w:rPr>
          <w:szCs w:val="24"/>
        </w:rPr>
        <w:t xml:space="preserve"> </w:t>
      </w:r>
      <w:r>
        <w:rPr>
          <w:szCs w:val="24"/>
        </w:rPr>
        <w:t>utgör</w:t>
      </w:r>
      <w:r w:rsidRPr="00D12966">
        <w:rPr>
          <w:szCs w:val="24"/>
        </w:rPr>
        <w:t xml:space="preserve"> en nyckelfaktor i att skapa stabilitet i EU:s närområde, genom att förankra demokratins, rättsstatens och den fria rörlighetens principer. </w:t>
      </w:r>
      <w:r>
        <w:rPr>
          <w:szCs w:val="24"/>
        </w:rPr>
        <w:t xml:space="preserve">Kommissionens fokus på </w:t>
      </w:r>
      <w:r w:rsidRPr="00171615">
        <w:rPr>
          <w:i/>
          <w:szCs w:val="24"/>
        </w:rPr>
        <w:t xml:space="preserve">”fundamentals </w:t>
      </w:r>
      <w:proofErr w:type="spellStart"/>
      <w:r w:rsidRPr="00171615">
        <w:rPr>
          <w:i/>
          <w:szCs w:val="24"/>
        </w:rPr>
        <w:t>first</w:t>
      </w:r>
      <w:proofErr w:type="spellEnd"/>
      <w:r w:rsidRPr="00171615">
        <w:rPr>
          <w:i/>
          <w:szCs w:val="24"/>
        </w:rPr>
        <w:t>”</w:t>
      </w:r>
      <w:r>
        <w:rPr>
          <w:szCs w:val="24"/>
        </w:rPr>
        <w:t xml:space="preserve"> i årets rapporter – där grundläggande reformområden så som rättsstaten, ekonomisk styrning och stärkandet av demokratiska institutioner adresseras tidigt i anslutningsprocessen – utgör en välkommen ansats. </w:t>
      </w:r>
    </w:p>
    <w:p w14:paraId="1BF4D83A" w14:textId="77777777" w:rsidR="00250F30" w:rsidRDefault="00250F30" w:rsidP="003C38E3">
      <w:pPr>
        <w:pStyle w:val="Liststycke"/>
        <w:spacing w:line="276" w:lineRule="auto"/>
        <w:ind w:left="0"/>
        <w:rPr>
          <w:szCs w:val="24"/>
        </w:rPr>
      </w:pPr>
    </w:p>
    <w:p w14:paraId="1B17DEDF" w14:textId="64463DE9" w:rsidR="00250F30" w:rsidRPr="001011DF" w:rsidRDefault="00250F30" w:rsidP="003C38E3">
      <w:pPr>
        <w:pStyle w:val="Liststycke"/>
        <w:spacing w:line="276" w:lineRule="auto"/>
        <w:ind w:left="0"/>
        <w:rPr>
          <w:szCs w:val="24"/>
        </w:rPr>
      </w:pPr>
      <w:r>
        <w:rPr>
          <w:szCs w:val="24"/>
        </w:rPr>
        <w:t xml:space="preserve">Rådsslutsatserna bör uppmuntra till fortsatta reformansträngningar och bidra till att </w:t>
      </w:r>
      <w:proofErr w:type="spellStart"/>
      <w:r>
        <w:rPr>
          <w:szCs w:val="24"/>
        </w:rPr>
        <w:t>momentum</w:t>
      </w:r>
      <w:proofErr w:type="spellEnd"/>
      <w:r>
        <w:rPr>
          <w:szCs w:val="24"/>
        </w:rPr>
        <w:t xml:space="preserve"> i anslutningsprocessen upprätthålls för samtliga länder.</w:t>
      </w:r>
      <w:r w:rsidRPr="00361EAA">
        <w:rPr>
          <w:szCs w:val="24"/>
        </w:rPr>
        <w:t xml:space="preserve"> En trovärdig utvidgningspolitik förutsätter </w:t>
      </w:r>
      <w:r w:rsidRPr="00214DBD">
        <w:rPr>
          <w:szCs w:val="24"/>
        </w:rPr>
        <w:t>att också EU står fast vid ingångna åtaganden och principer</w:t>
      </w:r>
      <w:r>
        <w:rPr>
          <w:szCs w:val="24"/>
        </w:rPr>
        <w:t xml:space="preserve">, vilket bör reflekteras i rådsslutsatserna. Regeringen verkar för en förhandlingsstart med Serbien och för att datum för en </w:t>
      </w:r>
      <w:r w:rsidRPr="00361EAA">
        <w:rPr>
          <w:szCs w:val="24"/>
        </w:rPr>
        <w:t>förhandlingsöppning/</w:t>
      </w:r>
      <w:r w:rsidR="00FC1CD0">
        <w:rPr>
          <w:szCs w:val="24"/>
        </w:rPr>
        <w:t>regeringskonferens (</w:t>
      </w:r>
      <w:r w:rsidRPr="00361EAA">
        <w:rPr>
          <w:szCs w:val="24"/>
        </w:rPr>
        <w:t>IGC</w:t>
      </w:r>
      <w:r w:rsidR="00FC1CD0">
        <w:rPr>
          <w:szCs w:val="24"/>
        </w:rPr>
        <w:t>)</w:t>
      </w:r>
      <w:r w:rsidRPr="00361EAA">
        <w:rPr>
          <w:szCs w:val="24"/>
        </w:rPr>
        <w:t xml:space="preserve"> slås fast. Regeringen arbetar också för att Albanien ska beviljas kandidatlandsstatus. </w:t>
      </w:r>
    </w:p>
    <w:p w14:paraId="5D9D2446" w14:textId="77777777" w:rsidR="00250F30" w:rsidRPr="003C38E3" w:rsidRDefault="00250F30" w:rsidP="003C38E3">
      <w:pPr>
        <w:spacing w:after="120" w:line="276" w:lineRule="auto"/>
        <w:rPr>
          <w:rFonts w:ascii="TradeGothic" w:hAnsi="TradeGothic"/>
          <w:sz w:val="22"/>
        </w:rPr>
      </w:pPr>
    </w:p>
    <w:p w14:paraId="04EAC0C2" w14:textId="0EAB79BF" w:rsidR="006E4E11" w:rsidRPr="003C38E3" w:rsidRDefault="00250F30" w:rsidP="003C38E3">
      <w:pPr>
        <w:numPr>
          <w:ilvl w:val="0"/>
          <w:numId w:val="2"/>
        </w:numPr>
        <w:spacing w:after="120" w:line="276" w:lineRule="auto"/>
        <w:ind w:left="142" w:hanging="142"/>
        <w:rPr>
          <w:rFonts w:ascii="TradeGothic" w:hAnsi="TradeGothic"/>
          <w:b/>
          <w:color w:val="000000"/>
          <w:sz w:val="22"/>
        </w:rPr>
      </w:pPr>
      <w:r w:rsidRPr="003C38E3">
        <w:rPr>
          <w:rFonts w:ascii="TradeGothic" w:hAnsi="TradeGothic"/>
          <w:b/>
          <w:color w:val="000000"/>
          <w:sz w:val="22"/>
        </w:rPr>
        <w:t>Övriga frågor</w:t>
      </w:r>
    </w:p>
    <w:p w14:paraId="7EC9532F" w14:textId="389275B2" w:rsidR="00250F30" w:rsidRDefault="00B32A36" w:rsidP="003C38E3">
      <w:pPr>
        <w:spacing w:after="120" w:line="276" w:lineRule="auto"/>
        <w:ind w:left="142"/>
        <w:rPr>
          <w:rFonts w:ascii="TradeGothic" w:hAnsi="TradeGothic"/>
          <w:b/>
          <w:color w:val="000000"/>
          <w:sz w:val="22"/>
          <w:lang w:val="en-US"/>
        </w:rPr>
      </w:pPr>
      <w:r>
        <w:rPr>
          <w:rFonts w:ascii="TradeGothic" w:hAnsi="TradeGothic"/>
          <w:b/>
          <w:color w:val="000000"/>
          <w:sz w:val="22"/>
          <w:lang w:val="en-US"/>
        </w:rPr>
        <w:t>=</w:t>
      </w:r>
      <w:r w:rsidR="0072106D">
        <w:rPr>
          <w:rFonts w:ascii="TradeGothic" w:hAnsi="TradeGothic"/>
          <w:b/>
          <w:color w:val="000000"/>
          <w:sz w:val="22"/>
          <w:lang w:val="en-US"/>
        </w:rPr>
        <w:t xml:space="preserve"> </w:t>
      </w:r>
      <w:r w:rsidR="00250F30" w:rsidRPr="00250F30">
        <w:rPr>
          <w:rFonts w:ascii="TradeGothic" w:hAnsi="TradeGothic"/>
          <w:b/>
          <w:color w:val="000000"/>
          <w:sz w:val="22"/>
          <w:lang w:val="en-US"/>
        </w:rPr>
        <w:t>Debrief from the Informal ministerial meeting on Cohesion Policy (26 November 2013, Vilnius, Lithuania)</w:t>
      </w:r>
    </w:p>
    <w:p w14:paraId="1C7404A7" w14:textId="6320E03B" w:rsidR="00FC1CD0" w:rsidRPr="00D91220" w:rsidRDefault="00FC1CD0" w:rsidP="003C38E3">
      <w:pPr>
        <w:spacing w:after="120" w:line="276" w:lineRule="auto"/>
        <w:ind w:left="142"/>
        <w:rPr>
          <w:color w:val="000000"/>
          <w:szCs w:val="24"/>
        </w:rPr>
      </w:pPr>
      <w:r w:rsidRPr="00D91220">
        <w:rPr>
          <w:color w:val="000000"/>
          <w:szCs w:val="24"/>
        </w:rPr>
        <w:t xml:space="preserve">Ordförandeskapet avser informera om det informella ministermötet om sammanhållningspolitiken som hölls </w:t>
      </w:r>
      <w:r>
        <w:rPr>
          <w:color w:val="000000"/>
          <w:szCs w:val="24"/>
        </w:rPr>
        <w:t>i</w:t>
      </w:r>
      <w:r w:rsidRPr="00D91220">
        <w:rPr>
          <w:color w:val="000000"/>
          <w:szCs w:val="24"/>
        </w:rPr>
        <w:t xml:space="preserve"> Vilnius den 26 november.</w:t>
      </w:r>
    </w:p>
    <w:p w14:paraId="29E34E4A" w14:textId="77777777" w:rsidR="00FC1CD0" w:rsidRPr="00D91220" w:rsidRDefault="00FC1CD0" w:rsidP="003C38E3">
      <w:pPr>
        <w:spacing w:after="120" w:line="276" w:lineRule="auto"/>
        <w:ind w:left="142"/>
        <w:rPr>
          <w:rFonts w:ascii="TradeGothic" w:hAnsi="TradeGothic"/>
          <w:b/>
          <w:color w:val="000000"/>
          <w:sz w:val="22"/>
        </w:rPr>
      </w:pPr>
    </w:p>
    <w:sectPr w:rsidR="00FC1CD0" w:rsidRPr="00D9122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1F777" w14:textId="77777777" w:rsidR="003B7C33" w:rsidRDefault="003B7C33">
      <w:r>
        <w:separator/>
      </w:r>
    </w:p>
  </w:endnote>
  <w:endnote w:type="continuationSeparator" w:id="0">
    <w:p w14:paraId="5D3E2E81" w14:textId="77777777" w:rsidR="003B7C33" w:rsidRDefault="003B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F406C" w14:textId="77777777" w:rsidR="003B7C33" w:rsidRDefault="003B7C33">
      <w:r>
        <w:separator/>
      </w:r>
    </w:p>
  </w:footnote>
  <w:footnote w:type="continuationSeparator" w:id="0">
    <w:p w14:paraId="0C6556C8" w14:textId="77777777" w:rsidR="003B7C33" w:rsidRDefault="003B7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8B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265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5ADCF7" w14:textId="77777777">
      <w:trPr>
        <w:cantSplit/>
      </w:trPr>
      <w:tc>
        <w:tcPr>
          <w:tcW w:w="3119" w:type="dxa"/>
        </w:tcPr>
        <w:p w14:paraId="75B468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09A5FA" w14:textId="77777777" w:rsidR="00E80146" w:rsidRDefault="00E80146">
          <w:pPr>
            <w:pStyle w:val="Sidhuvud"/>
            <w:ind w:right="360"/>
          </w:pPr>
        </w:p>
      </w:tc>
      <w:tc>
        <w:tcPr>
          <w:tcW w:w="1525" w:type="dxa"/>
        </w:tcPr>
        <w:p w14:paraId="7E313212" w14:textId="77777777" w:rsidR="00E80146" w:rsidRDefault="00E80146">
          <w:pPr>
            <w:pStyle w:val="Sidhuvud"/>
            <w:ind w:right="360"/>
          </w:pPr>
        </w:p>
      </w:tc>
    </w:tr>
  </w:tbl>
  <w:p w14:paraId="78DBD64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6EB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265C">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B1F1C3" w14:textId="77777777">
      <w:trPr>
        <w:cantSplit/>
      </w:trPr>
      <w:tc>
        <w:tcPr>
          <w:tcW w:w="3119" w:type="dxa"/>
        </w:tcPr>
        <w:p w14:paraId="13F57D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ECA19F" w14:textId="77777777" w:rsidR="00E80146" w:rsidRDefault="00E80146">
          <w:pPr>
            <w:pStyle w:val="Sidhuvud"/>
            <w:ind w:right="360"/>
          </w:pPr>
        </w:p>
      </w:tc>
      <w:tc>
        <w:tcPr>
          <w:tcW w:w="1525" w:type="dxa"/>
        </w:tcPr>
        <w:p w14:paraId="50013743" w14:textId="77777777" w:rsidR="00E80146" w:rsidRDefault="00E80146">
          <w:pPr>
            <w:pStyle w:val="Sidhuvud"/>
            <w:ind w:right="360"/>
          </w:pPr>
        </w:p>
      </w:tc>
    </w:tr>
  </w:tbl>
  <w:p w14:paraId="1A9499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A39C9" w14:textId="7A59C77A" w:rsidR="00FA6478" w:rsidRDefault="009F769A">
    <w:pPr>
      <w:framePr w:w="2948" w:h="1321" w:hRule="exact" w:wrap="notBeside" w:vAnchor="page" w:hAnchor="page" w:x="1362" w:y="653"/>
    </w:pPr>
    <w:r>
      <w:rPr>
        <w:noProof/>
        <w:lang w:eastAsia="sv-SE"/>
      </w:rPr>
      <w:drawing>
        <wp:inline distT="0" distB="0" distL="0" distR="0" wp14:anchorId="5C7EB83A" wp14:editId="66482FA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E7A8C4" w14:textId="77777777" w:rsidR="00E80146" w:rsidRDefault="00E80146">
    <w:pPr>
      <w:pStyle w:val="RKrubrik"/>
      <w:keepNext w:val="0"/>
      <w:tabs>
        <w:tab w:val="clear" w:pos="1134"/>
        <w:tab w:val="clear" w:pos="2835"/>
      </w:tabs>
      <w:spacing w:before="0" w:after="0" w:line="320" w:lineRule="atLeast"/>
      <w:rPr>
        <w:bCs/>
      </w:rPr>
    </w:pPr>
  </w:p>
  <w:p w14:paraId="09422B64" w14:textId="77777777" w:rsidR="00E80146" w:rsidRDefault="00E80146">
    <w:pPr>
      <w:rPr>
        <w:rFonts w:ascii="TradeGothic" w:hAnsi="TradeGothic"/>
        <w:b/>
        <w:bCs/>
        <w:spacing w:val="12"/>
        <w:sz w:val="22"/>
      </w:rPr>
    </w:pPr>
  </w:p>
  <w:p w14:paraId="4A875A0B" w14:textId="77777777" w:rsidR="00E80146" w:rsidRDefault="00E80146">
    <w:pPr>
      <w:pStyle w:val="RKrubrik"/>
      <w:keepNext w:val="0"/>
      <w:tabs>
        <w:tab w:val="clear" w:pos="1134"/>
        <w:tab w:val="clear" w:pos="2835"/>
      </w:tabs>
      <w:spacing w:before="0" w:after="0" w:line="320" w:lineRule="atLeast"/>
      <w:rPr>
        <w:bCs/>
      </w:rPr>
    </w:pPr>
  </w:p>
  <w:p w14:paraId="4596331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2BCD"/>
    <w:multiLevelType w:val="hybridMultilevel"/>
    <w:tmpl w:val="DE641E2A"/>
    <w:lvl w:ilvl="0" w:tplc="636696A6">
      <w:numFmt w:val="bullet"/>
      <w:lvlText w:val="-"/>
      <w:lvlJc w:val="left"/>
      <w:pPr>
        <w:ind w:left="720" w:hanging="360"/>
      </w:pPr>
      <w:rPr>
        <w:rFonts w:ascii="Cambria" w:eastAsia="Times New Roman" w:hAnsi="Cambria"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E4229AD"/>
    <w:multiLevelType w:val="hybridMultilevel"/>
    <w:tmpl w:val="4CE0B92A"/>
    <w:lvl w:ilvl="0" w:tplc="D0F86E44">
      <w:start w:val="1"/>
      <w:numFmt w:val="decimal"/>
      <w:lvlText w:val="%1."/>
      <w:lvlJc w:val="left"/>
      <w:pPr>
        <w:ind w:left="1140" w:hanging="1140"/>
      </w:pPr>
      <w:rPr>
        <w:rFonts w:ascii="TradeGothic" w:hAnsi="TradeGothic" w:hint="default"/>
        <w:b/>
        <w:i w:val="0"/>
        <w:sz w:val="22"/>
        <w:szCs w:val="22"/>
      </w:rPr>
    </w:lvl>
    <w:lvl w:ilvl="1" w:tplc="041D0019">
      <w:start w:val="1"/>
      <w:numFmt w:val="lowerLetter"/>
      <w:lvlText w:val="%2."/>
      <w:lvlJc w:val="left"/>
      <w:pPr>
        <w:ind w:left="1353"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15A2724"/>
    <w:multiLevelType w:val="hybridMultilevel"/>
    <w:tmpl w:val="FAB47374"/>
    <w:lvl w:ilvl="0" w:tplc="FC9CA038">
      <w:start w:val="2013"/>
      <w:numFmt w:val="bullet"/>
      <w:lvlText w:val="-"/>
      <w:lvlJc w:val="left"/>
      <w:pPr>
        <w:ind w:left="720" w:hanging="360"/>
      </w:pPr>
      <w:rPr>
        <w:rFonts w:ascii="TradeGothic" w:eastAsia="Times New Roman" w:hAnsi="TradeGothic"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3106209"/>
    <w:multiLevelType w:val="hybridMultilevel"/>
    <w:tmpl w:val="3CE8F56A"/>
    <w:lvl w:ilvl="0" w:tplc="8BEC502C">
      <w:start w:val="8"/>
      <w:numFmt w:val="decimal"/>
      <w:lvlText w:val="%1."/>
      <w:lvlJc w:val="left"/>
      <w:pPr>
        <w:ind w:left="720" w:hanging="360"/>
      </w:pPr>
      <w:rPr>
        <w:rFonts w:ascii="TradeGothic" w:hAnsi="TradeGothic"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9BE09AF"/>
    <w:multiLevelType w:val="hybridMultilevel"/>
    <w:tmpl w:val="0EE8526E"/>
    <w:lvl w:ilvl="0" w:tplc="973683D4">
      <w:start w:val="4"/>
      <w:numFmt w:val="decimal"/>
      <w:lvlText w:val="%1."/>
      <w:lvlJc w:val="left"/>
      <w:pPr>
        <w:ind w:left="720" w:hanging="360"/>
      </w:pPr>
      <w:rPr>
        <w:rFonts w:ascii="TradeGothic" w:hAnsi="TradeGothic" w:hint="default"/>
        <w:b/>
        <w:i w:val="0"/>
        <w:color w:val="00000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168735D"/>
    <w:multiLevelType w:val="hybridMultilevel"/>
    <w:tmpl w:val="CBB8DD62"/>
    <w:lvl w:ilvl="0" w:tplc="4000B1A0">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FA6478"/>
    <w:rsid w:val="00044CA0"/>
    <w:rsid w:val="000572F3"/>
    <w:rsid w:val="00062A4C"/>
    <w:rsid w:val="0008305F"/>
    <w:rsid w:val="000E22FF"/>
    <w:rsid w:val="0013060B"/>
    <w:rsid w:val="001371B9"/>
    <w:rsid w:val="00150384"/>
    <w:rsid w:val="00153343"/>
    <w:rsid w:val="00160901"/>
    <w:rsid w:val="001805B7"/>
    <w:rsid w:val="001D2ADB"/>
    <w:rsid w:val="002329EF"/>
    <w:rsid w:val="00250F30"/>
    <w:rsid w:val="002A2ADD"/>
    <w:rsid w:val="00367B1C"/>
    <w:rsid w:val="0039514B"/>
    <w:rsid w:val="003B7C33"/>
    <w:rsid w:val="003C38E3"/>
    <w:rsid w:val="00437075"/>
    <w:rsid w:val="004A328D"/>
    <w:rsid w:val="0058762B"/>
    <w:rsid w:val="005B12C4"/>
    <w:rsid w:val="005F490D"/>
    <w:rsid w:val="006E4E11"/>
    <w:rsid w:val="00711B5A"/>
    <w:rsid w:val="0072106D"/>
    <w:rsid w:val="007242A3"/>
    <w:rsid w:val="007A6855"/>
    <w:rsid w:val="00823402"/>
    <w:rsid w:val="00873710"/>
    <w:rsid w:val="008769F8"/>
    <w:rsid w:val="008A0184"/>
    <w:rsid w:val="008C336F"/>
    <w:rsid w:val="009151B6"/>
    <w:rsid w:val="0092027A"/>
    <w:rsid w:val="00955E31"/>
    <w:rsid w:val="0096265C"/>
    <w:rsid w:val="00992C99"/>
    <w:rsid w:val="00992E72"/>
    <w:rsid w:val="009F769A"/>
    <w:rsid w:val="00A15790"/>
    <w:rsid w:val="00A15BDE"/>
    <w:rsid w:val="00A839AF"/>
    <w:rsid w:val="00AF26D1"/>
    <w:rsid w:val="00B0594F"/>
    <w:rsid w:val="00B32A36"/>
    <w:rsid w:val="00B706C9"/>
    <w:rsid w:val="00BF325C"/>
    <w:rsid w:val="00C63A95"/>
    <w:rsid w:val="00CC78EA"/>
    <w:rsid w:val="00CF2F47"/>
    <w:rsid w:val="00D1333B"/>
    <w:rsid w:val="00D133D7"/>
    <w:rsid w:val="00D35786"/>
    <w:rsid w:val="00D47981"/>
    <w:rsid w:val="00D9120C"/>
    <w:rsid w:val="00D91220"/>
    <w:rsid w:val="00DB5AF1"/>
    <w:rsid w:val="00DB6105"/>
    <w:rsid w:val="00E80146"/>
    <w:rsid w:val="00E904D0"/>
    <w:rsid w:val="00EC25F9"/>
    <w:rsid w:val="00ED583F"/>
    <w:rsid w:val="00EF4057"/>
    <w:rsid w:val="00F654F6"/>
    <w:rsid w:val="00FA6478"/>
    <w:rsid w:val="00FC1CD0"/>
    <w:rsid w:val="00FC689B"/>
    <w:rsid w:val="00FE3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DC9A8"/>
  <w15:docId w15:val="{7C314D0F-42A3-4E57-8889-D514DE4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uiPriority w:val="99"/>
    <w:locked/>
    <w:rsid w:val="00FA6478"/>
    <w:rPr>
      <w:rFonts w:ascii="OrigGarmnd BT" w:hAnsi="OrigGarmnd BT"/>
      <w:sz w:val="24"/>
      <w:lang w:eastAsia="en-US"/>
    </w:rPr>
  </w:style>
  <w:style w:type="paragraph" w:customStyle="1" w:styleId="Default">
    <w:name w:val="Default"/>
    <w:rsid w:val="00FA6478"/>
    <w:pPr>
      <w:autoSpaceDE w:val="0"/>
      <w:autoSpaceDN w:val="0"/>
      <w:adjustRightInd w:val="0"/>
      <w:spacing w:line="240" w:lineRule="atLeast"/>
    </w:pPr>
    <w:rPr>
      <w:rFonts w:ascii="OrigGarmnd BT" w:hAnsi="OrigGarmnd BT" w:cs="OrigGarmnd BT"/>
      <w:color w:val="000000"/>
      <w:sz w:val="24"/>
      <w:szCs w:val="24"/>
    </w:rPr>
  </w:style>
  <w:style w:type="paragraph" w:styleId="Liststycke">
    <w:name w:val="List Paragraph"/>
    <w:basedOn w:val="Normal"/>
    <w:uiPriority w:val="34"/>
    <w:qFormat/>
    <w:rsid w:val="00FA6478"/>
    <w:pPr>
      <w:ind w:left="720"/>
      <w:contextualSpacing/>
    </w:pPr>
  </w:style>
  <w:style w:type="character" w:styleId="Fotnotsreferens">
    <w:name w:val="footnote reference"/>
    <w:uiPriority w:val="99"/>
    <w:unhideWhenUsed/>
    <w:rsid w:val="00FA6478"/>
    <w:rPr>
      <w:vertAlign w:val="superscript"/>
    </w:rPr>
  </w:style>
  <w:style w:type="paragraph" w:styleId="Fotnotstext">
    <w:name w:val="footnote text"/>
    <w:basedOn w:val="Normal"/>
    <w:link w:val="FotnotstextChar"/>
    <w:uiPriority w:val="99"/>
    <w:unhideWhenUsed/>
    <w:rsid w:val="00FA6478"/>
    <w:pPr>
      <w:overflowPunct/>
      <w:autoSpaceDE/>
      <w:autoSpaceDN/>
      <w:adjustRightInd/>
      <w:spacing w:line="240" w:lineRule="auto"/>
      <w:textAlignment w:val="auto"/>
    </w:pPr>
    <w:rPr>
      <w:rFonts w:ascii="Calibri" w:eastAsia="Calibri" w:hAnsi="Calibri"/>
      <w:sz w:val="20"/>
    </w:rPr>
  </w:style>
  <w:style w:type="character" w:customStyle="1" w:styleId="FotnotstextChar">
    <w:name w:val="Fotnotstext Char"/>
    <w:basedOn w:val="Standardstycketeckensnitt"/>
    <w:link w:val="Fotnotstext"/>
    <w:uiPriority w:val="99"/>
    <w:rsid w:val="00FA6478"/>
    <w:rPr>
      <w:rFonts w:ascii="Calibri" w:eastAsia="Calibri" w:hAnsi="Calibri"/>
      <w:lang w:eastAsia="en-US"/>
    </w:rPr>
  </w:style>
  <w:style w:type="paragraph" w:styleId="Ballongtext">
    <w:name w:val="Balloon Text"/>
    <w:basedOn w:val="Normal"/>
    <w:link w:val="BallongtextChar"/>
    <w:rsid w:val="00A15B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5BDE"/>
    <w:rPr>
      <w:rFonts w:ascii="Tahoma" w:hAnsi="Tahoma" w:cs="Tahoma"/>
      <w:sz w:val="16"/>
      <w:szCs w:val="16"/>
      <w:lang w:eastAsia="en-US"/>
    </w:rPr>
  </w:style>
  <w:style w:type="paragraph" w:styleId="Revision">
    <w:name w:val="Revision"/>
    <w:hidden/>
    <w:uiPriority w:val="99"/>
    <w:semiHidden/>
    <w:rsid w:val="000572F3"/>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4608">
      <w:bodyDiv w:val="1"/>
      <w:marLeft w:val="0"/>
      <w:marRight w:val="0"/>
      <w:marTop w:val="0"/>
      <w:marBottom w:val="0"/>
      <w:divBdr>
        <w:top w:val="none" w:sz="0" w:space="0" w:color="auto"/>
        <w:left w:val="none" w:sz="0" w:space="0" w:color="auto"/>
        <w:bottom w:val="none" w:sz="0" w:space="0" w:color="auto"/>
        <w:right w:val="none" w:sz="0" w:space="0" w:color="auto"/>
      </w:divBdr>
    </w:div>
    <w:div w:id="1625847230">
      <w:bodyDiv w:val="1"/>
      <w:marLeft w:val="0"/>
      <w:marRight w:val="0"/>
      <w:marTop w:val="0"/>
      <w:marBottom w:val="0"/>
      <w:divBdr>
        <w:top w:val="none" w:sz="0" w:space="0" w:color="auto"/>
        <w:left w:val="none" w:sz="0" w:space="0" w:color="auto"/>
        <w:bottom w:val="none" w:sz="0" w:space="0" w:color="auto"/>
        <w:right w:val="none" w:sz="0" w:space="0" w:color="auto"/>
      </w:divBdr>
    </w:div>
    <w:div w:id="1659455152">
      <w:bodyDiv w:val="1"/>
      <w:marLeft w:val="0"/>
      <w:marRight w:val="0"/>
      <w:marTop w:val="0"/>
      <w:marBottom w:val="0"/>
      <w:divBdr>
        <w:top w:val="none" w:sz="0" w:space="0" w:color="auto"/>
        <w:left w:val="none" w:sz="0" w:space="0" w:color="auto"/>
        <w:bottom w:val="none" w:sz="0" w:space="0" w:color="auto"/>
        <w:right w:val="none" w:sz="0" w:space="0" w:color="auto"/>
      </w:divBdr>
    </w:div>
    <w:div w:id="1669595520">
      <w:bodyDiv w:val="1"/>
      <w:marLeft w:val="0"/>
      <w:marRight w:val="0"/>
      <w:marTop w:val="0"/>
      <w:marBottom w:val="0"/>
      <w:divBdr>
        <w:top w:val="none" w:sz="0" w:space="0" w:color="auto"/>
        <w:left w:val="none" w:sz="0" w:space="0" w:color="auto"/>
        <w:bottom w:val="none" w:sz="0" w:space="0" w:color="auto"/>
        <w:right w:val="none" w:sz="0" w:space="0" w:color="auto"/>
      </w:divBdr>
    </w:div>
    <w:div w:id="17981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JE6N4JFJXNNF-9-59670</_dlc_DocId>
    <_dlc_DocIdUrl xmlns="8b66ae41-1ec6-402e-b662-35d1932ca064">
      <Url>http://rkdhs-sb/enhet/EUKansli/_layouts/DocIdRedir.aspx?ID=JE6N4JFJXNNF-9-59670</Url>
      <Description>JE6N4JFJXNNF-9-59670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87159-2295-4B1F-8757-ED0DBF8DFE86}">
  <ds:schemaRefs>
    <ds:schemaRef ds:uri="http://schemas.microsoft.com/sharepoint/events"/>
  </ds:schemaRefs>
</ds:datastoreItem>
</file>

<file path=customXml/itemProps2.xml><?xml version="1.0" encoding="utf-8"?>
<ds:datastoreItem xmlns:ds="http://schemas.openxmlformats.org/officeDocument/2006/customXml" ds:itemID="{FB73273E-FECD-4AB8-8647-A01CA700E3F8}">
  <ds:schemaRefs>
    <ds:schemaRef ds:uri="http://schemas.microsoft.com/office/2006/metadata/customXsn"/>
  </ds:schemaRefs>
</ds:datastoreItem>
</file>

<file path=customXml/itemProps3.xml><?xml version="1.0" encoding="utf-8"?>
<ds:datastoreItem xmlns:ds="http://schemas.openxmlformats.org/officeDocument/2006/customXml" ds:itemID="{3059D84A-59ED-49ED-8E4E-336E9388BF8A}">
  <ds:schemaRefs>
    <ds:schemaRef ds:uri="http://schemas.microsoft.com/sharepoint/v3/contenttype/forms"/>
  </ds:schemaRefs>
</ds:datastoreItem>
</file>

<file path=customXml/itemProps4.xml><?xml version="1.0" encoding="utf-8"?>
<ds:datastoreItem xmlns:ds="http://schemas.openxmlformats.org/officeDocument/2006/customXml" ds:itemID="{1BAEE598-BDFB-49BD-B8EB-2495A6284A91}">
  <ds:schemaRefs>
    <ds:schemaRef ds:uri="http://schemas.microsoft.com/sharepoint/v3/contenttype/forms/url"/>
  </ds:schemaRefs>
</ds:datastoreItem>
</file>

<file path=customXml/itemProps5.xml><?xml version="1.0" encoding="utf-8"?>
<ds:datastoreItem xmlns:ds="http://schemas.openxmlformats.org/officeDocument/2006/customXml" ds:itemID="{515993AE-37B6-48DF-A267-2DE0F3EE96EA}">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7CFB4257-3A16-4983-B022-D772D0A1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7619</Characters>
  <Application>Microsoft Office Word</Application>
  <DocSecurity>0</DocSecurity>
  <Lines>205</Lines>
  <Paragraphs>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Jakob Sjövall</cp:lastModifiedBy>
  <cp:revision>2</cp:revision>
  <cp:lastPrinted>2013-12-09T10:01:00Z</cp:lastPrinted>
  <dcterms:created xsi:type="dcterms:W3CDTF">2013-12-09T10:01:00Z</dcterms:created>
  <dcterms:modified xsi:type="dcterms:W3CDTF">2013-12-09T10:01:00Z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_dlc_DocIdItemGuid">
    <vt:lpwstr>a108d335-25c5-48c0-a94f-760b5a3aa054</vt:lpwstr>
  </property>
  <property fmtid="{D5CDD505-2E9C-101B-9397-08002B2CF9AE}" pid="7" name="Departementsenhet">
    <vt:lpwstr/>
  </property>
  <property fmtid="{D5CDD505-2E9C-101B-9397-08002B2CF9AE}" pid="8" name="Aktivitetskategori">
    <vt:lpwstr/>
  </property>
</Properties>
</file>