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1D70" w:rsidRPr="00F91B5E" w:rsidRDefault="00B11D70" w:rsidP="00EB7A91">
      <w:pPr>
        <w:pStyle w:val="Hemstlrubrik"/>
      </w:pPr>
      <w:r w:rsidRPr="00F91B5E">
        <w:t>Förslag till riksdagsbeslut</w:t>
      </w:r>
    </w:p>
    <w:p w:rsidR="00B11D70" w:rsidRPr="00F91B5E" w:rsidRDefault="00B11D70" w:rsidP="00E14EE5">
      <w:pPr>
        <w:pStyle w:val="Hemstlatt"/>
      </w:pPr>
      <w:r w:rsidRPr="00F91B5E">
        <w:t>Riksdagen tillkännager för regeringen som sin mening vad i motionen anförs om att ett Sverige uppbyggt underifrån, utifrån federalismens princ</w:t>
      </w:r>
      <w:r w:rsidRPr="00F91B5E">
        <w:t>i</w:t>
      </w:r>
      <w:r w:rsidRPr="00F91B5E">
        <w:t>per, skulle göra makten tydlig och ge medborgarna ökad möjlighet att både delta, påverka och utkräva ansvar på alla nivåer.</w:t>
      </w:r>
    </w:p>
    <w:p w:rsidR="00B11D70" w:rsidRPr="00F91B5E" w:rsidRDefault="00B11D70" w:rsidP="00E14EE5">
      <w:pPr>
        <w:pStyle w:val="Hemstlatt"/>
      </w:pPr>
      <w:r w:rsidRPr="00F91B5E">
        <w:t>Riksdagen anvisar med följande ändringar i förhållande till regeringens förslag, anslagen under utgiftsområde 1 Rikets styrelse enligt uppstäl</w:t>
      </w:r>
      <w:r w:rsidRPr="00F91B5E">
        <w:t>l</w:t>
      </w:r>
      <w:r w:rsidRPr="00F91B5E">
        <w:t>ning:</w:t>
      </w:r>
    </w:p>
    <w:tbl>
      <w:tblPr>
        <w:tblW w:w="5670" w:type="dxa"/>
        <w:tblInd w:w="3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1707"/>
        <w:gridCol w:w="1563"/>
      </w:tblGrid>
      <w:tr w:rsidR="00B11D70" w:rsidRPr="00F91B5E">
        <w:tblPrEx>
          <w:tblCellMar>
            <w:top w:w="0" w:type="dxa"/>
            <w:bottom w:w="0" w:type="dxa"/>
          </w:tblCellMar>
        </w:tblPrEx>
        <w:tc>
          <w:tcPr>
            <w:tcW w:w="2116" w:type="pct"/>
            <w:tcBorders>
              <w:top w:val="single" w:sz="4" w:space="0" w:color="auto"/>
              <w:bottom w:val="single" w:sz="4" w:space="0" w:color="auto"/>
            </w:tcBorders>
          </w:tcPr>
          <w:p w:rsidR="00B11D70" w:rsidRPr="00F91B5E" w:rsidRDefault="00B11D70" w:rsidP="00E17E1D">
            <w:pPr>
              <w:spacing w:before="60" w:line="200" w:lineRule="exact"/>
              <w:rPr>
                <w:b/>
                <w:sz w:val="16"/>
                <w:szCs w:val="16"/>
              </w:rPr>
            </w:pPr>
            <w:r w:rsidRPr="00F91B5E">
              <w:rPr>
                <w:b/>
                <w:sz w:val="16"/>
                <w:szCs w:val="16"/>
              </w:rPr>
              <w:t>Anslag (tkr)</w:t>
            </w: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</w:tcPr>
          <w:p w:rsidR="00B11D70" w:rsidRPr="00F91B5E" w:rsidRDefault="00B11D70" w:rsidP="00570FD2">
            <w:pPr>
              <w:spacing w:before="60" w:line="200" w:lineRule="exact"/>
              <w:ind w:left="57"/>
              <w:jc w:val="right"/>
              <w:rPr>
                <w:b/>
                <w:sz w:val="16"/>
                <w:szCs w:val="16"/>
              </w:rPr>
            </w:pPr>
            <w:r w:rsidRPr="00F91B5E">
              <w:rPr>
                <w:b/>
                <w:sz w:val="16"/>
                <w:szCs w:val="16"/>
              </w:rPr>
              <w:t>Regeringens fö</w:t>
            </w:r>
            <w:r w:rsidRPr="00F91B5E">
              <w:rPr>
                <w:b/>
                <w:sz w:val="16"/>
                <w:szCs w:val="16"/>
              </w:rPr>
              <w:t>r</w:t>
            </w:r>
            <w:r w:rsidRPr="00F91B5E">
              <w:rPr>
                <w:b/>
                <w:sz w:val="16"/>
                <w:szCs w:val="16"/>
              </w:rPr>
              <w:t>slag</w:t>
            </w:r>
          </w:p>
        </w:tc>
        <w:tc>
          <w:tcPr>
            <w:tcW w:w="1378" w:type="pct"/>
            <w:tcBorders>
              <w:top w:val="single" w:sz="4" w:space="0" w:color="auto"/>
              <w:bottom w:val="single" w:sz="4" w:space="0" w:color="auto"/>
            </w:tcBorders>
          </w:tcPr>
          <w:p w:rsidR="00B11D70" w:rsidRPr="00F91B5E" w:rsidRDefault="00B11D70" w:rsidP="00570FD2">
            <w:pPr>
              <w:spacing w:before="60" w:line="200" w:lineRule="exact"/>
              <w:ind w:left="57"/>
              <w:jc w:val="right"/>
              <w:rPr>
                <w:b/>
                <w:sz w:val="16"/>
                <w:szCs w:val="16"/>
              </w:rPr>
            </w:pPr>
            <w:r w:rsidRPr="00F91B5E">
              <w:rPr>
                <w:b/>
                <w:sz w:val="16"/>
                <w:szCs w:val="16"/>
              </w:rPr>
              <w:t>Anslagsfö</w:t>
            </w:r>
            <w:r w:rsidRPr="00F91B5E">
              <w:rPr>
                <w:b/>
                <w:sz w:val="16"/>
                <w:szCs w:val="16"/>
              </w:rPr>
              <w:t>r</w:t>
            </w:r>
            <w:r w:rsidRPr="00F91B5E">
              <w:rPr>
                <w:b/>
                <w:sz w:val="16"/>
                <w:szCs w:val="16"/>
              </w:rPr>
              <w:t>ändring</w:t>
            </w:r>
          </w:p>
        </w:tc>
      </w:tr>
      <w:tr w:rsidR="00B11D70" w:rsidRPr="00F91B5E">
        <w:tblPrEx>
          <w:tblCellMar>
            <w:top w:w="0" w:type="dxa"/>
            <w:bottom w:w="0" w:type="dxa"/>
          </w:tblCellMar>
        </w:tblPrEx>
        <w:tc>
          <w:tcPr>
            <w:tcW w:w="2116" w:type="pct"/>
            <w:tcBorders>
              <w:top w:val="single" w:sz="4" w:space="0" w:color="auto"/>
            </w:tcBorders>
          </w:tcPr>
          <w:p w:rsidR="00B11D70" w:rsidRPr="00F91B5E" w:rsidRDefault="00B11D70" w:rsidP="00E17E1D">
            <w:pPr>
              <w:spacing w:before="60" w:line="200" w:lineRule="exact"/>
              <w:rPr>
                <w:sz w:val="16"/>
                <w:szCs w:val="16"/>
              </w:rPr>
            </w:pPr>
            <w:r w:rsidRPr="00F91B5E">
              <w:rPr>
                <w:sz w:val="16"/>
                <w:szCs w:val="16"/>
              </w:rPr>
              <w:t>90:3</w:t>
            </w:r>
            <w:r w:rsidR="00F90070" w:rsidRPr="00F91B5E">
              <w:rPr>
                <w:sz w:val="16"/>
                <w:szCs w:val="16"/>
              </w:rPr>
              <w:t xml:space="preserve"> </w:t>
            </w:r>
            <w:r w:rsidRPr="00F91B5E">
              <w:rPr>
                <w:sz w:val="16"/>
                <w:szCs w:val="16"/>
              </w:rPr>
              <w:t>Riksdagens förvaltningskos</w:t>
            </w:r>
            <w:r w:rsidRPr="00F91B5E">
              <w:rPr>
                <w:sz w:val="16"/>
                <w:szCs w:val="16"/>
              </w:rPr>
              <w:t>t</w:t>
            </w:r>
            <w:r w:rsidRPr="00F91B5E">
              <w:rPr>
                <w:sz w:val="16"/>
                <w:szCs w:val="16"/>
              </w:rPr>
              <w:t>nader</w:t>
            </w:r>
          </w:p>
        </w:tc>
        <w:tc>
          <w:tcPr>
            <w:tcW w:w="1505" w:type="pct"/>
            <w:tcBorders>
              <w:top w:val="single" w:sz="4" w:space="0" w:color="auto"/>
            </w:tcBorders>
          </w:tcPr>
          <w:p w:rsidR="00B11D70" w:rsidRPr="00F91B5E" w:rsidRDefault="00B11D70" w:rsidP="00E17E1D">
            <w:pPr>
              <w:spacing w:before="60" w:line="200" w:lineRule="exact"/>
              <w:ind w:right="227"/>
              <w:jc w:val="right"/>
              <w:rPr>
                <w:sz w:val="16"/>
                <w:szCs w:val="16"/>
              </w:rPr>
            </w:pPr>
            <w:r w:rsidRPr="00F91B5E">
              <w:rPr>
                <w:sz w:val="16"/>
                <w:szCs w:val="16"/>
              </w:rPr>
              <w:t>584 000</w:t>
            </w:r>
          </w:p>
        </w:tc>
        <w:tc>
          <w:tcPr>
            <w:tcW w:w="1378" w:type="pct"/>
            <w:tcBorders>
              <w:top w:val="single" w:sz="4" w:space="0" w:color="auto"/>
            </w:tcBorders>
          </w:tcPr>
          <w:p w:rsidR="00B11D70" w:rsidRPr="00F91B5E" w:rsidRDefault="00F90070" w:rsidP="00E17E1D">
            <w:pPr>
              <w:spacing w:before="60" w:line="200" w:lineRule="exact"/>
              <w:ind w:right="284"/>
              <w:jc w:val="right"/>
              <w:rPr>
                <w:sz w:val="16"/>
                <w:szCs w:val="16"/>
              </w:rPr>
            </w:pPr>
            <w:r w:rsidRPr="00F91B5E">
              <w:rPr>
                <w:sz w:val="16"/>
                <w:szCs w:val="16"/>
              </w:rPr>
              <w:t>–</w:t>
            </w:r>
            <w:r w:rsidR="00B11D70" w:rsidRPr="00F91B5E">
              <w:rPr>
                <w:sz w:val="16"/>
                <w:szCs w:val="16"/>
              </w:rPr>
              <w:t>9 000</w:t>
            </w:r>
          </w:p>
        </w:tc>
      </w:tr>
      <w:tr w:rsidR="00B11D70" w:rsidRPr="00F91B5E">
        <w:tblPrEx>
          <w:tblCellMar>
            <w:top w:w="0" w:type="dxa"/>
            <w:bottom w:w="0" w:type="dxa"/>
          </w:tblCellMar>
        </w:tblPrEx>
        <w:tc>
          <w:tcPr>
            <w:tcW w:w="2116" w:type="pct"/>
          </w:tcPr>
          <w:p w:rsidR="00B11D70" w:rsidRPr="00F91B5E" w:rsidRDefault="00B11D70" w:rsidP="00E17E1D">
            <w:pPr>
              <w:spacing w:before="60" w:line="200" w:lineRule="exact"/>
              <w:rPr>
                <w:sz w:val="16"/>
                <w:szCs w:val="16"/>
              </w:rPr>
            </w:pPr>
            <w:r w:rsidRPr="00F91B5E">
              <w:rPr>
                <w:sz w:val="16"/>
                <w:szCs w:val="16"/>
              </w:rPr>
              <w:t>45:1 Sametinget</w:t>
            </w:r>
          </w:p>
        </w:tc>
        <w:tc>
          <w:tcPr>
            <w:tcW w:w="1505" w:type="pct"/>
          </w:tcPr>
          <w:p w:rsidR="00B11D70" w:rsidRPr="00F91B5E" w:rsidRDefault="00B11D70" w:rsidP="00E17E1D">
            <w:pPr>
              <w:spacing w:before="60" w:line="200" w:lineRule="exact"/>
              <w:ind w:right="227"/>
              <w:jc w:val="right"/>
              <w:rPr>
                <w:sz w:val="16"/>
                <w:szCs w:val="16"/>
              </w:rPr>
            </w:pPr>
            <w:r w:rsidRPr="00F91B5E">
              <w:rPr>
                <w:sz w:val="16"/>
                <w:szCs w:val="16"/>
              </w:rPr>
              <w:t>21 000</w:t>
            </w:r>
          </w:p>
        </w:tc>
        <w:tc>
          <w:tcPr>
            <w:tcW w:w="1378" w:type="pct"/>
          </w:tcPr>
          <w:p w:rsidR="00B11D70" w:rsidRPr="00F91B5E" w:rsidRDefault="00B11D70" w:rsidP="00E17E1D">
            <w:pPr>
              <w:spacing w:before="60" w:line="200" w:lineRule="exact"/>
              <w:ind w:right="284"/>
              <w:jc w:val="right"/>
              <w:rPr>
                <w:sz w:val="16"/>
                <w:szCs w:val="16"/>
              </w:rPr>
            </w:pPr>
            <w:r w:rsidRPr="00F91B5E">
              <w:rPr>
                <w:sz w:val="16"/>
                <w:szCs w:val="16"/>
              </w:rPr>
              <w:t>5 000</w:t>
            </w:r>
          </w:p>
        </w:tc>
      </w:tr>
      <w:tr w:rsidR="00B11D70" w:rsidRPr="00F91B5E">
        <w:tblPrEx>
          <w:tblCellMar>
            <w:top w:w="0" w:type="dxa"/>
            <w:bottom w:w="0" w:type="dxa"/>
          </w:tblCellMar>
        </w:tblPrEx>
        <w:tc>
          <w:tcPr>
            <w:tcW w:w="2116" w:type="pct"/>
            <w:tcBorders>
              <w:bottom w:val="single" w:sz="4" w:space="0" w:color="auto"/>
            </w:tcBorders>
          </w:tcPr>
          <w:p w:rsidR="00B11D70" w:rsidRPr="00F91B5E" w:rsidRDefault="00B11D70" w:rsidP="00E17E1D">
            <w:pPr>
              <w:spacing w:before="60" w:line="200" w:lineRule="exact"/>
              <w:rPr>
                <w:sz w:val="16"/>
                <w:szCs w:val="16"/>
              </w:rPr>
            </w:pPr>
            <w:r w:rsidRPr="00F91B5E">
              <w:rPr>
                <w:b/>
                <w:sz w:val="16"/>
                <w:szCs w:val="16"/>
              </w:rPr>
              <w:t>Summa för utgiftsområdet</w:t>
            </w:r>
          </w:p>
        </w:tc>
        <w:tc>
          <w:tcPr>
            <w:tcW w:w="1505" w:type="pct"/>
            <w:tcBorders>
              <w:bottom w:val="single" w:sz="4" w:space="0" w:color="auto"/>
            </w:tcBorders>
          </w:tcPr>
          <w:p w:rsidR="00B11D70" w:rsidRPr="00F91B5E" w:rsidRDefault="00B11D70" w:rsidP="00E17E1D">
            <w:pPr>
              <w:spacing w:before="60" w:line="200" w:lineRule="exact"/>
              <w:ind w:right="227"/>
              <w:jc w:val="right"/>
              <w:rPr>
                <w:b/>
                <w:sz w:val="16"/>
                <w:szCs w:val="16"/>
              </w:rPr>
            </w:pPr>
            <w:r w:rsidRPr="00F91B5E">
              <w:rPr>
                <w:b/>
                <w:sz w:val="16"/>
                <w:szCs w:val="16"/>
              </w:rPr>
              <w:t>8 244 204</w:t>
            </w:r>
          </w:p>
        </w:tc>
        <w:tc>
          <w:tcPr>
            <w:tcW w:w="1378" w:type="pct"/>
            <w:tcBorders>
              <w:bottom w:val="single" w:sz="4" w:space="0" w:color="auto"/>
            </w:tcBorders>
          </w:tcPr>
          <w:p w:rsidR="00B11D70" w:rsidRPr="00F91B5E" w:rsidRDefault="00F90070" w:rsidP="00E17E1D">
            <w:pPr>
              <w:spacing w:before="60" w:line="200" w:lineRule="exact"/>
              <w:ind w:right="284"/>
              <w:jc w:val="right"/>
              <w:rPr>
                <w:b/>
                <w:sz w:val="16"/>
                <w:szCs w:val="16"/>
              </w:rPr>
            </w:pPr>
            <w:r w:rsidRPr="00F91B5E">
              <w:rPr>
                <w:b/>
                <w:sz w:val="16"/>
                <w:szCs w:val="16"/>
              </w:rPr>
              <w:t>–</w:t>
            </w:r>
            <w:r w:rsidR="00B11D70" w:rsidRPr="00F91B5E">
              <w:rPr>
                <w:b/>
                <w:sz w:val="16"/>
                <w:szCs w:val="16"/>
              </w:rPr>
              <w:t>4 000</w:t>
            </w:r>
          </w:p>
        </w:tc>
      </w:tr>
    </w:tbl>
    <w:p w:rsidR="00B11D70" w:rsidRPr="00F91B5E" w:rsidRDefault="00B11D70" w:rsidP="00F90070">
      <w:pPr>
        <w:pStyle w:val="Hemstlatt"/>
        <w:spacing w:before="125"/>
        <w:rPr>
          <w:snapToGrid w:val="0"/>
        </w:rPr>
      </w:pPr>
      <w:r w:rsidRPr="00F91B5E">
        <w:rPr>
          <w:snapToGrid w:val="0"/>
        </w:rPr>
        <w:t>Riksdagen tillkännager för regeringen som sin mening vad i motionen anförs om att demokratipolitiken bör präglas av ett deltagardemokratiskt förhållningssätt och en ambition att öka de direktdemokratiska inslagen.</w:t>
      </w:r>
    </w:p>
    <w:p w:rsidR="00B11D70" w:rsidRPr="00F91B5E" w:rsidRDefault="00B11D70" w:rsidP="00E14EE5">
      <w:pPr>
        <w:pStyle w:val="Hemstlatt"/>
      </w:pPr>
      <w:r w:rsidRPr="00F91B5E">
        <w:t>Riksdagen tillkännager för regeringen som sin mening vad i motionen anförs om att 560 miljoner kronor dras in på regeringens anslagssparande på område 90:5, Regeringskansliet.</w:t>
      </w:r>
    </w:p>
    <w:p w:rsidR="00B11D70" w:rsidRPr="00F91B5E" w:rsidRDefault="00B11D70" w:rsidP="00E14EE5">
      <w:pPr>
        <w:pStyle w:val="Hemstlatt"/>
        <w:rPr>
          <w:snapToGrid w:val="0"/>
        </w:rPr>
      </w:pPr>
      <w:r w:rsidRPr="00F91B5E">
        <w:rPr>
          <w:snapToGrid w:val="0"/>
        </w:rPr>
        <w:t xml:space="preserve">Riksdagen tillkännager för regeringen som sin mening vad i motionen anförs om att EU 2004-kommitténs arbete avslutas </w:t>
      </w:r>
      <w:r w:rsidR="00F90070" w:rsidRPr="00F91B5E">
        <w:rPr>
          <w:snapToGrid w:val="0"/>
        </w:rPr>
        <w:t xml:space="preserve">den </w:t>
      </w:r>
      <w:r w:rsidRPr="00F91B5E">
        <w:rPr>
          <w:snapToGrid w:val="0"/>
        </w:rPr>
        <w:t>31 december 2005 som planerat.</w:t>
      </w:r>
    </w:p>
    <w:p w:rsidR="00F90070" w:rsidRPr="00F91B5E" w:rsidRDefault="00F90070" w:rsidP="00F90070">
      <w:pPr>
        <w:pStyle w:val="Rubrik1"/>
      </w:pPr>
      <w:r w:rsidRPr="00F91B5E">
        <w:t>Motivering</w:t>
      </w:r>
    </w:p>
    <w:p w:rsidR="00B11D70" w:rsidRPr="00F91B5E" w:rsidRDefault="00B11D70" w:rsidP="00F90070">
      <w:r w:rsidRPr="00F91B5E">
        <w:t>Demokratins själva väsen handlar om medborgarnas möjligheter att vara delaktiga i det allmänna. Centerpartiet eftersträvar en demokrati byggd unde</w:t>
      </w:r>
      <w:r w:rsidRPr="00F91B5E">
        <w:t>r</w:t>
      </w:r>
      <w:r w:rsidRPr="00F91B5E">
        <w:t>ifrån, där ”gräsrotsdemokratin” i det vardagliga umgänget i det civila samhä</w:t>
      </w:r>
      <w:r w:rsidRPr="00F91B5E">
        <w:t>l</w:t>
      </w:r>
      <w:r w:rsidRPr="00F91B5E">
        <w:t>let är en naturlig bas för hela den svenska demokratin.</w:t>
      </w:r>
    </w:p>
    <w:p w:rsidR="00B11D70" w:rsidRPr="00F91B5E" w:rsidRDefault="00B11D70" w:rsidP="006A0C91">
      <w:pPr>
        <w:pStyle w:val="Normaltindrag"/>
      </w:pPr>
      <w:r w:rsidRPr="00F91B5E">
        <w:lastRenderedPageBreak/>
        <w:t>Riksdagen beviljade åren 2000 och 2001 Regeringskansliet 835 000 000 kr extra i förvaltningsanslag för att förbereda och genomföra Sveriges ordföra</w:t>
      </w:r>
      <w:r w:rsidRPr="00F91B5E">
        <w:t>n</w:t>
      </w:r>
      <w:r w:rsidRPr="00F91B5E">
        <w:t>deskap i EU:s ministerråd. Regeringen fortsätter att ligga på en orimligt hög nivå när det gäller anslaget 90:5 Regeringskansliet trots att ordföra</w:t>
      </w:r>
      <w:r w:rsidRPr="00F91B5E">
        <w:t>n</w:t>
      </w:r>
      <w:r w:rsidRPr="00F91B5E">
        <w:t>deskapsåret sedan lång tid är förbi med de extrakostnader som detta medfö</w:t>
      </w:r>
      <w:r w:rsidRPr="00F91B5E">
        <w:t>r</w:t>
      </w:r>
      <w:r w:rsidR="00EB7A91" w:rsidRPr="00F91B5E">
        <w:t>de. Trycket på R</w:t>
      </w:r>
      <w:r w:rsidRPr="00F91B5E">
        <w:t>egeringskansliet i fråga om internationella frågor och framför</w:t>
      </w:r>
      <w:r w:rsidR="00EB7A91" w:rsidRPr="00F91B5E">
        <w:t xml:space="preserve"> </w:t>
      </w:r>
      <w:r w:rsidRPr="00F91B5E">
        <w:t>allt EU-frågor har visserligen ökat</w:t>
      </w:r>
      <w:r w:rsidR="00EB7A91" w:rsidRPr="00F91B5E">
        <w:t>,</w:t>
      </w:r>
      <w:r w:rsidRPr="00F91B5E">
        <w:t xml:space="preserve"> och regeringen har nu givit visst underlag i denna del varför besparingen föreslås minska. Regeringen har dock inte fullt ut kunnat visa på att det ökat i den grad att </w:t>
      </w:r>
      <w:r w:rsidR="00EB7A91" w:rsidRPr="00F91B5E">
        <w:t>hela förvaltningsanslaget, som R</w:t>
      </w:r>
      <w:r w:rsidRPr="00F91B5E">
        <w:t xml:space="preserve">egeringskansliet fick i samband med Sveriges ordförandeskap i EU, kan berättigas. </w:t>
      </w:r>
      <w:r w:rsidRPr="00F91B5E">
        <w:rPr>
          <w:snapToGrid w:val="0"/>
          <w:color w:val="000000"/>
        </w:rPr>
        <w:t>Centerpa</w:t>
      </w:r>
      <w:r w:rsidRPr="00F91B5E">
        <w:rPr>
          <w:snapToGrid w:val="0"/>
          <w:color w:val="000000"/>
        </w:rPr>
        <w:t>r</w:t>
      </w:r>
      <w:r w:rsidRPr="00F91B5E">
        <w:rPr>
          <w:snapToGrid w:val="0"/>
          <w:color w:val="000000"/>
        </w:rPr>
        <w:t xml:space="preserve">tiet eftersträvar decentralism och mindre av centrala påbud. </w:t>
      </w:r>
      <w:r w:rsidRPr="00F91B5E">
        <w:rPr>
          <w:snapToGrid w:val="0"/>
        </w:rPr>
        <w:t>Regeringen by</w:t>
      </w:r>
      <w:r w:rsidRPr="00F91B5E">
        <w:rPr>
          <w:snapToGrid w:val="0"/>
        </w:rPr>
        <w:t>g</w:t>
      </w:r>
      <w:r w:rsidRPr="00F91B5E">
        <w:rPr>
          <w:snapToGrid w:val="0"/>
        </w:rPr>
        <w:t>ger upp nya ”myndigheter” inom Regeringskansliet, och medel som annars skulle tillfalla andra myndigheter stannar i</w:t>
      </w:r>
      <w:r w:rsidR="00EB7A91" w:rsidRPr="00F91B5E">
        <w:rPr>
          <w:snapToGrid w:val="0"/>
        </w:rPr>
        <w:t xml:space="preserve"> </w:t>
      </w:r>
      <w:r w:rsidRPr="00F91B5E">
        <w:rPr>
          <w:snapToGrid w:val="0"/>
        </w:rPr>
        <w:t>stället kvar inom Regeringskansliet. Mot denna bakgrund</w:t>
      </w:r>
      <w:r w:rsidRPr="00F91B5E">
        <w:t xml:space="preserve"> för</w:t>
      </w:r>
      <w:r w:rsidRPr="00F91B5E">
        <w:t>e</w:t>
      </w:r>
      <w:r w:rsidRPr="00F91B5E">
        <w:t xml:space="preserve">slår Centerpartiet nu att 560 miljoner av regeringens anslagssparande på anslaget 90:5 dras in. Därefter förslår vi en årlig besparing på 400 miljoner kronor för 2007 och 2008. </w:t>
      </w:r>
    </w:p>
    <w:p w:rsidR="00B11D70" w:rsidRPr="00F91B5E" w:rsidRDefault="00B11D70" w:rsidP="006A0C91">
      <w:pPr>
        <w:pStyle w:val="Normaltindrag"/>
      </w:pPr>
      <w:r w:rsidRPr="00F91B5E">
        <w:t>Även riksdagens förvaltning kan se över sina kostnader. Dels genom al</w:t>
      </w:r>
      <w:r w:rsidRPr="00F91B5E">
        <w:t>l</w:t>
      </w:r>
      <w:r w:rsidRPr="00F91B5E">
        <w:t>männa kostnadseffektiviseringar</w:t>
      </w:r>
      <w:r w:rsidR="00EB7A91" w:rsidRPr="00F91B5E">
        <w:t>,</w:t>
      </w:r>
      <w:r w:rsidRPr="00F91B5E">
        <w:t xml:space="preserve"> </w:t>
      </w:r>
      <w:r w:rsidR="00EB7A91" w:rsidRPr="00F91B5E">
        <w:t>dels</w:t>
      </w:r>
      <w:r w:rsidRPr="00F91B5E">
        <w:t xml:space="preserve"> genom att förändra utskottsorganisati</w:t>
      </w:r>
      <w:r w:rsidRPr="00F91B5E">
        <w:t>o</w:t>
      </w:r>
      <w:r w:rsidRPr="00F91B5E">
        <w:t>nen oc</w:t>
      </w:r>
      <w:r w:rsidR="00EB7A91" w:rsidRPr="00F91B5E">
        <w:t>h lägga ned</w:t>
      </w:r>
      <w:r w:rsidRPr="00F91B5E">
        <w:t xml:space="preserve"> EU-nämnden. </w:t>
      </w:r>
    </w:p>
    <w:p w:rsidR="00B11D70" w:rsidRPr="00F91B5E" w:rsidRDefault="00B11D70" w:rsidP="006A0C91">
      <w:pPr>
        <w:pStyle w:val="Normaltindrag"/>
      </w:pPr>
      <w:r w:rsidRPr="00F91B5E">
        <w:t xml:space="preserve">I anslagsposten 90:7 ”Expertgrupp för EU-frågor” ingår anslag till Sieps och till EU 2004-kommittén. Enligt gällande direktiv avslutar EU 2004-kommittén sin verksamhet den 31 december 2005. Centerpartiet vill slå fast vikten </w:t>
      </w:r>
      <w:r w:rsidR="00EB7A91" w:rsidRPr="00F91B5E">
        <w:t>av</w:t>
      </w:r>
      <w:r w:rsidRPr="00F91B5E">
        <w:t xml:space="preserve"> att så sker. Kommittén har redan fått tre tilläggsdirektiv. Inget ytte</w:t>
      </w:r>
      <w:r w:rsidRPr="00F91B5E">
        <w:t>r</w:t>
      </w:r>
      <w:r w:rsidRPr="00F91B5E">
        <w:t>ligare direktiv bör ges som förlänger EU 2004-kommitténs arbete.</w:t>
      </w:r>
    </w:p>
    <w:p w:rsidR="00B11D70" w:rsidRPr="00F91B5E" w:rsidRDefault="00B11D70" w:rsidP="006A0C91">
      <w:pPr>
        <w:pStyle w:val="Normaltindrag"/>
        <w:rPr>
          <w:snapToGrid w:val="0"/>
        </w:rPr>
      </w:pPr>
      <w:r w:rsidRPr="00F91B5E">
        <w:rPr>
          <w:snapToGrid w:val="0"/>
        </w:rPr>
        <w:t>Centerpartiet har i flera motioner (bland annat 2003/04:MJ297 ”En sa</w:t>
      </w:r>
      <w:r w:rsidRPr="00F91B5E">
        <w:rPr>
          <w:snapToGrid w:val="0"/>
        </w:rPr>
        <w:t>m</w:t>
      </w:r>
      <w:r w:rsidRPr="00F91B5E">
        <w:rPr>
          <w:snapToGrid w:val="0"/>
        </w:rPr>
        <w:t>häll</w:t>
      </w:r>
      <w:r w:rsidRPr="00F91B5E">
        <w:rPr>
          <w:snapToGrid w:val="0"/>
        </w:rPr>
        <w:t>s</w:t>
      </w:r>
      <w:r w:rsidRPr="00F91B5E">
        <w:rPr>
          <w:snapToGrid w:val="0"/>
        </w:rPr>
        <w:t>ordning för 2000-talet”) föreslagit en grundläggande översyn av Sveriges konstitutionella uppbyggnad. Detta är gjort i syfte att uppnå en tydlig mak</w:t>
      </w:r>
      <w:r w:rsidRPr="00F91B5E">
        <w:rPr>
          <w:snapToGrid w:val="0"/>
        </w:rPr>
        <w:t>t</w:t>
      </w:r>
      <w:r w:rsidRPr="00F91B5E">
        <w:rPr>
          <w:snapToGrid w:val="0"/>
        </w:rPr>
        <w:t>delning och bryta den tilltagande maktlösheten i samhället. Ett Sverige up</w:t>
      </w:r>
      <w:r w:rsidRPr="00F91B5E">
        <w:rPr>
          <w:snapToGrid w:val="0"/>
        </w:rPr>
        <w:t>p</w:t>
      </w:r>
      <w:r w:rsidRPr="00F91B5E">
        <w:rPr>
          <w:snapToGrid w:val="0"/>
        </w:rPr>
        <w:t>byggt underifrån, utifrån federalismens principer, skulle göra makten tydlig och ge medborgarna ökad möjlighet att både delta, påverka och utkräva a</w:t>
      </w:r>
      <w:r w:rsidRPr="00F91B5E">
        <w:rPr>
          <w:snapToGrid w:val="0"/>
        </w:rPr>
        <w:t>n</w:t>
      </w:r>
      <w:r w:rsidRPr="00F91B5E">
        <w:rPr>
          <w:snapToGrid w:val="0"/>
        </w:rPr>
        <w:t>svar på alla nivåer. Den översyn av regeringsformen som nu påbörjats kan genomföras på en rad olika sätt. Utifrån erfarenheter av tidigare svenska u</w:t>
      </w:r>
      <w:r w:rsidRPr="00F91B5E">
        <w:rPr>
          <w:snapToGrid w:val="0"/>
        </w:rPr>
        <w:t>t</w:t>
      </w:r>
      <w:r w:rsidRPr="00F91B5E">
        <w:rPr>
          <w:snapToGrid w:val="0"/>
        </w:rPr>
        <w:t>redningar finns det all anledning att söka bredda deltagandet i processen fram till en ny grundlag. Ett särskilt värde med en bredare process fram till en ny grundlag är den djupare förankring som därmed kan uppnås och det mer alls</w:t>
      </w:r>
      <w:r w:rsidRPr="00F91B5E">
        <w:rPr>
          <w:snapToGrid w:val="0"/>
        </w:rPr>
        <w:t>i</w:t>
      </w:r>
      <w:r w:rsidRPr="00F91B5E">
        <w:rPr>
          <w:snapToGrid w:val="0"/>
        </w:rPr>
        <w:t xml:space="preserve">diga underlag för slutligt ställningstagande som kan tas fram. </w:t>
      </w:r>
    </w:p>
    <w:p w:rsidR="00B11D70" w:rsidRPr="00F91B5E" w:rsidRDefault="00B11D70" w:rsidP="006A0C91">
      <w:pPr>
        <w:pStyle w:val="Normaltindrag"/>
        <w:rPr>
          <w:snapToGrid w:val="0"/>
        </w:rPr>
      </w:pPr>
      <w:r w:rsidRPr="00F91B5E">
        <w:rPr>
          <w:snapToGrid w:val="0"/>
        </w:rPr>
        <w:t>Frågan om att introducera ett särskilt demokratikonvent för Sverige bör alltjämt övervägas. Det bör vara öppet för såväl det civila samhället, markn</w:t>
      </w:r>
      <w:r w:rsidRPr="00F91B5E">
        <w:rPr>
          <w:snapToGrid w:val="0"/>
        </w:rPr>
        <w:t>a</w:t>
      </w:r>
      <w:r w:rsidRPr="00F91B5E">
        <w:rPr>
          <w:snapToGrid w:val="0"/>
        </w:rPr>
        <w:t>den som den offentliga sektorn. Konventet måste självklart ha en bred ko</w:t>
      </w:r>
      <w:r w:rsidRPr="00F91B5E">
        <w:rPr>
          <w:snapToGrid w:val="0"/>
        </w:rPr>
        <w:t>n</w:t>
      </w:r>
      <w:r w:rsidRPr="00F91B5E">
        <w:rPr>
          <w:snapToGrid w:val="0"/>
        </w:rPr>
        <w:t>taktyta i hela samhället, där alla kan känna sig delaktiga i processen. Sverige har en god och specifik tradition av medskapande starka folkrörelser som tar aktiv del i samhällets utveckling. De spelar en betydelsefull roll för hela det civila samhället och måste engageras i detta arbete. Självklart måste konve</w:t>
      </w:r>
      <w:r w:rsidRPr="00F91B5E">
        <w:rPr>
          <w:snapToGrid w:val="0"/>
        </w:rPr>
        <w:t>n</w:t>
      </w:r>
      <w:r w:rsidRPr="00F91B5E">
        <w:rPr>
          <w:snapToGrid w:val="0"/>
        </w:rPr>
        <w:t>tet också samla representanter från d</w:t>
      </w:r>
      <w:r w:rsidRPr="00F91B5E">
        <w:rPr>
          <w:snapToGrid w:val="0"/>
        </w:rPr>
        <w:t>a</w:t>
      </w:r>
      <w:r w:rsidRPr="00F91B5E">
        <w:rPr>
          <w:snapToGrid w:val="0"/>
        </w:rPr>
        <w:t>gens olika nivåer – såväl kommuner, landsting, regioner som riksdag. De närmare formerna för konventets arbete och sa</w:t>
      </w:r>
      <w:r w:rsidRPr="00F91B5E">
        <w:rPr>
          <w:snapToGrid w:val="0"/>
        </w:rPr>
        <w:t>m</w:t>
      </w:r>
      <w:r w:rsidRPr="00F91B5E">
        <w:rPr>
          <w:snapToGrid w:val="0"/>
        </w:rPr>
        <w:t>mansättning bör övervägas i särskild ordning.</w:t>
      </w:r>
    </w:p>
    <w:p w:rsidR="00B11D70" w:rsidRPr="00F91B5E" w:rsidRDefault="00B11D70" w:rsidP="006A0C91">
      <w:pPr>
        <w:pStyle w:val="Normaltindrag"/>
        <w:rPr>
          <w:snapToGrid w:val="0"/>
        </w:rPr>
      </w:pPr>
      <w:r w:rsidRPr="00F91B5E">
        <w:rPr>
          <w:snapToGrid w:val="0"/>
        </w:rPr>
        <w:t>All makt ska</w:t>
      </w:r>
      <w:r w:rsidR="006A0C91" w:rsidRPr="00F91B5E">
        <w:rPr>
          <w:snapToGrid w:val="0"/>
        </w:rPr>
        <w:t xml:space="preserve">ll utgå </w:t>
      </w:r>
      <w:r w:rsidRPr="00F91B5E">
        <w:rPr>
          <w:snapToGrid w:val="0"/>
        </w:rPr>
        <w:t>från folket, och vad är väl då lämpligare än att folkets valda representanter bjuder in hela Sverige att under ordnade former delta i arbetet med en ny konstitution som gäller oss alla, som reglerar grunderna och ramarna för vår samlevnad och fortsatta demokratiska utveckling. Ett konvent i den form som här skisseras stämmer också väl med riksdagens uttalade mål om att forma en deltagande demokrati. Inom ramen för anslaget till Regeringskansliet förutsätts medel reserveras för ett demokratikonvent.</w:t>
      </w:r>
    </w:p>
    <w:p w:rsidR="005A2CC5" w:rsidRPr="00F91B5E" w:rsidRDefault="00B11D70" w:rsidP="006A0C91">
      <w:pPr>
        <w:pStyle w:val="Normaltindrag"/>
        <w:rPr>
          <w:snapToGrid w:val="0"/>
          <w:szCs w:val="24"/>
        </w:rPr>
      </w:pPr>
      <w:r w:rsidRPr="00F91B5E">
        <w:rPr>
          <w:snapToGrid w:val="0"/>
        </w:rPr>
        <w:t>Centerpartiet anför i sin minoritetsmotion att Sametinget ska</w:t>
      </w:r>
      <w:r w:rsidR="006A0C91" w:rsidRPr="00F91B5E">
        <w:rPr>
          <w:snapToGrid w:val="0"/>
        </w:rPr>
        <w:t>ll</w:t>
      </w:r>
      <w:r w:rsidRPr="00F91B5E">
        <w:rPr>
          <w:snapToGrid w:val="0"/>
        </w:rPr>
        <w:t xml:space="preserve"> ges fler uppgifter och få ett större ansvar för samepolitiken. Bland annat ska </w:t>
      </w:r>
      <w:r w:rsidR="00570FD2" w:rsidRPr="00F91B5E">
        <w:rPr>
          <w:snapToGrid w:val="0"/>
        </w:rPr>
        <w:t>Sam</w:t>
      </w:r>
      <w:r w:rsidR="00570FD2" w:rsidRPr="00F91B5E">
        <w:rPr>
          <w:snapToGrid w:val="0"/>
        </w:rPr>
        <w:t>e</w:t>
      </w:r>
      <w:r w:rsidR="00570FD2" w:rsidRPr="00F91B5E">
        <w:rPr>
          <w:snapToGrid w:val="0"/>
        </w:rPr>
        <w:t xml:space="preserve">tinget </w:t>
      </w:r>
      <w:r w:rsidRPr="00F91B5E">
        <w:rPr>
          <w:snapToGrid w:val="0"/>
        </w:rPr>
        <w:t>få större befogenheter att utarbeta det nordiska samarbetet. För att mö</w:t>
      </w:r>
      <w:r w:rsidRPr="00F91B5E">
        <w:rPr>
          <w:snapToGrid w:val="0"/>
        </w:rPr>
        <w:t>j</w:t>
      </w:r>
      <w:r w:rsidRPr="00F91B5E">
        <w:rPr>
          <w:snapToGrid w:val="0"/>
        </w:rPr>
        <w:t>liggöra att detta påbörjas under mandatperioden vill vi i ett första skede skjuta ti</w:t>
      </w:r>
      <w:r w:rsidR="006A0C91" w:rsidRPr="00F91B5E">
        <w:rPr>
          <w:snapToGrid w:val="0"/>
        </w:rPr>
        <w:t>ll ytte</w:t>
      </w:r>
      <w:r w:rsidR="006A0C91" w:rsidRPr="00F91B5E">
        <w:rPr>
          <w:snapToGrid w:val="0"/>
        </w:rPr>
        <w:t>r</w:t>
      </w:r>
      <w:r w:rsidR="006A0C91" w:rsidRPr="00F91B5E">
        <w:rPr>
          <w:snapToGrid w:val="0"/>
        </w:rPr>
        <w:t>ligare 5 miljoner till S</w:t>
      </w:r>
      <w:r w:rsidRPr="00F91B5E">
        <w:rPr>
          <w:snapToGrid w:val="0"/>
        </w:rPr>
        <w:t xml:space="preserve">ametinget.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A0C91" w:rsidRPr="00F91B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A0C91" w:rsidRPr="00F91B5E" w:rsidRDefault="006A0C91" w:rsidP="006A0C91">
            <w:pPr>
              <w:pStyle w:val="UnderskriftDatum"/>
              <w:spacing w:before="240"/>
            </w:pPr>
            <w:r w:rsidRPr="00F91B5E">
              <w:t>Stockholm den 4 oktober 2005</w:t>
            </w:r>
          </w:p>
        </w:tc>
        <w:tc>
          <w:tcPr>
            <w:tcW w:w="3047" w:type="dxa"/>
          </w:tcPr>
          <w:p w:rsidR="006A0C91" w:rsidRPr="00F91B5E" w:rsidRDefault="006A0C91" w:rsidP="006A0C91">
            <w:pPr>
              <w:pStyle w:val="Underskrifter"/>
              <w:spacing w:before="240"/>
            </w:pPr>
          </w:p>
        </w:tc>
      </w:tr>
      <w:tr w:rsidR="006A0C91" w:rsidRPr="00F91B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A0C91" w:rsidRPr="00F91B5E" w:rsidRDefault="006A0C91" w:rsidP="006A0C91">
            <w:pPr>
              <w:pStyle w:val="Underskrifter"/>
            </w:pPr>
            <w:r w:rsidRPr="00F91B5E">
              <w:t>Kerstin Lundgren (c)</w:t>
            </w:r>
          </w:p>
        </w:tc>
        <w:tc>
          <w:tcPr>
            <w:tcW w:w="3047" w:type="dxa"/>
          </w:tcPr>
          <w:p w:rsidR="006A0C91" w:rsidRPr="00F91B5E" w:rsidRDefault="006A0C91" w:rsidP="006A0C91">
            <w:pPr>
              <w:pStyle w:val="Underskrifter"/>
            </w:pPr>
          </w:p>
        </w:tc>
      </w:tr>
      <w:tr w:rsidR="006A0C91" w:rsidRPr="00F91B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A0C91" w:rsidRPr="00F91B5E" w:rsidRDefault="006A0C91" w:rsidP="006A0C91">
            <w:pPr>
              <w:pStyle w:val="Underskrifter"/>
            </w:pPr>
            <w:r w:rsidRPr="00F91B5E">
              <w:t>Agne Hansson (c)</w:t>
            </w:r>
          </w:p>
        </w:tc>
        <w:tc>
          <w:tcPr>
            <w:tcW w:w="3047" w:type="dxa"/>
          </w:tcPr>
          <w:p w:rsidR="006A0C91" w:rsidRPr="00F91B5E" w:rsidRDefault="006A0C91" w:rsidP="006A0C91">
            <w:pPr>
              <w:pStyle w:val="Underskrifter"/>
            </w:pPr>
            <w:r w:rsidRPr="00F91B5E">
              <w:t>Eskil Erlandsson (c)</w:t>
            </w:r>
          </w:p>
        </w:tc>
      </w:tr>
      <w:tr w:rsidR="006A0C91" w:rsidRPr="00F91B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A0C91" w:rsidRPr="00F91B5E" w:rsidRDefault="006A0C91" w:rsidP="006A0C91">
            <w:pPr>
              <w:pStyle w:val="Underskrifter"/>
            </w:pPr>
            <w:r w:rsidRPr="00F91B5E">
              <w:t>Claes Västerteg (c)</w:t>
            </w:r>
          </w:p>
        </w:tc>
        <w:tc>
          <w:tcPr>
            <w:tcW w:w="3047" w:type="dxa"/>
          </w:tcPr>
          <w:p w:rsidR="006A0C91" w:rsidRPr="00F91B5E" w:rsidRDefault="006A0C91" w:rsidP="006A0C91">
            <w:pPr>
              <w:pStyle w:val="Underskrifter"/>
            </w:pPr>
            <w:r w:rsidRPr="00F91B5E">
              <w:t>Viviann Gerdin (c)</w:t>
            </w:r>
          </w:p>
        </w:tc>
      </w:tr>
      <w:tr w:rsidR="006A0C91" w:rsidRPr="00F91B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A0C91" w:rsidRPr="00F91B5E" w:rsidRDefault="006A0C91" w:rsidP="006A0C91">
            <w:pPr>
              <w:pStyle w:val="Underskrifter"/>
            </w:pPr>
            <w:r w:rsidRPr="00F91B5E">
              <w:t>Johan Linander (c)</w:t>
            </w:r>
          </w:p>
        </w:tc>
        <w:tc>
          <w:tcPr>
            <w:tcW w:w="3047" w:type="dxa"/>
          </w:tcPr>
          <w:p w:rsidR="006A0C91" w:rsidRPr="00F91B5E" w:rsidRDefault="006A0C91" w:rsidP="006A0C91">
            <w:pPr>
              <w:pStyle w:val="Underskrifter"/>
            </w:pPr>
            <w:r w:rsidRPr="00F91B5E">
              <w:t>Jan Andersson (c)</w:t>
            </w:r>
          </w:p>
        </w:tc>
      </w:tr>
    </w:tbl>
    <w:p w:rsidR="00E84F25" w:rsidRPr="00F91B5E" w:rsidRDefault="00E84F25" w:rsidP="006A0C91">
      <w:pPr>
        <w:pStyle w:val="Normaltindrag"/>
      </w:pPr>
    </w:p>
    <w:sectPr w:rsidR="00E84F25" w:rsidRPr="00F91B5E" w:rsidSect="006A0C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4790" w:rsidRPr="00F91B5E" w:rsidRDefault="003B4790">
      <w:r w:rsidRPr="00F91B5E">
        <w:separator/>
      </w:r>
    </w:p>
  </w:endnote>
  <w:endnote w:type="continuationSeparator" w:id="0">
    <w:p w:rsidR="003B4790" w:rsidRPr="00F91B5E" w:rsidRDefault="003B4790">
      <w:r w:rsidRPr="00F91B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FD2" w:rsidRPr="00F91B5E" w:rsidRDefault="00F91B5E" w:rsidP="006A0C91">
    <w:pPr>
      <w:pStyle w:val="Sidfot"/>
    </w:pPr>
    <w:r w:rsidRPr="00F91B5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080207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FD2" w:rsidRDefault="00570FD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4160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70FD2" w:rsidRDefault="00570FD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4160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FD2" w:rsidRPr="00F91B5E" w:rsidRDefault="00F91B5E" w:rsidP="006A0C91">
    <w:pPr>
      <w:pStyle w:val="Sidfot"/>
    </w:pPr>
    <w:r w:rsidRPr="00F91B5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81614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FD2" w:rsidRDefault="00570F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4160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0FD2" w:rsidRDefault="00570F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4160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FD2" w:rsidRPr="00F91B5E" w:rsidRDefault="00F91B5E" w:rsidP="006A0C91">
    <w:pPr>
      <w:pStyle w:val="Sidfot"/>
    </w:pPr>
    <w:r w:rsidRPr="00F91B5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38672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FD2" w:rsidRDefault="00570F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4160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0FD2" w:rsidRDefault="00570F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4160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4790" w:rsidRPr="00F91B5E" w:rsidRDefault="003B4790">
      <w:r w:rsidRPr="00F91B5E">
        <w:separator/>
      </w:r>
    </w:p>
  </w:footnote>
  <w:footnote w:type="continuationSeparator" w:id="0">
    <w:p w:rsidR="003B4790" w:rsidRPr="00F91B5E" w:rsidRDefault="003B4790">
      <w:r w:rsidRPr="00F91B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FD2" w:rsidRPr="00F91B5E" w:rsidRDefault="00F91B5E" w:rsidP="006A0C91">
    <w:pPr>
      <w:pStyle w:val="Sidhuvud"/>
    </w:pPr>
    <w:r w:rsidRPr="00F91B5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32513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FD2" w:rsidRDefault="00570FD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4160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41605">
                            <w:t>K420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70FD2" w:rsidRDefault="00570FD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4160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41605">
                      <w:t>K420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FD2" w:rsidRPr="00F91B5E" w:rsidRDefault="00F91B5E" w:rsidP="006A0C91">
    <w:pPr>
      <w:pStyle w:val="Sidhuvud"/>
    </w:pPr>
    <w:r w:rsidRPr="00F91B5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210894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FD2" w:rsidRDefault="00570FD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4160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41605">
                            <w:t>K420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70FD2" w:rsidRDefault="00570FD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4160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41605">
                      <w:t>K420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FD2" w:rsidRPr="00F91B5E" w:rsidRDefault="00570FD2">
    <w:pPr>
      <w:pStyle w:val="FSHNormal"/>
      <w:tabs>
        <w:tab w:val="right" w:pos="5840"/>
      </w:tabs>
    </w:pPr>
    <w:r w:rsidRPr="00F91B5E">
      <w:br/>
    </w:r>
    <w:r w:rsidRPr="00F91B5E">
      <w:fldChar w:fldCharType="begin" w:fldLock="1"/>
    </w:r>
    <w:r w:rsidRPr="00F91B5E">
      <w:instrText xml:space="preserve"> DOCPROPERTY</w:instrText>
    </w:r>
    <w:r w:rsidRPr="00F91B5E">
      <w:rPr>
        <w:sz w:val="18"/>
      </w:rPr>
      <w:instrText xml:space="preserve"> "YearUser" *\charformat </w:instrText>
    </w:r>
    <w:r w:rsidRPr="00F91B5E">
      <w:fldChar w:fldCharType="separate"/>
    </w:r>
    <w:r w:rsidR="00341605" w:rsidRPr="00F91B5E">
      <w:t>2005/06</w:t>
    </w:r>
    <w:r w:rsidRPr="00F91B5E">
      <w:fldChar w:fldCharType="end"/>
    </w:r>
    <w:r w:rsidRPr="00F91B5E">
      <w:t xml:space="preserve"> </w:t>
    </w:r>
    <w:r w:rsidRPr="00F91B5E">
      <w:tab/>
      <w:t xml:space="preserve">mnr: </w:t>
    </w:r>
    <w:r w:rsidRPr="00F91B5E">
      <w:fldChar w:fldCharType="begin" w:fldLock="1"/>
    </w:r>
    <w:r w:rsidRPr="00F91B5E">
      <w:instrText xml:space="preserve"> DOCPROPERTY</w:instrText>
    </w:r>
    <w:r w:rsidRPr="00F91B5E">
      <w:rPr>
        <w:sz w:val="18"/>
      </w:rPr>
      <w:instrText xml:space="preserve"> "Motionsnummer" *\charformat </w:instrText>
    </w:r>
    <w:r w:rsidRPr="00F91B5E">
      <w:fldChar w:fldCharType="separate"/>
    </w:r>
    <w:r w:rsidR="00341605" w:rsidRPr="00F91B5E">
      <w:t>K420</w:t>
    </w:r>
    <w:r w:rsidRPr="00F91B5E">
      <w:fldChar w:fldCharType="end"/>
    </w:r>
    <w:r w:rsidRPr="00F91B5E">
      <w:br/>
    </w:r>
    <w:r w:rsidRPr="00F91B5E">
      <w:fldChar w:fldCharType="begin" w:fldLock="1"/>
    </w:r>
    <w:r w:rsidRPr="00F91B5E">
      <w:instrText xml:space="preserve"> DOCPROPERTY</w:instrText>
    </w:r>
    <w:r w:rsidRPr="00F91B5E">
      <w:rPr>
        <w:sz w:val="18"/>
      </w:rPr>
      <w:instrText xml:space="preserve"> "Samling" *\charformat </w:instrText>
    </w:r>
    <w:r w:rsidRPr="00F91B5E">
      <w:fldChar w:fldCharType="end"/>
    </w:r>
    <w:r w:rsidRPr="00F91B5E">
      <w:tab/>
      <w:t xml:space="preserve">pnr: </w:t>
    </w:r>
    <w:r w:rsidRPr="00F91B5E">
      <w:fldChar w:fldCharType="begin" w:fldLock="1"/>
    </w:r>
    <w:r w:rsidRPr="00F91B5E">
      <w:instrText xml:space="preserve"> DOCPROPERTY</w:instrText>
    </w:r>
    <w:r w:rsidRPr="00F91B5E">
      <w:rPr>
        <w:sz w:val="18"/>
      </w:rPr>
      <w:instrText xml:space="preserve"> "Partinummer" *\charformat </w:instrText>
    </w:r>
    <w:r w:rsidRPr="00F91B5E">
      <w:fldChar w:fldCharType="separate"/>
    </w:r>
    <w:r w:rsidR="00341605" w:rsidRPr="00F91B5E">
      <w:t>c131</w:t>
    </w:r>
    <w:r w:rsidRPr="00F91B5E">
      <w:fldChar w:fldCharType="end"/>
    </w:r>
  </w:p>
  <w:p w:rsidR="00570FD2" w:rsidRPr="00F91B5E" w:rsidRDefault="00570FD2">
    <w:pPr>
      <w:pStyle w:val="FSHRub1"/>
    </w:pPr>
    <w:r w:rsidRPr="00F91B5E">
      <w:t>Motion till riksdagen</w:t>
    </w:r>
    <w:r w:rsidRPr="00F91B5E">
      <w:br/>
    </w:r>
    <w:r w:rsidRPr="00F91B5E">
      <w:fldChar w:fldCharType="begin" w:fldLock="1"/>
    </w:r>
    <w:r w:rsidRPr="00F91B5E">
      <w:instrText xml:space="preserve"> DOCPROPERTY "YearUser" *\charformat </w:instrText>
    </w:r>
    <w:r w:rsidRPr="00F91B5E">
      <w:fldChar w:fldCharType="separate"/>
    </w:r>
    <w:r w:rsidR="00341605" w:rsidRPr="00F91B5E">
      <w:t>2005/06</w:t>
    </w:r>
    <w:r w:rsidRPr="00F91B5E">
      <w:fldChar w:fldCharType="end"/>
    </w:r>
    <w:r w:rsidRPr="00F91B5E">
      <w:t>:</w:t>
    </w:r>
    <w:r w:rsidRPr="00F91B5E">
      <w:fldChar w:fldCharType="begin" w:fldLock="1"/>
    </w:r>
    <w:r w:rsidRPr="00F91B5E">
      <w:instrText xml:space="preserve"> DOCPROPERTY "Motionsnummer" *\charformat </w:instrText>
    </w:r>
    <w:r w:rsidRPr="00F91B5E">
      <w:fldChar w:fldCharType="separate"/>
    </w:r>
    <w:r w:rsidR="00341605" w:rsidRPr="00F91B5E">
      <w:t>K420</w:t>
    </w:r>
    <w:r w:rsidRPr="00F91B5E">
      <w:fldChar w:fldCharType="end"/>
    </w:r>
  </w:p>
  <w:p w:rsidR="00570FD2" w:rsidRPr="00F91B5E" w:rsidRDefault="00570FD2">
    <w:pPr>
      <w:pStyle w:val="FSHNormalS5"/>
    </w:pPr>
    <w:r w:rsidRPr="00F91B5E">
      <w:fldChar w:fldCharType="begin" w:fldLock="1"/>
    </w:r>
    <w:r w:rsidRPr="00F91B5E">
      <w:instrText xml:space="preserve"> DOCPROPERTY "MotionarText" *\charformat </w:instrText>
    </w:r>
    <w:r w:rsidRPr="00F91B5E">
      <w:fldChar w:fldCharType="separate"/>
    </w:r>
    <w:r w:rsidR="00341605" w:rsidRPr="00F91B5E">
      <w:t>av Kerstin Lundgren m.fl. (c)</w:t>
    </w:r>
    <w:r w:rsidRPr="00F91B5E">
      <w:fldChar w:fldCharType="end"/>
    </w:r>
    <w:r w:rsidRPr="00F91B5E">
      <w:br/>
    </w:r>
    <w:r w:rsidRPr="00F91B5E">
      <w:fldChar w:fldCharType="begin" w:fldLock="1"/>
    </w:r>
    <w:r w:rsidRPr="00F91B5E">
      <w:instrText xml:space="preserve"> DOCPROPERTY "SvarFrasKort" *\charformat </w:instrText>
    </w:r>
    <w:r w:rsidRPr="00F91B5E">
      <w:fldChar w:fldCharType="end"/>
    </w:r>
  </w:p>
  <w:p w:rsidR="00570FD2" w:rsidRPr="00F91B5E" w:rsidRDefault="00570FD2">
    <w:pPr>
      <w:pStyle w:val="FSHTitel"/>
    </w:pPr>
    <w:r w:rsidRPr="00F91B5E">
      <w:fldChar w:fldCharType="begin" w:fldLock="1"/>
    </w:r>
    <w:r w:rsidRPr="00F91B5E">
      <w:instrText xml:space="preserve"> DOCPROPERTY</w:instrText>
    </w:r>
    <w:r w:rsidRPr="00F91B5E">
      <w:rPr>
        <w:sz w:val="18"/>
      </w:rPr>
      <w:instrText xml:space="preserve"> "RubrikSvar" *\charformat </w:instrText>
    </w:r>
    <w:r w:rsidRPr="00F91B5E">
      <w:fldChar w:fldCharType="separate"/>
    </w:r>
    <w:r w:rsidR="00341605" w:rsidRPr="00F91B5E">
      <w:t>Utgiftsområde 1 Rikets styrelse</w:t>
    </w:r>
    <w:r w:rsidRPr="00F91B5E">
      <w:fldChar w:fldCharType="end"/>
    </w:r>
  </w:p>
  <w:p w:rsidR="00570FD2" w:rsidRPr="00F91B5E" w:rsidRDefault="00570FD2" w:rsidP="006A0C9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CCA4FB4"/>
    <w:multiLevelType w:val="hybridMultilevel"/>
    <w:tmpl w:val="8C88E9E8"/>
    <w:lvl w:ilvl="0" w:tplc="70A04042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FFFFFFFF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4323850">
    <w:abstractNumId w:val="14"/>
  </w:num>
  <w:num w:numId="2" w16cid:durableId="678041752">
    <w:abstractNumId w:val="10"/>
  </w:num>
  <w:num w:numId="3" w16cid:durableId="1055618978">
    <w:abstractNumId w:val="11"/>
  </w:num>
  <w:num w:numId="4" w16cid:durableId="1559901098">
    <w:abstractNumId w:val="13"/>
  </w:num>
  <w:num w:numId="5" w16cid:durableId="1233465323">
    <w:abstractNumId w:val="8"/>
  </w:num>
  <w:num w:numId="6" w16cid:durableId="282005595">
    <w:abstractNumId w:val="3"/>
  </w:num>
  <w:num w:numId="7" w16cid:durableId="824510920">
    <w:abstractNumId w:val="2"/>
  </w:num>
  <w:num w:numId="8" w16cid:durableId="1670399687">
    <w:abstractNumId w:val="1"/>
  </w:num>
  <w:num w:numId="9" w16cid:durableId="342901742">
    <w:abstractNumId w:val="0"/>
  </w:num>
  <w:num w:numId="10" w16cid:durableId="1007253353">
    <w:abstractNumId w:val="9"/>
  </w:num>
  <w:num w:numId="11" w16cid:durableId="1416633914">
    <w:abstractNumId w:val="7"/>
  </w:num>
  <w:num w:numId="12" w16cid:durableId="1393235701">
    <w:abstractNumId w:val="6"/>
  </w:num>
  <w:num w:numId="13" w16cid:durableId="1625425003">
    <w:abstractNumId w:val="5"/>
  </w:num>
  <w:num w:numId="14" w16cid:durableId="693119842">
    <w:abstractNumId w:val="4"/>
  </w:num>
  <w:num w:numId="15" w16cid:durableId="21103488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8"/>
  </w:docVars>
  <w:rsids>
    <w:rsidRoot w:val="00E034FA"/>
    <w:rsid w:val="0004381F"/>
    <w:rsid w:val="00064BC3"/>
    <w:rsid w:val="00066775"/>
    <w:rsid w:val="00072FB9"/>
    <w:rsid w:val="00094ED9"/>
    <w:rsid w:val="000B3A60"/>
    <w:rsid w:val="000E2E12"/>
    <w:rsid w:val="00100531"/>
    <w:rsid w:val="00201DFB"/>
    <w:rsid w:val="00204A63"/>
    <w:rsid w:val="00212FF1"/>
    <w:rsid w:val="00230193"/>
    <w:rsid w:val="0025068A"/>
    <w:rsid w:val="002818D3"/>
    <w:rsid w:val="0028360A"/>
    <w:rsid w:val="002D11A8"/>
    <w:rsid w:val="00341605"/>
    <w:rsid w:val="00361FC8"/>
    <w:rsid w:val="00363A1B"/>
    <w:rsid w:val="003B4790"/>
    <w:rsid w:val="0040093F"/>
    <w:rsid w:val="00445271"/>
    <w:rsid w:val="004A0504"/>
    <w:rsid w:val="004E38D9"/>
    <w:rsid w:val="00540FC1"/>
    <w:rsid w:val="00570FD2"/>
    <w:rsid w:val="00576626"/>
    <w:rsid w:val="005A2CC5"/>
    <w:rsid w:val="005B145B"/>
    <w:rsid w:val="0068471E"/>
    <w:rsid w:val="006A0C91"/>
    <w:rsid w:val="00722CA0"/>
    <w:rsid w:val="00740D6D"/>
    <w:rsid w:val="00756799"/>
    <w:rsid w:val="00794149"/>
    <w:rsid w:val="007B67A7"/>
    <w:rsid w:val="007C6092"/>
    <w:rsid w:val="007E6755"/>
    <w:rsid w:val="008D5FD5"/>
    <w:rsid w:val="008F659E"/>
    <w:rsid w:val="00A053C6"/>
    <w:rsid w:val="00AE7317"/>
    <w:rsid w:val="00AF19A3"/>
    <w:rsid w:val="00B11D70"/>
    <w:rsid w:val="00B13BF0"/>
    <w:rsid w:val="00BC2A79"/>
    <w:rsid w:val="00C1285C"/>
    <w:rsid w:val="00C27B7D"/>
    <w:rsid w:val="00C3145E"/>
    <w:rsid w:val="00C70DFD"/>
    <w:rsid w:val="00CF7A43"/>
    <w:rsid w:val="00D1174F"/>
    <w:rsid w:val="00DC046F"/>
    <w:rsid w:val="00DC6C70"/>
    <w:rsid w:val="00DD3364"/>
    <w:rsid w:val="00E034FA"/>
    <w:rsid w:val="00E14EE5"/>
    <w:rsid w:val="00E17E1D"/>
    <w:rsid w:val="00E22893"/>
    <w:rsid w:val="00E360DE"/>
    <w:rsid w:val="00E75D28"/>
    <w:rsid w:val="00E813B6"/>
    <w:rsid w:val="00E84F25"/>
    <w:rsid w:val="00EB4A05"/>
    <w:rsid w:val="00EB7A91"/>
    <w:rsid w:val="00F90070"/>
    <w:rsid w:val="00F91B5E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34E794C-E64F-4364-823B-646B25CB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AF19A3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EB7A91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A0C91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846</Words>
  <Characters>5036</Characters>
  <Application>Microsoft Office Word</Application>
  <DocSecurity>4</DocSecurity>
  <Lines>104</Lines>
  <Paragraphs>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K420</vt:lpstr>
    </vt:vector>
  </TitlesOfParts>
  <Company>Riksdagen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K420</dc:title>
  <dc:subject>K420</dc:subject>
  <dc:creator>Riksdagen</dc:creator>
  <cp:keywords>Riksdagen</cp:keywords>
  <dc:description/>
  <cp:lastModifiedBy>Lars Brink</cp:lastModifiedBy>
  <cp:revision>2</cp:revision>
  <cp:lastPrinted>2006-01-13T14:13:00Z</cp:lastPrinted>
  <dcterms:created xsi:type="dcterms:W3CDTF">2025-12-16T19:41:00Z</dcterms:created>
  <dcterms:modified xsi:type="dcterms:W3CDTF">2025-12-16T19:41:00Z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mot2000_423_2005-10-18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Utgiftsområde 1 Rikets styrelse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1 Rikets styrelse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c131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Kerstin Lundgren m.fl. (c)</vt:lpwstr>
  </property>
  <property fmtid="{D5CDD505-2E9C-101B-9397-08002B2CF9AE}" pid="26" name="MotionarLista">
    <vt:lpwstr>Lundgren, Kerstin (c)\Hansson, Agne (c)\Erlandsson, Eskil (c)\Västerteg, Claes (c)\Gerdin, Viviann (c)\Linander, Johan (c)\Andersson, Jan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Lundgren (c), Agne Hansson (c), Eskil Erlandsson (c), Claes Västerteg (c), Viviann Gerdin (c), Johan Linander (c), Jan Andersson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K420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cathrin.lindqwist@riksdagen.se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20052006000000000099000001310075</vt:lpwstr>
  </property>
  <property fmtid="{D5CDD505-2E9C-101B-9397-08002B2CF9AE}" pid="47" name="datum">
    <vt:lpwstr>051004</vt:lpwstr>
  </property>
  <property fmtid="{D5CDD505-2E9C-101B-9397-08002B2CF9AE}" pid="48" name="avsändar-e-post">
    <vt:lpwstr>cathrin.lindqwist@riksdagen.se</vt:lpwstr>
  </property>
  <property fmtid="{D5CDD505-2E9C-101B-9397-08002B2CF9AE}" pid="49" name="id">
    <vt:lpwstr>20052006000000000099000001310075</vt:lpwstr>
  </property>
  <property fmtid="{D5CDD505-2E9C-101B-9397-08002B2CF9AE}" pid="50" name="nummer">
    <vt:lpwstr>420</vt:lpwstr>
  </property>
  <property fmtid="{D5CDD505-2E9C-101B-9397-08002B2CF9AE}" pid="51" name="utskottsbeteckning">
    <vt:lpwstr>K</vt:lpwstr>
  </property>
</Properties>
</file>