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E65" w:rsidRPr="00022D6C" w:rsidRDefault="00287E65">
      <w:pPr>
        <w:pStyle w:val="RubrikInnehllsf"/>
        <w:shd w:val="clear" w:color="000000" w:fill="auto"/>
      </w:pPr>
      <w:r w:rsidRPr="00022D6C">
        <w:t>Innehållsförteckning</w:t>
      </w:r>
    </w:p>
    <w:p w:rsidR="00287E65" w:rsidRPr="00022D6C" w:rsidRDefault="0061036E">
      <w:pPr>
        <w:pStyle w:val="Innehll1"/>
        <w:shd w:val="clear" w:color="000000" w:fill="auto"/>
        <w:spacing w:before="125"/>
        <w:rPr>
          <w:szCs w:val="24"/>
        </w:rPr>
      </w:pPr>
      <w:r w:rsidRPr="00022D6C">
        <w:rPr>
          <w:sz w:val="24"/>
        </w:rPr>
        <w:fldChar w:fldCharType="begin" w:fldLock="1"/>
      </w:r>
      <w:r w:rsidR="00287E65" w:rsidRPr="00022D6C">
        <w:instrText xml:space="preserve"> TOC \o "2-3" \t "Rubrik 1;1;Hemstl_rubrik;1;RubrikSammanf;1" </w:instrText>
      </w:r>
      <w:r w:rsidRPr="00022D6C">
        <w:rPr>
          <w:sz w:val="24"/>
        </w:rPr>
        <w:fldChar w:fldCharType="separate"/>
      </w:r>
      <w:r w:rsidR="00287E65" w:rsidRPr="00022D6C">
        <w:t>Förslag till riksdagsbeslut</w:t>
      </w:r>
      <w:r w:rsidR="00287E65" w:rsidRPr="00022D6C">
        <w:tab/>
      </w:r>
      <w:r w:rsidRPr="00022D6C">
        <w:fldChar w:fldCharType="begin" w:fldLock="1"/>
      </w:r>
      <w:r w:rsidR="00287E65" w:rsidRPr="00022D6C">
        <w:instrText xml:space="preserve"> PAGEREF _Toc164060940 \h </w:instrText>
      </w:r>
      <w:r w:rsidRPr="00022D6C">
        <w:fldChar w:fldCharType="separate"/>
      </w:r>
      <w:r w:rsidR="001B1981" w:rsidRPr="00022D6C">
        <w:t>2</w:t>
      </w:r>
      <w:r w:rsidRPr="00022D6C">
        <w:fldChar w:fldCharType="end"/>
      </w:r>
    </w:p>
    <w:p w:rsidR="00287E65" w:rsidRPr="00022D6C" w:rsidRDefault="00287E65">
      <w:pPr>
        <w:pStyle w:val="Innehll1"/>
        <w:shd w:val="clear" w:color="000000" w:fill="auto"/>
        <w:rPr>
          <w:szCs w:val="24"/>
        </w:rPr>
      </w:pPr>
      <w:r w:rsidRPr="00022D6C">
        <w:t>Inledning</w:t>
      </w:r>
      <w:r w:rsidRPr="00022D6C">
        <w:tab/>
      </w:r>
      <w:r w:rsidR="0061036E" w:rsidRPr="00022D6C">
        <w:fldChar w:fldCharType="begin" w:fldLock="1"/>
      </w:r>
      <w:r w:rsidRPr="00022D6C">
        <w:instrText xml:space="preserve"> PAGEREF _Toc164060941 \h </w:instrText>
      </w:r>
      <w:r w:rsidR="0061036E" w:rsidRPr="00022D6C">
        <w:fldChar w:fldCharType="separate"/>
      </w:r>
      <w:r w:rsidR="001B1981" w:rsidRPr="00022D6C">
        <w:t>2</w:t>
      </w:r>
      <w:r w:rsidR="0061036E" w:rsidRPr="00022D6C">
        <w:fldChar w:fldCharType="end"/>
      </w:r>
    </w:p>
    <w:p w:rsidR="00287E65" w:rsidRPr="00022D6C" w:rsidRDefault="00287E65">
      <w:pPr>
        <w:pStyle w:val="Innehll1"/>
        <w:shd w:val="clear" w:color="000000" w:fill="auto"/>
        <w:rPr>
          <w:szCs w:val="24"/>
        </w:rPr>
      </w:pPr>
      <w:r w:rsidRPr="00022D6C">
        <w:t>Motivering</w:t>
      </w:r>
      <w:r w:rsidRPr="00022D6C">
        <w:tab/>
      </w:r>
      <w:r w:rsidR="0061036E" w:rsidRPr="00022D6C">
        <w:fldChar w:fldCharType="begin" w:fldLock="1"/>
      </w:r>
      <w:r w:rsidRPr="00022D6C">
        <w:instrText xml:space="preserve"> PAGEREF _Toc164060942 \h </w:instrText>
      </w:r>
      <w:r w:rsidR="0061036E" w:rsidRPr="00022D6C">
        <w:fldChar w:fldCharType="separate"/>
      </w:r>
      <w:r w:rsidR="001B1981" w:rsidRPr="00022D6C">
        <w:t>3</w:t>
      </w:r>
      <w:r w:rsidR="0061036E" w:rsidRPr="00022D6C">
        <w:fldChar w:fldCharType="end"/>
      </w:r>
    </w:p>
    <w:p w:rsidR="00287E65" w:rsidRPr="00022D6C" w:rsidRDefault="00287E65">
      <w:pPr>
        <w:pStyle w:val="Innehll2"/>
        <w:shd w:val="clear" w:color="000000" w:fill="auto"/>
        <w:rPr>
          <w:szCs w:val="24"/>
        </w:rPr>
      </w:pPr>
      <w:r w:rsidRPr="00022D6C">
        <w:t>Vissa grupper blir särskilt utsatta</w:t>
      </w:r>
      <w:r w:rsidRPr="00022D6C">
        <w:tab/>
      </w:r>
      <w:r w:rsidR="0061036E" w:rsidRPr="00022D6C">
        <w:fldChar w:fldCharType="begin" w:fldLock="1"/>
      </w:r>
      <w:r w:rsidRPr="00022D6C">
        <w:instrText xml:space="preserve"> PAGEREF _Toc164060943 \h </w:instrText>
      </w:r>
      <w:r w:rsidR="0061036E" w:rsidRPr="00022D6C">
        <w:fldChar w:fldCharType="separate"/>
      </w:r>
      <w:r w:rsidR="001B1981" w:rsidRPr="00022D6C">
        <w:t>3</w:t>
      </w:r>
      <w:r w:rsidR="0061036E" w:rsidRPr="00022D6C">
        <w:fldChar w:fldCharType="end"/>
      </w:r>
    </w:p>
    <w:p w:rsidR="00287E65" w:rsidRPr="00022D6C" w:rsidRDefault="00287E65">
      <w:pPr>
        <w:pStyle w:val="Innehll2"/>
        <w:shd w:val="clear" w:color="000000" w:fill="auto"/>
        <w:rPr>
          <w:szCs w:val="24"/>
        </w:rPr>
      </w:pPr>
      <w:r w:rsidRPr="00022D6C">
        <w:t>Förslagets avgränsning – långt ifrån självklar</w:t>
      </w:r>
      <w:r w:rsidRPr="00022D6C">
        <w:tab/>
      </w:r>
      <w:r w:rsidR="0061036E" w:rsidRPr="00022D6C">
        <w:fldChar w:fldCharType="begin" w:fldLock="1"/>
      </w:r>
      <w:r w:rsidRPr="00022D6C">
        <w:instrText xml:space="preserve"> PAGEREF _Toc164060944 \h </w:instrText>
      </w:r>
      <w:r w:rsidR="0061036E" w:rsidRPr="00022D6C">
        <w:fldChar w:fldCharType="separate"/>
      </w:r>
      <w:r w:rsidR="001B1981" w:rsidRPr="00022D6C">
        <w:t>4</w:t>
      </w:r>
      <w:r w:rsidR="0061036E" w:rsidRPr="00022D6C">
        <w:fldChar w:fldCharType="end"/>
      </w:r>
    </w:p>
    <w:p w:rsidR="00287E65" w:rsidRPr="00022D6C" w:rsidRDefault="00287E65">
      <w:pPr>
        <w:pStyle w:val="Innehll1"/>
        <w:shd w:val="clear" w:color="000000" w:fill="auto"/>
        <w:rPr>
          <w:szCs w:val="24"/>
        </w:rPr>
      </w:pPr>
      <w:r w:rsidRPr="00022D6C">
        <w:t>Informations-, kontroll- och samordningssystem av stor vikt</w:t>
      </w:r>
      <w:r w:rsidRPr="00022D6C">
        <w:tab/>
      </w:r>
      <w:r w:rsidR="0061036E" w:rsidRPr="00022D6C">
        <w:fldChar w:fldCharType="begin" w:fldLock="1"/>
      </w:r>
      <w:r w:rsidRPr="00022D6C">
        <w:instrText xml:space="preserve"> PAGEREF _Toc164060945 \h </w:instrText>
      </w:r>
      <w:r w:rsidR="0061036E" w:rsidRPr="00022D6C">
        <w:fldChar w:fldCharType="separate"/>
      </w:r>
      <w:r w:rsidR="001B1981" w:rsidRPr="00022D6C">
        <w:t>4</w:t>
      </w:r>
      <w:r w:rsidR="0061036E" w:rsidRPr="00022D6C">
        <w:fldChar w:fldCharType="end"/>
      </w:r>
    </w:p>
    <w:p w:rsidR="0061036E" w:rsidRPr="00022D6C" w:rsidRDefault="0061036E">
      <w:r w:rsidRPr="00022D6C">
        <w:fldChar w:fldCharType="end"/>
      </w:r>
      <w:bookmarkStart w:id="0" w:name="_Toc164060940"/>
    </w:p>
    <w:p w:rsidR="003F019F" w:rsidRPr="00022D6C" w:rsidRDefault="003F019F">
      <w:pPr>
        <w:pStyle w:val="Hemstlrubrik"/>
        <w:pageBreakBefore/>
        <w:shd w:val="clear" w:color="000000" w:fill="auto"/>
        <w:spacing w:before="0"/>
      </w:pPr>
      <w:r w:rsidRPr="00022D6C">
        <w:lastRenderedPageBreak/>
        <w:t>Förslag till riksdagsbeslut</w:t>
      </w:r>
      <w:bookmarkEnd w:id="0"/>
    </w:p>
    <w:p w:rsidR="0061036E" w:rsidRPr="00022D6C" w:rsidRDefault="0061036E">
      <w:pPr>
        <w:pStyle w:val="Hemstlatt"/>
        <w:numPr>
          <w:ilvl w:val="0"/>
          <w:numId w:val="1"/>
        </w:numPr>
        <w:shd w:val="clear" w:color="000000" w:fill="auto"/>
      </w:pPr>
      <w:r w:rsidRPr="00022D6C">
        <w:t>Riksdagen beslutar att avslå proposition 2006/08:80 Bidragsbrottslag.</w:t>
      </w:r>
    </w:p>
    <w:p w:rsidR="0061036E" w:rsidRPr="00022D6C" w:rsidRDefault="0061036E">
      <w:pPr>
        <w:pStyle w:val="Hemstlatt"/>
        <w:numPr>
          <w:ilvl w:val="0"/>
          <w:numId w:val="1"/>
        </w:numPr>
        <w:shd w:val="clear" w:color="000000" w:fill="auto"/>
      </w:pPr>
      <w:r w:rsidRPr="00022D6C">
        <w:t>Riksdagen tillkännager för regeringen som sin mening vad som i motionen anförs om att man som ett alternativ till nya straffb</w:t>
      </w:r>
      <w:r w:rsidRPr="00022D6C">
        <w:t>e</w:t>
      </w:r>
      <w:r w:rsidRPr="00022D6C">
        <w:t>stämmelser ser över de förslag som finns presenterade i Skatteverkets rapport 2007:1, del 2, Möjliga åtgärder mot svartarbete och bidrag</w:t>
      </w:r>
      <w:r w:rsidRPr="00022D6C">
        <w:t>s</w:t>
      </w:r>
      <w:r w:rsidRPr="00022D6C">
        <w:t>fusk.</w:t>
      </w:r>
    </w:p>
    <w:p w:rsidR="0061036E" w:rsidRPr="00022D6C" w:rsidRDefault="0061036E">
      <w:pPr>
        <w:pStyle w:val="Hemstlatt"/>
        <w:numPr>
          <w:ilvl w:val="0"/>
          <w:numId w:val="1"/>
        </w:numPr>
        <w:shd w:val="clear" w:color="000000" w:fill="auto"/>
      </w:pPr>
      <w:r w:rsidRPr="00022D6C">
        <w:t>Riksdagen tillkännager för regeringen som sin mening vad som i motionen anförs om att regeringen bör överväga att återkomma till riksdagen för att aktualisera alternativa åtgärder på området efter att b</w:t>
      </w:r>
      <w:r w:rsidRPr="00022D6C">
        <w:t>e</w:t>
      </w:r>
      <w:r w:rsidRPr="00022D6C">
        <w:t>rörda utredningar har slutförts.</w:t>
      </w:r>
    </w:p>
    <w:p w:rsidR="0061036E" w:rsidRPr="00022D6C" w:rsidRDefault="0061036E">
      <w:pPr>
        <w:pStyle w:val="Hemstlatt"/>
        <w:numPr>
          <w:ilvl w:val="0"/>
          <w:numId w:val="1"/>
        </w:numPr>
        <w:shd w:val="clear" w:color="000000" w:fill="auto"/>
      </w:pPr>
      <w:r w:rsidRPr="00022D6C">
        <w:t>Riksdagen tillkännager för regeringen som sin mening vad som i motionen anförs om att i det fall förslaget ändå genomförs bör r</w:t>
      </w:r>
      <w:r w:rsidRPr="00022D6C">
        <w:t>e</w:t>
      </w:r>
      <w:r w:rsidRPr="00022D6C">
        <w:t>geringen återkomma till riksdagen med en uppföljning av den nya lagens tillämpning och funktionssätt.</w:t>
      </w:r>
    </w:p>
    <w:p w:rsidR="003F019F" w:rsidRPr="00022D6C" w:rsidRDefault="003F019F">
      <w:pPr>
        <w:pStyle w:val="Rubrik1"/>
        <w:shd w:val="clear" w:color="000000" w:fill="auto"/>
      </w:pPr>
      <w:bookmarkStart w:id="1" w:name="_Toc164060941"/>
      <w:r w:rsidRPr="00022D6C">
        <w:t>Inledning</w:t>
      </w:r>
      <w:bookmarkEnd w:id="1"/>
    </w:p>
    <w:p w:rsidR="00F62A2D" w:rsidRPr="00022D6C" w:rsidRDefault="00F62A2D">
      <w:pPr>
        <w:shd w:val="clear" w:color="000000" w:fill="auto"/>
      </w:pPr>
      <w:r w:rsidRPr="00022D6C">
        <w:t xml:space="preserve">Regeringen föreslår </w:t>
      </w:r>
      <w:r w:rsidR="0058784B" w:rsidRPr="00022D6C">
        <w:t xml:space="preserve">att </w:t>
      </w:r>
      <w:r w:rsidRPr="00022D6C">
        <w:t>en ny bidragsbrottslag</w:t>
      </w:r>
      <w:r w:rsidR="0058784B" w:rsidRPr="00022D6C">
        <w:t xml:space="preserve"> </w:t>
      </w:r>
      <w:r w:rsidR="00A90E4E" w:rsidRPr="00022D6C">
        <w:t>ska träda</w:t>
      </w:r>
      <w:r w:rsidR="0058784B" w:rsidRPr="00022D6C">
        <w:t xml:space="preserve"> i kraft från den 1 augusti 2007 </w:t>
      </w:r>
      <w:r w:rsidRPr="00022D6C">
        <w:t>med straffbestämmelser som sägs vara anpassade till de särski</w:t>
      </w:r>
      <w:r w:rsidRPr="00022D6C">
        <w:t>l</w:t>
      </w:r>
      <w:r w:rsidRPr="00022D6C">
        <w:t>da förutsättnin</w:t>
      </w:r>
      <w:r w:rsidR="0058784B" w:rsidRPr="00022D6C">
        <w:t xml:space="preserve">gar som råder vid utbetalning </w:t>
      </w:r>
      <w:r w:rsidRPr="00022D6C">
        <w:t>av bidrag och andra ekon</w:t>
      </w:r>
      <w:r w:rsidR="0058784B" w:rsidRPr="00022D6C">
        <w:t>omiska förmåner</w:t>
      </w:r>
      <w:r w:rsidRPr="00022D6C">
        <w:t>. Tillämpningsområdet ska enligt regeringens förslag omfatta ersät</w:t>
      </w:r>
      <w:r w:rsidRPr="00022D6C">
        <w:t>t</w:t>
      </w:r>
      <w:r w:rsidRPr="00022D6C">
        <w:t>ningar, bidrag och andra ekonomiska förmåner som betalas ut för personligt ändamål och som beslutas av Försäkringskassan, Premiepensionsmyndigh</w:t>
      </w:r>
      <w:r w:rsidRPr="00022D6C">
        <w:t>e</w:t>
      </w:r>
      <w:r w:rsidRPr="00022D6C">
        <w:t xml:space="preserve">ten, Centrala studiestödsnämnden, Migrationsverket, länsarbetsnämnderna, kommunerna eller arbetslöshetskassorna. </w:t>
      </w:r>
    </w:p>
    <w:p w:rsidR="00F62A2D" w:rsidRPr="00022D6C" w:rsidRDefault="00F62A2D">
      <w:pPr>
        <w:pStyle w:val="Normaltindrag"/>
        <w:shd w:val="clear" w:color="000000" w:fill="auto"/>
      </w:pPr>
      <w:r w:rsidRPr="00022D6C">
        <w:t>Vidare ska</w:t>
      </w:r>
      <w:r w:rsidR="00E05C2F" w:rsidRPr="00022D6C">
        <w:t>,</w:t>
      </w:r>
      <w:r w:rsidRPr="00022D6C">
        <w:t xml:space="preserve"> enligt </w:t>
      </w:r>
      <w:r w:rsidR="0058784B" w:rsidRPr="00022D6C">
        <w:t xml:space="preserve">den borgerliga </w:t>
      </w:r>
      <w:r w:rsidRPr="00022D6C">
        <w:t>regeringens förslag, de som lämnar en oriktig uppgift eller underlåter att anmäla ändrade förhållanden och genom detta orsakar fara för att en ekonomisk förmån felaktigt betalas ut eller betalas ut med ett för högt belopp dömas för bidragsbrott. Vidare finns ett ringa brott samt ett grovt brott som benämns grovt bidragsbrott. Straffskalorna motsvarar i stort dem som gäller för bedrägeri. Härutöver utvidgas det straffbara omr</w:t>
      </w:r>
      <w:r w:rsidRPr="00022D6C">
        <w:t>å</w:t>
      </w:r>
      <w:r w:rsidRPr="00022D6C">
        <w:t xml:space="preserve">det för grovt oaktsamma beteenden genom en särskild straffbestämmelse. Brottet </w:t>
      </w:r>
      <w:r w:rsidR="00A90E4E" w:rsidRPr="00022D6C">
        <w:t>ska enligt förslaget benämnas</w:t>
      </w:r>
      <w:r w:rsidRPr="00022D6C">
        <w:t xml:space="preserve"> vårdslöst bidragsbrott</w:t>
      </w:r>
      <w:r w:rsidR="00E05C2F" w:rsidRPr="00022D6C">
        <w:t>,</w:t>
      </w:r>
      <w:r w:rsidRPr="00022D6C">
        <w:t xml:space="preserve"> och i bestämme</w:t>
      </w:r>
      <w:r w:rsidRPr="00022D6C">
        <w:t>l</w:t>
      </w:r>
      <w:r w:rsidRPr="00022D6C">
        <w:t xml:space="preserve">sen föreskrivs </w:t>
      </w:r>
      <w:r w:rsidR="00E05C2F" w:rsidRPr="00022D6C">
        <w:t xml:space="preserve">straffskalan till </w:t>
      </w:r>
      <w:r w:rsidRPr="00022D6C">
        <w:t xml:space="preserve">böter eller fängelse i högst ett år. I lagen finns vidare en bestämmelse om straffrihet vid frivillig rättelse. </w:t>
      </w:r>
    </w:p>
    <w:p w:rsidR="003F019F" w:rsidRPr="00022D6C" w:rsidRDefault="00F62A2D">
      <w:pPr>
        <w:pStyle w:val="Normaltindrag"/>
        <w:shd w:val="clear" w:color="000000" w:fill="auto"/>
      </w:pPr>
      <w:r w:rsidRPr="00022D6C">
        <w:t>Utöver straffbestämmelserna innehåller lagen en bestämmelse om skyldi</w:t>
      </w:r>
      <w:r w:rsidRPr="00022D6C">
        <w:t>g</w:t>
      </w:r>
      <w:r w:rsidRPr="00022D6C">
        <w:t>het för myndigheter, kommuner och arbetslöshetskassor att göra en anmälan till polis eller åklagare om det kan misstänkas att brott enligt lagen har b</w:t>
      </w:r>
      <w:r w:rsidRPr="00022D6C">
        <w:t>e</w:t>
      </w:r>
      <w:r w:rsidRPr="00022D6C">
        <w:t xml:space="preserve">gåtts. </w:t>
      </w:r>
    </w:p>
    <w:p w:rsidR="003F019F" w:rsidRPr="00022D6C" w:rsidRDefault="003F019F">
      <w:pPr>
        <w:pStyle w:val="Rubrik1"/>
        <w:shd w:val="clear" w:color="000000" w:fill="auto"/>
      </w:pPr>
      <w:bookmarkStart w:id="2" w:name="_Toc164060942"/>
      <w:r w:rsidRPr="00022D6C">
        <w:t>Motivering</w:t>
      </w:r>
      <w:bookmarkEnd w:id="2"/>
    </w:p>
    <w:p w:rsidR="00F62A2D" w:rsidRPr="00022D6C" w:rsidRDefault="00F62A2D">
      <w:pPr>
        <w:shd w:val="clear" w:color="000000" w:fill="auto"/>
      </w:pPr>
      <w:r w:rsidRPr="00022D6C">
        <w:t>Fusk och överutnyttjande av bidrag och förmåner i trygghetssystemen kan och får aldrig accepteras. Fusk och missbruk ska i alla lägen stävjas och bei</w:t>
      </w:r>
      <w:r w:rsidRPr="00022D6C">
        <w:t>v</w:t>
      </w:r>
      <w:r w:rsidRPr="00022D6C">
        <w:t>ras. Vi socialdemokrater värnar välfärds- och trygghetssystem som omfattar alla. Men det betyder inte att de trygghetssystem vi har i Sverige bör och kan tas för helt givna. Förutsättningarna för de trygghetssystem vi har är flera. Det handlar dels om viljan till solidarisk finansiering, dels om statens förmåga att utforma och upprätthålla dem så att de ger trygghet för individen. Men ytte</w:t>
      </w:r>
      <w:r w:rsidRPr="00022D6C">
        <w:t>r</w:t>
      </w:r>
      <w:r w:rsidRPr="00022D6C">
        <w:t xml:space="preserve">ligare en alldeles avgörande faktor för medborgarnas vilja att bidra är att man känner tillit och förtroende till vårt välfärdssystem. Därför är också fusket något, som i det fall det lämnas utan åtgärd, helt kan undergräva legitimiteten för vår gemensamma välfärd. </w:t>
      </w:r>
    </w:p>
    <w:p w:rsidR="00F62A2D" w:rsidRPr="00022D6C" w:rsidRDefault="00F62A2D">
      <w:pPr>
        <w:pStyle w:val="Normaltindrag"/>
        <w:shd w:val="clear" w:color="000000" w:fill="auto"/>
      </w:pPr>
      <w:r w:rsidRPr="00022D6C">
        <w:t>Vi ser dock att det finns betydande skäl som talar emot att införa den typ av nya straffbestämmelser för bidragsbrott som den borgerliga regeringen föreslår. Innan vi ger oss in i de bedömningar som leder oss fram till denna slutsats vill vi påminna om att det redan i</w:t>
      </w:r>
      <w:r w:rsidR="00E05C2F" w:rsidRPr="00022D6C">
        <w:t xml:space="preserve"> </w:t>
      </w:r>
      <w:r w:rsidRPr="00022D6C">
        <w:t>dag finns såväl sanktionsmöjligh</w:t>
      </w:r>
      <w:r w:rsidRPr="00022D6C">
        <w:t>e</w:t>
      </w:r>
      <w:r w:rsidRPr="00022D6C">
        <w:t xml:space="preserve">ter som straffbestämmelser för fusk med ersättningar och bidrag, vilka också kan ge böter eller fängelsestraff som påföljd. </w:t>
      </w:r>
      <w:r w:rsidR="00E05C2F" w:rsidRPr="00022D6C">
        <w:t xml:space="preserve">I </w:t>
      </w:r>
      <w:r w:rsidRPr="00022D6C">
        <w:t xml:space="preserve">vilken mån dessa sanktioner och bestämmelser </w:t>
      </w:r>
      <w:r w:rsidR="00E05C2F" w:rsidRPr="00022D6C">
        <w:t xml:space="preserve">sedan </w:t>
      </w:r>
      <w:r w:rsidRPr="00022D6C">
        <w:t>används eller tillämpas i den utsträckning de borde, förtjänar självklart att diskuteras. Till exempel är det på det viset</w:t>
      </w:r>
      <w:r w:rsidR="00E05C2F" w:rsidRPr="00022D6C">
        <w:t>,</w:t>
      </w:r>
      <w:r w:rsidRPr="00022D6C">
        <w:t xml:space="preserve"> att trots att antalet polisanmälningar av misstänkta brott i samband med utbetalningar av ersättningar och förmåner ökat de senaste åren, leder endast en mindre del till lagföring.</w:t>
      </w:r>
    </w:p>
    <w:p w:rsidR="00F62A2D" w:rsidRPr="00022D6C" w:rsidRDefault="00F62A2D">
      <w:pPr>
        <w:pStyle w:val="Normaltindrag"/>
        <w:shd w:val="clear" w:color="000000" w:fill="auto"/>
      </w:pPr>
      <w:r w:rsidRPr="00022D6C">
        <w:t>Vi anser dock inte att regeringens förslag till bidragsbrottslag har sådana fördelar att de vida överträffar de gällande straffbestämmelser som redan finns i</w:t>
      </w:r>
      <w:r w:rsidR="00E05C2F" w:rsidRPr="00022D6C">
        <w:t xml:space="preserve"> </w:t>
      </w:r>
      <w:r w:rsidRPr="00022D6C">
        <w:t xml:space="preserve">dag. Vi anser det inte befogat att införa ett oaktsamhetsbrott. Våra sociala trygghetssystem är mycket omfattande och många människor berörs av dem. Att föra in ett oaktsamhetsbrott skapar stor osäkerhet för människor som kanske redan befinner sig i en utsatt situation. Här finns en uppenbar risk att människor hamnar i kläm </w:t>
      </w:r>
      <w:r w:rsidR="00E05C2F" w:rsidRPr="00022D6C">
        <w:t>–</w:t>
      </w:r>
      <w:r w:rsidRPr="00022D6C">
        <w:t xml:space="preserve"> åtalas och kanske till och med döms när de aldrig medvetet haft </w:t>
      </w:r>
      <w:r w:rsidR="00E05C2F" w:rsidRPr="00022D6C">
        <w:t xml:space="preserve">för </w:t>
      </w:r>
      <w:r w:rsidRPr="00022D6C">
        <w:t>avsikt att fuska sig till en förmån. En lagstiftning som direkt inbjuder till att individer kan åtalas och fällas utan att de har haft ett uppsåt, kan rimligen</w:t>
      </w:r>
      <w:r w:rsidR="00E05C2F" w:rsidRPr="00022D6C">
        <w:t xml:space="preserve"> inte vara en bra lagstiftning.</w:t>
      </w:r>
      <w:r w:rsidRPr="00022D6C">
        <w:t xml:space="preserve"> Som också framgår i </w:t>
      </w:r>
      <w:r w:rsidR="00E05C2F" w:rsidRPr="00022D6C">
        <w:t>B</w:t>
      </w:r>
      <w:r w:rsidR="00E05C2F" w:rsidRPr="00022D6C">
        <w:t>i</w:t>
      </w:r>
      <w:r w:rsidR="00E05C2F" w:rsidRPr="00022D6C">
        <w:t xml:space="preserve">dragsbrottsutredningen </w:t>
      </w:r>
      <w:r w:rsidRPr="00022D6C">
        <w:t xml:space="preserve">samt i rapport från </w:t>
      </w:r>
      <w:r w:rsidR="00E05C2F" w:rsidRPr="00022D6C">
        <w:t xml:space="preserve">Försäkringskassan </w:t>
      </w:r>
      <w:r w:rsidRPr="00022D6C">
        <w:t>är ett genomg</w:t>
      </w:r>
      <w:r w:rsidRPr="00022D6C">
        <w:t>å</w:t>
      </w:r>
      <w:r w:rsidRPr="00022D6C">
        <w:t>ende drag i utredningarna om misstänkta bedrägerier mot välfärdssystemen just frågan om ett brottsligt uppsåt förelegat – och det blir avgörande för la</w:t>
      </w:r>
      <w:r w:rsidRPr="00022D6C">
        <w:t>g</w:t>
      </w:r>
      <w:r w:rsidRPr="00022D6C">
        <w:t>föringen. Ja – och så bör det väl också rimligen vara.</w:t>
      </w:r>
    </w:p>
    <w:p w:rsidR="00105983" w:rsidRPr="00022D6C" w:rsidRDefault="00105983">
      <w:pPr>
        <w:pStyle w:val="Rubrik2"/>
        <w:shd w:val="clear" w:color="000000" w:fill="auto"/>
      </w:pPr>
      <w:bookmarkStart w:id="3" w:name="_Toc164060943"/>
      <w:r w:rsidRPr="00022D6C">
        <w:t>Vissa grupper blir särskilt utsatta</w:t>
      </w:r>
      <w:bookmarkEnd w:id="3"/>
    </w:p>
    <w:p w:rsidR="00F62A2D" w:rsidRPr="00022D6C" w:rsidRDefault="00F62A2D">
      <w:pPr>
        <w:shd w:val="clear" w:color="000000" w:fill="auto"/>
      </w:pPr>
      <w:r w:rsidRPr="00022D6C">
        <w:t>Vi socialdemokrater är av den principiella uppfattningen att vi varken ska ha system som inbjuder till fusk eller system som skuldbelägger individer. R</w:t>
      </w:r>
      <w:r w:rsidRPr="00022D6C">
        <w:t>e</w:t>
      </w:r>
      <w:r w:rsidRPr="00022D6C">
        <w:t>geringens förslag till bidragsbrottslag omfattar dock situationer där individer lämnat oriktiga uppgifter eller inte anmält ändrade förhållanden. Här finns en uppenbar risk att människor på grund av en tillfällig oaktsa</w:t>
      </w:r>
      <w:r w:rsidR="00287E65" w:rsidRPr="00022D6C">
        <w:t>m</w:t>
      </w:r>
      <w:r w:rsidR="00E05C2F" w:rsidRPr="00022D6C">
        <w:t>het, slarv eller kanske rentav</w:t>
      </w:r>
      <w:r w:rsidRPr="00022D6C">
        <w:t xml:space="preserve"> bristfälliga kunskaper om förmånernas regelverk, döms till böter eller till och med fängelse. Särskilt utsatta grupper i det här samma</w:t>
      </w:r>
      <w:r w:rsidRPr="00022D6C">
        <w:t>n</w:t>
      </w:r>
      <w:r w:rsidRPr="00022D6C">
        <w:t xml:space="preserve">hanget finns bland personer med utländsk bakgrund </w:t>
      </w:r>
      <w:r w:rsidR="00105983" w:rsidRPr="00022D6C">
        <w:t xml:space="preserve">som inte ännu lärt sig svenska, personer med </w:t>
      </w:r>
      <w:r w:rsidRPr="00022D6C">
        <w:t>språksvårigheter, samt bland sjuka och funktionshin</w:t>
      </w:r>
      <w:r w:rsidRPr="00022D6C">
        <w:t>d</w:t>
      </w:r>
      <w:r w:rsidRPr="00022D6C">
        <w:t>rade.</w:t>
      </w:r>
    </w:p>
    <w:p w:rsidR="00F62A2D" w:rsidRPr="00022D6C" w:rsidRDefault="00F62A2D">
      <w:pPr>
        <w:pStyle w:val="Normaltindrag"/>
        <w:shd w:val="clear" w:color="000000" w:fill="auto"/>
      </w:pPr>
      <w:r w:rsidRPr="00022D6C">
        <w:t>Det finns därutöver en uppenbar risk att gruppen studenter blir särskilt u</w:t>
      </w:r>
      <w:r w:rsidRPr="00022D6C">
        <w:t>t</w:t>
      </w:r>
      <w:r w:rsidRPr="00022D6C">
        <w:t xml:space="preserve">satta – i den mening att de tillhör en rörlig grupp, oftast ungdomar som kan gå in och ut </w:t>
      </w:r>
      <w:r w:rsidR="00E05C2F" w:rsidRPr="00022D6C">
        <w:t>mellan</w:t>
      </w:r>
      <w:r w:rsidRPr="00022D6C">
        <w:t xml:space="preserve"> jobb </w:t>
      </w:r>
      <w:r w:rsidR="00E05C2F" w:rsidRPr="00022D6C">
        <w:t>och</w:t>
      </w:r>
      <w:r w:rsidRPr="00022D6C">
        <w:t xml:space="preserve"> studier, inte minst därför att de måste finna försör</w:t>
      </w:r>
      <w:r w:rsidRPr="00022D6C">
        <w:t>j</w:t>
      </w:r>
      <w:r w:rsidRPr="00022D6C">
        <w:t>ning under sommarmånaderna och vid studieuppehåll. Om man vid något tillfälle missar, det vill säga enligt bidragsbrottslagsförslaget und</w:t>
      </w:r>
      <w:r w:rsidR="00D16699" w:rsidRPr="00022D6C">
        <w:t>erlåter att informera</w:t>
      </w:r>
      <w:r w:rsidR="00E05C2F" w:rsidRPr="00022D6C">
        <w:t xml:space="preserve"> om</w:t>
      </w:r>
      <w:r w:rsidR="00D16699" w:rsidRPr="00022D6C">
        <w:t xml:space="preserve"> att man inte</w:t>
      </w:r>
      <w:r w:rsidRPr="00022D6C">
        <w:t xml:space="preserve"> längre är berättigad till bostadsbidrag, kan man alltså komma att dömas hårdare än vad som kan anses befogat eller rimligt. Dessutom påpekar Ekobrottsmyndigheten i sitt remissvar att det går att tillämpa redan befintliga bestämmelser när det gäller underlåtenhet att anmäla ändrade förhållanden. </w:t>
      </w:r>
    </w:p>
    <w:p w:rsidR="00105983" w:rsidRPr="00022D6C" w:rsidRDefault="00105983">
      <w:pPr>
        <w:pStyle w:val="Rubrik2"/>
        <w:shd w:val="clear" w:color="000000" w:fill="auto"/>
      </w:pPr>
      <w:bookmarkStart w:id="4" w:name="_Toc164060944"/>
      <w:r w:rsidRPr="00022D6C">
        <w:t>Förslagets avgränsning – långt ifrån självklar</w:t>
      </w:r>
      <w:bookmarkEnd w:id="4"/>
    </w:p>
    <w:p w:rsidR="00F62A2D" w:rsidRPr="00022D6C" w:rsidRDefault="00F62A2D">
      <w:pPr>
        <w:shd w:val="clear" w:color="000000" w:fill="auto"/>
        <w:rPr>
          <w:rFonts w:cs="Helv"/>
        </w:rPr>
      </w:pPr>
      <w:r w:rsidRPr="00022D6C">
        <w:t xml:space="preserve">Mycket anmärkningsvärt är också att regeringen går fram enkom med ett lagförslag som dömer individer, utan att vidröra bestämmelser för juridiska personer och företag. Som exempel kan anges </w:t>
      </w:r>
      <w:r w:rsidRPr="00022D6C">
        <w:rPr>
          <w:rFonts w:cs="Helv"/>
        </w:rPr>
        <w:t xml:space="preserve">stöd inom jordbrukssektorn, företagsstöd, offentliga investeringsstöd etc. </w:t>
      </w:r>
      <w:r w:rsidRPr="00022D6C">
        <w:t>Avgränsningen i regeringens förslag är inte givet glasklar. Detta påpekas också av bland annat Ekobrott</w:t>
      </w:r>
      <w:r w:rsidRPr="00022D6C">
        <w:t>s</w:t>
      </w:r>
      <w:r w:rsidRPr="00022D6C">
        <w:t>myndigheten som i sitt remissytt</w:t>
      </w:r>
      <w:r w:rsidR="00E05C2F" w:rsidRPr="00022D6C">
        <w:t>rande även anser att staten bö</w:t>
      </w:r>
      <w:r w:rsidRPr="00022D6C">
        <w:t>r sätta upp likvärdiga förutsättningar för privata och offentliga alternativ.</w:t>
      </w:r>
    </w:p>
    <w:p w:rsidR="00F62A2D" w:rsidRPr="00022D6C" w:rsidRDefault="00E05C2F">
      <w:pPr>
        <w:pStyle w:val="Normaltindrag"/>
        <w:shd w:val="clear" w:color="000000" w:fill="auto"/>
      </w:pPr>
      <w:r w:rsidRPr="00022D6C">
        <w:t>Ytterligare en riskfaktor</w:t>
      </w:r>
      <w:r w:rsidR="00F62A2D" w:rsidRPr="00022D6C">
        <w:t xml:space="preserve"> med regeringens förslag är att det kan hämma det förändringsarbete som redan kommit i</w:t>
      </w:r>
      <w:r w:rsidRPr="00022D6C">
        <w:t xml:space="preserve"> </w:t>
      </w:r>
      <w:r w:rsidR="00F62A2D" w:rsidRPr="00022D6C">
        <w:t>gång vad gäller samordning och ko</w:t>
      </w:r>
      <w:r w:rsidR="00F62A2D" w:rsidRPr="00022D6C">
        <w:t>n</w:t>
      </w:r>
      <w:r w:rsidR="00F62A2D" w:rsidRPr="00022D6C">
        <w:t>troll på myndighetsnivå, samtidigt som större bevisbörda hamnar på den e</w:t>
      </w:r>
      <w:r w:rsidR="00F62A2D" w:rsidRPr="00022D6C">
        <w:t>n</w:t>
      </w:r>
      <w:r w:rsidR="00F62A2D" w:rsidRPr="00022D6C">
        <w:t>skilde. Konsekvensen kan då bli den motsatta till regeringens och lagstift</w:t>
      </w:r>
      <w:r w:rsidR="00F62A2D" w:rsidRPr="00022D6C">
        <w:t>a</w:t>
      </w:r>
      <w:r w:rsidR="00F62A2D" w:rsidRPr="00022D6C">
        <w:t>rens intentioner</w:t>
      </w:r>
      <w:r w:rsidRPr="00022D6C">
        <w:t>,</w:t>
      </w:r>
      <w:r w:rsidR="00F62A2D" w:rsidRPr="00022D6C">
        <w:t xml:space="preserve"> nämligen att färre reella och allvarliga brott faktiskt klaras upp.</w:t>
      </w:r>
    </w:p>
    <w:p w:rsidR="00F62A2D" w:rsidRPr="00022D6C" w:rsidRDefault="00F62A2D">
      <w:pPr>
        <w:pStyle w:val="Normaltindrag"/>
        <w:shd w:val="clear" w:color="000000" w:fill="auto"/>
      </w:pPr>
      <w:r w:rsidRPr="00022D6C">
        <w:t xml:space="preserve">I övrigt delar vi flera av de kritiska synpunkter och frågor som väckts i de remissyttranden som inkommit med anledning av utredningens förslag. </w:t>
      </w:r>
    </w:p>
    <w:p w:rsidR="00F62A2D" w:rsidRPr="00022D6C" w:rsidRDefault="00F62A2D">
      <w:pPr>
        <w:pStyle w:val="Rubrik1"/>
        <w:shd w:val="clear" w:color="000000" w:fill="auto"/>
      </w:pPr>
      <w:bookmarkStart w:id="5" w:name="_Toc164060945"/>
      <w:r w:rsidRPr="00022D6C">
        <w:t>Informations</w:t>
      </w:r>
      <w:r w:rsidR="00105983" w:rsidRPr="00022D6C">
        <w:t>-</w:t>
      </w:r>
      <w:r w:rsidRPr="00022D6C">
        <w:t>, kontroll- och samordningssystem av stor vikt</w:t>
      </w:r>
      <w:bookmarkEnd w:id="5"/>
    </w:p>
    <w:p w:rsidR="00F62A2D" w:rsidRPr="00022D6C" w:rsidRDefault="00F62A2D">
      <w:pPr>
        <w:pStyle w:val="Normaltindrag"/>
        <w:shd w:val="clear" w:color="000000" w:fill="auto"/>
        <w:ind w:firstLine="0"/>
      </w:pPr>
      <w:r w:rsidRPr="00022D6C">
        <w:t>Det är vår uppfattning att arbete med samordnings- och kontrollåtgärder är av yttersta vikt. Därtill ska inte information till allmänhet</w:t>
      </w:r>
      <w:r w:rsidR="00E05C2F" w:rsidRPr="00022D6C">
        <w:t>en</w:t>
      </w:r>
      <w:r w:rsidRPr="00022D6C">
        <w:t xml:space="preserve"> om hur våra geme</w:t>
      </w:r>
      <w:r w:rsidRPr="00022D6C">
        <w:t>n</w:t>
      </w:r>
      <w:r w:rsidRPr="00022D6C">
        <w:t>samma trygghetssystem är uppbyggda och vilka bestämmelser som gäller underskattas som prevention mot fusk och felaktiga utbetalningar. Det han</w:t>
      </w:r>
      <w:r w:rsidRPr="00022D6C">
        <w:t>d</w:t>
      </w:r>
      <w:r w:rsidRPr="00022D6C">
        <w:t>lar om att upplysa varje ny generation unga medborgare, försäkrade och fö</w:t>
      </w:r>
      <w:r w:rsidRPr="00022D6C">
        <w:t>r</w:t>
      </w:r>
      <w:r w:rsidRPr="00022D6C">
        <w:t xml:space="preserve">månstagare om de principer som handlar om rätt, riktighet och individens skyldigheter. </w:t>
      </w:r>
    </w:p>
    <w:p w:rsidR="00F62A2D" w:rsidRPr="00022D6C" w:rsidRDefault="00F62A2D">
      <w:pPr>
        <w:pStyle w:val="Normaltindrag"/>
        <w:shd w:val="clear" w:color="000000" w:fill="auto"/>
      </w:pPr>
      <w:r w:rsidRPr="00022D6C">
        <w:t>Den förra socialdemokratiska regeringen inledde ett betydande arbete som innebar ökade samordningsmöjligheter mellan myndigheter, för att bland annat kunna upptäcka felaktiga utbetalningar. Det handlade bland annat om elektroniskt informationsutbyte mellan myndigheter och en viss samkörning av register. Förra regeringen initierade också arbete</w:t>
      </w:r>
      <w:r w:rsidR="00E05C2F" w:rsidRPr="00022D6C">
        <w:t>t</w:t>
      </w:r>
      <w:r w:rsidRPr="00022D6C">
        <w:t xml:space="preserve"> med utökade kontroller, framför allt inom ramen för de ersättningar och förmåner som ryms inom socialförsäkringarna. De statligt finansierade utbetalningarna motsvarar 60 procent av statens utgifter. Och av de förmåner som utbetalas står socialfö</w:t>
      </w:r>
      <w:r w:rsidRPr="00022D6C">
        <w:t>r</w:t>
      </w:r>
      <w:r w:rsidRPr="00022D6C">
        <w:t xml:space="preserve">säkringsförmånerna för den enskilt och ojämförligt största. Därför finns det också en logik i att se till att kontrollsystemen där fungerar. </w:t>
      </w:r>
    </w:p>
    <w:p w:rsidR="00F62A2D" w:rsidRPr="00022D6C" w:rsidRDefault="00F62A2D">
      <w:pPr>
        <w:pStyle w:val="Normaltindrag"/>
        <w:shd w:val="clear" w:color="000000" w:fill="auto"/>
      </w:pPr>
      <w:r w:rsidRPr="00022D6C">
        <w:t>I a-kassan finns redan i</w:t>
      </w:r>
      <w:r w:rsidR="00E05C2F" w:rsidRPr="00022D6C">
        <w:t xml:space="preserve"> </w:t>
      </w:r>
      <w:r w:rsidRPr="00022D6C">
        <w:t>dag bestämmelser och sanktioner som kan anvä</w:t>
      </w:r>
      <w:r w:rsidRPr="00022D6C">
        <w:t>n</w:t>
      </w:r>
      <w:r w:rsidRPr="00022D6C">
        <w:t>das. För en person som fuskat med a-kassan eller varit grov</w:t>
      </w:r>
      <w:r w:rsidR="00E05C2F" w:rsidRPr="00022D6C">
        <w:t>t</w:t>
      </w:r>
      <w:r w:rsidRPr="00022D6C">
        <w:t xml:space="preserve"> oaktsam</w:t>
      </w:r>
      <w:r w:rsidR="00C14695" w:rsidRPr="00022D6C">
        <w:t xml:space="preserve"> skulle regeringens nya lag </w:t>
      </w:r>
      <w:r w:rsidRPr="00022D6C">
        <w:t>kunna b</w:t>
      </w:r>
      <w:r w:rsidR="00E05C2F" w:rsidRPr="00022D6C">
        <w:t>etyda att hon straffas dubbelt –</w:t>
      </w:r>
      <w:r w:rsidRPr="00022D6C">
        <w:t xml:space="preserve"> dels genom san</w:t>
      </w:r>
      <w:r w:rsidRPr="00022D6C">
        <w:t>k</w:t>
      </w:r>
      <w:r w:rsidRPr="00022D6C">
        <w:t>tioner som förlust av ersättningsdagar, återbetalning till a-kassan och uteslu</w:t>
      </w:r>
      <w:r w:rsidRPr="00022D6C">
        <w:t>t</w:t>
      </w:r>
      <w:r w:rsidRPr="00022D6C">
        <w:t xml:space="preserve">ning från a-kassan, </w:t>
      </w:r>
      <w:r w:rsidR="00C14695" w:rsidRPr="00022D6C">
        <w:t>del</w:t>
      </w:r>
      <w:r w:rsidRPr="00022D6C">
        <w:t>s</w:t>
      </w:r>
      <w:r w:rsidR="00C14695" w:rsidRPr="00022D6C">
        <w:t xml:space="preserve"> genom böter</w:t>
      </w:r>
      <w:r w:rsidRPr="00022D6C">
        <w:t xml:space="preserve"> eller fängelsedom enligt regeringens förslag till bidragsbrottslag.</w:t>
      </w:r>
    </w:p>
    <w:p w:rsidR="00F62A2D" w:rsidRPr="00022D6C" w:rsidRDefault="00F62A2D">
      <w:pPr>
        <w:pStyle w:val="Normaltindrag"/>
        <w:shd w:val="clear" w:color="000000" w:fill="auto"/>
      </w:pPr>
      <w:r w:rsidRPr="00022D6C">
        <w:t>Som mycket riktigt påpekas i propositionen utförs i</w:t>
      </w:r>
      <w:r w:rsidR="00C14695" w:rsidRPr="00022D6C">
        <w:t xml:space="preserve"> </w:t>
      </w:r>
      <w:r w:rsidRPr="00022D6C">
        <w:t>dag kontroller inför beslut om förmåner och under löpande ersättningsperioder, men samtidigt skiljer sig hanteringen åt mellan olika myndigheter, kommuner</w:t>
      </w:r>
      <w:r w:rsidR="00C14695" w:rsidRPr="00022D6C">
        <w:t xml:space="preserve"> </w:t>
      </w:r>
      <w:r w:rsidR="00FE5C75" w:rsidRPr="00022D6C">
        <w:t xml:space="preserve">och </w:t>
      </w:r>
      <w:r w:rsidR="00C14695" w:rsidRPr="00022D6C">
        <w:t>arbetslö</w:t>
      </w:r>
      <w:r w:rsidR="00C14695" w:rsidRPr="00022D6C">
        <w:t>s</w:t>
      </w:r>
      <w:r w:rsidR="00C14695" w:rsidRPr="00022D6C">
        <w:t>hetskassor</w:t>
      </w:r>
      <w:r w:rsidRPr="00022D6C">
        <w:t xml:space="preserve"> samt skiftar mellan olika former av förmåner. Om därför myndi</w:t>
      </w:r>
      <w:r w:rsidRPr="00022D6C">
        <w:t>g</w:t>
      </w:r>
      <w:r w:rsidRPr="00022D6C">
        <w:t>heter ännu mer effektivt och mer samordnat än i</w:t>
      </w:r>
      <w:r w:rsidR="00C14695" w:rsidRPr="00022D6C">
        <w:t xml:space="preserve"> dag</w:t>
      </w:r>
      <w:r w:rsidRPr="00022D6C">
        <w:t xml:space="preserve"> sköter sina utbetalningar blir det också svårare att av misstag eller medvetet fuska till sig pengar. </w:t>
      </w:r>
    </w:p>
    <w:p w:rsidR="00F62A2D" w:rsidRPr="00022D6C" w:rsidRDefault="00F62A2D">
      <w:pPr>
        <w:pStyle w:val="Normaltindrag"/>
        <w:shd w:val="clear" w:color="000000" w:fill="auto"/>
      </w:pPr>
      <w:r w:rsidRPr="00022D6C">
        <w:t>Innan regeringen driver igenom en ny bidra</w:t>
      </w:r>
      <w:r w:rsidR="00C14695" w:rsidRPr="00022D6C">
        <w:t>gsbrottslag</w:t>
      </w:r>
      <w:r w:rsidRPr="00022D6C">
        <w:t xml:space="preserve"> finns anledning att överväga sådana åtgärder som bland annat föreslås i </w:t>
      </w:r>
      <w:r w:rsidRPr="00022D6C">
        <w:rPr>
          <w:rFonts w:cs="T T 2 DD 3o 00"/>
        </w:rPr>
        <w:t xml:space="preserve">Skatteverkets </w:t>
      </w:r>
      <w:r w:rsidR="00C14695" w:rsidRPr="00022D6C">
        <w:rPr>
          <w:rFonts w:cs="T T 2 DD 3o 00"/>
        </w:rPr>
        <w:t xml:space="preserve">rapport </w:t>
      </w:r>
      <w:r w:rsidRPr="00022D6C">
        <w:rPr>
          <w:rFonts w:cs="T T 2 DD 3o 00"/>
        </w:rPr>
        <w:t xml:space="preserve">2007:1, </w:t>
      </w:r>
      <w:r w:rsidR="00C14695" w:rsidRPr="00022D6C">
        <w:rPr>
          <w:rFonts w:cs="T T 2 DD 3o 00"/>
        </w:rPr>
        <w:t xml:space="preserve">del </w:t>
      </w:r>
      <w:r w:rsidRPr="00022D6C">
        <w:rPr>
          <w:rFonts w:cs="T T 2 DD 3o 00"/>
        </w:rPr>
        <w:t xml:space="preserve">2, Möjliga åtgärder mot svartarbete och bidragsfusk. I </w:t>
      </w:r>
      <w:r w:rsidR="00C14695" w:rsidRPr="00022D6C">
        <w:rPr>
          <w:rFonts w:cs="T T 2 DD 3o 00"/>
        </w:rPr>
        <w:t>rapporten</w:t>
      </w:r>
      <w:r w:rsidRPr="00022D6C">
        <w:rPr>
          <w:rFonts w:cs="T T 2 DD 3o 00"/>
        </w:rPr>
        <w:t xml:space="preserve"> föreslås bland annat en bidragsbetalningscentral benämnd </w:t>
      </w:r>
      <w:hyperlink r:id="rId7" w:history="1">
        <w:r w:rsidRPr="00022D6C">
          <w:t>www.utbetala.se</w:t>
        </w:r>
      </w:hyperlink>
      <w:r w:rsidRPr="00022D6C">
        <w:rPr>
          <w:rFonts w:cs="T T 2 DD 3o 00"/>
        </w:rPr>
        <w:t xml:space="preserve">, med syfte att för myndigheternas räkning ha kontroll </w:t>
      </w:r>
      <w:r w:rsidR="00C14695" w:rsidRPr="00022D6C">
        <w:rPr>
          <w:rFonts w:cs="T T 2 DD 3o 00"/>
        </w:rPr>
        <w:t>över</w:t>
      </w:r>
      <w:r w:rsidRPr="00022D6C">
        <w:rPr>
          <w:rFonts w:cs="T T 2 DD 3o 00"/>
        </w:rPr>
        <w:t xml:space="preserve"> att bidrag</w:t>
      </w:r>
      <w:r w:rsidR="00C14695" w:rsidRPr="00022D6C">
        <w:rPr>
          <w:rFonts w:cs="T T 2 DD 3o 00"/>
        </w:rPr>
        <w:t>,</w:t>
      </w:r>
      <w:r w:rsidRPr="00022D6C">
        <w:rPr>
          <w:rFonts w:cs="T T 2 DD 3o 00"/>
        </w:rPr>
        <w:t xml:space="preserve"> som en myndighet vill betala ut</w:t>
      </w:r>
      <w:r w:rsidR="00C14695" w:rsidRPr="00022D6C">
        <w:rPr>
          <w:rFonts w:cs="T T 2 DD 3o 00"/>
        </w:rPr>
        <w:t>,</w:t>
      </w:r>
      <w:r w:rsidRPr="00022D6C">
        <w:rPr>
          <w:rFonts w:cs="T T 2 DD 3o 00"/>
        </w:rPr>
        <w:t xml:space="preserve"> inte strider mot regelverket. </w:t>
      </w:r>
    </w:p>
    <w:p w:rsidR="00F62A2D" w:rsidRPr="00022D6C" w:rsidRDefault="00F62A2D">
      <w:pPr>
        <w:pStyle w:val="Normaltindrag"/>
        <w:shd w:val="clear" w:color="000000" w:fill="auto"/>
      </w:pPr>
      <w:r w:rsidRPr="00022D6C">
        <w:t>En uppfattning vi delar med flera remissinstanser är att man</w:t>
      </w:r>
      <w:r w:rsidR="00C14695" w:rsidRPr="00022D6C">
        <w:t>, innan</w:t>
      </w:r>
      <w:r w:rsidRPr="00022D6C">
        <w:t xml:space="preserve"> man beslutar att de straffrättsliga systemen behöver ändras, faktiskt avvaktar de pågående utredningar som fortfarande utreder frågor som är starkt samma</w:t>
      </w:r>
      <w:r w:rsidRPr="00022D6C">
        <w:t>n</w:t>
      </w:r>
      <w:r w:rsidRPr="00022D6C">
        <w:t>kopplade med propositionens överväganden.</w:t>
      </w:r>
    </w:p>
    <w:p w:rsidR="00F62A2D" w:rsidRPr="00022D6C" w:rsidRDefault="00F62A2D">
      <w:pPr>
        <w:pStyle w:val="Normaltindrag"/>
        <w:shd w:val="clear" w:color="000000" w:fill="auto"/>
        <w:ind w:firstLine="0"/>
        <w:rPr>
          <w:rFonts w:cs="T T 2 DD 3o 00"/>
        </w:rPr>
      </w:pPr>
      <w:r w:rsidRPr="00022D6C">
        <w:t xml:space="preserve">I det fall regeringen ändå väljer att genomföra bidragsbrottslagen, trots de brister och nackdelar som framförts, </w:t>
      </w:r>
      <w:r w:rsidRPr="00022D6C">
        <w:rPr>
          <w:rFonts w:cs="T T 2 DD 3o 00"/>
        </w:rPr>
        <w:t>bör man återkomma till riksdagen med en uppföljning av den nya lagens tillämpning och funktionssätt.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D6C">
        <w:trPr>
          <w:cantSplit/>
        </w:trPr>
        <w:tc>
          <w:tcPr>
            <w:tcW w:w="3046" w:type="dxa"/>
          </w:tcPr>
          <w:p w:rsidR="0061036E" w:rsidRPr="00022D6C" w:rsidRDefault="0061036E">
            <w:pPr>
              <w:pStyle w:val="UnderskriftDatum"/>
              <w:shd w:val="clear" w:color="000000" w:fill="auto"/>
              <w:spacing w:before="240"/>
            </w:pPr>
            <w:r w:rsidRPr="00022D6C">
              <w:t>Stockholm den 11 april 2007</w:t>
            </w:r>
          </w:p>
        </w:tc>
        <w:tc>
          <w:tcPr>
            <w:tcW w:w="3047" w:type="dxa"/>
          </w:tcPr>
          <w:p w:rsidR="0061036E" w:rsidRPr="00022D6C" w:rsidRDefault="0061036E">
            <w:pPr>
              <w:pStyle w:val="Underskrifter"/>
              <w:shd w:val="clear" w:color="000000" w:fill="auto"/>
              <w:spacing w:before="240"/>
            </w:pPr>
          </w:p>
        </w:tc>
      </w:tr>
      <w:tr w:rsidR="00000000" w:rsidRPr="00022D6C">
        <w:trPr>
          <w:cantSplit/>
        </w:trPr>
        <w:tc>
          <w:tcPr>
            <w:tcW w:w="3046" w:type="dxa"/>
          </w:tcPr>
          <w:p w:rsidR="0061036E" w:rsidRPr="00022D6C" w:rsidRDefault="0061036E">
            <w:pPr>
              <w:pStyle w:val="Underskrifter"/>
              <w:shd w:val="clear" w:color="000000" w:fill="auto"/>
            </w:pPr>
            <w:r w:rsidRPr="00022D6C">
              <w:t>Tomas Eneroth (s)</w:t>
            </w:r>
          </w:p>
        </w:tc>
        <w:tc>
          <w:tcPr>
            <w:tcW w:w="3046" w:type="dxa"/>
          </w:tcPr>
          <w:p w:rsidR="0061036E" w:rsidRPr="00022D6C" w:rsidRDefault="0061036E">
            <w:pPr>
              <w:pStyle w:val="Underskrifter"/>
              <w:shd w:val="clear" w:color="000000" w:fill="auto"/>
            </w:pPr>
          </w:p>
        </w:tc>
      </w:tr>
      <w:tr w:rsidR="00000000" w:rsidRPr="00022D6C">
        <w:trPr>
          <w:cantSplit/>
        </w:trPr>
        <w:tc>
          <w:tcPr>
            <w:tcW w:w="3046" w:type="dxa"/>
          </w:tcPr>
          <w:p w:rsidR="0061036E" w:rsidRPr="00022D6C" w:rsidRDefault="0061036E">
            <w:pPr>
              <w:pStyle w:val="Underskrifter"/>
              <w:shd w:val="clear" w:color="000000" w:fill="auto"/>
            </w:pPr>
            <w:r w:rsidRPr="00022D6C">
              <w:t>Siw Wittgren-Ahl (s)</w:t>
            </w:r>
          </w:p>
        </w:tc>
        <w:tc>
          <w:tcPr>
            <w:tcW w:w="3046" w:type="dxa"/>
          </w:tcPr>
          <w:p w:rsidR="0061036E" w:rsidRPr="00022D6C" w:rsidRDefault="0061036E">
            <w:pPr>
              <w:pStyle w:val="Underskrifter"/>
              <w:shd w:val="clear" w:color="000000" w:fill="auto"/>
            </w:pPr>
            <w:r w:rsidRPr="00022D6C">
              <w:t>Ronny Olander (s)</w:t>
            </w:r>
          </w:p>
        </w:tc>
      </w:tr>
      <w:tr w:rsidR="00000000" w:rsidRPr="00022D6C">
        <w:trPr>
          <w:cantSplit/>
        </w:trPr>
        <w:tc>
          <w:tcPr>
            <w:tcW w:w="3046" w:type="dxa"/>
          </w:tcPr>
          <w:p w:rsidR="0061036E" w:rsidRPr="00022D6C" w:rsidRDefault="0061036E">
            <w:pPr>
              <w:pStyle w:val="Underskrifter"/>
              <w:shd w:val="clear" w:color="000000" w:fill="auto"/>
            </w:pPr>
            <w:r w:rsidRPr="00022D6C">
              <w:t>Kurt Kvarnström (s)</w:t>
            </w:r>
          </w:p>
        </w:tc>
        <w:tc>
          <w:tcPr>
            <w:tcW w:w="3046" w:type="dxa"/>
          </w:tcPr>
          <w:p w:rsidR="0061036E" w:rsidRPr="00022D6C" w:rsidRDefault="0061036E">
            <w:pPr>
              <w:pStyle w:val="Underskrifter"/>
              <w:shd w:val="clear" w:color="000000" w:fill="auto"/>
            </w:pPr>
            <w:r w:rsidRPr="00022D6C">
              <w:t>Göte Wahlström (s)</w:t>
            </w:r>
          </w:p>
        </w:tc>
      </w:tr>
      <w:tr w:rsidR="00000000" w:rsidRPr="00022D6C">
        <w:trPr>
          <w:cantSplit/>
        </w:trPr>
        <w:tc>
          <w:tcPr>
            <w:tcW w:w="3046" w:type="dxa"/>
          </w:tcPr>
          <w:p w:rsidR="0061036E" w:rsidRPr="00022D6C" w:rsidRDefault="0061036E">
            <w:pPr>
              <w:pStyle w:val="Underskrifter"/>
              <w:shd w:val="clear" w:color="000000" w:fill="auto"/>
            </w:pPr>
            <w:r w:rsidRPr="00022D6C">
              <w:t>Helena Frisk (s)</w:t>
            </w:r>
          </w:p>
        </w:tc>
        <w:tc>
          <w:tcPr>
            <w:tcW w:w="3046" w:type="dxa"/>
          </w:tcPr>
          <w:p w:rsidR="0061036E" w:rsidRPr="00022D6C" w:rsidRDefault="0061036E">
            <w:pPr>
              <w:pStyle w:val="Underskrifter"/>
              <w:shd w:val="clear" w:color="000000" w:fill="auto"/>
            </w:pPr>
            <w:r w:rsidRPr="00022D6C">
              <w:t>Ann Arleklo (s)</w:t>
            </w:r>
          </w:p>
        </w:tc>
      </w:tr>
      <w:tr w:rsidR="00000000" w:rsidRPr="00022D6C">
        <w:trPr>
          <w:cantSplit/>
        </w:trPr>
        <w:tc>
          <w:tcPr>
            <w:tcW w:w="3046" w:type="dxa"/>
          </w:tcPr>
          <w:p w:rsidR="0061036E" w:rsidRPr="00022D6C" w:rsidRDefault="0061036E">
            <w:pPr>
              <w:pStyle w:val="Underskrifter"/>
              <w:shd w:val="clear" w:color="000000" w:fill="auto"/>
            </w:pPr>
            <w:r w:rsidRPr="00022D6C">
              <w:t>Jasenko Omanovic (s)</w:t>
            </w:r>
          </w:p>
        </w:tc>
        <w:tc>
          <w:tcPr>
            <w:tcW w:w="3046" w:type="dxa"/>
          </w:tcPr>
          <w:p w:rsidR="0061036E" w:rsidRPr="00022D6C" w:rsidRDefault="0061036E">
            <w:pPr>
              <w:pStyle w:val="Underskrifter"/>
              <w:shd w:val="clear" w:color="000000" w:fill="auto"/>
            </w:pPr>
          </w:p>
        </w:tc>
      </w:tr>
    </w:tbl>
    <w:p w:rsidR="00F62A2D" w:rsidRPr="00022D6C" w:rsidRDefault="00F62A2D">
      <w:pPr>
        <w:pStyle w:val="Normaltindrag"/>
        <w:shd w:val="clear" w:color="000000" w:fill="auto"/>
      </w:pPr>
    </w:p>
    <w:sectPr w:rsidR="00F62A2D" w:rsidRPr="00022D6C" w:rsidSect="00C14695">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36E" w:rsidRPr="00022D6C" w:rsidRDefault="0061036E">
      <w:r w:rsidRPr="00022D6C">
        <w:separator/>
      </w:r>
    </w:p>
  </w:endnote>
  <w:endnote w:type="continuationSeparator" w:id="0">
    <w:p w:rsidR="0061036E" w:rsidRPr="00022D6C" w:rsidRDefault="0061036E">
      <w:r w:rsidRPr="00022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T T 2 DD 3o 00">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07" w:rsidRPr="00022D6C" w:rsidRDefault="00022D6C" w:rsidP="00C14695">
    <w:pPr>
      <w:pStyle w:val="Sidfot"/>
    </w:pPr>
    <w:r w:rsidRPr="00022D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8892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95" w:rsidRDefault="0061036E">
                          <w:pPr>
                            <w:pStyle w:val="NormalS5sidnrV"/>
                          </w:pPr>
                          <w:r>
                            <w:fldChar w:fldCharType="begin"/>
                          </w:r>
                          <w:r w:rsidR="00C1469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695" w:rsidRDefault="0061036E">
                    <w:pPr>
                      <w:pStyle w:val="NormalS5sidnrV"/>
                    </w:pPr>
                    <w:r>
                      <w:fldChar w:fldCharType="begin"/>
                    </w:r>
                    <w:r w:rsidR="00C1469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07" w:rsidRPr="00022D6C" w:rsidRDefault="00022D6C" w:rsidP="00C14695">
    <w:pPr>
      <w:pStyle w:val="Sidfot"/>
    </w:pPr>
    <w:r w:rsidRPr="00022D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970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95" w:rsidRDefault="0061036E">
                          <w:pPr>
                            <w:pStyle w:val="NormalS5sidnrH"/>
                            <w:ind w:right="0"/>
                          </w:pPr>
                          <w:r>
                            <w:fldChar w:fldCharType="begin"/>
                          </w:r>
                          <w:r w:rsidR="00C14695">
                            <w:instrText xml:space="preserve"> PAGE *\charformat</w:instrText>
                          </w:r>
                          <w:r>
                            <w:fldChar w:fldCharType="separate"/>
                          </w:r>
                          <w:r w:rsidR="001B198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695" w:rsidRDefault="0061036E">
                    <w:pPr>
                      <w:pStyle w:val="NormalS5sidnrH"/>
                      <w:ind w:right="0"/>
                    </w:pPr>
                    <w:r>
                      <w:fldChar w:fldCharType="begin"/>
                    </w:r>
                    <w:r w:rsidR="00C14695">
                      <w:instrText xml:space="preserve"> PAGE *\charformat</w:instrText>
                    </w:r>
                    <w:r>
                      <w:fldChar w:fldCharType="separate"/>
                    </w:r>
                    <w:r w:rsidR="001B198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07" w:rsidRPr="00022D6C" w:rsidRDefault="00022D6C" w:rsidP="00C14695">
    <w:pPr>
      <w:pStyle w:val="Sidfot"/>
    </w:pPr>
    <w:r w:rsidRPr="00022D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724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95" w:rsidRDefault="0061036E">
                          <w:pPr>
                            <w:pStyle w:val="NormalS5sidnrH"/>
                            <w:ind w:right="0"/>
                          </w:pPr>
                          <w:r>
                            <w:fldChar w:fldCharType="begin"/>
                          </w:r>
                          <w:r w:rsidR="00C1469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695" w:rsidRDefault="0061036E">
                    <w:pPr>
                      <w:pStyle w:val="NormalS5sidnrH"/>
                      <w:ind w:right="0"/>
                    </w:pPr>
                    <w:r>
                      <w:fldChar w:fldCharType="begin"/>
                    </w:r>
                    <w:r w:rsidR="00C1469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36E" w:rsidRPr="00022D6C" w:rsidRDefault="0061036E">
      <w:r w:rsidRPr="00022D6C">
        <w:separator/>
      </w:r>
    </w:p>
  </w:footnote>
  <w:footnote w:type="continuationSeparator" w:id="0">
    <w:p w:rsidR="0061036E" w:rsidRPr="00022D6C" w:rsidRDefault="0061036E">
      <w:r w:rsidRPr="00022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07" w:rsidRPr="00022D6C" w:rsidRDefault="00022D6C" w:rsidP="00C14695">
    <w:pPr>
      <w:pStyle w:val="Sidhuvud"/>
    </w:pPr>
    <w:r w:rsidRPr="00022D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7855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95" w:rsidRDefault="0061036E">
                          <w:pPr>
                            <w:pStyle w:val="KantRubrikS5V"/>
                          </w:pPr>
                          <w:r>
                            <w:fldChar w:fldCharType="begin"/>
                          </w:r>
                          <w:r w:rsidR="00C14695">
                            <w:instrText xml:space="preserve"> DOCPROPERTY "YearUser" *\charformat </w:instrText>
                          </w:r>
                          <w:r>
                            <w:fldChar w:fldCharType="separate"/>
                          </w:r>
                          <w:r w:rsidR="001B1981">
                            <w:t>2006/07</w:t>
                          </w:r>
                          <w:r>
                            <w:fldChar w:fldCharType="end"/>
                          </w:r>
                          <w:r w:rsidR="00C14695">
                            <w:t>:</w:t>
                          </w:r>
                          <w:r>
                            <w:fldChar w:fldCharType="begin"/>
                          </w:r>
                          <w:r w:rsidR="00C14695">
                            <w:instrText xml:space="preserve"> DOCPROPERTY "Motionsnummer" *\charformat </w:instrText>
                          </w:r>
                          <w:r>
                            <w:fldChar w:fldCharType="separate"/>
                          </w:r>
                          <w:r w:rsidR="001B1981">
                            <w:t>Sf20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695" w:rsidRDefault="0061036E">
                    <w:pPr>
                      <w:pStyle w:val="KantRubrikS5V"/>
                    </w:pPr>
                    <w:r>
                      <w:fldChar w:fldCharType="begin"/>
                    </w:r>
                    <w:r w:rsidR="00C14695">
                      <w:instrText xml:space="preserve"> DOCPROPERTY "YearUser" *\charformat </w:instrText>
                    </w:r>
                    <w:r>
                      <w:fldChar w:fldCharType="separate"/>
                    </w:r>
                    <w:r w:rsidR="001B1981">
                      <w:t>2006/07</w:t>
                    </w:r>
                    <w:r>
                      <w:fldChar w:fldCharType="end"/>
                    </w:r>
                    <w:r w:rsidR="00C14695">
                      <w:t>:</w:t>
                    </w:r>
                    <w:r>
                      <w:fldChar w:fldCharType="begin"/>
                    </w:r>
                    <w:r w:rsidR="00C14695">
                      <w:instrText xml:space="preserve"> DOCPROPERTY "Motionsnummer" *\charformat </w:instrText>
                    </w:r>
                    <w:r>
                      <w:fldChar w:fldCharType="separate"/>
                    </w:r>
                    <w:r w:rsidR="001B1981">
                      <w:t>Sf20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07" w:rsidRPr="00022D6C" w:rsidRDefault="00022D6C" w:rsidP="00C14695">
    <w:pPr>
      <w:pStyle w:val="Sidhuvud"/>
    </w:pPr>
    <w:r w:rsidRPr="00022D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6147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695" w:rsidRDefault="0061036E">
                          <w:pPr>
                            <w:pStyle w:val="KantRubrikS5H"/>
                            <w:ind w:right="0"/>
                          </w:pPr>
                          <w:r>
                            <w:fldChar w:fldCharType="begin"/>
                          </w:r>
                          <w:r w:rsidR="00C14695">
                            <w:instrText xml:space="preserve"> DOCPROPERTY "YearUser" *\charformat </w:instrText>
                          </w:r>
                          <w:r>
                            <w:fldChar w:fldCharType="separate"/>
                          </w:r>
                          <w:r w:rsidR="001B1981">
                            <w:t>2006/07</w:t>
                          </w:r>
                          <w:r>
                            <w:fldChar w:fldCharType="end"/>
                          </w:r>
                          <w:r w:rsidR="00C14695">
                            <w:t>:</w:t>
                          </w:r>
                          <w:r>
                            <w:fldChar w:fldCharType="begin"/>
                          </w:r>
                          <w:r w:rsidR="00C14695">
                            <w:instrText xml:space="preserve"> DOCPROPERTY "Motionsnummer" *\charformat </w:instrText>
                          </w:r>
                          <w:r>
                            <w:fldChar w:fldCharType="separate"/>
                          </w:r>
                          <w:r w:rsidR="001B1981">
                            <w:t>Sf20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695" w:rsidRDefault="0061036E">
                    <w:pPr>
                      <w:pStyle w:val="KantRubrikS5H"/>
                      <w:ind w:right="0"/>
                    </w:pPr>
                    <w:r>
                      <w:fldChar w:fldCharType="begin"/>
                    </w:r>
                    <w:r w:rsidR="00C14695">
                      <w:instrText xml:space="preserve"> DOCPROPERTY "YearUser" *\charformat </w:instrText>
                    </w:r>
                    <w:r>
                      <w:fldChar w:fldCharType="separate"/>
                    </w:r>
                    <w:r w:rsidR="001B1981">
                      <w:t>2006/07</w:t>
                    </w:r>
                    <w:r>
                      <w:fldChar w:fldCharType="end"/>
                    </w:r>
                    <w:r w:rsidR="00C14695">
                      <w:t>:</w:t>
                    </w:r>
                    <w:r>
                      <w:fldChar w:fldCharType="begin"/>
                    </w:r>
                    <w:r w:rsidR="00C14695">
                      <w:instrText xml:space="preserve"> DOCPROPERTY "Motionsnummer" *\charformat </w:instrText>
                    </w:r>
                    <w:r>
                      <w:fldChar w:fldCharType="separate"/>
                    </w:r>
                    <w:r w:rsidR="001B1981">
                      <w:t>Sf20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36E" w:rsidRPr="00022D6C" w:rsidRDefault="0061036E">
    <w:pPr>
      <w:pStyle w:val="FSHNormal"/>
      <w:tabs>
        <w:tab w:val="right" w:pos="5840"/>
      </w:tabs>
    </w:pPr>
    <w:r w:rsidRPr="00022D6C">
      <w:br/>
    </w:r>
    <w:r w:rsidRPr="00022D6C">
      <w:fldChar w:fldCharType="begin" w:fldLock="1"/>
    </w:r>
    <w:r w:rsidRPr="00022D6C">
      <w:instrText xml:space="preserve"> DOCPROPERTY</w:instrText>
    </w:r>
    <w:r w:rsidRPr="00022D6C">
      <w:rPr>
        <w:sz w:val="18"/>
      </w:rPr>
      <w:instrText xml:space="preserve"> "YearUser" *\charformat </w:instrText>
    </w:r>
    <w:r w:rsidRPr="00022D6C">
      <w:fldChar w:fldCharType="separate"/>
    </w:r>
    <w:r w:rsidRPr="00022D6C">
      <w:t>2006/07</w:t>
    </w:r>
    <w:r w:rsidRPr="00022D6C">
      <w:fldChar w:fldCharType="end"/>
    </w:r>
    <w:r w:rsidRPr="00022D6C">
      <w:t xml:space="preserve"> </w:t>
    </w:r>
    <w:r w:rsidRPr="00022D6C">
      <w:tab/>
      <w:t xml:space="preserve">mnr: </w:t>
    </w:r>
    <w:r w:rsidRPr="00022D6C">
      <w:fldChar w:fldCharType="begin" w:fldLock="1"/>
    </w:r>
    <w:r w:rsidRPr="00022D6C">
      <w:instrText xml:space="preserve"> DOCPROPERTY</w:instrText>
    </w:r>
    <w:r w:rsidRPr="00022D6C">
      <w:rPr>
        <w:sz w:val="18"/>
      </w:rPr>
      <w:instrText xml:space="preserve"> "Motionsnummer" *\charformat </w:instrText>
    </w:r>
    <w:r w:rsidRPr="00022D6C">
      <w:fldChar w:fldCharType="separate"/>
    </w:r>
    <w:r w:rsidRPr="00022D6C">
      <w:t>Sf20</w:t>
    </w:r>
    <w:r w:rsidRPr="00022D6C">
      <w:fldChar w:fldCharType="end"/>
    </w:r>
    <w:r w:rsidRPr="00022D6C">
      <w:br/>
    </w:r>
    <w:r w:rsidRPr="00022D6C">
      <w:fldChar w:fldCharType="begin" w:fldLock="1"/>
    </w:r>
    <w:r w:rsidRPr="00022D6C">
      <w:instrText xml:space="preserve"> DOCPROPERTY</w:instrText>
    </w:r>
    <w:r w:rsidRPr="00022D6C">
      <w:rPr>
        <w:sz w:val="18"/>
      </w:rPr>
      <w:instrText xml:space="preserve"> "Samling" *\charformat </w:instrText>
    </w:r>
    <w:r w:rsidRPr="00022D6C">
      <w:fldChar w:fldCharType="end"/>
    </w:r>
    <w:r w:rsidRPr="00022D6C">
      <w:tab/>
      <w:t xml:space="preserve">pnr: </w:t>
    </w:r>
    <w:r w:rsidRPr="00022D6C">
      <w:fldChar w:fldCharType="begin" w:fldLock="1"/>
    </w:r>
    <w:r w:rsidRPr="00022D6C">
      <w:instrText xml:space="preserve"> DOCPROPERTY</w:instrText>
    </w:r>
    <w:r w:rsidRPr="00022D6C">
      <w:rPr>
        <w:sz w:val="18"/>
      </w:rPr>
      <w:instrText xml:space="preserve"> "Partinummer" *\charformat </w:instrText>
    </w:r>
    <w:r w:rsidRPr="00022D6C">
      <w:fldChar w:fldCharType="separate"/>
    </w:r>
    <w:r w:rsidRPr="00022D6C">
      <w:t>s85007</w:t>
    </w:r>
    <w:r w:rsidRPr="00022D6C">
      <w:fldChar w:fldCharType="end"/>
    </w:r>
  </w:p>
  <w:p w:rsidR="0061036E" w:rsidRPr="00022D6C" w:rsidRDefault="0061036E">
    <w:pPr>
      <w:pStyle w:val="FSHRub1"/>
    </w:pPr>
    <w:r w:rsidRPr="00022D6C">
      <w:t>Motion till riksdagen</w:t>
    </w:r>
    <w:r w:rsidRPr="00022D6C">
      <w:br/>
    </w:r>
    <w:r w:rsidRPr="00022D6C">
      <w:fldChar w:fldCharType="begin" w:fldLock="1"/>
    </w:r>
    <w:r w:rsidRPr="00022D6C">
      <w:instrText xml:space="preserve"> DOCPROPERTY "YearUser" *\charformat </w:instrText>
    </w:r>
    <w:r w:rsidRPr="00022D6C">
      <w:fldChar w:fldCharType="separate"/>
    </w:r>
    <w:r w:rsidRPr="00022D6C">
      <w:t>2006/07</w:t>
    </w:r>
    <w:r w:rsidRPr="00022D6C">
      <w:fldChar w:fldCharType="end"/>
    </w:r>
    <w:r w:rsidRPr="00022D6C">
      <w:t>:</w:t>
    </w:r>
    <w:r w:rsidRPr="00022D6C">
      <w:fldChar w:fldCharType="begin" w:fldLock="1"/>
    </w:r>
    <w:r w:rsidRPr="00022D6C">
      <w:instrText xml:space="preserve"> DOCPROPERTY "Motionsnummer" *\charformat </w:instrText>
    </w:r>
    <w:r w:rsidRPr="00022D6C">
      <w:fldChar w:fldCharType="separate"/>
    </w:r>
    <w:r w:rsidRPr="00022D6C">
      <w:t>Sf20</w:t>
    </w:r>
    <w:r w:rsidRPr="00022D6C">
      <w:fldChar w:fldCharType="end"/>
    </w:r>
  </w:p>
  <w:p w:rsidR="0061036E" w:rsidRPr="00022D6C" w:rsidRDefault="0061036E">
    <w:pPr>
      <w:pStyle w:val="FSHNormalS5"/>
    </w:pPr>
    <w:r w:rsidRPr="00022D6C">
      <w:fldChar w:fldCharType="begin" w:fldLock="1"/>
    </w:r>
    <w:r w:rsidRPr="00022D6C">
      <w:instrText xml:space="preserve"> DOCPROPERTY "MotionarText" *\charformat </w:instrText>
    </w:r>
    <w:r w:rsidRPr="00022D6C">
      <w:fldChar w:fldCharType="separate"/>
    </w:r>
    <w:r w:rsidRPr="00022D6C">
      <w:t>av Tomas Eneroth m.fl. (s)</w:t>
    </w:r>
    <w:r w:rsidRPr="00022D6C">
      <w:fldChar w:fldCharType="end"/>
    </w:r>
    <w:r w:rsidRPr="00022D6C">
      <w:br/>
    </w:r>
    <w:r w:rsidRPr="00022D6C">
      <w:fldChar w:fldCharType="begin" w:fldLock="1"/>
    </w:r>
    <w:r w:rsidRPr="00022D6C">
      <w:instrText xml:space="preserve"> DOCPROPERTY "SvarFrasKort" *\charformat </w:instrText>
    </w:r>
    <w:r w:rsidRPr="00022D6C">
      <w:fldChar w:fldCharType="separate"/>
    </w:r>
    <w:r w:rsidRPr="00022D6C">
      <w:t>med anledning av prop. 2006/07:80</w:t>
    </w:r>
    <w:r w:rsidRPr="00022D6C">
      <w:fldChar w:fldCharType="end"/>
    </w:r>
  </w:p>
  <w:p w:rsidR="0061036E" w:rsidRPr="00022D6C" w:rsidRDefault="0061036E">
    <w:pPr>
      <w:pStyle w:val="FSHTitel"/>
    </w:pPr>
    <w:r w:rsidRPr="00022D6C">
      <w:fldChar w:fldCharType="begin" w:fldLock="1"/>
    </w:r>
    <w:r w:rsidRPr="00022D6C">
      <w:instrText xml:space="preserve"> DOCPROPERTY</w:instrText>
    </w:r>
    <w:r w:rsidRPr="00022D6C">
      <w:rPr>
        <w:sz w:val="18"/>
      </w:rPr>
      <w:instrText xml:space="preserve"> "RubrikSvar" *\charformat </w:instrText>
    </w:r>
    <w:r w:rsidRPr="00022D6C">
      <w:fldChar w:fldCharType="separate"/>
    </w:r>
    <w:r w:rsidRPr="00022D6C">
      <w:t>Bidragsbrottslag</w:t>
    </w:r>
    <w:r w:rsidRPr="00022D6C">
      <w:fldChar w:fldCharType="end"/>
    </w:r>
  </w:p>
  <w:p w:rsidR="0061036E" w:rsidRPr="00022D6C" w:rsidRDefault="0061036E">
    <w:pPr>
      <w:pStyle w:val="Normal00"/>
    </w:pPr>
  </w:p>
  <w:p w:rsidR="00C14695" w:rsidRPr="00022D6C" w:rsidRDefault="00C146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2C70F0"/>
    <w:multiLevelType w:val="hybridMultilevel"/>
    <w:tmpl w:val="D1A8B60E"/>
    <w:lvl w:ilvl="0" w:tplc="5CBE73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9973704">
    <w:abstractNumId w:val="8"/>
  </w:num>
  <w:num w:numId="2" w16cid:durableId="1308557964">
    <w:abstractNumId w:val="9"/>
  </w:num>
  <w:num w:numId="3" w16cid:durableId="1480725493">
    <w:abstractNumId w:val="8"/>
  </w:num>
  <w:num w:numId="4" w16cid:durableId="1429765066">
    <w:abstractNumId w:val="9"/>
  </w:num>
  <w:num w:numId="5" w16cid:durableId="1033771006">
    <w:abstractNumId w:val="14"/>
  </w:num>
  <w:num w:numId="6" w16cid:durableId="386924759">
    <w:abstractNumId w:val="10"/>
  </w:num>
  <w:num w:numId="7" w16cid:durableId="1513687192">
    <w:abstractNumId w:val="12"/>
  </w:num>
  <w:num w:numId="8" w16cid:durableId="1867062245">
    <w:abstractNumId w:val="13"/>
  </w:num>
  <w:num w:numId="9" w16cid:durableId="1523008153">
    <w:abstractNumId w:val="8"/>
  </w:num>
  <w:num w:numId="10" w16cid:durableId="730470823">
    <w:abstractNumId w:val="3"/>
  </w:num>
  <w:num w:numId="11" w16cid:durableId="1248925218">
    <w:abstractNumId w:val="2"/>
  </w:num>
  <w:num w:numId="12" w16cid:durableId="1260943854">
    <w:abstractNumId w:val="1"/>
  </w:num>
  <w:num w:numId="13" w16cid:durableId="41057007">
    <w:abstractNumId w:val="0"/>
  </w:num>
  <w:num w:numId="14" w16cid:durableId="2111733718">
    <w:abstractNumId w:val="9"/>
  </w:num>
  <w:num w:numId="15" w16cid:durableId="2041465783">
    <w:abstractNumId w:val="7"/>
  </w:num>
  <w:num w:numId="16" w16cid:durableId="1952475785">
    <w:abstractNumId w:val="6"/>
  </w:num>
  <w:num w:numId="17" w16cid:durableId="1463963751">
    <w:abstractNumId w:val="5"/>
  </w:num>
  <w:num w:numId="18" w16cid:durableId="1161509747">
    <w:abstractNumId w:val="4"/>
  </w:num>
  <w:num w:numId="19" w16cid:durableId="2055808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1"/>
    <w:docVar w:name="PersonGUIDs" w:val="{042520C7-60F5-4483-8053-858F5CC61EA2},{31CDDFCD-D7E7-4188-B530-D7BEB05DD282},{39F7915D-E142-47B1-A92C-2D584BF557C0},{09A98EE4-04BA-4B7B-8EDC-B2375F16CE1F},{6251CDF2-4482-4ECE-AB35-35FAE7AFD832},{6BBB6B6C-52F8-4315-8E45-FDBE1BC6E9B6},{8513C6C5-393E-44F1-8A30-348609D224B1},{29FE5090-7C32-4F4F-AEC4-9D001E10322D}"/>
  </w:docVars>
  <w:rsids>
    <w:rsidRoot w:val="00022D6C"/>
    <w:rsid w:val="00002742"/>
    <w:rsid w:val="000220F8"/>
    <w:rsid w:val="00022D6C"/>
    <w:rsid w:val="00034058"/>
    <w:rsid w:val="00040D14"/>
    <w:rsid w:val="0004381F"/>
    <w:rsid w:val="00064BC3"/>
    <w:rsid w:val="00066474"/>
    <w:rsid w:val="000665E6"/>
    <w:rsid w:val="00066775"/>
    <w:rsid w:val="00072FB9"/>
    <w:rsid w:val="0007598F"/>
    <w:rsid w:val="0009564F"/>
    <w:rsid w:val="000A0B37"/>
    <w:rsid w:val="000B2040"/>
    <w:rsid w:val="000E431D"/>
    <w:rsid w:val="000E48DA"/>
    <w:rsid w:val="000E5207"/>
    <w:rsid w:val="000F5ADD"/>
    <w:rsid w:val="00100531"/>
    <w:rsid w:val="0010382E"/>
    <w:rsid w:val="00105983"/>
    <w:rsid w:val="00107AF5"/>
    <w:rsid w:val="00166D90"/>
    <w:rsid w:val="00170803"/>
    <w:rsid w:val="00177CC2"/>
    <w:rsid w:val="0019171D"/>
    <w:rsid w:val="001921C4"/>
    <w:rsid w:val="001923A4"/>
    <w:rsid w:val="001A25D5"/>
    <w:rsid w:val="001A2624"/>
    <w:rsid w:val="001A2A2B"/>
    <w:rsid w:val="001B1981"/>
    <w:rsid w:val="001E0043"/>
    <w:rsid w:val="001F4981"/>
    <w:rsid w:val="00201DFB"/>
    <w:rsid w:val="00204A63"/>
    <w:rsid w:val="00212FF1"/>
    <w:rsid w:val="002166B7"/>
    <w:rsid w:val="00230193"/>
    <w:rsid w:val="00244D0B"/>
    <w:rsid w:val="0025068A"/>
    <w:rsid w:val="002818D3"/>
    <w:rsid w:val="00287E65"/>
    <w:rsid w:val="002911A7"/>
    <w:rsid w:val="002943C8"/>
    <w:rsid w:val="00295E6D"/>
    <w:rsid w:val="002A2A6B"/>
    <w:rsid w:val="002C2373"/>
    <w:rsid w:val="002D11A8"/>
    <w:rsid w:val="002F7FA1"/>
    <w:rsid w:val="00303F68"/>
    <w:rsid w:val="00314F87"/>
    <w:rsid w:val="0032051D"/>
    <w:rsid w:val="003303B5"/>
    <w:rsid w:val="003356E4"/>
    <w:rsid w:val="003366E9"/>
    <w:rsid w:val="00336C9B"/>
    <w:rsid w:val="00342FB4"/>
    <w:rsid w:val="0036065A"/>
    <w:rsid w:val="003866EC"/>
    <w:rsid w:val="00391AF5"/>
    <w:rsid w:val="003B418B"/>
    <w:rsid w:val="003F019F"/>
    <w:rsid w:val="003F100A"/>
    <w:rsid w:val="00440D12"/>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72752"/>
    <w:rsid w:val="00587098"/>
    <w:rsid w:val="0058784B"/>
    <w:rsid w:val="005B145B"/>
    <w:rsid w:val="005C441C"/>
    <w:rsid w:val="005D3F50"/>
    <w:rsid w:val="005D72CF"/>
    <w:rsid w:val="00601C6D"/>
    <w:rsid w:val="00603CD4"/>
    <w:rsid w:val="0061036E"/>
    <w:rsid w:val="006346C1"/>
    <w:rsid w:val="006443A4"/>
    <w:rsid w:val="0064771D"/>
    <w:rsid w:val="00653DD0"/>
    <w:rsid w:val="00677B63"/>
    <w:rsid w:val="00692511"/>
    <w:rsid w:val="006A1005"/>
    <w:rsid w:val="006B6262"/>
    <w:rsid w:val="006C2EBB"/>
    <w:rsid w:val="00727C6F"/>
    <w:rsid w:val="0074086B"/>
    <w:rsid w:val="00740D6D"/>
    <w:rsid w:val="00743F76"/>
    <w:rsid w:val="00770030"/>
    <w:rsid w:val="00774959"/>
    <w:rsid w:val="007852B2"/>
    <w:rsid w:val="00794149"/>
    <w:rsid w:val="007B67A7"/>
    <w:rsid w:val="007C6092"/>
    <w:rsid w:val="007E119E"/>
    <w:rsid w:val="00846903"/>
    <w:rsid w:val="00856ECA"/>
    <w:rsid w:val="00857EC2"/>
    <w:rsid w:val="00892562"/>
    <w:rsid w:val="008F0A96"/>
    <w:rsid w:val="008F747C"/>
    <w:rsid w:val="009062A0"/>
    <w:rsid w:val="009451E7"/>
    <w:rsid w:val="00956E7F"/>
    <w:rsid w:val="00963118"/>
    <w:rsid w:val="00970D4F"/>
    <w:rsid w:val="00971D70"/>
    <w:rsid w:val="009A4377"/>
    <w:rsid w:val="009A6043"/>
    <w:rsid w:val="009D0673"/>
    <w:rsid w:val="009F168B"/>
    <w:rsid w:val="00A053C6"/>
    <w:rsid w:val="00A055B3"/>
    <w:rsid w:val="00A15D71"/>
    <w:rsid w:val="00A21BC5"/>
    <w:rsid w:val="00A47FAF"/>
    <w:rsid w:val="00A61C42"/>
    <w:rsid w:val="00A736FF"/>
    <w:rsid w:val="00A90E4E"/>
    <w:rsid w:val="00AA1434"/>
    <w:rsid w:val="00AB5000"/>
    <w:rsid w:val="00AC4310"/>
    <w:rsid w:val="00AC63D9"/>
    <w:rsid w:val="00AE2EF8"/>
    <w:rsid w:val="00AF5881"/>
    <w:rsid w:val="00B13BF0"/>
    <w:rsid w:val="00B25BC7"/>
    <w:rsid w:val="00B33C81"/>
    <w:rsid w:val="00B34666"/>
    <w:rsid w:val="00B421B1"/>
    <w:rsid w:val="00B4584A"/>
    <w:rsid w:val="00B651C0"/>
    <w:rsid w:val="00B67E5B"/>
    <w:rsid w:val="00B84A97"/>
    <w:rsid w:val="00BA4894"/>
    <w:rsid w:val="00BA6BE0"/>
    <w:rsid w:val="00BB05EA"/>
    <w:rsid w:val="00BB6D75"/>
    <w:rsid w:val="00BD43A8"/>
    <w:rsid w:val="00BF7E00"/>
    <w:rsid w:val="00C1285C"/>
    <w:rsid w:val="00C14695"/>
    <w:rsid w:val="00C27B7D"/>
    <w:rsid w:val="00C32A06"/>
    <w:rsid w:val="00C44394"/>
    <w:rsid w:val="00C533BA"/>
    <w:rsid w:val="00C822A8"/>
    <w:rsid w:val="00C902E9"/>
    <w:rsid w:val="00C92208"/>
    <w:rsid w:val="00C971A3"/>
    <w:rsid w:val="00CB5B24"/>
    <w:rsid w:val="00CC3AB6"/>
    <w:rsid w:val="00CD4B2B"/>
    <w:rsid w:val="00CE3037"/>
    <w:rsid w:val="00CE67E0"/>
    <w:rsid w:val="00CF7A43"/>
    <w:rsid w:val="00D01775"/>
    <w:rsid w:val="00D1174F"/>
    <w:rsid w:val="00D1289C"/>
    <w:rsid w:val="00D16699"/>
    <w:rsid w:val="00D372C4"/>
    <w:rsid w:val="00D44527"/>
    <w:rsid w:val="00D52681"/>
    <w:rsid w:val="00D53D04"/>
    <w:rsid w:val="00D55EF7"/>
    <w:rsid w:val="00D95307"/>
    <w:rsid w:val="00D97778"/>
    <w:rsid w:val="00DC0DF0"/>
    <w:rsid w:val="00DC6C70"/>
    <w:rsid w:val="00DF5ACD"/>
    <w:rsid w:val="00E05C2F"/>
    <w:rsid w:val="00E22893"/>
    <w:rsid w:val="00E3019F"/>
    <w:rsid w:val="00E307DD"/>
    <w:rsid w:val="00E349C2"/>
    <w:rsid w:val="00E360DE"/>
    <w:rsid w:val="00E45731"/>
    <w:rsid w:val="00E5074A"/>
    <w:rsid w:val="00E521CB"/>
    <w:rsid w:val="00E728F6"/>
    <w:rsid w:val="00E75D28"/>
    <w:rsid w:val="00E84F25"/>
    <w:rsid w:val="00EC007B"/>
    <w:rsid w:val="00ED0EE7"/>
    <w:rsid w:val="00EE7A8E"/>
    <w:rsid w:val="00F21B30"/>
    <w:rsid w:val="00F273EA"/>
    <w:rsid w:val="00F42CB9"/>
    <w:rsid w:val="00F42FFE"/>
    <w:rsid w:val="00F62A2D"/>
    <w:rsid w:val="00F73E9E"/>
    <w:rsid w:val="00F87D14"/>
    <w:rsid w:val="00F95725"/>
    <w:rsid w:val="00FA3374"/>
    <w:rsid w:val="00FB2435"/>
    <w:rsid w:val="00FB6490"/>
    <w:rsid w:val="00FC53D4"/>
    <w:rsid w:val="00FC7246"/>
    <w:rsid w:val="00FC7E07"/>
    <w:rsid w:val="00FC7E79"/>
    <w:rsid w:val="00FD2531"/>
    <w:rsid w:val="00FE03C5"/>
    <w:rsid w:val="00FE0820"/>
    <w:rsid w:val="00FE5C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EED077-A146-4F4E-82AC-316E0521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651C0"/>
    <w:rPr>
      <w:sz w:val="32"/>
      <w:lang w:val="sv-SE" w:eastAsia="sv-SE" w:bidi="ar-SA"/>
    </w:rPr>
  </w:style>
  <w:style w:type="character" w:customStyle="1" w:styleId="Rubrik2Char">
    <w:name w:val="Rubrik 2 Char"/>
    <w:aliases w:val="Beslutrubrik Char"/>
    <w:basedOn w:val="Standardstycketeckensnitt"/>
    <w:link w:val="Rubrik2"/>
    <w:semiHidden/>
    <w:locked/>
    <w:rsid w:val="00B651C0"/>
    <w:rPr>
      <w:sz w:val="27"/>
      <w:lang w:val="sv-SE" w:eastAsia="sv-SE" w:bidi="ar-SA"/>
    </w:rPr>
  </w:style>
  <w:style w:type="character" w:customStyle="1" w:styleId="Rubrik3Char">
    <w:name w:val="Rubrik 3 Char"/>
    <w:aliases w:val="Mellanrubrik Char"/>
    <w:basedOn w:val="Standardstycketeckensnitt"/>
    <w:link w:val="Rubrik3"/>
    <w:semiHidden/>
    <w:locked/>
    <w:rsid w:val="00B651C0"/>
    <w:rPr>
      <w:b/>
      <w:sz w:val="21"/>
      <w:lang w:val="sv-SE" w:eastAsia="sv-SE" w:bidi="ar-SA"/>
    </w:rPr>
  </w:style>
  <w:style w:type="character" w:customStyle="1" w:styleId="Rubrik4Char">
    <w:name w:val="Rubrik 4 Char"/>
    <w:aliases w:val="KursivRubrik Char"/>
    <w:basedOn w:val="Standardstycketeckensnitt"/>
    <w:link w:val="Rubrik4"/>
    <w:semiHidden/>
    <w:locked/>
    <w:rsid w:val="00B651C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651C0"/>
    <w:rPr>
      <w:sz w:val="19"/>
      <w:lang w:val="sv-SE" w:eastAsia="sv-SE" w:bidi="ar-SA"/>
    </w:rPr>
  </w:style>
  <w:style w:type="character" w:customStyle="1" w:styleId="Rubrik6Char">
    <w:name w:val="Rubrik 6 Char"/>
    <w:basedOn w:val="Standardstycketeckensnitt"/>
    <w:link w:val="Rubrik6"/>
    <w:semiHidden/>
    <w:locked/>
    <w:rsid w:val="00B651C0"/>
    <w:rPr>
      <w:caps/>
      <w:sz w:val="14"/>
      <w:lang w:val="sv-SE" w:eastAsia="sv-SE" w:bidi="ar-SA"/>
    </w:rPr>
  </w:style>
  <w:style w:type="character" w:customStyle="1" w:styleId="Rubrik7Char">
    <w:name w:val="Rubrik 7 Char"/>
    <w:basedOn w:val="Standardstycketeckensnitt"/>
    <w:link w:val="Rubrik7"/>
    <w:semiHidden/>
    <w:locked/>
    <w:rsid w:val="00B651C0"/>
    <w:rPr>
      <w:caps/>
      <w:sz w:val="14"/>
      <w:lang w:val="sv-SE" w:eastAsia="sv-SE" w:bidi="ar-SA"/>
    </w:rPr>
  </w:style>
  <w:style w:type="character" w:customStyle="1" w:styleId="Rubrik8Char">
    <w:name w:val="Rubrik 8 Char"/>
    <w:basedOn w:val="Standardstycketeckensnitt"/>
    <w:link w:val="Rubrik8"/>
    <w:semiHidden/>
    <w:locked/>
    <w:rsid w:val="00B651C0"/>
    <w:rPr>
      <w:caps/>
      <w:sz w:val="14"/>
      <w:lang w:val="sv-SE" w:eastAsia="sv-SE" w:bidi="ar-SA"/>
    </w:rPr>
  </w:style>
  <w:style w:type="character" w:customStyle="1" w:styleId="Rubrik9Char">
    <w:name w:val="Rubrik 9 Char"/>
    <w:basedOn w:val="Standardstycketeckensnitt"/>
    <w:link w:val="Rubrik9"/>
    <w:semiHidden/>
    <w:locked/>
    <w:rsid w:val="00B651C0"/>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651C0"/>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651C0"/>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14695"/>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651C0"/>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651C0"/>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651C0"/>
    <w:rPr>
      <w:rFonts w:ascii="Cambria" w:hAnsi="Cambria" w:cs="Times New Roman"/>
      <w:sz w:val="24"/>
      <w:szCs w:val="24"/>
    </w:rPr>
  </w:style>
  <w:style w:type="paragraph" w:styleId="Dokumentversikt">
    <w:name w:val="Document Map"/>
    <w:basedOn w:val="Normal"/>
    <w:semiHidden/>
    <w:rsid w:val="00F62A2D"/>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tbetala.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1615</Words>
  <Characters>9662</Characters>
  <Application>Microsoft Office Word</Application>
  <DocSecurity>4</DocSecurity>
  <Lines>182</Lines>
  <Paragraphs>52</Paragraphs>
  <ScaleCrop>false</ScaleCrop>
  <HeadingPairs>
    <vt:vector size="2" baseType="variant">
      <vt:variant>
        <vt:lpstr>Rubrik</vt:lpstr>
      </vt:variant>
      <vt:variant>
        <vt:i4>1</vt:i4>
      </vt:variant>
    </vt:vector>
  </HeadingPairs>
  <TitlesOfParts>
    <vt:vector size="1" baseType="lpstr">
      <vt:lpstr>s85007</vt:lpstr>
    </vt:vector>
  </TitlesOfParts>
  <Company>Riksdagen</Company>
  <LinksUpToDate>false</LinksUpToDate>
  <CharactersWithSpaces>11225</CharactersWithSpaces>
  <SharedDoc>false</SharedDoc>
  <HLinks>
    <vt:vector size="6" baseType="variant">
      <vt:variant>
        <vt:i4>7274546</vt:i4>
      </vt:variant>
      <vt:variant>
        <vt:i4>21</vt:i4>
      </vt:variant>
      <vt:variant>
        <vt:i4>0</vt:i4>
      </vt:variant>
      <vt:variant>
        <vt:i4>5</vt:i4>
      </vt:variant>
      <vt:variant>
        <vt:lpwstr>http://www.utbetala.se/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s85007</dc:title>
  <dc:subject>s85007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2007-04-13T11:56:00Z</cp:lastPrinted>
  <dcterms:created xsi:type="dcterms:W3CDTF">2025-12-17T01:06:00Z</dcterms:created>
  <dcterms:modified xsi:type="dcterms:W3CDTF">2025-12-17T01:06:00Z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mot2000_478_2007-04-11</vt:lpwstr>
  </property>
  <property fmtid="{D5CDD505-2E9C-101B-9397-08002B2CF9AE}" pid="3" name="version">
    <vt:lpwstr>mot2000_478_2007-04-11</vt:lpwstr>
  </property>
  <property fmtid="{D5CDD505-2E9C-101B-9397-08002B2CF9AE}" pid="4" name="dokumenttyp">
    <vt:lpwstr>motion</vt:lpwstr>
  </property>
  <property fmtid="{D5CDD505-2E9C-101B-9397-08002B2CF9AE}" pid="5" name="Sekr">
    <vt:lpwstr>KJ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Bidragsbrottslag</vt:lpwstr>
  </property>
  <property fmtid="{D5CDD505-2E9C-101B-9397-08002B2CF9AE}" pid="11" name="SvarFrasKort">
    <vt:lpwstr>med anledning av prop. 2006/07:80</vt:lpwstr>
  </property>
  <property fmtid="{D5CDD505-2E9C-101B-9397-08002B2CF9AE}" pid="12" name="Svar">
    <vt:lpwstr>Proposition</vt:lpwstr>
  </property>
  <property fmtid="{D5CDD505-2E9C-101B-9397-08002B2CF9AE}" pid="13" name="SvarNr">
    <vt:lpwstr>2006/07:80</vt:lpwstr>
  </property>
  <property fmtid="{D5CDD505-2E9C-101B-9397-08002B2CF9AE}" pid="14" name="RubrikSvar">
    <vt:lpwstr>Bidragsbrottslag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s85007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(s)\Wittgren-Ahl, Siw (s)\Olander, Ronny (s)\Kvarnström, Kurt (s)\Wahlström, Göte (s)\Frisk, Helena (s)\Arleklo, Ann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Siw Wittgren-Ahl (s), Ronny Olander (s), Kurt Kvarnström (s), Göte Wahlström (s), Helena Frisk (s), Ann Arleklo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Sf20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ka1031aa</vt:lpwstr>
  </property>
  <property fmtid="{D5CDD505-2E9C-101B-9397-08002B2CF9AE}" pid="46" name="MotionID">
    <vt:lpwstr>20062007000000000115000850070075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20062007000000000115000850070075</vt:lpwstr>
  </property>
  <property fmtid="{D5CDD505-2E9C-101B-9397-08002B2CF9AE}" pid="50" name="nummer">
    <vt:lpwstr>20</vt:lpwstr>
  </property>
  <property fmtid="{D5CDD505-2E9C-101B-9397-08002B2CF9AE}" pid="51" name="utskottsbeteckning">
    <vt:lpwstr>Sf</vt:lpwstr>
  </property>
  <property fmtid="{D5CDD505-2E9C-101B-9397-08002B2CF9AE}" pid="52" name="GlobalUID">
    <vt:lpwstr>{558501C4-D9FE-4B51-8EC4-64EAA74AF424}</vt:lpwstr>
  </property>
  <property fmtid="{D5CDD505-2E9C-101B-9397-08002B2CF9AE}" pid="53" name="Överföringar">
    <vt:i4>0</vt:i4>
  </property>
  <property fmtid="{D5CDD505-2E9C-101B-9397-08002B2CF9AE}" pid="54" name="Checksum">
    <vt:lpwstr>*1015933737465*</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070413 13:56:08.418</vt:lpwstr>
  </property>
  <property fmtid="{D5CDD505-2E9C-101B-9397-08002B2CF9AE}" pid="58" name="urixGuid">
    <vt:lpwstr>{A13D0F60-01AF-4B26-A118-A6857A753397}</vt:lpwstr>
  </property>
</Properties>
</file>