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E8F" w:rsidRPr="009D2B33" w:rsidRDefault="00015E8F" w:rsidP="00015E8F">
      <w:pPr>
        <w:pStyle w:val="Hemstlrubrik"/>
      </w:pPr>
      <w:r w:rsidRPr="009D2B33">
        <w:t>Förslag till riksdagsbeslut</w:t>
      </w:r>
    </w:p>
    <w:p w:rsidR="00B00DC4" w:rsidRPr="009D2B33" w:rsidRDefault="00B00DC4">
      <w:pPr>
        <w:pStyle w:val="Hemstlatt"/>
        <w:numPr>
          <w:ilvl w:val="0"/>
          <w:numId w:val="1"/>
        </w:numPr>
      </w:pPr>
      <w:r w:rsidRPr="009D2B33">
        <w:t>Riksdagen tillkännager för regeringen som sin mening vad som anförs i motionen om att lagstiftningen som reglerar l</w:t>
      </w:r>
      <w:r w:rsidRPr="009D2B33">
        <w:t>ä</w:t>
      </w:r>
      <w:r w:rsidRPr="009D2B33">
        <w:t>kemedelsreklam bör utrustas med krav om en kortfattad redogörelse för läkemedlets biverkningar, kontraindikationer och effekt.</w:t>
      </w:r>
    </w:p>
    <w:p w:rsidR="00B00DC4" w:rsidRPr="009D2B33" w:rsidRDefault="00B00DC4">
      <w:pPr>
        <w:pStyle w:val="Hemstlatt"/>
        <w:numPr>
          <w:ilvl w:val="0"/>
          <w:numId w:val="1"/>
        </w:numPr>
      </w:pPr>
      <w:r w:rsidRPr="009D2B33">
        <w:t>Riksdagen tillkännager för regeringen som sin mening vad som anförs i motionen om att lagstiftningen ska kräva att de väsentligaste biverkningarna och kontraindikationerna meddelas med ljud eller ljud och bild vid reklam via radio och tv.</w:t>
      </w:r>
    </w:p>
    <w:p w:rsidR="00B00DC4" w:rsidRPr="009D2B33" w:rsidRDefault="00B00DC4">
      <w:pPr>
        <w:pStyle w:val="Hemstlatt"/>
        <w:numPr>
          <w:ilvl w:val="0"/>
          <w:numId w:val="1"/>
        </w:numPr>
      </w:pPr>
      <w:r w:rsidRPr="009D2B33">
        <w:t>Riksdagen tillkännager för regeringen som sin mening vad som anförs i motionen om att lagstiftningen bör anse marknadsföring av läkemedel vara vilseledande om biverkningar inte anges eller tonas ned.</w:t>
      </w:r>
    </w:p>
    <w:p w:rsidR="004D7823" w:rsidRPr="009D2B33" w:rsidRDefault="004D7823" w:rsidP="00E22893">
      <w:pPr>
        <w:pStyle w:val="Rubrik1"/>
      </w:pPr>
      <w:r w:rsidRPr="009D2B33">
        <w:t>Motivering</w:t>
      </w:r>
    </w:p>
    <w:p w:rsidR="00015E8F" w:rsidRPr="009D2B33" w:rsidRDefault="00015E8F" w:rsidP="00015E8F">
      <w:r w:rsidRPr="009D2B33">
        <w:t>Den svenska läkemedelslagen förbjuder marknadsföring av receptbelagda läkemedel som riktas till allmänheten samt av humanläkemedel som inte har godkänts för försäljning. Marknadsföring är inte heller tillåten om den riktas till barn. Vad gäller reklamens innehåll ska marknadsföring av läkemedel främja en ändamålsenlig användning av produkten genom aktuell, saklig och balanserad presentation.</w:t>
      </w:r>
    </w:p>
    <w:p w:rsidR="00015E8F" w:rsidRPr="009D2B33" w:rsidRDefault="00015E8F" w:rsidP="00015E8F">
      <w:pPr>
        <w:pStyle w:val="Normaltindrag"/>
      </w:pPr>
      <w:r w:rsidRPr="009D2B33">
        <w:t>Marknadsföringen får inte vara vilseledande och ska stå i överensstämme</w:t>
      </w:r>
      <w:r w:rsidRPr="009D2B33">
        <w:t>l</w:t>
      </w:r>
      <w:r w:rsidRPr="009D2B33">
        <w:t>se med god sed för marknadsföring. Vidare ska all läkemedelsreklam som riktas till allmänheten utformas så att det klart framgår att meddelandet är en annons och att produkten är ett läkemedel. Innehållet i sådan reklam får inte vara utformat så att det kan leda till användning av läkemedel som medför skada eller på annat sätt inte är ändamålsenlig</w:t>
      </w:r>
      <w:r w:rsidR="0003195C" w:rsidRPr="009D2B33">
        <w:t>t</w:t>
      </w:r>
      <w:r w:rsidRPr="009D2B33">
        <w:t xml:space="preserve"> eller till att människor inte söker relevant vård.</w:t>
      </w:r>
    </w:p>
    <w:p w:rsidR="00015E8F" w:rsidRPr="009D2B33" w:rsidRDefault="00015E8F" w:rsidP="00015E8F">
      <w:pPr>
        <w:pStyle w:val="Normaltindrag"/>
      </w:pPr>
      <w:r w:rsidRPr="009D2B33">
        <w:lastRenderedPageBreak/>
        <w:t>I reklamen ska också all information lämnas som är av betydelse för al</w:t>
      </w:r>
      <w:r w:rsidRPr="009D2B33">
        <w:t>l</w:t>
      </w:r>
      <w:r w:rsidRPr="009D2B33">
        <w:t>mänheten och för personer som är behöriga att förordna eller lämna ut läk</w:t>
      </w:r>
      <w:r w:rsidRPr="009D2B33">
        <w:t>e</w:t>
      </w:r>
      <w:r w:rsidRPr="009D2B33">
        <w:t>medel. Endast sådan information som finns angiv</w:t>
      </w:r>
      <w:r w:rsidR="0003195C" w:rsidRPr="009D2B33">
        <w:t>e</w:t>
      </w:r>
      <w:r w:rsidRPr="009D2B33">
        <w:t>n på läkemedlets förpac</w:t>
      </w:r>
      <w:r w:rsidRPr="009D2B33">
        <w:t>k</w:t>
      </w:r>
      <w:r w:rsidRPr="009D2B33">
        <w:t>ning och bipacksedel får användas i detta syfte.</w:t>
      </w:r>
    </w:p>
    <w:p w:rsidR="00015E8F" w:rsidRPr="009D2B33" w:rsidRDefault="00015E8F" w:rsidP="00015E8F">
      <w:pPr>
        <w:pStyle w:val="Normaltindrag"/>
      </w:pPr>
      <w:r w:rsidRPr="009D2B33">
        <w:t>Jag anser att det finns skäl att skärpa dessa regler ytterligare. Läkemedel</w:t>
      </w:r>
      <w:r w:rsidRPr="009D2B33">
        <w:t>s</w:t>
      </w:r>
      <w:r w:rsidRPr="009D2B33">
        <w:t>reklamen blir allt mer påträngande och glättad. Sånger och roliga figurer ska sälja läkemedel samtidigt som det talas tyst om biverkningar.</w:t>
      </w:r>
    </w:p>
    <w:p w:rsidR="00015E8F" w:rsidRPr="009D2B33" w:rsidRDefault="00015E8F" w:rsidP="00015E8F">
      <w:pPr>
        <w:pStyle w:val="Normaltindrag"/>
      </w:pPr>
      <w:r w:rsidRPr="009D2B33">
        <w:t>I USA är the Federal Food, Drug and Cosmetic Act (FFDCA) den grun</w:t>
      </w:r>
      <w:r w:rsidRPr="009D2B33">
        <w:t>d</w:t>
      </w:r>
      <w:r w:rsidRPr="009D2B33">
        <w:t>läggande livsmedels- och läkemedelslagen. På läkemedelsområdet innehåller den bestämmelser om läkemedels säkerhet och effektivitet samt om märkning och paketering. Enligt lagen ska läkemedlets namn och verksamma substanser anges på visst sätt vid marknadsföring av receptbelagda läkemedel. Dessutom ska materialet innehålla en kortfattad redogörelse för läkemedlets biverknin</w:t>
      </w:r>
      <w:r w:rsidRPr="009D2B33">
        <w:t>g</w:t>
      </w:r>
      <w:r w:rsidRPr="009D2B33">
        <w:t>ar, kontraindikationer och effekt.</w:t>
      </w:r>
    </w:p>
    <w:p w:rsidR="00015E8F" w:rsidRPr="009D2B33" w:rsidRDefault="00015E8F" w:rsidP="00015E8F">
      <w:pPr>
        <w:pStyle w:val="Normaltindrag"/>
      </w:pPr>
      <w:r w:rsidRPr="009D2B33">
        <w:t>Ytterligare information om vad marknadsföring av läkemedel ska innehå</w:t>
      </w:r>
      <w:r w:rsidRPr="009D2B33">
        <w:t>l</w:t>
      </w:r>
      <w:r w:rsidRPr="009D2B33">
        <w:t>la anges i Code of Federal Regulations (CFR). Där regleras bl.a. hur läkeme</w:t>
      </w:r>
      <w:r w:rsidRPr="009D2B33">
        <w:t>d</w:t>
      </w:r>
      <w:r w:rsidRPr="009D2B33">
        <w:t>lets namn ska återges (t.ex. textstorlek) samt hur redogörelsen för läkeme</w:t>
      </w:r>
      <w:r w:rsidRPr="009D2B33">
        <w:t>d</w:t>
      </w:r>
      <w:r w:rsidRPr="009D2B33">
        <w:t>lens biverkningar, kontraindikationer, varningar, rekommenderade försikti</w:t>
      </w:r>
      <w:r w:rsidRPr="009D2B33">
        <w:t>g</w:t>
      </w:r>
      <w:r w:rsidRPr="009D2B33">
        <w:t xml:space="preserve">hetsåtgärder och effekt ska utformas. Redogörelsen får inte vara missledande vad gäller förhållandet mellan effekt och biverkningar. Vid reklam via radio och </w:t>
      </w:r>
      <w:r w:rsidR="0003195C" w:rsidRPr="009D2B33">
        <w:t xml:space="preserve">tv </w:t>
      </w:r>
      <w:r w:rsidRPr="009D2B33">
        <w:t>ska informationen rörande de väsentligaste biverkningarna och kontr</w:t>
      </w:r>
      <w:r w:rsidRPr="009D2B33">
        <w:t>a</w:t>
      </w:r>
      <w:r w:rsidRPr="009D2B33">
        <w:t>indikationerna återges med ljud eller ljud och bild. Enligt lagen anses mar</w:t>
      </w:r>
      <w:r w:rsidRPr="009D2B33">
        <w:t>k</w:t>
      </w:r>
      <w:r w:rsidRPr="009D2B33">
        <w:t>nadsföringen vilseledande när biverkningar inte anges eller tonas ned.</w:t>
      </w:r>
    </w:p>
    <w:p w:rsidR="00015E8F" w:rsidRPr="009D2B33" w:rsidRDefault="00015E8F" w:rsidP="00015E8F">
      <w:pPr>
        <w:pStyle w:val="Normaltindrag"/>
      </w:pPr>
      <w:r w:rsidRPr="009D2B33">
        <w:t>Den amerikanska lagstiftningen för läkemedelsreklam är på flera punkter väl värd att ta efter. Även den svenska lagstiftningen bör utrustas med krav om en kortfattad redogörelse för läkemedlets biverkningar, kontraindikationer och effekt. På samma sätt bör den svenska lagstiftningen kräva att de väsen</w:t>
      </w:r>
      <w:r w:rsidRPr="009D2B33">
        <w:t>t</w:t>
      </w:r>
      <w:r w:rsidRPr="009D2B33">
        <w:t xml:space="preserve">ligaste biverkningarna och kontraindikationerna återges med ljud eller ljud och bild vid reklam via radio och </w:t>
      </w:r>
      <w:r w:rsidR="0003195C" w:rsidRPr="009D2B33">
        <w:t>tv</w:t>
      </w:r>
      <w:r w:rsidRPr="009D2B33">
        <w:t>. Marknadsföringen bör anses vara vils</w:t>
      </w:r>
      <w:r w:rsidRPr="009D2B33">
        <w:t>e</w:t>
      </w:r>
      <w:r w:rsidRPr="009D2B33">
        <w:t>ledande om biverkningar inte anges eller tonas ned. Detta bör riksdagen ge regeringen till</w:t>
      </w:r>
      <w:r w:rsidR="0003195C" w:rsidRPr="009D2B33">
        <w:t xml:space="preserve"> </w:t>
      </w:r>
      <w:r w:rsidRPr="009D2B3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B33">
        <w:trPr>
          <w:cantSplit/>
        </w:trPr>
        <w:tc>
          <w:tcPr>
            <w:tcW w:w="3046" w:type="dxa"/>
          </w:tcPr>
          <w:p w:rsidR="00B00DC4" w:rsidRPr="009D2B33" w:rsidRDefault="00B00DC4">
            <w:pPr>
              <w:pStyle w:val="UnderskriftDatum"/>
              <w:spacing w:before="240"/>
            </w:pPr>
            <w:r w:rsidRPr="009D2B33">
              <w:t>Stockholm den 21 september 2007</w:t>
            </w:r>
          </w:p>
        </w:tc>
        <w:tc>
          <w:tcPr>
            <w:tcW w:w="3047" w:type="dxa"/>
          </w:tcPr>
          <w:p w:rsidR="00B00DC4" w:rsidRPr="009D2B33" w:rsidRDefault="00B00DC4">
            <w:pPr>
              <w:pStyle w:val="Underskrifter"/>
              <w:spacing w:before="240"/>
            </w:pPr>
          </w:p>
        </w:tc>
      </w:tr>
      <w:tr w:rsidR="00000000" w:rsidRPr="009D2B33">
        <w:trPr>
          <w:cantSplit/>
        </w:trPr>
        <w:tc>
          <w:tcPr>
            <w:tcW w:w="3046" w:type="dxa"/>
          </w:tcPr>
          <w:p w:rsidR="00B00DC4" w:rsidRPr="009D2B33" w:rsidRDefault="00B00DC4">
            <w:pPr>
              <w:pStyle w:val="Underskrifter"/>
            </w:pPr>
            <w:r w:rsidRPr="009D2B33">
              <w:t>Fredrik Olovsson (s)</w:t>
            </w:r>
          </w:p>
        </w:tc>
        <w:tc>
          <w:tcPr>
            <w:tcW w:w="3046" w:type="dxa"/>
          </w:tcPr>
          <w:p w:rsidR="00B00DC4" w:rsidRPr="009D2B33" w:rsidRDefault="00B00DC4">
            <w:pPr>
              <w:pStyle w:val="Underskrifter"/>
            </w:pPr>
          </w:p>
        </w:tc>
      </w:tr>
    </w:tbl>
    <w:p w:rsidR="00015E8F" w:rsidRPr="009D2B33" w:rsidRDefault="00015E8F" w:rsidP="0003195C">
      <w:pPr>
        <w:pStyle w:val="Normaltindrag"/>
      </w:pPr>
    </w:p>
    <w:sectPr w:rsidR="00015E8F" w:rsidRPr="009D2B33" w:rsidSect="00031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DC4" w:rsidRPr="009D2B33" w:rsidRDefault="00B00DC4">
      <w:r w:rsidRPr="009D2B33">
        <w:separator/>
      </w:r>
    </w:p>
  </w:endnote>
  <w:endnote w:type="continuationSeparator" w:id="0">
    <w:p w:rsidR="00B00DC4" w:rsidRPr="009D2B33" w:rsidRDefault="00B00DC4">
      <w:r w:rsidRPr="009D2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21" w:rsidRPr="009D2B33" w:rsidRDefault="009D2B33" w:rsidP="0003195C">
    <w:pPr>
      <w:pStyle w:val="Sidfot"/>
    </w:pPr>
    <w:r w:rsidRPr="009D2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7257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95C" w:rsidRDefault="00B00DC4">
                          <w:pPr>
                            <w:pStyle w:val="NormalS5sidnrV"/>
                          </w:pPr>
                          <w:r>
                            <w:fldChar w:fldCharType="begin"/>
                          </w:r>
                          <w:r w:rsidR="000319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95C" w:rsidRDefault="00B00DC4">
                    <w:pPr>
                      <w:pStyle w:val="NormalS5sidnrV"/>
                    </w:pPr>
                    <w:r>
                      <w:fldChar w:fldCharType="begin"/>
                    </w:r>
                    <w:r w:rsidR="000319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21" w:rsidRPr="009D2B33" w:rsidRDefault="009D2B33" w:rsidP="0003195C">
    <w:pPr>
      <w:pStyle w:val="Sidfot"/>
    </w:pPr>
    <w:r w:rsidRPr="009D2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390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95C" w:rsidRDefault="00B00DC4">
                          <w:pPr>
                            <w:pStyle w:val="NormalS5sidnrH"/>
                            <w:ind w:right="0"/>
                          </w:pPr>
                          <w:r>
                            <w:fldChar w:fldCharType="begin"/>
                          </w:r>
                          <w:r w:rsidR="0003195C">
                            <w:instrText xml:space="preserve"> PAGE *\charformat</w:instrText>
                          </w:r>
                          <w:r>
                            <w:fldChar w:fldCharType="separate"/>
                          </w:r>
                          <w:r w:rsidR="000319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95C" w:rsidRDefault="00B00DC4">
                    <w:pPr>
                      <w:pStyle w:val="NormalS5sidnrH"/>
                      <w:ind w:right="0"/>
                    </w:pPr>
                    <w:r>
                      <w:fldChar w:fldCharType="begin"/>
                    </w:r>
                    <w:r w:rsidR="0003195C">
                      <w:instrText xml:space="preserve"> PAGE *\charformat</w:instrText>
                    </w:r>
                    <w:r>
                      <w:fldChar w:fldCharType="separate"/>
                    </w:r>
                    <w:r w:rsidR="0003195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21" w:rsidRPr="009D2B33" w:rsidRDefault="009D2B33" w:rsidP="0003195C">
    <w:pPr>
      <w:pStyle w:val="Sidfot"/>
    </w:pPr>
    <w:r w:rsidRPr="009D2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475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95C" w:rsidRDefault="00B00DC4">
                          <w:pPr>
                            <w:pStyle w:val="NormalS5sidnrH"/>
                            <w:ind w:right="0"/>
                          </w:pPr>
                          <w:r>
                            <w:fldChar w:fldCharType="begin"/>
                          </w:r>
                          <w:r w:rsidR="000319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95C" w:rsidRDefault="00B00DC4">
                    <w:pPr>
                      <w:pStyle w:val="NormalS5sidnrH"/>
                      <w:ind w:right="0"/>
                    </w:pPr>
                    <w:r>
                      <w:fldChar w:fldCharType="begin"/>
                    </w:r>
                    <w:r w:rsidR="000319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DC4" w:rsidRPr="009D2B33" w:rsidRDefault="00B00DC4">
      <w:r w:rsidRPr="009D2B33">
        <w:separator/>
      </w:r>
    </w:p>
  </w:footnote>
  <w:footnote w:type="continuationSeparator" w:id="0">
    <w:p w:rsidR="00B00DC4" w:rsidRPr="009D2B33" w:rsidRDefault="00B00DC4">
      <w:r w:rsidRPr="009D2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21" w:rsidRPr="009D2B33" w:rsidRDefault="009D2B33" w:rsidP="0003195C">
    <w:pPr>
      <w:pStyle w:val="Sidhuvud"/>
    </w:pPr>
    <w:r w:rsidRPr="009D2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538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95C" w:rsidRDefault="00B00DC4">
                          <w:pPr>
                            <w:pStyle w:val="KantRubrikS5V"/>
                          </w:pPr>
                          <w:r>
                            <w:fldChar w:fldCharType="begin"/>
                          </w:r>
                          <w:r w:rsidR="0003195C">
                            <w:instrText xml:space="preserve"> DOCPROPERTY "YearUser" *\charformat </w:instrText>
                          </w:r>
                          <w:r>
                            <w:fldChar w:fldCharType="separate"/>
                          </w:r>
                          <w:r w:rsidR="0003195C">
                            <w:t>2007/08</w:t>
                          </w:r>
                          <w:r>
                            <w:fldChar w:fldCharType="end"/>
                          </w:r>
                          <w:r w:rsidR="0003195C">
                            <w:t>:</w:t>
                          </w:r>
                          <w:r>
                            <w:fldChar w:fldCharType="begin"/>
                          </w:r>
                          <w:r w:rsidR="0003195C">
                            <w:instrText xml:space="preserve"> DOCPROPERTY "Motionsnummer" *\charformat </w:instrText>
                          </w:r>
                          <w:r>
                            <w:fldChar w:fldCharType="separate"/>
                          </w:r>
                          <w:r w:rsidR="0003195C">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95C" w:rsidRDefault="00B00DC4">
                    <w:pPr>
                      <w:pStyle w:val="KantRubrikS5V"/>
                    </w:pPr>
                    <w:r>
                      <w:fldChar w:fldCharType="begin"/>
                    </w:r>
                    <w:r w:rsidR="0003195C">
                      <w:instrText xml:space="preserve"> DOCPROPERTY "YearUser" *\charformat </w:instrText>
                    </w:r>
                    <w:r>
                      <w:fldChar w:fldCharType="separate"/>
                    </w:r>
                    <w:r w:rsidR="0003195C">
                      <w:t>2007/08</w:t>
                    </w:r>
                    <w:r>
                      <w:fldChar w:fldCharType="end"/>
                    </w:r>
                    <w:r w:rsidR="0003195C">
                      <w:t>:</w:t>
                    </w:r>
                    <w:r>
                      <w:fldChar w:fldCharType="begin"/>
                    </w:r>
                    <w:r w:rsidR="0003195C">
                      <w:instrText xml:space="preserve"> DOCPROPERTY "Motionsnummer" *\charformat </w:instrText>
                    </w:r>
                    <w:r>
                      <w:fldChar w:fldCharType="separate"/>
                    </w:r>
                    <w:r w:rsidR="0003195C">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21" w:rsidRPr="009D2B33" w:rsidRDefault="009D2B33" w:rsidP="0003195C">
    <w:pPr>
      <w:pStyle w:val="Sidhuvud"/>
    </w:pPr>
    <w:r w:rsidRPr="009D2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093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95C" w:rsidRDefault="00B00DC4">
                          <w:pPr>
                            <w:pStyle w:val="KantRubrikS5H"/>
                            <w:ind w:right="0"/>
                          </w:pPr>
                          <w:r>
                            <w:fldChar w:fldCharType="begin"/>
                          </w:r>
                          <w:r w:rsidR="0003195C">
                            <w:instrText xml:space="preserve"> DOCPROPERTY "YearUser" *\charformat </w:instrText>
                          </w:r>
                          <w:r>
                            <w:fldChar w:fldCharType="separate"/>
                          </w:r>
                          <w:r w:rsidR="0003195C">
                            <w:t>2007/08</w:t>
                          </w:r>
                          <w:r>
                            <w:fldChar w:fldCharType="end"/>
                          </w:r>
                          <w:r w:rsidR="0003195C">
                            <w:t>:</w:t>
                          </w:r>
                          <w:r>
                            <w:fldChar w:fldCharType="begin"/>
                          </w:r>
                          <w:r w:rsidR="0003195C">
                            <w:instrText xml:space="preserve"> DOCPROPERTY "Motionsnummer" *\charformat </w:instrText>
                          </w:r>
                          <w:r>
                            <w:fldChar w:fldCharType="separate"/>
                          </w:r>
                          <w:r w:rsidR="0003195C">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95C" w:rsidRDefault="00B00DC4">
                    <w:pPr>
                      <w:pStyle w:val="KantRubrikS5H"/>
                      <w:ind w:right="0"/>
                    </w:pPr>
                    <w:r>
                      <w:fldChar w:fldCharType="begin"/>
                    </w:r>
                    <w:r w:rsidR="0003195C">
                      <w:instrText xml:space="preserve"> DOCPROPERTY "YearUser" *\charformat </w:instrText>
                    </w:r>
                    <w:r>
                      <w:fldChar w:fldCharType="separate"/>
                    </w:r>
                    <w:r w:rsidR="0003195C">
                      <w:t>2007/08</w:t>
                    </w:r>
                    <w:r>
                      <w:fldChar w:fldCharType="end"/>
                    </w:r>
                    <w:r w:rsidR="0003195C">
                      <w:t>:</w:t>
                    </w:r>
                    <w:r>
                      <w:fldChar w:fldCharType="begin"/>
                    </w:r>
                    <w:r w:rsidR="0003195C">
                      <w:instrText xml:space="preserve"> DOCPROPERTY "Motionsnummer" *\charformat </w:instrText>
                    </w:r>
                    <w:r>
                      <w:fldChar w:fldCharType="separate"/>
                    </w:r>
                    <w:r w:rsidR="0003195C">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DC4" w:rsidRPr="009D2B33" w:rsidRDefault="00B00DC4">
    <w:pPr>
      <w:pStyle w:val="FSHNormal"/>
      <w:tabs>
        <w:tab w:val="right" w:pos="5840"/>
      </w:tabs>
    </w:pPr>
    <w:r w:rsidRPr="009D2B33">
      <w:br/>
    </w:r>
    <w:r w:rsidRPr="009D2B33">
      <w:fldChar w:fldCharType="begin" w:fldLock="1"/>
    </w:r>
    <w:r w:rsidRPr="009D2B33">
      <w:instrText xml:space="preserve"> DOCPROPERTY</w:instrText>
    </w:r>
    <w:r w:rsidRPr="009D2B33">
      <w:rPr>
        <w:sz w:val="18"/>
      </w:rPr>
      <w:instrText xml:space="preserve"> "YearUser" *\charformat </w:instrText>
    </w:r>
    <w:r w:rsidRPr="009D2B33">
      <w:fldChar w:fldCharType="separate"/>
    </w:r>
    <w:r w:rsidRPr="009D2B33">
      <w:t>2007/08</w:t>
    </w:r>
    <w:r w:rsidRPr="009D2B33">
      <w:fldChar w:fldCharType="end"/>
    </w:r>
    <w:r w:rsidRPr="009D2B33">
      <w:t xml:space="preserve"> </w:t>
    </w:r>
    <w:r w:rsidRPr="009D2B33">
      <w:tab/>
      <w:t xml:space="preserve">mnr: </w:t>
    </w:r>
    <w:r w:rsidRPr="009D2B33">
      <w:fldChar w:fldCharType="begin" w:fldLock="1"/>
    </w:r>
    <w:r w:rsidRPr="009D2B33">
      <w:instrText xml:space="preserve"> DOCPROPERTY</w:instrText>
    </w:r>
    <w:r w:rsidRPr="009D2B33">
      <w:rPr>
        <w:sz w:val="18"/>
      </w:rPr>
      <w:instrText xml:space="preserve"> "Motionsnummer" *\charformat </w:instrText>
    </w:r>
    <w:r w:rsidRPr="009D2B33">
      <w:fldChar w:fldCharType="separate"/>
    </w:r>
    <w:r w:rsidRPr="009D2B33">
      <w:t>So204</w:t>
    </w:r>
    <w:r w:rsidRPr="009D2B33">
      <w:fldChar w:fldCharType="end"/>
    </w:r>
    <w:r w:rsidRPr="009D2B33">
      <w:br/>
    </w:r>
    <w:r w:rsidRPr="009D2B33">
      <w:fldChar w:fldCharType="begin" w:fldLock="1"/>
    </w:r>
    <w:r w:rsidRPr="009D2B33">
      <w:instrText xml:space="preserve"> DOCPROPERTY</w:instrText>
    </w:r>
    <w:r w:rsidRPr="009D2B33">
      <w:rPr>
        <w:sz w:val="18"/>
      </w:rPr>
      <w:instrText xml:space="preserve"> "Samling" *\charformat </w:instrText>
    </w:r>
    <w:r w:rsidRPr="009D2B33">
      <w:fldChar w:fldCharType="end"/>
    </w:r>
    <w:r w:rsidRPr="009D2B33">
      <w:tab/>
      <w:t xml:space="preserve">pnr: </w:t>
    </w:r>
    <w:r w:rsidRPr="009D2B33">
      <w:fldChar w:fldCharType="begin" w:fldLock="1"/>
    </w:r>
    <w:r w:rsidRPr="009D2B33">
      <w:instrText xml:space="preserve"> DOCPROPERTY</w:instrText>
    </w:r>
    <w:r w:rsidRPr="009D2B33">
      <w:rPr>
        <w:sz w:val="18"/>
      </w:rPr>
      <w:instrText xml:space="preserve"> "Partinummer" *\charformat </w:instrText>
    </w:r>
    <w:r w:rsidRPr="009D2B33">
      <w:fldChar w:fldCharType="separate"/>
    </w:r>
    <w:r w:rsidRPr="009D2B33">
      <w:t>s26000</w:t>
    </w:r>
    <w:r w:rsidRPr="009D2B33">
      <w:fldChar w:fldCharType="end"/>
    </w:r>
  </w:p>
  <w:p w:rsidR="00B00DC4" w:rsidRPr="009D2B33" w:rsidRDefault="00B00DC4">
    <w:pPr>
      <w:pStyle w:val="FSHRub1"/>
    </w:pPr>
    <w:r w:rsidRPr="009D2B33">
      <w:t>Motion till riksdagen</w:t>
    </w:r>
    <w:r w:rsidRPr="009D2B33">
      <w:br/>
    </w:r>
    <w:r w:rsidRPr="009D2B33">
      <w:fldChar w:fldCharType="begin" w:fldLock="1"/>
    </w:r>
    <w:r w:rsidRPr="009D2B33">
      <w:instrText xml:space="preserve"> DOCPROPERTY "YearUser" *\charformat </w:instrText>
    </w:r>
    <w:r w:rsidRPr="009D2B33">
      <w:fldChar w:fldCharType="separate"/>
    </w:r>
    <w:r w:rsidRPr="009D2B33">
      <w:t>2007/08</w:t>
    </w:r>
    <w:r w:rsidRPr="009D2B33">
      <w:fldChar w:fldCharType="end"/>
    </w:r>
    <w:r w:rsidRPr="009D2B33">
      <w:t>:</w:t>
    </w:r>
    <w:r w:rsidRPr="009D2B33">
      <w:fldChar w:fldCharType="begin" w:fldLock="1"/>
    </w:r>
    <w:r w:rsidRPr="009D2B33">
      <w:instrText xml:space="preserve"> DOCPROPERTY "Motionsnummer" *\charformat </w:instrText>
    </w:r>
    <w:r w:rsidRPr="009D2B33">
      <w:fldChar w:fldCharType="separate"/>
    </w:r>
    <w:r w:rsidRPr="009D2B33">
      <w:t>So204</w:t>
    </w:r>
    <w:r w:rsidRPr="009D2B33">
      <w:fldChar w:fldCharType="end"/>
    </w:r>
  </w:p>
  <w:p w:rsidR="00B00DC4" w:rsidRPr="009D2B33" w:rsidRDefault="00B00DC4">
    <w:pPr>
      <w:pStyle w:val="FSHNormalS5"/>
    </w:pPr>
    <w:r w:rsidRPr="009D2B33">
      <w:fldChar w:fldCharType="begin" w:fldLock="1"/>
    </w:r>
    <w:r w:rsidRPr="009D2B33">
      <w:instrText xml:space="preserve"> DOCPROPERTY "MotionarText" *\charformat </w:instrText>
    </w:r>
    <w:r w:rsidRPr="009D2B33">
      <w:fldChar w:fldCharType="separate"/>
    </w:r>
    <w:r w:rsidRPr="009D2B33">
      <w:t>av Fredrik Olovsson (s)</w:t>
    </w:r>
    <w:r w:rsidRPr="009D2B33">
      <w:fldChar w:fldCharType="end"/>
    </w:r>
    <w:r w:rsidRPr="009D2B33">
      <w:br/>
    </w:r>
    <w:r w:rsidRPr="009D2B33">
      <w:fldChar w:fldCharType="begin" w:fldLock="1"/>
    </w:r>
    <w:r w:rsidRPr="009D2B33">
      <w:instrText xml:space="preserve"> DOCPROPERTY "SvarFrasKort" *\charformat </w:instrText>
    </w:r>
    <w:r w:rsidRPr="009D2B33">
      <w:fldChar w:fldCharType="end"/>
    </w:r>
  </w:p>
  <w:p w:rsidR="00B00DC4" w:rsidRPr="009D2B33" w:rsidRDefault="00B00DC4">
    <w:pPr>
      <w:pStyle w:val="FSHTitel"/>
    </w:pPr>
    <w:r w:rsidRPr="009D2B33">
      <w:fldChar w:fldCharType="begin" w:fldLock="1"/>
    </w:r>
    <w:r w:rsidRPr="009D2B33">
      <w:instrText xml:space="preserve"> DOCPROPERTY</w:instrText>
    </w:r>
    <w:r w:rsidRPr="009D2B33">
      <w:rPr>
        <w:sz w:val="18"/>
      </w:rPr>
      <w:instrText xml:space="preserve"> "RubrikSvar" *\charformat </w:instrText>
    </w:r>
    <w:r w:rsidRPr="009D2B33">
      <w:fldChar w:fldCharType="separate"/>
    </w:r>
    <w:r w:rsidRPr="009D2B33">
      <w:t>Regler för marknadsföring av läkemedel</w:t>
    </w:r>
    <w:r w:rsidRPr="009D2B33">
      <w:fldChar w:fldCharType="end"/>
    </w:r>
  </w:p>
  <w:p w:rsidR="00B00DC4" w:rsidRPr="009D2B33" w:rsidRDefault="00B00DC4">
    <w:pPr>
      <w:pStyle w:val="Normal00"/>
    </w:pPr>
  </w:p>
  <w:p w:rsidR="0003195C" w:rsidRPr="009D2B33" w:rsidRDefault="000319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4F7978"/>
    <w:multiLevelType w:val="hybridMultilevel"/>
    <w:tmpl w:val="258E4514"/>
    <w:lvl w:ilvl="0" w:tplc="31364D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7428155">
    <w:abstractNumId w:val="8"/>
  </w:num>
  <w:num w:numId="2" w16cid:durableId="1642686046">
    <w:abstractNumId w:val="9"/>
  </w:num>
  <w:num w:numId="3" w16cid:durableId="1644849576">
    <w:abstractNumId w:val="8"/>
  </w:num>
  <w:num w:numId="4" w16cid:durableId="536744887">
    <w:abstractNumId w:val="9"/>
  </w:num>
  <w:num w:numId="5" w16cid:durableId="372115063">
    <w:abstractNumId w:val="14"/>
  </w:num>
  <w:num w:numId="6" w16cid:durableId="584464211">
    <w:abstractNumId w:val="10"/>
  </w:num>
  <w:num w:numId="7" w16cid:durableId="1017148737">
    <w:abstractNumId w:val="12"/>
  </w:num>
  <w:num w:numId="8" w16cid:durableId="253127682">
    <w:abstractNumId w:val="13"/>
  </w:num>
  <w:num w:numId="9" w16cid:durableId="1303541102">
    <w:abstractNumId w:val="8"/>
  </w:num>
  <w:num w:numId="10" w16cid:durableId="1503858991">
    <w:abstractNumId w:val="3"/>
  </w:num>
  <w:num w:numId="11" w16cid:durableId="1511220015">
    <w:abstractNumId w:val="2"/>
  </w:num>
  <w:num w:numId="12" w16cid:durableId="1413550743">
    <w:abstractNumId w:val="1"/>
  </w:num>
  <w:num w:numId="13" w16cid:durableId="1874074592">
    <w:abstractNumId w:val="0"/>
  </w:num>
  <w:num w:numId="14" w16cid:durableId="392318643">
    <w:abstractNumId w:val="9"/>
  </w:num>
  <w:num w:numId="15" w16cid:durableId="1829200538">
    <w:abstractNumId w:val="7"/>
  </w:num>
  <w:num w:numId="16" w16cid:durableId="25714776">
    <w:abstractNumId w:val="6"/>
  </w:num>
  <w:num w:numId="17" w16cid:durableId="1669479900">
    <w:abstractNumId w:val="5"/>
  </w:num>
  <w:num w:numId="18" w16cid:durableId="1716347686">
    <w:abstractNumId w:val="4"/>
  </w:num>
  <w:num w:numId="19" w16cid:durableId="1741634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324F4A0-E53B-45F4-91A8-8A3CDB8C0381}"/>
  </w:docVars>
  <w:rsids>
    <w:rsidRoot w:val="009D2B33"/>
    <w:rsid w:val="00002742"/>
    <w:rsid w:val="00015E8F"/>
    <w:rsid w:val="000220F8"/>
    <w:rsid w:val="00030ACD"/>
    <w:rsid w:val="0003195C"/>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51898"/>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D2B33"/>
    <w:rsid w:val="00A053C6"/>
    <w:rsid w:val="00A055B3"/>
    <w:rsid w:val="00A15D71"/>
    <w:rsid w:val="00A174E2"/>
    <w:rsid w:val="00A21BC5"/>
    <w:rsid w:val="00A47FAF"/>
    <w:rsid w:val="00A736FF"/>
    <w:rsid w:val="00AA1434"/>
    <w:rsid w:val="00AB5000"/>
    <w:rsid w:val="00AC4310"/>
    <w:rsid w:val="00AC63D9"/>
    <w:rsid w:val="00AE2EF8"/>
    <w:rsid w:val="00AF5881"/>
    <w:rsid w:val="00B00DC4"/>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0321"/>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836C9"/>
    <w:rsid w:val="00D97778"/>
    <w:rsid w:val="00DC0DF0"/>
    <w:rsid w:val="00DC6C70"/>
    <w:rsid w:val="00DD7FEE"/>
    <w:rsid w:val="00DF5ACD"/>
    <w:rsid w:val="00E03E53"/>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C425D-EFE7-4918-A855-92BA3031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836C9"/>
    <w:rPr>
      <w:sz w:val="32"/>
      <w:lang w:val="sv-SE" w:eastAsia="sv-SE" w:bidi="ar-SA"/>
    </w:rPr>
  </w:style>
  <w:style w:type="character" w:customStyle="1" w:styleId="Rubrik2Char">
    <w:name w:val="Rubrik 2 Char"/>
    <w:aliases w:val="Beslutrubrik Char"/>
    <w:basedOn w:val="Standardstycketeckensnitt"/>
    <w:link w:val="Rubrik2"/>
    <w:semiHidden/>
    <w:locked/>
    <w:rsid w:val="00D836C9"/>
    <w:rPr>
      <w:sz w:val="27"/>
      <w:lang w:val="sv-SE" w:eastAsia="sv-SE" w:bidi="ar-SA"/>
    </w:rPr>
  </w:style>
  <w:style w:type="character" w:customStyle="1" w:styleId="Rubrik3Char">
    <w:name w:val="Rubrik 3 Char"/>
    <w:aliases w:val="Mellanrubrik Char"/>
    <w:basedOn w:val="Standardstycketeckensnitt"/>
    <w:link w:val="Rubrik3"/>
    <w:semiHidden/>
    <w:locked/>
    <w:rsid w:val="00D836C9"/>
    <w:rPr>
      <w:b/>
      <w:sz w:val="21"/>
      <w:lang w:val="sv-SE" w:eastAsia="sv-SE" w:bidi="ar-SA"/>
    </w:rPr>
  </w:style>
  <w:style w:type="character" w:customStyle="1" w:styleId="Rubrik4Char">
    <w:name w:val="Rubrik 4 Char"/>
    <w:aliases w:val="KursivRubrik Char"/>
    <w:basedOn w:val="Standardstycketeckensnitt"/>
    <w:link w:val="Rubrik4"/>
    <w:semiHidden/>
    <w:locked/>
    <w:rsid w:val="00D836C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836C9"/>
    <w:rPr>
      <w:sz w:val="19"/>
      <w:lang w:val="sv-SE" w:eastAsia="sv-SE" w:bidi="ar-SA"/>
    </w:rPr>
  </w:style>
  <w:style w:type="character" w:customStyle="1" w:styleId="Rubrik6Char">
    <w:name w:val="Rubrik 6 Char"/>
    <w:basedOn w:val="Standardstycketeckensnitt"/>
    <w:link w:val="Rubrik6"/>
    <w:semiHidden/>
    <w:locked/>
    <w:rsid w:val="00D836C9"/>
    <w:rPr>
      <w:caps/>
      <w:sz w:val="14"/>
      <w:lang w:val="sv-SE" w:eastAsia="sv-SE" w:bidi="ar-SA"/>
    </w:rPr>
  </w:style>
  <w:style w:type="character" w:customStyle="1" w:styleId="Rubrik7Char">
    <w:name w:val="Rubrik 7 Char"/>
    <w:basedOn w:val="Standardstycketeckensnitt"/>
    <w:link w:val="Rubrik7"/>
    <w:semiHidden/>
    <w:locked/>
    <w:rsid w:val="00D836C9"/>
    <w:rPr>
      <w:caps/>
      <w:sz w:val="14"/>
      <w:lang w:val="sv-SE" w:eastAsia="sv-SE" w:bidi="ar-SA"/>
    </w:rPr>
  </w:style>
  <w:style w:type="character" w:customStyle="1" w:styleId="Rubrik8Char">
    <w:name w:val="Rubrik 8 Char"/>
    <w:basedOn w:val="Standardstycketeckensnitt"/>
    <w:link w:val="Rubrik8"/>
    <w:semiHidden/>
    <w:locked/>
    <w:rsid w:val="00D836C9"/>
    <w:rPr>
      <w:caps/>
      <w:sz w:val="14"/>
      <w:lang w:val="sv-SE" w:eastAsia="sv-SE" w:bidi="ar-SA"/>
    </w:rPr>
  </w:style>
  <w:style w:type="character" w:customStyle="1" w:styleId="Rubrik9Char">
    <w:name w:val="Rubrik 9 Char"/>
    <w:basedOn w:val="Standardstycketeckensnitt"/>
    <w:link w:val="Rubrik9"/>
    <w:semiHidden/>
    <w:locked/>
    <w:rsid w:val="00D836C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836C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836C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3195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836C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836C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836C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3296</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s26000</vt:lpstr>
    </vt:vector>
  </TitlesOfParts>
  <Company>Riksdagen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s26000</dc:title>
  <dc:subject>s26000</dc:subject>
  <dc:creator>Riksdagen</dc:creator>
  <cp:keywords>Riksdagen</cp:keywords>
  <dc:description>TKG-ktrl, MSMQ4mb, PersReg-Distribution mm</dc:description>
  <cp:lastModifiedBy>Lars Brink</cp:lastModifiedBy>
  <cp:revision>2</cp:revision>
  <cp:lastPrinted>2007-10-03T09:15:00Z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 för marknadsföring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marknadsföring av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20072008000000000115000260000069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20072008000000000115000260000069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{8FF3418E-6BFE-4A0B-8CA0-63FA00C1A0F5}</vt:lpwstr>
  </property>
  <property fmtid="{D5CDD505-2E9C-101B-9397-08002B2CF9AE}" pid="53" name="Överföringar">
    <vt:i4>0</vt:i4>
  </property>
  <property fmtid="{D5CDD505-2E9C-101B-9397-08002B2CF9AE}" pid="54" name="Checksum">
    <vt:lpwstr>*1013040059609*</vt:lpwstr>
  </property>
  <property fmtid="{D5CDD505-2E9C-101B-9397-08002B2CF9AE}" pid="55" name="skuggnummer">
    <vt:lpwstr>20</vt:lpwstr>
  </property>
  <property fmtid="{D5CDD505-2E9C-101B-9397-08002B2CF9AE}" pid="56" name="urixVersion">
    <vt:lpwstr>3.2.0.9</vt:lpwstr>
  </property>
  <property fmtid="{D5CDD505-2E9C-101B-9397-08002B2CF9AE}" pid="57" name="urixOrigin">
    <vt:lpwstr>071016 19:58:29.481</vt:lpwstr>
  </property>
  <property fmtid="{D5CDD505-2E9C-101B-9397-08002B2CF9AE}" pid="58" name="urixGuid">
    <vt:lpwstr>{C8A87ECF-804A-464F-BB8B-185807274909}</vt:lpwstr>
  </property>
</Properties>
</file>