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26C" w:rsidRPr="0002426C" w:rsidRDefault="0002426C">
      <w:pPr>
        <w:pStyle w:val="RubrikSammanf"/>
        <w:shd w:val="clear" w:color="000000" w:fill="auto"/>
      </w:pPr>
      <w:r w:rsidRPr="0002426C">
        <w:t>Sammanfattning</w:t>
      </w:r>
    </w:p>
    <w:p w:rsidR="0002426C" w:rsidRPr="0002426C" w:rsidRDefault="0002426C">
      <w:pPr>
        <w:shd w:val="clear" w:color="000000" w:fill="auto"/>
      </w:pPr>
      <w:r w:rsidRPr="0002426C">
        <w:t>Regeringen renodlar sin brist på politik på det bostadspolitiska området g</w:t>
      </w:r>
      <w:r w:rsidRPr="0002426C">
        <w:t>e</w:t>
      </w:r>
      <w:r w:rsidRPr="0002426C">
        <w:t>nom att helt avskaffa politikområdet bostadspolitik. Miljöpartiet de gröna föreslår att bostadssociala mål återinförs i budgeten. Vi vill också att Bove</w:t>
      </w:r>
      <w:r w:rsidRPr="0002426C">
        <w:t>r</w:t>
      </w:r>
      <w:r w:rsidRPr="0002426C">
        <w:t>ket, som en del i miljömålsarbetet, inrättar ett kunskapsutvecklingsprogram för fysisk planering. Boverket tillförs också medel för ett kompetenscenter för bullerfrågor</w:t>
      </w:r>
      <w:r w:rsidRPr="0002426C">
        <w:rPr>
          <w:color w:val="FF0000"/>
        </w:rPr>
        <w:t xml:space="preserve"> </w:t>
      </w:r>
      <w:r w:rsidRPr="0002426C">
        <w:t>och för medel för att följa upp Betsiprogrammet</w:t>
      </w:r>
      <w:r w:rsidRPr="0002426C">
        <w:rPr>
          <w:color w:val="FF0000"/>
        </w:rPr>
        <w:t xml:space="preserve">. </w:t>
      </w:r>
      <w:r w:rsidRPr="0002426C">
        <w:t>Vi vill återinf</w:t>
      </w:r>
      <w:r w:rsidRPr="0002426C">
        <w:t>ö</w:t>
      </w:r>
      <w:r w:rsidRPr="0002426C">
        <w:t>ra fonden för fukt- och mögelskador och hissbidraget för tillgänglighetsa</w:t>
      </w:r>
      <w:r w:rsidRPr="0002426C">
        <w:t>n</w:t>
      </w:r>
      <w:r w:rsidRPr="0002426C">
        <w:t>passning.</w:t>
      </w:r>
    </w:p>
    <w:p w:rsidR="0002426C" w:rsidRPr="0002426C" w:rsidRDefault="0002426C">
      <w:pPr>
        <w:pStyle w:val="Frslagsrubrik"/>
        <w:shd w:val="clear" w:color="000000" w:fill="auto"/>
      </w:pPr>
      <w:r w:rsidRPr="0002426C">
        <w:t>Förslag till riksdagsbeslut</w:t>
      </w:r>
    </w:p>
    <w:p w:rsidR="0002426C" w:rsidRPr="0002426C" w:rsidRDefault="0002426C">
      <w:pPr>
        <w:pStyle w:val="Hemstlatt"/>
        <w:numPr>
          <w:ilvl w:val="0"/>
          <w:numId w:val="1"/>
        </w:numPr>
        <w:shd w:val="clear" w:color="000000" w:fill="auto"/>
      </w:pPr>
      <w:r w:rsidRPr="0002426C">
        <w:t>Riksdagen tillkännager för regeringen som sin mening vad som anförs i motionen om en bostadssocial målsät</w:t>
      </w:r>
      <w:r w:rsidRPr="0002426C">
        <w:t>t</w:t>
      </w:r>
      <w:r w:rsidRPr="0002426C">
        <w:t>ning.</w:t>
      </w:r>
    </w:p>
    <w:p w:rsidR="0002426C" w:rsidRPr="0002426C" w:rsidRDefault="0002426C">
      <w:pPr>
        <w:pStyle w:val="Hemstlatt"/>
        <w:numPr>
          <w:ilvl w:val="0"/>
          <w:numId w:val="1"/>
        </w:numPr>
        <w:shd w:val="clear" w:color="000000" w:fill="auto"/>
      </w:pPr>
      <w:r w:rsidRPr="0002426C">
        <w:t>Riksdagen anvisar med följande ändringar i förhållande till regeringens förslag anslagen under utgiftsområde 18 Samhällsplanering, bostadsförsörjning, byggande samt konsumentpolitik:</w:t>
      </w:r>
      <w:r w:rsidRPr="0002426C">
        <w:rPr>
          <w:b/>
          <w:bCs/>
          <w:sz w:val="16"/>
          <w:szCs w:val="16"/>
        </w:rPr>
        <w:t xml:space="preserve"> </w:t>
      </w: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70"/>
        <w:gridCol w:w="1909"/>
        <w:gridCol w:w="1328"/>
        <w:gridCol w:w="1016"/>
        <w:gridCol w:w="1031"/>
      </w:tblGrid>
      <w:tr w:rsidR="00000000" w:rsidRPr="0002426C">
        <w:trPr>
          <w:trHeight w:val="20"/>
        </w:trPr>
        <w:tc>
          <w:tcPr>
            <w:tcW w:w="2166" w:type="pct"/>
            <w:gridSpan w:val="2"/>
            <w:tcBorders>
              <w:top w:val="single" w:sz="4" w:space="0" w:color="auto"/>
              <w:bottom w:val="single" w:sz="4" w:space="0" w:color="auto"/>
            </w:tcBorders>
            <w:vAlign w:val="bottom"/>
          </w:tcPr>
          <w:p w:rsidR="0002426C" w:rsidRPr="0002426C" w:rsidRDefault="0002426C">
            <w:pPr>
              <w:keepNext/>
              <w:keepLines/>
              <w:shd w:val="clear" w:color="000000" w:fill="auto"/>
              <w:spacing w:before="60" w:line="200" w:lineRule="exact"/>
              <w:rPr>
                <w:b/>
                <w:sz w:val="16"/>
                <w:szCs w:val="16"/>
              </w:rPr>
            </w:pPr>
            <w:r w:rsidRPr="0002426C">
              <w:rPr>
                <w:bCs/>
                <w:i/>
                <w:sz w:val="16"/>
                <w:szCs w:val="16"/>
              </w:rPr>
              <w:t>Miljoner kronor</w:t>
            </w:r>
          </w:p>
        </w:tc>
        <w:tc>
          <w:tcPr>
            <w:tcW w:w="2834" w:type="pct"/>
            <w:gridSpan w:val="3"/>
            <w:tcBorders>
              <w:top w:val="single" w:sz="4" w:space="0" w:color="auto"/>
              <w:bottom w:val="single" w:sz="4" w:space="0" w:color="auto"/>
            </w:tcBorders>
            <w:noWrap/>
            <w:vAlign w:val="bottom"/>
          </w:tcPr>
          <w:p w:rsidR="0002426C" w:rsidRPr="0002426C" w:rsidRDefault="0002426C">
            <w:pPr>
              <w:keepNext/>
              <w:keepLines/>
              <w:shd w:val="clear" w:color="000000" w:fill="auto"/>
              <w:spacing w:before="60" w:line="200" w:lineRule="exact"/>
              <w:jc w:val="center"/>
              <w:rPr>
                <w:b/>
                <w:bCs/>
                <w:sz w:val="16"/>
                <w:szCs w:val="16"/>
              </w:rPr>
            </w:pPr>
            <w:r w:rsidRPr="0002426C">
              <w:rPr>
                <w:b/>
                <w:bCs/>
                <w:sz w:val="16"/>
                <w:szCs w:val="16"/>
              </w:rPr>
              <w:t>Anslagsförändringar</w:t>
            </w:r>
          </w:p>
        </w:tc>
      </w:tr>
      <w:tr w:rsidR="00000000" w:rsidRPr="0002426C">
        <w:trPr>
          <w:trHeight w:val="20"/>
        </w:trPr>
        <w:tc>
          <w:tcPr>
            <w:tcW w:w="2166" w:type="pct"/>
            <w:gridSpan w:val="2"/>
            <w:tcBorders>
              <w:top w:val="single" w:sz="4" w:space="0" w:color="auto"/>
              <w:bottom w:val="single" w:sz="4" w:space="0" w:color="auto"/>
            </w:tcBorders>
            <w:vAlign w:val="bottom"/>
          </w:tcPr>
          <w:p w:rsidR="0002426C" w:rsidRPr="0002426C" w:rsidRDefault="0002426C">
            <w:pPr>
              <w:keepNext/>
              <w:keepLines/>
              <w:shd w:val="clear" w:color="000000" w:fill="auto"/>
              <w:spacing w:before="60" w:line="200" w:lineRule="exact"/>
              <w:rPr>
                <w:b/>
                <w:sz w:val="16"/>
                <w:szCs w:val="16"/>
              </w:rPr>
            </w:pPr>
            <w:r w:rsidRPr="0002426C">
              <w:rPr>
                <w:b/>
                <w:sz w:val="16"/>
                <w:szCs w:val="16"/>
              </w:rPr>
              <w:t>Anslag</w:t>
            </w:r>
          </w:p>
        </w:tc>
        <w:tc>
          <w:tcPr>
            <w:tcW w:w="1115" w:type="pct"/>
            <w:tcBorders>
              <w:top w:val="single" w:sz="4" w:space="0" w:color="auto"/>
              <w:bottom w:val="single" w:sz="4" w:space="0" w:color="auto"/>
            </w:tcBorders>
            <w:noWrap/>
            <w:vAlign w:val="bottom"/>
          </w:tcPr>
          <w:p w:rsidR="0002426C" w:rsidRPr="0002426C" w:rsidRDefault="0002426C">
            <w:pPr>
              <w:keepNext/>
              <w:keepLines/>
              <w:shd w:val="clear" w:color="000000" w:fill="auto"/>
              <w:spacing w:before="60" w:line="200" w:lineRule="exact"/>
              <w:jc w:val="right"/>
              <w:rPr>
                <w:b/>
                <w:bCs/>
                <w:sz w:val="16"/>
                <w:szCs w:val="16"/>
              </w:rPr>
            </w:pPr>
            <w:r w:rsidRPr="0002426C">
              <w:rPr>
                <w:b/>
                <w:bCs/>
                <w:sz w:val="16"/>
                <w:szCs w:val="16"/>
              </w:rPr>
              <w:t>2010</w:t>
            </w:r>
          </w:p>
        </w:tc>
        <w:tc>
          <w:tcPr>
            <w:tcW w:w="853" w:type="pct"/>
            <w:tcBorders>
              <w:top w:val="single" w:sz="4" w:space="0" w:color="auto"/>
              <w:bottom w:val="single" w:sz="4" w:space="0" w:color="auto"/>
            </w:tcBorders>
            <w:noWrap/>
            <w:vAlign w:val="bottom"/>
          </w:tcPr>
          <w:p w:rsidR="0002426C" w:rsidRPr="0002426C" w:rsidRDefault="0002426C">
            <w:pPr>
              <w:keepNext/>
              <w:keepLines/>
              <w:shd w:val="clear" w:color="000000" w:fill="auto"/>
              <w:spacing w:before="60" w:line="200" w:lineRule="exact"/>
              <w:jc w:val="right"/>
              <w:rPr>
                <w:b/>
                <w:bCs/>
                <w:sz w:val="16"/>
                <w:szCs w:val="16"/>
              </w:rPr>
            </w:pPr>
            <w:r w:rsidRPr="0002426C">
              <w:rPr>
                <w:b/>
                <w:bCs/>
                <w:sz w:val="16"/>
                <w:szCs w:val="16"/>
              </w:rPr>
              <w:t>2011</w:t>
            </w:r>
          </w:p>
        </w:tc>
        <w:tc>
          <w:tcPr>
            <w:tcW w:w="866" w:type="pct"/>
            <w:tcBorders>
              <w:top w:val="single" w:sz="4" w:space="0" w:color="auto"/>
              <w:bottom w:val="single" w:sz="4" w:space="0" w:color="auto"/>
            </w:tcBorders>
            <w:noWrap/>
            <w:vAlign w:val="bottom"/>
          </w:tcPr>
          <w:p w:rsidR="0002426C" w:rsidRPr="0002426C" w:rsidRDefault="0002426C">
            <w:pPr>
              <w:keepNext/>
              <w:keepLines/>
              <w:shd w:val="clear" w:color="000000" w:fill="auto"/>
              <w:spacing w:before="60" w:line="200" w:lineRule="exact"/>
              <w:jc w:val="right"/>
              <w:rPr>
                <w:b/>
                <w:bCs/>
                <w:sz w:val="16"/>
                <w:szCs w:val="16"/>
              </w:rPr>
            </w:pPr>
            <w:r w:rsidRPr="0002426C">
              <w:rPr>
                <w:b/>
                <w:bCs/>
                <w:sz w:val="16"/>
                <w:szCs w:val="16"/>
              </w:rPr>
              <w:t>2012</w:t>
            </w:r>
          </w:p>
        </w:tc>
      </w:tr>
      <w:tr w:rsidR="00000000" w:rsidRPr="0002426C">
        <w:trPr>
          <w:trHeight w:val="20"/>
        </w:trPr>
        <w:tc>
          <w:tcPr>
            <w:tcW w:w="563" w:type="pct"/>
            <w:tcBorders>
              <w:top w:val="single" w:sz="4" w:space="0" w:color="auto"/>
            </w:tcBorders>
            <w:noWrap/>
            <w:vAlign w:val="bottom"/>
          </w:tcPr>
          <w:p w:rsidR="0002426C" w:rsidRPr="0002426C" w:rsidRDefault="0002426C">
            <w:pPr>
              <w:keepNext/>
              <w:keepLines/>
              <w:shd w:val="clear" w:color="000000" w:fill="auto"/>
              <w:spacing w:before="60" w:line="200" w:lineRule="exact"/>
              <w:rPr>
                <w:sz w:val="16"/>
                <w:szCs w:val="16"/>
              </w:rPr>
            </w:pPr>
            <w:r w:rsidRPr="0002426C">
              <w:rPr>
                <w:sz w:val="16"/>
                <w:szCs w:val="16"/>
              </w:rPr>
              <w:t xml:space="preserve">2:1 </w:t>
            </w:r>
          </w:p>
        </w:tc>
        <w:tc>
          <w:tcPr>
            <w:tcW w:w="1603" w:type="pct"/>
            <w:tcBorders>
              <w:top w:val="single" w:sz="4" w:space="0" w:color="auto"/>
            </w:tcBorders>
            <w:noWrap/>
            <w:vAlign w:val="bottom"/>
          </w:tcPr>
          <w:p w:rsidR="0002426C" w:rsidRPr="0002426C" w:rsidRDefault="0002426C">
            <w:pPr>
              <w:keepNext/>
              <w:keepLines/>
              <w:shd w:val="clear" w:color="000000" w:fill="auto"/>
              <w:spacing w:before="60" w:line="200" w:lineRule="exact"/>
              <w:rPr>
                <w:sz w:val="16"/>
                <w:szCs w:val="16"/>
              </w:rPr>
            </w:pPr>
            <w:r w:rsidRPr="0002426C">
              <w:rPr>
                <w:sz w:val="16"/>
                <w:szCs w:val="16"/>
              </w:rPr>
              <w:t>Boverket</w:t>
            </w:r>
          </w:p>
        </w:tc>
        <w:tc>
          <w:tcPr>
            <w:tcW w:w="1115" w:type="pct"/>
            <w:tcBorders>
              <w:top w:val="single" w:sz="4" w:space="0" w:color="auto"/>
            </w:tcBorders>
            <w:noWrap/>
            <w:vAlign w:val="bottom"/>
          </w:tcPr>
          <w:p w:rsidR="0002426C" w:rsidRPr="0002426C" w:rsidRDefault="0002426C">
            <w:pPr>
              <w:keepNext/>
              <w:keepLines/>
              <w:shd w:val="clear" w:color="000000" w:fill="auto"/>
              <w:spacing w:before="60" w:line="200" w:lineRule="exact"/>
              <w:jc w:val="right"/>
              <w:rPr>
                <w:sz w:val="16"/>
                <w:szCs w:val="16"/>
              </w:rPr>
            </w:pPr>
            <w:r w:rsidRPr="0002426C">
              <w:rPr>
                <w:sz w:val="16"/>
                <w:szCs w:val="16"/>
              </w:rPr>
              <w:t>225</w:t>
            </w:r>
          </w:p>
        </w:tc>
        <w:tc>
          <w:tcPr>
            <w:tcW w:w="853" w:type="pct"/>
            <w:tcBorders>
              <w:top w:val="single" w:sz="4" w:space="0" w:color="auto"/>
            </w:tcBorders>
            <w:noWrap/>
            <w:vAlign w:val="bottom"/>
          </w:tcPr>
          <w:p w:rsidR="0002426C" w:rsidRPr="0002426C" w:rsidRDefault="0002426C">
            <w:pPr>
              <w:keepNext/>
              <w:keepLines/>
              <w:shd w:val="clear" w:color="000000" w:fill="auto"/>
              <w:spacing w:before="60" w:line="200" w:lineRule="exact"/>
              <w:jc w:val="right"/>
              <w:rPr>
                <w:sz w:val="16"/>
                <w:szCs w:val="16"/>
              </w:rPr>
            </w:pPr>
            <w:r w:rsidRPr="0002426C">
              <w:rPr>
                <w:sz w:val="16"/>
                <w:szCs w:val="16"/>
              </w:rPr>
              <w:t>323</w:t>
            </w:r>
          </w:p>
        </w:tc>
        <w:tc>
          <w:tcPr>
            <w:tcW w:w="866" w:type="pct"/>
            <w:tcBorders>
              <w:top w:val="single" w:sz="4" w:space="0" w:color="auto"/>
            </w:tcBorders>
            <w:noWrap/>
            <w:vAlign w:val="bottom"/>
          </w:tcPr>
          <w:p w:rsidR="0002426C" w:rsidRPr="0002426C" w:rsidRDefault="0002426C">
            <w:pPr>
              <w:keepNext/>
              <w:keepLines/>
              <w:shd w:val="clear" w:color="000000" w:fill="auto"/>
              <w:spacing w:before="60" w:line="200" w:lineRule="exact"/>
              <w:jc w:val="right"/>
              <w:rPr>
                <w:sz w:val="16"/>
                <w:szCs w:val="16"/>
              </w:rPr>
            </w:pPr>
            <w:r w:rsidRPr="0002426C">
              <w:rPr>
                <w:sz w:val="16"/>
                <w:szCs w:val="16"/>
              </w:rPr>
              <w:t>421</w:t>
            </w:r>
          </w:p>
        </w:tc>
      </w:tr>
      <w:tr w:rsidR="00000000" w:rsidRPr="0002426C">
        <w:trPr>
          <w:trHeight w:val="20"/>
        </w:trPr>
        <w:tc>
          <w:tcPr>
            <w:tcW w:w="563" w:type="pct"/>
            <w:noWrap/>
            <w:vAlign w:val="bottom"/>
          </w:tcPr>
          <w:p w:rsidR="0002426C" w:rsidRPr="0002426C" w:rsidRDefault="0002426C">
            <w:pPr>
              <w:keepNext/>
              <w:keepLines/>
              <w:shd w:val="clear" w:color="000000" w:fill="auto"/>
              <w:spacing w:before="60" w:line="200" w:lineRule="exact"/>
              <w:rPr>
                <w:sz w:val="16"/>
                <w:szCs w:val="16"/>
              </w:rPr>
            </w:pPr>
            <w:r w:rsidRPr="0002426C">
              <w:rPr>
                <w:sz w:val="16"/>
                <w:szCs w:val="16"/>
              </w:rPr>
              <w:t>2:2</w:t>
            </w:r>
          </w:p>
        </w:tc>
        <w:tc>
          <w:tcPr>
            <w:tcW w:w="1603" w:type="pct"/>
            <w:noWrap/>
            <w:vAlign w:val="bottom"/>
          </w:tcPr>
          <w:p w:rsidR="0002426C" w:rsidRPr="0002426C" w:rsidRDefault="0002426C">
            <w:pPr>
              <w:keepNext/>
              <w:keepLines/>
              <w:shd w:val="clear" w:color="000000" w:fill="auto"/>
              <w:spacing w:before="60" w:line="200" w:lineRule="exact"/>
              <w:rPr>
                <w:sz w:val="16"/>
                <w:szCs w:val="16"/>
              </w:rPr>
            </w:pPr>
            <w:r w:rsidRPr="0002426C">
              <w:rPr>
                <w:sz w:val="16"/>
                <w:szCs w:val="16"/>
              </w:rPr>
              <w:t>Radonsanering</w:t>
            </w:r>
          </w:p>
        </w:tc>
        <w:tc>
          <w:tcPr>
            <w:tcW w:w="1115" w:type="pct"/>
            <w:noWrap/>
            <w:vAlign w:val="bottom"/>
          </w:tcPr>
          <w:p w:rsidR="0002426C" w:rsidRPr="0002426C" w:rsidRDefault="0002426C">
            <w:pPr>
              <w:keepNext/>
              <w:keepLines/>
              <w:shd w:val="clear" w:color="000000" w:fill="auto"/>
              <w:spacing w:before="60" w:line="200" w:lineRule="exact"/>
              <w:jc w:val="right"/>
              <w:rPr>
                <w:sz w:val="16"/>
                <w:szCs w:val="16"/>
              </w:rPr>
            </w:pPr>
            <w:r w:rsidRPr="0002426C">
              <w:rPr>
                <w:sz w:val="16"/>
                <w:szCs w:val="16"/>
              </w:rPr>
              <w:t>5</w:t>
            </w:r>
          </w:p>
        </w:tc>
        <w:tc>
          <w:tcPr>
            <w:tcW w:w="853" w:type="pct"/>
            <w:noWrap/>
            <w:vAlign w:val="bottom"/>
          </w:tcPr>
          <w:p w:rsidR="0002426C" w:rsidRPr="0002426C" w:rsidRDefault="0002426C">
            <w:pPr>
              <w:keepNext/>
              <w:keepLines/>
              <w:shd w:val="clear" w:color="000000" w:fill="auto"/>
              <w:spacing w:before="60" w:line="200" w:lineRule="exact"/>
              <w:jc w:val="right"/>
              <w:rPr>
                <w:sz w:val="16"/>
                <w:szCs w:val="16"/>
              </w:rPr>
            </w:pPr>
            <w:r w:rsidRPr="0002426C">
              <w:rPr>
                <w:sz w:val="16"/>
                <w:szCs w:val="16"/>
              </w:rPr>
              <w:t>5</w:t>
            </w:r>
          </w:p>
        </w:tc>
        <w:tc>
          <w:tcPr>
            <w:tcW w:w="866" w:type="pct"/>
            <w:noWrap/>
            <w:vAlign w:val="bottom"/>
          </w:tcPr>
          <w:p w:rsidR="0002426C" w:rsidRPr="0002426C" w:rsidRDefault="0002426C">
            <w:pPr>
              <w:keepNext/>
              <w:keepLines/>
              <w:shd w:val="clear" w:color="000000" w:fill="auto"/>
              <w:spacing w:before="60" w:line="200" w:lineRule="exact"/>
              <w:jc w:val="right"/>
              <w:rPr>
                <w:sz w:val="16"/>
                <w:szCs w:val="16"/>
              </w:rPr>
            </w:pPr>
            <w:r w:rsidRPr="0002426C">
              <w:rPr>
                <w:sz w:val="16"/>
                <w:szCs w:val="16"/>
              </w:rPr>
              <w:t>5</w:t>
            </w:r>
          </w:p>
        </w:tc>
      </w:tr>
      <w:tr w:rsidR="00000000" w:rsidRPr="0002426C">
        <w:trPr>
          <w:trHeight w:val="20"/>
        </w:trPr>
        <w:tc>
          <w:tcPr>
            <w:tcW w:w="2166" w:type="pct"/>
            <w:gridSpan w:val="2"/>
            <w:noWrap/>
            <w:vAlign w:val="bottom"/>
          </w:tcPr>
          <w:p w:rsidR="0002426C" w:rsidRPr="0002426C" w:rsidRDefault="0002426C">
            <w:pPr>
              <w:keepNext/>
              <w:keepLines/>
              <w:shd w:val="clear" w:color="000000" w:fill="auto"/>
              <w:spacing w:before="60" w:line="200" w:lineRule="exact"/>
              <w:rPr>
                <w:b/>
                <w:bCs/>
                <w:sz w:val="16"/>
                <w:szCs w:val="16"/>
              </w:rPr>
            </w:pPr>
            <w:r w:rsidRPr="0002426C">
              <w:rPr>
                <w:b/>
                <w:bCs/>
                <w:sz w:val="16"/>
                <w:szCs w:val="16"/>
              </w:rPr>
              <w:t>Summa för utgiftsområdet</w:t>
            </w:r>
          </w:p>
        </w:tc>
        <w:tc>
          <w:tcPr>
            <w:tcW w:w="1115" w:type="pct"/>
            <w:noWrap/>
            <w:vAlign w:val="bottom"/>
          </w:tcPr>
          <w:p w:rsidR="0002426C" w:rsidRPr="0002426C" w:rsidRDefault="0002426C">
            <w:pPr>
              <w:keepNext/>
              <w:keepLines/>
              <w:shd w:val="clear" w:color="000000" w:fill="auto"/>
              <w:spacing w:before="60" w:line="200" w:lineRule="exact"/>
              <w:jc w:val="right"/>
              <w:rPr>
                <w:b/>
                <w:bCs/>
                <w:sz w:val="16"/>
                <w:szCs w:val="16"/>
              </w:rPr>
            </w:pPr>
            <w:r w:rsidRPr="0002426C">
              <w:rPr>
                <w:b/>
                <w:bCs/>
                <w:sz w:val="16"/>
                <w:szCs w:val="16"/>
              </w:rPr>
              <w:t>230</w:t>
            </w:r>
          </w:p>
        </w:tc>
        <w:tc>
          <w:tcPr>
            <w:tcW w:w="853" w:type="pct"/>
            <w:noWrap/>
            <w:vAlign w:val="bottom"/>
          </w:tcPr>
          <w:p w:rsidR="0002426C" w:rsidRPr="0002426C" w:rsidRDefault="0002426C">
            <w:pPr>
              <w:keepNext/>
              <w:keepLines/>
              <w:shd w:val="clear" w:color="000000" w:fill="auto"/>
              <w:spacing w:before="60" w:line="200" w:lineRule="exact"/>
              <w:jc w:val="right"/>
              <w:rPr>
                <w:b/>
                <w:bCs/>
                <w:sz w:val="16"/>
                <w:szCs w:val="16"/>
              </w:rPr>
            </w:pPr>
            <w:r w:rsidRPr="0002426C">
              <w:rPr>
                <w:b/>
                <w:bCs/>
                <w:sz w:val="16"/>
                <w:szCs w:val="16"/>
              </w:rPr>
              <w:t>328</w:t>
            </w:r>
          </w:p>
        </w:tc>
        <w:tc>
          <w:tcPr>
            <w:tcW w:w="866" w:type="pct"/>
            <w:noWrap/>
            <w:vAlign w:val="bottom"/>
          </w:tcPr>
          <w:p w:rsidR="0002426C" w:rsidRPr="0002426C" w:rsidRDefault="0002426C">
            <w:pPr>
              <w:keepNext/>
              <w:keepLines/>
              <w:shd w:val="clear" w:color="000000" w:fill="auto"/>
              <w:spacing w:before="60" w:line="200" w:lineRule="exact"/>
              <w:jc w:val="right"/>
              <w:rPr>
                <w:b/>
                <w:bCs/>
                <w:sz w:val="16"/>
                <w:szCs w:val="16"/>
              </w:rPr>
            </w:pPr>
            <w:r w:rsidRPr="0002426C">
              <w:rPr>
                <w:b/>
                <w:bCs/>
                <w:sz w:val="16"/>
                <w:szCs w:val="16"/>
              </w:rPr>
              <w:t>426</w:t>
            </w:r>
          </w:p>
        </w:tc>
      </w:tr>
    </w:tbl>
    <w:p w:rsidR="0002426C" w:rsidRPr="0002426C" w:rsidRDefault="0002426C">
      <w:pPr>
        <w:shd w:val="clear" w:color="000000" w:fill="auto"/>
      </w:pPr>
    </w:p>
    <w:p w:rsidR="0002426C" w:rsidRPr="0002426C" w:rsidRDefault="0002426C">
      <w:pPr>
        <w:pStyle w:val="Rubrik1"/>
        <w:shd w:val="clear" w:color="000000" w:fill="auto"/>
      </w:pPr>
      <w:bookmarkStart w:id="0" w:name="RANGE!A1"/>
      <w:bookmarkEnd w:id="0"/>
      <w:r w:rsidRPr="0002426C">
        <w:lastRenderedPageBreak/>
        <w:t>Bostadspolitik</w:t>
      </w:r>
    </w:p>
    <w:p w:rsidR="0002426C" w:rsidRPr="0002426C" w:rsidRDefault="0002426C">
      <w:pPr>
        <w:pStyle w:val="Rubrik2"/>
        <w:shd w:val="clear" w:color="000000" w:fill="auto"/>
        <w:spacing w:before="120"/>
      </w:pPr>
      <w:r w:rsidRPr="0002426C">
        <w:t>Bostadspolitiskt mål</w:t>
      </w:r>
    </w:p>
    <w:p w:rsidR="0002426C" w:rsidRPr="0002426C" w:rsidRDefault="0002426C">
      <w:pPr>
        <w:shd w:val="clear" w:color="000000" w:fill="auto"/>
      </w:pPr>
      <w:r w:rsidRPr="0002426C">
        <w:t>Miljöpartiet anser att en av de viktigaste bostadspolitiska funktionerna, som har drivit den välfärdsutveckling vi haft i landet, har varit att se till att de som inte klarar att efterfråga bostäder enligt sina behov får den möjligheten. Det har i första hand handlat om barnfamiljer som oftast inte har tillräcklig ek</w:t>
      </w:r>
      <w:r w:rsidRPr="0002426C">
        <w:t>o</w:t>
      </w:r>
      <w:r w:rsidRPr="0002426C">
        <w:t>nomi för att kunna efterfråga bostäder som fyller de behov barnen har. Vi anser att även studerande idag delvis utgör en grupp som inte har möjlighet att efterfråga rimlig bostandard.</w:t>
      </w:r>
    </w:p>
    <w:p w:rsidR="0002426C" w:rsidRPr="0002426C" w:rsidRDefault="0002426C">
      <w:pPr>
        <w:pStyle w:val="Normaltindrag"/>
        <w:shd w:val="clear" w:color="000000" w:fill="auto"/>
      </w:pPr>
      <w:r w:rsidRPr="0002426C">
        <w:t>Miljöpartiet menar att det tidigare målet för Bostadspolitiken fortfarande är aktuellt:</w:t>
      </w:r>
    </w:p>
    <w:p w:rsidR="0002426C" w:rsidRPr="0002426C" w:rsidRDefault="0002426C">
      <w:pPr>
        <w:pStyle w:val="Citat"/>
        <w:shd w:val="clear" w:color="000000" w:fill="auto"/>
      </w:pPr>
      <w:r w:rsidRPr="0002426C">
        <w:t>Alla skall ges förutsättningar att leva i goda bostäder till rimliga kostn</w:t>
      </w:r>
      <w:r w:rsidRPr="0002426C">
        <w:t>a</w:t>
      </w:r>
      <w:r w:rsidRPr="0002426C">
        <w:t>der och i en stimulerande och trygg miljö inom långsiktigt hållbara r</w:t>
      </w:r>
      <w:r w:rsidRPr="0002426C">
        <w:t>a</w:t>
      </w:r>
      <w:r w:rsidRPr="0002426C">
        <w:t>mar. Boende- och bebyggelsemiljön skall bidra till jämlika och värdiga levnadsförhållanden och särskilt främja en god uppväxt för barn och ungdomar. Vid planering, byggande och förvaltning skall en ekologiskt ekonomiskt och socialt hållbar utveckling vara grunden för verksamh</w:t>
      </w:r>
      <w:r w:rsidRPr="0002426C">
        <w:t>e</w:t>
      </w:r>
      <w:r w:rsidRPr="0002426C">
        <w:t>ten.</w:t>
      </w:r>
    </w:p>
    <w:p w:rsidR="0002426C" w:rsidRPr="0002426C" w:rsidRDefault="0002426C">
      <w:pPr>
        <w:shd w:val="clear" w:color="000000" w:fill="auto"/>
      </w:pPr>
      <w:r w:rsidRPr="0002426C">
        <w:t>Miljöpartiets uppfattning är att riksdagen åter igen måste upprätta bostadsp</w:t>
      </w:r>
      <w:r w:rsidRPr="0002426C">
        <w:t>o</w:t>
      </w:r>
      <w:r w:rsidRPr="0002426C">
        <w:t>litiska ambitioner och kräver att regeringen snarast återkommer till riksdagen med förslag till bostadspolitiska mål i linje med de citerade ovan. Detta bör ges regeringen till känna i enlighet med vad som föreslås i motionens första hemställanspunkt.</w:t>
      </w:r>
    </w:p>
    <w:p w:rsidR="0002426C" w:rsidRPr="0002426C" w:rsidRDefault="0002426C">
      <w:pPr>
        <w:pStyle w:val="Rubrik1"/>
        <w:shd w:val="clear" w:color="000000" w:fill="auto"/>
      </w:pPr>
      <w:r w:rsidRPr="0002426C">
        <w:t>Byggande</w:t>
      </w:r>
    </w:p>
    <w:p w:rsidR="0002426C" w:rsidRPr="0002426C" w:rsidRDefault="0002426C">
      <w:pPr>
        <w:pStyle w:val="Rubrik2"/>
        <w:shd w:val="clear" w:color="000000" w:fill="auto"/>
        <w:spacing w:before="120"/>
      </w:pPr>
      <w:r w:rsidRPr="0002426C">
        <w:t>Ett miljömålsanknutet kunskapsutvecklingsprogram</w:t>
      </w:r>
    </w:p>
    <w:p w:rsidR="0002426C" w:rsidRPr="0002426C" w:rsidRDefault="0002426C">
      <w:pPr>
        <w:shd w:val="clear" w:color="000000" w:fill="auto"/>
      </w:pPr>
      <w:r w:rsidRPr="0002426C">
        <w:t>Miljömålsrådet har utvecklat tre strategier för att nå de 16 miljömålen. En av dessa är hushållningsstrategin som syftar till att skapa en god hushållning med mark, vatten och den bebyggda miljön. Vi måste sträva efter ett varsamt brukande och en miljö</w:t>
      </w:r>
      <w:r w:rsidRPr="0002426C">
        <w:softHyphen/>
        <w:t>anpassning av samhällsplanering och byggande som leder till hushållning av befintliga värden och skyddar känsliga värden. Str</w:t>
      </w:r>
      <w:r w:rsidRPr="0002426C">
        <w:t>a</w:t>
      </w:r>
      <w:r w:rsidRPr="0002426C">
        <w:t xml:space="preserve">tegin berör i första hand målen Grundvatten av god kvalitet, Levande sjöar och vattendrag, Myllrande våtmarker, Hav i balans samt levande kust och skärgård, Levande skogar, Ett rikt odlingslandskap, Storslagen fjällmiljö och God bebyggd miljö. </w:t>
      </w:r>
    </w:p>
    <w:p w:rsidR="0002426C" w:rsidRPr="0002426C" w:rsidRDefault="0002426C">
      <w:pPr>
        <w:pStyle w:val="Normaltindrag"/>
        <w:shd w:val="clear" w:color="000000" w:fill="auto"/>
        <w:rPr>
          <w:color w:val="000000"/>
        </w:rPr>
      </w:pPr>
      <w:r w:rsidRPr="0002426C">
        <w:t xml:space="preserve">Miljömålsrådet konstaterar i sin utvärdering </w:t>
      </w:r>
      <w:r w:rsidRPr="0002426C">
        <w:rPr>
          <w:i/>
        </w:rPr>
        <w:t>Nu är det bråttom</w:t>
      </w:r>
      <w:r w:rsidRPr="0002426C">
        <w:t xml:space="preserve"> att många kommuner och länsstyrelser har begränsade resurser och kompetens att arbeta enligt hushållningsstrategin genom att utveckla miljöhänsynen i planeringen. Rådet har därför lagt fram ett förslag om ett särskilt kunskapsutvecklingspr</w:t>
      </w:r>
      <w:r w:rsidRPr="0002426C">
        <w:t>o</w:t>
      </w:r>
      <w:r w:rsidRPr="0002426C">
        <w:t>gram för att öka kompetensen om kopplingen mellan miljö och planeringsfr</w:t>
      </w:r>
      <w:r w:rsidRPr="0002426C">
        <w:t>å</w:t>
      </w:r>
      <w:r w:rsidRPr="0002426C">
        <w:t>gor hos politiker och hand</w:t>
      </w:r>
      <w:r w:rsidRPr="0002426C">
        <w:softHyphen/>
        <w:t>läggare i kommuner och på länsstyrelser. Pr</w:t>
      </w:r>
      <w:r w:rsidRPr="0002426C">
        <w:t>o</w:t>
      </w:r>
      <w:r w:rsidRPr="0002426C">
        <w:t>grammet syftar även till att utveckla engagemanget hos ideella krafter i den kommunala planeringen och uppnå ö</w:t>
      </w:r>
      <w:r w:rsidRPr="0002426C">
        <w:t>kat medborgar</w:t>
      </w:r>
      <w:r w:rsidRPr="0002426C">
        <w:softHyphen/>
        <w:t xml:space="preserve">engagemang i de lokala miljöfrågorna. </w:t>
      </w:r>
    </w:p>
    <w:p w:rsidR="0002426C" w:rsidRPr="0002426C" w:rsidRDefault="0002426C">
      <w:pPr>
        <w:pStyle w:val="Normaltindrag"/>
        <w:shd w:val="clear" w:color="000000" w:fill="auto"/>
      </w:pPr>
      <w:r w:rsidRPr="0002426C">
        <w:t>De mål som regeringen anger inom området hållbart samhällsbyggande saknar helt detta perspektiv. Regeringens mål blir inte heller trovärdiga efte</w:t>
      </w:r>
      <w:r w:rsidRPr="0002426C">
        <w:t>r</w:t>
      </w:r>
      <w:r w:rsidRPr="0002426C">
        <w:t>som det saknas andra verktyg för att arbeta mot målen. Exempelvis blir målet om en hållbar utveckling av städer, tätorter och landsbygden verkningslöst när man samtidigt beskurit möjligheterna att med planinstrument förhindra lösningar som är ogenomtänkta ur ett klimat</w:t>
      </w:r>
      <w:r w:rsidRPr="0002426C">
        <w:softHyphen/>
        <w:t xml:space="preserve">perspektiv. </w:t>
      </w:r>
    </w:p>
    <w:p w:rsidR="0002426C" w:rsidRPr="0002426C" w:rsidRDefault="0002426C">
      <w:pPr>
        <w:pStyle w:val="Normaltindrag"/>
        <w:shd w:val="clear" w:color="000000" w:fill="auto"/>
      </w:pPr>
      <w:r w:rsidRPr="0002426C">
        <w:t xml:space="preserve">Miljöpartiet föreslår ett miljömålsanknutet kunskapsutvecklingsprogram för fysisk planering. För detta anslår vi 200 miljoner kronor årligen 2010–2012 till Boverket. </w:t>
      </w:r>
    </w:p>
    <w:p w:rsidR="0002426C" w:rsidRPr="0002426C" w:rsidRDefault="0002426C">
      <w:pPr>
        <w:pStyle w:val="Rubrik2"/>
        <w:shd w:val="clear" w:color="000000" w:fill="auto"/>
      </w:pPr>
      <w:r w:rsidRPr="0002426C">
        <w:t>Återinför hissbidraget</w:t>
      </w:r>
    </w:p>
    <w:p w:rsidR="0002426C" w:rsidRPr="0002426C" w:rsidRDefault="0002426C">
      <w:pPr>
        <w:shd w:val="clear" w:color="000000" w:fill="auto"/>
      </w:pPr>
      <w:r w:rsidRPr="0002426C">
        <w:t>Alliansregeringen inledde sin nedmontering av välfärdsstaten med flera å</w:t>
      </w:r>
      <w:r w:rsidRPr="0002426C">
        <w:t>t</w:t>
      </w:r>
      <w:r w:rsidRPr="0002426C">
        <w:t>gärder på det bostadspolitiska området. Avskaffandet av hissbidraget var ett av dessa. Att kunna klara sig på egen hand när man blir äldre blir ett allt vi</w:t>
      </w:r>
      <w:r w:rsidRPr="0002426C">
        <w:t>k</w:t>
      </w:r>
      <w:r w:rsidRPr="0002426C">
        <w:t>tigare krav. Samtidigt vet vi att fler äldre kommer att vilja, eller tvingas, bo kvar i flerfamiljshus av olika standard vid en allt högre ålder. Följaktligen kommer hissar att behöva installeras i många av de hus som byggts utan hiss. Miljöpartiet anser därför att hissbidraget måste återinföras. Det är en sa</w:t>
      </w:r>
      <w:r w:rsidRPr="0002426C">
        <w:t>m</w:t>
      </w:r>
      <w:r w:rsidRPr="0002426C">
        <w:t>hällsekonomiskt mycket lönsam åtgärd efterso</w:t>
      </w:r>
      <w:r w:rsidRPr="0002426C">
        <w:t>m det innebär att behoven av stöd och hjälp minskar. För ändamålet avsätter Miljöpartiet 100 miljoner kronor 2011 och 200 miljoner kronor 2012.</w:t>
      </w:r>
    </w:p>
    <w:p w:rsidR="0002426C" w:rsidRPr="0002426C" w:rsidRDefault="0002426C">
      <w:pPr>
        <w:pStyle w:val="Rubrik2"/>
        <w:shd w:val="clear" w:color="000000" w:fill="auto"/>
      </w:pPr>
      <w:r w:rsidRPr="0002426C">
        <w:t>Bulleråtgärder</w:t>
      </w:r>
    </w:p>
    <w:p w:rsidR="0002426C" w:rsidRPr="0002426C" w:rsidRDefault="0002426C">
      <w:pPr>
        <w:shd w:val="clear" w:color="000000" w:fill="auto"/>
      </w:pPr>
      <w:r w:rsidRPr="0002426C">
        <w:t>Idag utsätts alltför många för buller i sin närmiljö. Målet är en minskning av bullret med 5dBA utomhus vid bostadsmiljöer till 2020 i förhållande till 1998. Vägverket konstaterar att detta är ett mål som blir svårt att nå, något som Miljöpartiet länge har påpekat. För uppnå målet är åtgärder i den byggda miljön som minskar inslaget av bilism nödvändiga. Hit hör trafiklösningar som gör kollektiva transporter till det självklara valet. Detta är en bra strategi inte bara ur bullersynpunkt, det hjälper även t</w:t>
      </w:r>
      <w:r w:rsidRPr="0002426C">
        <w:t>ill att klara andra mål såsom klimatmålet. För att stärka arbetet med bullerfrågor i samhällsplaneringen föreslår Miljöpartiet en särskild ökning av anslaget till Boverket med 10 mi</w:t>
      </w:r>
      <w:r w:rsidRPr="0002426C">
        <w:t>l</w:t>
      </w:r>
      <w:r w:rsidRPr="0002426C">
        <w:t>joner kronor per år under perioden 2010–2012.</w:t>
      </w:r>
    </w:p>
    <w:p w:rsidR="0002426C" w:rsidRPr="0002426C" w:rsidRDefault="0002426C">
      <w:pPr>
        <w:pStyle w:val="Rubrik2"/>
        <w:shd w:val="clear" w:color="000000" w:fill="auto"/>
      </w:pPr>
      <w:r w:rsidRPr="0002426C">
        <w:t>Radonåtgärder</w:t>
      </w:r>
    </w:p>
    <w:p w:rsidR="0002426C" w:rsidRPr="0002426C" w:rsidRDefault="0002426C">
      <w:pPr>
        <w:shd w:val="clear" w:color="000000" w:fill="auto"/>
      </w:pPr>
      <w:r w:rsidRPr="0002426C">
        <w:t>Antalet småhus med en radonhalt överstigande 200Bq/m</w:t>
      </w:r>
      <w:r w:rsidRPr="0002426C">
        <w:rPr>
          <w:vertAlign w:val="superscript"/>
        </w:rPr>
        <w:t>3</w:t>
      </w:r>
      <w:r w:rsidRPr="0002426C">
        <w:t xml:space="preserve"> har uppskattats till ca 280 000 och antalet bostäder i flerbostadshus som har radonhalter över 200 Bq/m3 till 150 000. Beräkningar från Strålsäkerhetsmyndigheten har visat att 200 lungcancerfall per år skulle kunna förhindras om samtliga bostäder över riktvärdet åtgärdas. Miljöpartiet menar att det finns all anledning att skynda på åtgärdsprogrammet. Vi föreslår en informations</w:t>
      </w:r>
      <w:r w:rsidRPr="0002426C">
        <w:softHyphen/>
        <w:t>kampanj för att öka ku</w:t>
      </w:r>
      <w:r w:rsidRPr="0002426C">
        <w:t>n</w:t>
      </w:r>
      <w:r w:rsidRPr="0002426C">
        <w:t xml:space="preserve">skapen om riskerna. En framgångsrik kampanj leder till en ökad efterfrågan på bidrag varför anslaget till </w:t>
      </w:r>
      <w:r w:rsidRPr="0002426C">
        <w:t>detta även ökas. Vårt förslag är att anslaget för åtgärder mot radon i bostäder ökas med 5 miljoner kronor årligen 2010–2012.</w:t>
      </w:r>
    </w:p>
    <w:p w:rsidR="0002426C" w:rsidRPr="0002426C" w:rsidRDefault="0002426C">
      <w:pPr>
        <w:pStyle w:val="Rubrik2"/>
        <w:shd w:val="clear" w:color="000000" w:fill="auto"/>
      </w:pPr>
      <w:r w:rsidRPr="0002426C">
        <w:t>Fonden för fukt- och mögelskador</w:t>
      </w:r>
    </w:p>
    <w:p w:rsidR="0002426C" w:rsidRPr="0002426C" w:rsidRDefault="0002426C">
      <w:pPr>
        <w:shd w:val="clear" w:color="000000" w:fill="auto"/>
      </w:pPr>
      <w:r w:rsidRPr="0002426C">
        <w:t>Den borgerliga regeringen bestämde sig tidigt för att det inte längre fanns några problem med fukt och mögelskador i vårt land. De senaste åren har dock skandalerna med felkonstruerade hus och allvarliga fukt- och mögelsk</w:t>
      </w:r>
      <w:r w:rsidRPr="0002426C">
        <w:t>a</w:t>
      </w:r>
      <w:r w:rsidRPr="0002426C">
        <w:t>dor nästan stått på kö i medierna. Att i det läget stå fast vid att avveckla fo</w:t>
      </w:r>
      <w:r w:rsidRPr="0002426C">
        <w:t>n</w:t>
      </w:r>
      <w:r w:rsidRPr="0002426C">
        <w:t>den för fukt- och mögelskador är svårt att förstå. Miljöpartiet delar inte rege</w:t>
      </w:r>
      <w:r w:rsidRPr="0002426C">
        <w:t>r</w:t>
      </w:r>
      <w:r w:rsidRPr="0002426C">
        <w:t>ingens uppfattning när det gäller behovet av finansiering av fukt- och möge</w:t>
      </w:r>
      <w:r w:rsidRPr="0002426C">
        <w:t>l</w:t>
      </w:r>
      <w:r w:rsidRPr="0002426C">
        <w:t xml:space="preserve">åtgärder. </w:t>
      </w:r>
    </w:p>
    <w:p w:rsidR="0002426C" w:rsidRPr="0002426C" w:rsidRDefault="0002426C">
      <w:pPr>
        <w:pStyle w:val="Normaltindrag"/>
        <w:shd w:val="clear" w:color="000000" w:fill="auto"/>
      </w:pPr>
      <w:r w:rsidRPr="0002426C">
        <w:t>Regeringen bör ta upp en diskussion med byggnadsindustrin om en ny medfinansiering till fonden. För att ha utrymme för en sådan strategi krävs ett mindre statligt kapital och en organisation. Miljöpartiet anvisar i sitt budge</w:t>
      </w:r>
      <w:r w:rsidRPr="0002426C">
        <w:t>t</w:t>
      </w:r>
      <w:r w:rsidRPr="0002426C">
        <w:t>förslag 10 miljoner kronor årligen 2010–2012 som en start för detta arbete.</w:t>
      </w:r>
    </w:p>
    <w:p w:rsidR="0002426C" w:rsidRPr="0002426C" w:rsidRDefault="0002426C">
      <w:pPr>
        <w:pStyle w:val="Rubrik2"/>
        <w:shd w:val="clear" w:color="000000" w:fill="auto"/>
      </w:pPr>
      <w:r w:rsidRPr="0002426C">
        <w:t>Betsi</w:t>
      </w:r>
    </w:p>
    <w:p w:rsidR="0002426C" w:rsidRPr="0002426C" w:rsidRDefault="0002426C">
      <w:pPr>
        <w:shd w:val="clear" w:color="000000" w:fill="auto"/>
      </w:pPr>
      <w:r w:rsidRPr="0002426C">
        <w:t>Boverkets pågående uppdrag från regeringen att kartlägga inomhusmiljön i landet, bebyggelsens energianvändning, teknisk status och innemiljö (Betsi), ska enligt planeringen slutredovisas hösten 2009. Det är av yttersta vikt att denna redovisning följs upp och fördjupas samt att åtgärder vidtas. Inle</w:t>
      </w:r>
      <w:r w:rsidRPr="0002426C">
        <w:t>d</w:t>
      </w:r>
      <w:r w:rsidRPr="0002426C">
        <w:t>ningsvis krävs enbart för själva uppföljningen 5 miljoner kronor 2010, 3 mi</w:t>
      </w:r>
      <w:r w:rsidRPr="0002426C">
        <w:t>l</w:t>
      </w:r>
      <w:r w:rsidRPr="0002426C">
        <w:t>joner kronor 2011 och 1 miljon kronor 2012, vilket vi anslår inom Boverkets ram. Tillståndet i byggnadsbeståndet i Sverige är inte uppmuntrande, och det kommer att krävas olika former av offentliga stimulanser framöver för att få igång åtgärder i en takt som minimerar hälsoeffekterna av dåliga inomhusmi</w:t>
      </w:r>
      <w:r w:rsidRPr="0002426C">
        <w:t>l</w:t>
      </w:r>
      <w:r w:rsidRPr="0002426C">
        <w:t>jöer.</w:t>
      </w:r>
    </w:p>
    <w:p w:rsidR="0002426C" w:rsidRPr="0002426C" w:rsidRDefault="0002426C">
      <w:pPr>
        <w:pStyle w:val="Rubrik1"/>
        <w:pageBreakBefore/>
        <w:shd w:val="clear" w:color="000000" w:fill="auto"/>
        <w:spacing w:before="0" w:after="360"/>
      </w:pPr>
      <w:r w:rsidRPr="0002426C">
        <w:t xml:space="preserve">Sammanfattning av anslagsförändringar </w:t>
      </w:r>
    </w:p>
    <w:tbl>
      <w:tblPr>
        <w:tblW w:w="5954" w:type="dxa"/>
        <w:tblLayout w:type="fixed"/>
        <w:tblCellMar>
          <w:left w:w="70" w:type="dxa"/>
          <w:right w:w="70" w:type="dxa"/>
        </w:tblCellMar>
        <w:tblLook w:val="0000" w:firstRow="0" w:lastRow="0" w:firstColumn="0" w:lastColumn="0" w:noHBand="0" w:noVBand="0"/>
      </w:tblPr>
      <w:tblGrid>
        <w:gridCol w:w="648"/>
        <w:gridCol w:w="2384"/>
        <w:gridCol w:w="945"/>
        <w:gridCol w:w="979"/>
        <w:gridCol w:w="998"/>
      </w:tblGrid>
      <w:tr w:rsidR="00000000" w:rsidRPr="0002426C">
        <w:trPr>
          <w:trHeight w:val="227"/>
        </w:trPr>
        <w:tc>
          <w:tcPr>
            <w:tcW w:w="2546" w:type="pct"/>
            <w:gridSpan w:val="2"/>
            <w:tcBorders>
              <w:top w:val="single" w:sz="4" w:space="0" w:color="auto"/>
              <w:left w:val="nil"/>
              <w:bottom w:val="single" w:sz="8" w:space="0" w:color="auto"/>
              <w:right w:val="nil"/>
            </w:tcBorders>
            <w:vAlign w:val="bottom"/>
          </w:tcPr>
          <w:p w:rsidR="0002426C" w:rsidRPr="0002426C" w:rsidRDefault="0002426C">
            <w:pPr>
              <w:shd w:val="clear" w:color="000000" w:fill="auto"/>
              <w:spacing w:before="60" w:line="200" w:lineRule="exact"/>
              <w:rPr>
                <w:b/>
                <w:sz w:val="16"/>
                <w:szCs w:val="16"/>
              </w:rPr>
            </w:pPr>
            <w:r w:rsidRPr="0002426C">
              <w:rPr>
                <w:b/>
                <w:sz w:val="16"/>
                <w:szCs w:val="16"/>
              </w:rPr>
              <w:t>Miljoner kronor</w:t>
            </w:r>
          </w:p>
        </w:tc>
        <w:tc>
          <w:tcPr>
            <w:tcW w:w="2454" w:type="pct"/>
            <w:gridSpan w:val="3"/>
            <w:tcBorders>
              <w:top w:val="single" w:sz="4" w:space="0" w:color="auto"/>
              <w:left w:val="nil"/>
              <w:bottom w:val="single" w:sz="8" w:space="0" w:color="auto"/>
              <w:right w:val="nil"/>
            </w:tcBorders>
            <w:noWrap/>
            <w:vAlign w:val="bottom"/>
          </w:tcPr>
          <w:p w:rsidR="0002426C" w:rsidRPr="0002426C" w:rsidRDefault="0002426C">
            <w:pPr>
              <w:shd w:val="clear" w:color="000000" w:fill="auto"/>
              <w:spacing w:before="60" w:line="200" w:lineRule="exact"/>
              <w:jc w:val="center"/>
              <w:rPr>
                <w:b/>
                <w:sz w:val="16"/>
                <w:szCs w:val="16"/>
              </w:rPr>
            </w:pPr>
            <w:r w:rsidRPr="0002426C">
              <w:rPr>
                <w:b/>
                <w:sz w:val="16"/>
                <w:szCs w:val="16"/>
              </w:rPr>
              <w:t>Anslagsförändringar</w:t>
            </w:r>
          </w:p>
        </w:tc>
      </w:tr>
      <w:tr w:rsidR="00000000" w:rsidRPr="0002426C">
        <w:trPr>
          <w:trHeight w:val="227"/>
        </w:trPr>
        <w:tc>
          <w:tcPr>
            <w:tcW w:w="544" w:type="pct"/>
            <w:tcBorders>
              <w:top w:val="single" w:sz="4" w:space="0" w:color="auto"/>
              <w:left w:val="nil"/>
              <w:bottom w:val="single" w:sz="8" w:space="0" w:color="auto"/>
              <w:right w:val="nil"/>
            </w:tcBorders>
            <w:vAlign w:val="bottom"/>
          </w:tcPr>
          <w:p w:rsidR="0002426C" w:rsidRPr="0002426C" w:rsidRDefault="0002426C">
            <w:pPr>
              <w:shd w:val="clear" w:color="000000" w:fill="auto"/>
              <w:spacing w:before="60" w:line="200" w:lineRule="exact"/>
              <w:rPr>
                <w:b/>
                <w:sz w:val="16"/>
                <w:szCs w:val="16"/>
              </w:rPr>
            </w:pPr>
            <w:r w:rsidRPr="0002426C">
              <w:rPr>
                <w:b/>
                <w:sz w:val="16"/>
                <w:szCs w:val="16"/>
              </w:rPr>
              <w:t>Anslag</w:t>
            </w:r>
          </w:p>
        </w:tc>
        <w:tc>
          <w:tcPr>
            <w:tcW w:w="2002" w:type="pct"/>
            <w:tcBorders>
              <w:top w:val="single" w:sz="4" w:space="0" w:color="auto"/>
              <w:left w:val="nil"/>
              <w:bottom w:val="single" w:sz="8" w:space="0" w:color="auto"/>
              <w:right w:val="nil"/>
            </w:tcBorders>
            <w:vAlign w:val="bottom"/>
          </w:tcPr>
          <w:p w:rsidR="0002426C" w:rsidRPr="0002426C" w:rsidRDefault="0002426C">
            <w:pPr>
              <w:shd w:val="clear" w:color="000000" w:fill="auto"/>
              <w:spacing w:before="60" w:line="200" w:lineRule="exact"/>
              <w:rPr>
                <w:b/>
                <w:sz w:val="16"/>
                <w:szCs w:val="16"/>
              </w:rPr>
            </w:pPr>
          </w:p>
        </w:tc>
        <w:tc>
          <w:tcPr>
            <w:tcW w:w="794" w:type="pct"/>
            <w:tcBorders>
              <w:top w:val="single" w:sz="4" w:space="0" w:color="auto"/>
              <w:left w:val="nil"/>
              <w:bottom w:val="single" w:sz="8" w:space="0" w:color="auto"/>
              <w:right w:val="nil"/>
            </w:tcBorders>
            <w:noWrap/>
            <w:vAlign w:val="bottom"/>
          </w:tcPr>
          <w:p w:rsidR="0002426C" w:rsidRPr="0002426C" w:rsidRDefault="0002426C">
            <w:pPr>
              <w:shd w:val="clear" w:color="000000" w:fill="auto"/>
              <w:spacing w:before="60" w:line="200" w:lineRule="exact"/>
              <w:ind w:right="-3"/>
              <w:jc w:val="center"/>
              <w:rPr>
                <w:b/>
                <w:sz w:val="16"/>
                <w:szCs w:val="16"/>
              </w:rPr>
            </w:pPr>
            <w:r w:rsidRPr="0002426C">
              <w:rPr>
                <w:b/>
                <w:sz w:val="16"/>
                <w:szCs w:val="16"/>
              </w:rPr>
              <w:t>2010</w:t>
            </w:r>
          </w:p>
        </w:tc>
        <w:tc>
          <w:tcPr>
            <w:tcW w:w="822" w:type="pct"/>
            <w:tcBorders>
              <w:top w:val="single" w:sz="4" w:space="0" w:color="auto"/>
              <w:left w:val="nil"/>
              <w:bottom w:val="single" w:sz="8" w:space="0" w:color="auto"/>
              <w:right w:val="nil"/>
            </w:tcBorders>
            <w:noWrap/>
            <w:vAlign w:val="bottom"/>
          </w:tcPr>
          <w:p w:rsidR="0002426C" w:rsidRPr="0002426C" w:rsidRDefault="0002426C">
            <w:pPr>
              <w:shd w:val="clear" w:color="000000" w:fill="auto"/>
              <w:spacing w:before="60" w:line="200" w:lineRule="exact"/>
              <w:ind w:right="-3"/>
              <w:jc w:val="center"/>
              <w:rPr>
                <w:b/>
                <w:sz w:val="16"/>
                <w:szCs w:val="16"/>
              </w:rPr>
            </w:pPr>
            <w:r w:rsidRPr="0002426C">
              <w:rPr>
                <w:b/>
                <w:sz w:val="16"/>
                <w:szCs w:val="16"/>
              </w:rPr>
              <w:t>2011</w:t>
            </w:r>
          </w:p>
        </w:tc>
        <w:tc>
          <w:tcPr>
            <w:tcW w:w="838" w:type="pct"/>
            <w:tcBorders>
              <w:top w:val="single" w:sz="4" w:space="0" w:color="auto"/>
              <w:left w:val="nil"/>
              <w:bottom w:val="single" w:sz="8" w:space="0" w:color="auto"/>
              <w:right w:val="nil"/>
            </w:tcBorders>
            <w:noWrap/>
            <w:vAlign w:val="bottom"/>
          </w:tcPr>
          <w:p w:rsidR="0002426C" w:rsidRPr="0002426C" w:rsidRDefault="0002426C">
            <w:pPr>
              <w:shd w:val="clear" w:color="000000" w:fill="auto"/>
              <w:spacing w:before="60" w:line="200" w:lineRule="exact"/>
              <w:ind w:right="-3"/>
              <w:jc w:val="center"/>
              <w:rPr>
                <w:b/>
                <w:sz w:val="16"/>
                <w:szCs w:val="16"/>
              </w:rPr>
            </w:pPr>
            <w:r w:rsidRPr="0002426C">
              <w:rPr>
                <w:b/>
                <w:sz w:val="16"/>
                <w:szCs w:val="16"/>
              </w:rPr>
              <w:t>2012</w:t>
            </w:r>
          </w:p>
        </w:tc>
      </w:tr>
      <w:tr w:rsidR="00000000" w:rsidRPr="0002426C">
        <w:trPr>
          <w:trHeight w:val="225"/>
        </w:trPr>
        <w:tc>
          <w:tcPr>
            <w:tcW w:w="544" w:type="pct"/>
            <w:tcBorders>
              <w:top w:val="nil"/>
              <w:left w:val="nil"/>
              <w:bottom w:val="nil"/>
              <w:right w:val="nil"/>
            </w:tcBorders>
            <w:noWrap/>
            <w:vAlign w:val="bottom"/>
          </w:tcPr>
          <w:p w:rsidR="0002426C" w:rsidRPr="0002426C" w:rsidRDefault="0002426C">
            <w:pPr>
              <w:shd w:val="clear" w:color="000000" w:fill="auto"/>
              <w:spacing w:before="60" w:line="200" w:lineRule="exact"/>
              <w:rPr>
                <w:sz w:val="16"/>
                <w:szCs w:val="16"/>
              </w:rPr>
            </w:pPr>
            <w:r w:rsidRPr="0002426C">
              <w:rPr>
                <w:sz w:val="16"/>
                <w:szCs w:val="16"/>
              </w:rPr>
              <w:t xml:space="preserve">2:1 </w:t>
            </w:r>
          </w:p>
        </w:tc>
        <w:tc>
          <w:tcPr>
            <w:tcW w:w="2002" w:type="pct"/>
            <w:tcBorders>
              <w:top w:val="nil"/>
              <w:left w:val="nil"/>
              <w:bottom w:val="nil"/>
              <w:right w:val="nil"/>
            </w:tcBorders>
            <w:noWrap/>
            <w:vAlign w:val="bottom"/>
          </w:tcPr>
          <w:p w:rsidR="0002426C" w:rsidRPr="0002426C" w:rsidRDefault="0002426C">
            <w:pPr>
              <w:shd w:val="clear" w:color="000000" w:fill="auto"/>
              <w:spacing w:before="60" w:line="200" w:lineRule="exact"/>
              <w:rPr>
                <w:sz w:val="16"/>
                <w:szCs w:val="16"/>
              </w:rPr>
            </w:pPr>
            <w:r w:rsidRPr="0002426C">
              <w:rPr>
                <w:sz w:val="16"/>
                <w:szCs w:val="16"/>
              </w:rPr>
              <w:t>Boverket</w:t>
            </w:r>
          </w:p>
        </w:tc>
        <w:tc>
          <w:tcPr>
            <w:tcW w:w="794"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225</w:t>
            </w:r>
          </w:p>
        </w:tc>
        <w:tc>
          <w:tcPr>
            <w:tcW w:w="822"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323</w:t>
            </w:r>
          </w:p>
        </w:tc>
        <w:tc>
          <w:tcPr>
            <w:tcW w:w="838"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421</w:t>
            </w:r>
          </w:p>
        </w:tc>
      </w:tr>
      <w:tr w:rsidR="00000000" w:rsidRPr="0002426C">
        <w:trPr>
          <w:trHeight w:val="225"/>
        </w:trPr>
        <w:tc>
          <w:tcPr>
            <w:tcW w:w="544" w:type="pct"/>
            <w:tcBorders>
              <w:top w:val="nil"/>
              <w:left w:val="nil"/>
              <w:bottom w:val="nil"/>
              <w:right w:val="nil"/>
            </w:tcBorders>
            <w:noWrap/>
            <w:vAlign w:val="bottom"/>
          </w:tcPr>
          <w:p w:rsidR="0002426C" w:rsidRPr="0002426C" w:rsidRDefault="0002426C">
            <w:pPr>
              <w:shd w:val="clear" w:color="000000" w:fill="auto"/>
              <w:spacing w:before="60" w:line="200" w:lineRule="exact"/>
              <w:rPr>
                <w:sz w:val="16"/>
                <w:szCs w:val="16"/>
              </w:rPr>
            </w:pPr>
            <w:r w:rsidRPr="0002426C">
              <w:rPr>
                <w:sz w:val="16"/>
                <w:szCs w:val="16"/>
              </w:rPr>
              <w:t>2:2</w:t>
            </w:r>
          </w:p>
        </w:tc>
        <w:tc>
          <w:tcPr>
            <w:tcW w:w="2002" w:type="pct"/>
            <w:tcBorders>
              <w:top w:val="nil"/>
              <w:left w:val="nil"/>
              <w:bottom w:val="nil"/>
              <w:right w:val="nil"/>
            </w:tcBorders>
            <w:noWrap/>
            <w:vAlign w:val="bottom"/>
          </w:tcPr>
          <w:p w:rsidR="0002426C" w:rsidRPr="0002426C" w:rsidRDefault="0002426C">
            <w:pPr>
              <w:shd w:val="clear" w:color="000000" w:fill="auto"/>
              <w:spacing w:before="60" w:line="200" w:lineRule="exact"/>
              <w:rPr>
                <w:sz w:val="16"/>
                <w:szCs w:val="16"/>
              </w:rPr>
            </w:pPr>
            <w:r w:rsidRPr="0002426C">
              <w:rPr>
                <w:sz w:val="16"/>
                <w:szCs w:val="16"/>
              </w:rPr>
              <w:t>Radonsanering</w:t>
            </w:r>
          </w:p>
        </w:tc>
        <w:tc>
          <w:tcPr>
            <w:tcW w:w="794"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5</w:t>
            </w:r>
          </w:p>
        </w:tc>
        <w:tc>
          <w:tcPr>
            <w:tcW w:w="822"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5</w:t>
            </w:r>
          </w:p>
        </w:tc>
        <w:tc>
          <w:tcPr>
            <w:tcW w:w="838"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5</w:t>
            </w:r>
          </w:p>
        </w:tc>
      </w:tr>
      <w:tr w:rsidR="00000000" w:rsidRPr="0002426C">
        <w:trPr>
          <w:trHeight w:val="240"/>
        </w:trPr>
        <w:tc>
          <w:tcPr>
            <w:tcW w:w="2546" w:type="pct"/>
            <w:gridSpan w:val="2"/>
            <w:tcBorders>
              <w:top w:val="nil"/>
              <w:left w:val="nil"/>
              <w:bottom w:val="single" w:sz="8" w:space="0" w:color="auto"/>
              <w:right w:val="nil"/>
            </w:tcBorders>
            <w:noWrap/>
            <w:vAlign w:val="bottom"/>
          </w:tcPr>
          <w:p w:rsidR="0002426C" w:rsidRPr="0002426C" w:rsidRDefault="0002426C">
            <w:pPr>
              <w:shd w:val="clear" w:color="000000" w:fill="auto"/>
              <w:spacing w:before="60" w:line="200" w:lineRule="exact"/>
              <w:rPr>
                <w:b/>
                <w:sz w:val="16"/>
                <w:szCs w:val="16"/>
              </w:rPr>
            </w:pPr>
            <w:r w:rsidRPr="0002426C">
              <w:rPr>
                <w:b/>
                <w:sz w:val="16"/>
                <w:szCs w:val="16"/>
              </w:rPr>
              <w:t>Summa för utgiftsområdet</w:t>
            </w:r>
          </w:p>
        </w:tc>
        <w:tc>
          <w:tcPr>
            <w:tcW w:w="794" w:type="pct"/>
            <w:tcBorders>
              <w:top w:val="nil"/>
              <w:left w:val="nil"/>
              <w:bottom w:val="single" w:sz="8" w:space="0" w:color="auto"/>
              <w:right w:val="nil"/>
            </w:tcBorders>
            <w:noWrap/>
            <w:vAlign w:val="bottom"/>
          </w:tcPr>
          <w:p w:rsidR="0002426C" w:rsidRPr="0002426C" w:rsidRDefault="0002426C">
            <w:pPr>
              <w:shd w:val="clear" w:color="000000" w:fill="auto"/>
              <w:spacing w:before="60" w:line="200" w:lineRule="exact"/>
              <w:ind w:right="284"/>
              <w:jc w:val="right"/>
              <w:rPr>
                <w:b/>
                <w:sz w:val="16"/>
                <w:szCs w:val="16"/>
              </w:rPr>
            </w:pPr>
            <w:r w:rsidRPr="0002426C">
              <w:rPr>
                <w:b/>
                <w:sz w:val="16"/>
                <w:szCs w:val="16"/>
              </w:rPr>
              <w:t>230</w:t>
            </w:r>
          </w:p>
        </w:tc>
        <w:tc>
          <w:tcPr>
            <w:tcW w:w="822" w:type="pct"/>
            <w:tcBorders>
              <w:top w:val="nil"/>
              <w:left w:val="nil"/>
              <w:bottom w:val="single" w:sz="8" w:space="0" w:color="auto"/>
              <w:right w:val="nil"/>
            </w:tcBorders>
            <w:noWrap/>
            <w:vAlign w:val="bottom"/>
          </w:tcPr>
          <w:p w:rsidR="0002426C" w:rsidRPr="0002426C" w:rsidRDefault="0002426C">
            <w:pPr>
              <w:shd w:val="clear" w:color="000000" w:fill="auto"/>
              <w:spacing w:before="60" w:line="200" w:lineRule="exact"/>
              <w:ind w:right="284"/>
              <w:jc w:val="right"/>
              <w:rPr>
                <w:b/>
                <w:sz w:val="16"/>
                <w:szCs w:val="16"/>
              </w:rPr>
            </w:pPr>
            <w:r w:rsidRPr="0002426C">
              <w:rPr>
                <w:b/>
                <w:sz w:val="16"/>
                <w:szCs w:val="16"/>
              </w:rPr>
              <w:t>328</w:t>
            </w:r>
          </w:p>
        </w:tc>
        <w:tc>
          <w:tcPr>
            <w:tcW w:w="838" w:type="pct"/>
            <w:tcBorders>
              <w:top w:val="nil"/>
              <w:left w:val="nil"/>
              <w:bottom w:val="single" w:sz="8" w:space="0" w:color="auto"/>
              <w:right w:val="nil"/>
            </w:tcBorders>
            <w:noWrap/>
            <w:vAlign w:val="bottom"/>
          </w:tcPr>
          <w:p w:rsidR="0002426C" w:rsidRPr="0002426C" w:rsidRDefault="0002426C">
            <w:pPr>
              <w:shd w:val="clear" w:color="000000" w:fill="auto"/>
              <w:spacing w:before="60" w:line="200" w:lineRule="exact"/>
              <w:ind w:right="284"/>
              <w:jc w:val="right"/>
              <w:rPr>
                <w:b/>
                <w:sz w:val="16"/>
                <w:szCs w:val="16"/>
              </w:rPr>
            </w:pPr>
            <w:r w:rsidRPr="0002426C">
              <w:rPr>
                <w:b/>
                <w:sz w:val="16"/>
                <w:szCs w:val="16"/>
              </w:rPr>
              <w:t>426</w:t>
            </w:r>
          </w:p>
        </w:tc>
      </w:tr>
      <w:tr w:rsidR="00000000" w:rsidRPr="0002426C">
        <w:trPr>
          <w:trHeight w:val="240"/>
        </w:trPr>
        <w:tc>
          <w:tcPr>
            <w:tcW w:w="544" w:type="pct"/>
            <w:tcBorders>
              <w:top w:val="nil"/>
              <w:left w:val="nil"/>
              <w:bottom w:val="single" w:sz="8" w:space="0" w:color="auto"/>
              <w:right w:val="nil"/>
            </w:tcBorders>
            <w:noWrap/>
            <w:vAlign w:val="bottom"/>
          </w:tcPr>
          <w:p w:rsidR="0002426C" w:rsidRPr="0002426C" w:rsidRDefault="0002426C">
            <w:pPr>
              <w:shd w:val="clear" w:color="000000" w:fill="auto"/>
              <w:spacing w:before="60" w:line="200" w:lineRule="exact"/>
              <w:rPr>
                <w:sz w:val="16"/>
                <w:szCs w:val="16"/>
              </w:rPr>
            </w:pPr>
          </w:p>
        </w:tc>
        <w:tc>
          <w:tcPr>
            <w:tcW w:w="2002" w:type="pct"/>
            <w:tcBorders>
              <w:top w:val="nil"/>
              <w:left w:val="nil"/>
              <w:bottom w:val="single" w:sz="8" w:space="0" w:color="auto"/>
              <w:right w:val="nil"/>
            </w:tcBorders>
            <w:noWrap/>
            <w:vAlign w:val="bottom"/>
          </w:tcPr>
          <w:p w:rsidR="0002426C" w:rsidRPr="0002426C" w:rsidRDefault="0002426C">
            <w:pPr>
              <w:shd w:val="clear" w:color="000000" w:fill="auto"/>
              <w:spacing w:before="60" w:line="200" w:lineRule="exact"/>
              <w:rPr>
                <w:b/>
                <w:sz w:val="16"/>
                <w:szCs w:val="16"/>
              </w:rPr>
            </w:pPr>
            <w:r w:rsidRPr="0002426C">
              <w:rPr>
                <w:b/>
                <w:sz w:val="16"/>
                <w:szCs w:val="16"/>
              </w:rPr>
              <w:t>Specifikation av anslag 2:1</w:t>
            </w:r>
          </w:p>
        </w:tc>
        <w:tc>
          <w:tcPr>
            <w:tcW w:w="794" w:type="pct"/>
            <w:tcBorders>
              <w:top w:val="nil"/>
              <w:left w:val="nil"/>
              <w:bottom w:val="single" w:sz="8" w:space="0" w:color="auto"/>
              <w:right w:val="nil"/>
            </w:tcBorders>
            <w:noWrap/>
            <w:vAlign w:val="bottom"/>
          </w:tcPr>
          <w:p w:rsidR="0002426C" w:rsidRPr="0002426C" w:rsidRDefault="0002426C">
            <w:pPr>
              <w:shd w:val="clear" w:color="000000" w:fill="auto"/>
              <w:spacing w:before="60" w:line="200" w:lineRule="exact"/>
              <w:ind w:right="284"/>
              <w:jc w:val="right"/>
              <w:rPr>
                <w:b/>
                <w:sz w:val="16"/>
                <w:szCs w:val="16"/>
              </w:rPr>
            </w:pPr>
            <w:r w:rsidRPr="0002426C">
              <w:rPr>
                <w:b/>
                <w:sz w:val="16"/>
                <w:szCs w:val="16"/>
              </w:rPr>
              <w:t>2010</w:t>
            </w:r>
          </w:p>
        </w:tc>
        <w:tc>
          <w:tcPr>
            <w:tcW w:w="822" w:type="pct"/>
            <w:tcBorders>
              <w:top w:val="nil"/>
              <w:left w:val="nil"/>
              <w:bottom w:val="single" w:sz="8" w:space="0" w:color="auto"/>
              <w:right w:val="nil"/>
            </w:tcBorders>
            <w:noWrap/>
            <w:vAlign w:val="bottom"/>
          </w:tcPr>
          <w:p w:rsidR="0002426C" w:rsidRPr="0002426C" w:rsidRDefault="0002426C">
            <w:pPr>
              <w:shd w:val="clear" w:color="000000" w:fill="auto"/>
              <w:spacing w:before="60" w:line="200" w:lineRule="exact"/>
              <w:ind w:right="284"/>
              <w:jc w:val="right"/>
              <w:rPr>
                <w:b/>
                <w:sz w:val="16"/>
                <w:szCs w:val="16"/>
              </w:rPr>
            </w:pPr>
            <w:r w:rsidRPr="0002426C">
              <w:rPr>
                <w:b/>
                <w:sz w:val="16"/>
                <w:szCs w:val="16"/>
              </w:rPr>
              <w:t>2011</w:t>
            </w:r>
          </w:p>
        </w:tc>
        <w:tc>
          <w:tcPr>
            <w:tcW w:w="838" w:type="pct"/>
            <w:tcBorders>
              <w:top w:val="nil"/>
              <w:left w:val="nil"/>
              <w:bottom w:val="single" w:sz="8" w:space="0" w:color="auto"/>
              <w:right w:val="nil"/>
            </w:tcBorders>
            <w:noWrap/>
            <w:vAlign w:val="bottom"/>
          </w:tcPr>
          <w:p w:rsidR="0002426C" w:rsidRPr="0002426C" w:rsidRDefault="0002426C">
            <w:pPr>
              <w:shd w:val="clear" w:color="000000" w:fill="auto"/>
              <w:spacing w:before="60" w:line="200" w:lineRule="exact"/>
              <w:ind w:right="284"/>
              <w:jc w:val="right"/>
              <w:rPr>
                <w:b/>
                <w:sz w:val="16"/>
                <w:szCs w:val="16"/>
              </w:rPr>
            </w:pPr>
            <w:r w:rsidRPr="0002426C">
              <w:rPr>
                <w:b/>
                <w:sz w:val="16"/>
                <w:szCs w:val="16"/>
              </w:rPr>
              <w:t>2012</w:t>
            </w:r>
          </w:p>
        </w:tc>
      </w:tr>
      <w:tr w:rsidR="00000000" w:rsidRPr="0002426C">
        <w:trPr>
          <w:trHeight w:val="225"/>
        </w:trPr>
        <w:tc>
          <w:tcPr>
            <w:tcW w:w="544" w:type="pct"/>
            <w:tcBorders>
              <w:top w:val="nil"/>
              <w:left w:val="nil"/>
              <w:bottom w:val="nil"/>
              <w:right w:val="nil"/>
            </w:tcBorders>
            <w:noWrap/>
            <w:vAlign w:val="bottom"/>
          </w:tcPr>
          <w:p w:rsidR="0002426C" w:rsidRPr="0002426C" w:rsidRDefault="0002426C">
            <w:pPr>
              <w:shd w:val="clear" w:color="000000" w:fill="auto"/>
              <w:spacing w:before="60" w:line="200" w:lineRule="exact"/>
              <w:rPr>
                <w:sz w:val="16"/>
                <w:szCs w:val="16"/>
              </w:rPr>
            </w:pPr>
          </w:p>
        </w:tc>
        <w:tc>
          <w:tcPr>
            <w:tcW w:w="2002" w:type="pct"/>
            <w:tcBorders>
              <w:top w:val="nil"/>
              <w:left w:val="nil"/>
              <w:bottom w:val="nil"/>
              <w:right w:val="nil"/>
            </w:tcBorders>
            <w:noWrap/>
            <w:vAlign w:val="bottom"/>
          </w:tcPr>
          <w:p w:rsidR="0002426C" w:rsidRPr="0002426C" w:rsidRDefault="0002426C">
            <w:pPr>
              <w:shd w:val="clear" w:color="000000" w:fill="auto"/>
              <w:spacing w:before="60" w:line="200" w:lineRule="exact"/>
              <w:rPr>
                <w:sz w:val="16"/>
                <w:szCs w:val="16"/>
              </w:rPr>
            </w:pPr>
            <w:r w:rsidRPr="0002426C">
              <w:rPr>
                <w:sz w:val="16"/>
                <w:szCs w:val="16"/>
              </w:rPr>
              <w:t>Planeringsstöd</w:t>
            </w:r>
          </w:p>
        </w:tc>
        <w:tc>
          <w:tcPr>
            <w:tcW w:w="794"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200</w:t>
            </w:r>
          </w:p>
        </w:tc>
        <w:tc>
          <w:tcPr>
            <w:tcW w:w="822"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200</w:t>
            </w:r>
          </w:p>
        </w:tc>
        <w:tc>
          <w:tcPr>
            <w:tcW w:w="838"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200</w:t>
            </w:r>
          </w:p>
        </w:tc>
      </w:tr>
      <w:tr w:rsidR="00000000" w:rsidRPr="0002426C">
        <w:trPr>
          <w:trHeight w:val="225"/>
        </w:trPr>
        <w:tc>
          <w:tcPr>
            <w:tcW w:w="544" w:type="pct"/>
            <w:tcBorders>
              <w:top w:val="nil"/>
              <w:left w:val="nil"/>
              <w:bottom w:val="nil"/>
              <w:right w:val="nil"/>
            </w:tcBorders>
            <w:noWrap/>
            <w:vAlign w:val="bottom"/>
          </w:tcPr>
          <w:p w:rsidR="0002426C" w:rsidRPr="0002426C" w:rsidRDefault="0002426C">
            <w:pPr>
              <w:shd w:val="clear" w:color="000000" w:fill="auto"/>
              <w:spacing w:before="60" w:line="200" w:lineRule="exact"/>
              <w:rPr>
                <w:sz w:val="16"/>
                <w:szCs w:val="16"/>
              </w:rPr>
            </w:pPr>
          </w:p>
        </w:tc>
        <w:tc>
          <w:tcPr>
            <w:tcW w:w="2002" w:type="pct"/>
            <w:tcBorders>
              <w:top w:val="nil"/>
              <w:left w:val="nil"/>
              <w:bottom w:val="nil"/>
              <w:right w:val="nil"/>
            </w:tcBorders>
            <w:noWrap/>
            <w:vAlign w:val="bottom"/>
          </w:tcPr>
          <w:p w:rsidR="0002426C" w:rsidRPr="0002426C" w:rsidRDefault="0002426C">
            <w:pPr>
              <w:shd w:val="clear" w:color="000000" w:fill="auto"/>
              <w:spacing w:before="60" w:line="200" w:lineRule="exact"/>
              <w:rPr>
                <w:sz w:val="16"/>
                <w:szCs w:val="16"/>
              </w:rPr>
            </w:pPr>
            <w:r w:rsidRPr="0002426C">
              <w:rPr>
                <w:sz w:val="16"/>
                <w:szCs w:val="16"/>
              </w:rPr>
              <w:t>Hissbidrag</w:t>
            </w:r>
          </w:p>
        </w:tc>
        <w:tc>
          <w:tcPr>
            <w:tcW w:w="794"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p>
        </w:tc>
        <w:tc>
          <w:tcPr>
            <w:tcW w:w="822"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100</w:t>
            </w:r>
          </w:p>
        </w:tc>
        <w:tc>
          <w:tcPr>
            <w:tcW w:w="838"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200</w:t>
            </w:r>
          </w:p>
        </w:tc>
      </w:tr>
      <w:tr w:rsidR="00000000" w:rsidRPr="0002426C">
        <w:trPr>
          <w:trHeight w:val="225"/>
        </w:trPr>
        <w:tc>
          <w:tcPr>
            <w:tcW w:w="544" w:type="pct"/>
            <w:tcBorders>
              <w:top w:val="nil"/>
              <w:left w:val="nil"/>
              <w:bottom w:val="nil"/>
              <w:right w:val="nil"/>
            </w:tcBorders>
            <w:noWrap/>
            <w:vAlign w:val="bottom"/>
          </w:tcPr>
          <w:p w:rsidR="0002426C" w:rsidRPr="0002426C" w:rsidRDefault="0002426C">
            <w:pPr>
              <w:shd w:val="clear" w:color="000000" w:fill="auto"/>
              <w:spacing w:before="60" w:line="200" w:lineRule="exact"/>
              <w:rPr>
                <w:sz w:val="16"/>
                <w:szCs w:val="16"/>
              </w:rPr>
            </w:pPr>
          </w:p>
        </w:tc>
        <w:tc>
          <w:tcPr>
            <w:tcW w:w="2002" w:type="pct"/>
            <w:tcBorders>
              <w:top w:val="nil"/>
              <w:left w:val="nil"/>
              <w:bottom w:val="nil"/>
              <w:right w:val="nil"/>
            </w:tcBorders>
            <w:noWrap/>
            <w:vAlign w:val="bottom"/>
          </w:tcPr>
          <w:p w:rsidR="0002426C" w:rsidRPr="0002426C" w:rsidRDefault="0002426C">
            <w:pPr>
              <w:shd w:val="clear" w:color="000000" w:fill="auto"/>
              <w:spacing w:before="60" w:line="200" w:lineRule="exact"/>
              <w:rPr>
                <w:sz w:val="16"/>
                <w:szCs w:val="16"/>
              </w:rPr>
            </w:pPr>
            <w:r w:rsidRPr="0002426C">
              <w:rPr>
                <w:sz w:val="16"/>
                <w:szCs w:val="16"/>
              </w:rPr>
              <w:t>Bulleråtgärder</w:t>
            </w:r>
          </w:p>
        </w:tc>
        <w:tc>
          <w:tcPr>
            <w:tcW w:w="794"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10</w:t>
            </w:r>
          </w:p>
        </w:tc>
        <w:tc>
          <w:tcPr>
            <w:tcW w:w="822"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10</w:t>
            </w:r>
          </w:p>
        </w:tc>
        <w:tc>
          <w:tcPr>
            <w:tcW w:w="838"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10</w:t>
            </w:r>
          </w:p>
        </w:tc>
      </w:tr>
      <w:tr w:rsidR="00000000" w:rsidRPr="0002426C">
        <w:trPr>
          <w:trHeight w:val="225"/>
        </w:trPr>
        <w:tc>
          <w:tcPr>
            <w:tcW w:w="544" w:type="pct"/>
            <w:tcBorders>
              <w:top w:val="nil"/>
              <w:left w:val="nil"/>
              <w:bottom w:val="nil"/>
              <w:right w:val="nil"/>
            </w:tcBorders>
            <w:noWrap/>
            <w:vAlign w:val="bottom"/>
          </w:tcPr>
          <w:p w:rsidR="0002426C" w:rsidRPr="0002426C" w:rsidRDefault="0002426C">
            <w:pPr>
              <w:shd w:val="clear" w:color="000000" w:fill="auto"/>
              <w:spacing w:before="60" w:line="200" w:lineRule="exact"/>
              <w:rPr>
                <w:sz w:val="16"/>
                <w:szCs w:val="16"/>
              </w:rPr>
            </w:pPr>
          </w:p>
        </w:tc>
        <w:tc>
          <w:tcPr>
            <w:tcW w:w="2002" w:type="pct"/>
            <w:tcBorders>
              <w:top w:val="nil"/>
              <w:left w:val="nil"/>
              <w:bottom w:val="nil"/>
              <w:right w:val="nil"/>
            </w:tcBorders>
            <w:noWrap/>
            <w:vAlign w:val="bottom"/>
          </w:tcPr>
          <w:p w:rsidR="0002426C" w:rsidRPr="0002426C" w:rsidRDefault="0002426C">
            <w:pPr>
              <w:shd w:val="clear" w:color="000000" w:fill="auto"/>
              <w:spacing w:before="60" w:line="200" w:lineRule="exact"/>
              <w:rPr>
                <w:sz w:val="16"/>
                <w:szCs w:val="16"/>
              </w:rPr>
            </w:pPr>
            <w:r w:rsidRPr="0002426C">
              <w:rPr>
                <w:sz w:val="16"/>
                <w:szCs w:val="16"/>
              </w:rPr>
              <w:t>Fonden för fukt och mögelskador</w:t>
            </w:r>
          </w:p>
        </w:tc>
        <w:tc>
          <w:tcPr>
            <w:tcW w:w="794"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10</w:t>
            </w:r>
          </w:p>
        </w:tc>
        <w:tc>
          <w:tcPr>
            <w:tcW w:w="822"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10</w:t>
            </w:r>
          </w:p>
        </w:tc>
        <w:tc>
          <w:tcPr>
            <w:tcW w:w="838" w:type="pct"/>
            <w:tcBorders>
              <w:top w:val="nil"/>
              <w:left w:val="nil"/>
              <w:bottom w:val="nil"/>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10</w:t>
            </w:r>
          </w:p>
        </w:tc>
      </w:tr>
      <w:tr w:rsidR="00000000" w:rsidRPr="0002426C">
        <w:trPr>
          <w:trHeight w:val="225"/>
        </w:trPr>
        <w:tc>
          <w:tcPr>
            <w:tcW w:w="544" w:type="pct"/>
            <w:tcBorders>
              <w:top w:val="nil"/>
              <w:left w:val="nil"/>
              <w:bottom w:val="single" w:sz="4" w:space="0" w:color="auto"/>
              <w:right w:val="nil"/>
            </w:tcBorders>
            <w:noWrap/>
            <w:vAlign w:val="bottom"/>
          </w:tcPr>
          <w:p w:rsidR="0002426C" w:rsidRPr="0002426C" w:rsidRDefault="0002426C">
            <w:pPr>
              <w:shd w:val="clear" w:color="000000" w:fill="auto"/>
              <w:spacing w:before="60" w:line="200" w:lineRule="exact"/>
              <w:rPr>
                <w:sz w:val="16"/>
                <w:szCs w:val="16"/>
              </w:rPr>
            </w:pPr>
          </w:p>
        </w:tc>
        <w:tc>
          <w:tcPr>
            <w:tcW w:w="2002" w:type="pct"/>
            <w:tcBorders>
              <w:top w:val="nil"/>
              <w:left w:val="nil"/>
              <w:bottom w:val="single" w:sz="4" w:space="0" w:color="auto"/>
              <w:right w:val="nil"/>
            </w:tcBorders>
            <w:noWrap/>
            <w:vAlign w:val="bottom"/>
          </w:tcPr>
          <w:p w:rsidR="0002426C" w:rsidRPr="0002426C" w:rsidRDefault="0002426C">
            <w:pPr>
              <w:shd w:val="clear" w:color="000000" w:fill="auto"/>
              <w:spacing w:before="60" w:line="200" w:lineRule="exact"/>
              <w:rPr>
                <w:sz w:val="16"/>
                <w:szCs w:val="16"/>
              </w:rPr>
            </w:pPr>
            <w:r w:rsidRPr="0002426C">
              <w:rPr>
                <w:sz w:val="16"/>
                <w:szCs w:val="16"/>
              </w:rPr>
              <w:t>Betsi uppföljning</w:t>
            </w:r>
          </w:p>
        </w:tc>
        <w:tc>
          <w:tcPr>
            <w:tcW w:w="794" w:type="pct"/>
            <w:tcBorders>
              <w:top w:val="nil"/>
              <w:left w:val="nil"/>
              <w:bottom w:val="single" w:sz="4" w:space="0" w:color="auto"/>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5</w:t>
            </w:r>
          </w:p>
        </w:tc>
        <w:tc>
          <w:tcPr>
            <w:tcW w:w="822" w:type="pct"/>
            <w:tcBorders>
              <w:top w:val="nil"/>
              <w:left w:val="nil"/>
              <w:bottom w:val="single" w:sz="4" w:space="0" w:color="auto"/>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3</w:t>
            </w:r>
          </w:p>
        </w:tc>
        <w:tc>
          <w:tcPr>
            <w:tcW w:w="838" w:type="pct"/>
            <w:tcBorders>
              <w:top w:val="nil"/>
              <w:left w:val="nil"/>
              <w:bottom w:val="single" w:sz="4" w:space="0" w:color="auto"/>
              <w:right w:val="nil"/>
            </w:tcBorders>
            <w:noWrap/>
            <w:vAlign w:val="bottom"/>
          </w:tcPr>
          <w:p w:rsidR="0002426C" w:rsidRPr="0002426C" w:rsidRDefault="0002426C">
            <w:pPr>
              <w:shd w:val="clear" w:color="000000" w:fill="auto"/>
              <w:spacing w:before="60" w:line="200" w:lineRule="exact"/>
              <w:ind w:right="284"/>
              <w:jc w:val="right"/>
              <w:rPr>
                <w:sz w:val="16"/>
                <w:szCs w:val="16"/>
              </w:rPr>
            </w:pPr>
            <w:r w:rsidRPr="0002426C">
              <w:rPr>
                <w:sz w:val="16"/>
                <w:szCs w:val="16"/>
              </w:rPr>
              <w:t>1</w:t>
            </w:r>
          </w:p>
        </w:tc>
      </w:tr>
      <w:tr w:rsidR="00000000" w:rsidRPr="0002426C">
        <w:trPr>
          <w:trHeight w:val="225"/>
        </w:trPr>
        <w:tc>
          <w:tcPr>
            <w:tcW w:w="544" w:type="pct"/>
            <w:tcBorders>
              <w:top w:val="single" w:sz="4" w:space="0" w:color="auto"/>
              <w:left w:val="nil"/>
              <w:bottom w:val="single" w:sz="4" w:space="0" w:color="auto"/>
              <w:right w:val="nil"/>
            </w:tcBorders>
            <w:noWrap/>
            <w:vAlign w:val="bottom"/>
          </w:tcPr>
          <w:p w:rsidR="0002426C" w:rsidRPr="0002426C" w:rsidRDefault="0002426C">
            <w:pPr>
              <w:shd w:val="clear" w:color="000000" w:fill="auto"/>
              <w:spacing w:before="60" w:line="200" w:lineRule="exact"/>
              <w:rPr>
                <w:b/>
                <w:sz w:val="16"/>
                <w:szCs w:val="16"/>
              </w:rPr>
            </w:pPr>
          </w:p>
        </w:tc>
        <w:tc>
          <w:tcPr>
            <w:tcW w:w="2002" w:type="pct"/>
            <w:tcBorders>
              <w:top w:val="single" w:sz="4" w:space="0" w:color="auto"/>
              <w:left w:val="nil"/>
              <w:bottom w:val="single" w:sz="4" w:space="0" w:color="auto"/>
              <w:right w:val="nil"/>
            </w:tcBorders>
            <w:noWrap/>
            <w:vAlign w:val="bottom"/>
          </w:tcPr>
          <w:p w:rsidR="0002426C" w:rsidRPr="0002426C" w:rsidRDefault="0002426C">
            <w:pPr>
              <w:shd w:val="clear" w:color="000000" w:fill="auto"/>
              <w:spacing w:before="60" w:line="200" w:lineRule="exact"/>
              <w:rPr>
                <w:b/>
                <w:sz w:val="16"/>
                <w:szCs w:val="16"/>
              </w:rPr>
            </w:pPr>
            <w:r w:rsidRPr="0002426C">
              <w:rPr>
                <w:b/>
                <w:sz w:val="16"/>
                <w:szCs w:val="16"/>
              </w:rPr>
              <w:t>Summa</w:t>
            </w:r>
          </w:p>
        </w:tc>
        <w:tc>
          <w:tcPr>
            <w:tcW w:w="794" w:type="pct"/>
            <w:tcBorders>
              <w:top w:val="single" w:sz="4" w:space="0" w:color="auto"/>
              <w:left w:val="nil"/>
              <w:bottom w:val="single" w:sz="4" w:space="0" w:color="auto"/>
              <w:right w:val="nil"/>
            </w:tcBorders>
            <w:noWrap/>
            <w:vAlign w:val="bottom"/>
          </w:tcPr>
          <w:p w:rsidR="0002426C" w:rsidRPr="0002426C" w:rsidRDefault="0002426C">
            <w:pPr>
              <w:shd w:val="clear" w:color="000000" w:fill="auto"/>
              <w:spacing w:before="60" w:line="200" w:lineRule="exact"/>
              <w:ind w:right="284"/>
              <w:jc w:val="right"/>
              <w:rPr>
                <w:b/>
                <w:sz w:val="16"/>
                <w:szCs w:val="16"/>
              </w:rPr>
            </w:pPr>
            <w:r w:rsidRPr="0002426C">
              <w:rPr>
                <w:b/>
                <w:sz w:val="16"/>
                <w:szCs w:val="16"/>
              </w:rPr>
              <w:t>225</w:t>
            </w:r>
          </w:p>
        </w:tc>
        <w:tc>
          <w:tcPr>
            <w:tcW w:w="822" w:type="pct"/>
            <w:tcBorders>
              <w:top w:val="single" w:sz="4" w:space="0" w:color="auto"/>
              <w:left w:val="nil"/>
              <w:bottom w:val="single" w:sz="4" w:space="0" w:color="auto"/>
              <w:right w:val="nil"/>
            </w:tcBorders>
            <w:noWrap/>
            <w:vAlign w:val="bottom"/>
          </w:tcPr>
          <w:p w:rsidR="0002426C" w:rsidRPr="0002426C" w:rsidRDefault="0002426C">
            <w:pPr>
              <w:shd w:val="clear" w:color="000000" w:fill="auto"/>
              <w:spacing w:before="60" w:line="200" w:lineRule="exact"/>
              <w:ind w:right="284"/>
              <w:jc w:val="right"/>
              <w:rPr>
                <w:b/>
                <w:sz w:val="16"/>
                <w:szCs w:val="16"/>
              </w:rPr>
            </w:pPr>
            <w:r w:rsidRPr="0002426C">
              <w:rPr>
                <w:b/>
                <w:sz w:val="16"/>
                <w:szCs w:val="16"/>
              </w:rPr>
              <w:t>323</w:t>
            </w:r>
          </w:p>
        </w:tc>
        <w:tc>
          <w:tcPr>
            <w:tcW w:w="838" w:type="pct"/>
            <w:tcBorders>
              <w:top w:val="single" w:sz="4" w:space="0" w:color="auto"/>
              <w:left w:val="nil"/>
              <w:bottom w:val="single" w:sz="4" w:space="0" w:color="auto"/>
              <w:right w:val="nil"/>
            </w:tcBorders>
            <w:noWrap/>
            <w:vAlign w:val="bottom"/>
          </w:tcPr>
          <w:p w:rsidR="0002426C" w:rsidRPr="0002426C" w:rsidRDefault="0002426C">
            <w:pPr>
              <w:shd w:val="clear" w:color="000000" w:fill="auto"/>
              <w:spacing w:before="60" w:line="200" w:lineRule="exact"/>
              <w:ind w:right="284"/>
              <w:jc w:val="right"/>
              <w:rPr>
                <w:b/>
                <w:sz w:val="16"/>
                <w:szCs w:val="16"/>
              </w:rPr>
            </w:pPr>
            <w:r w:rsidRPr="0002426C">
              <w:rPr>
                <w:b/>
                <w:sz w:val="16"/>
                <w:szCs w:val="16"/>
              </w:rPr>
              <w:t>421</w:t>
            </w:r>
          </w:p>
        </w:tc>
      </w:tr>
    </w:tbl>
    <w:p w:rsidR="0002426C" w:rsidRPr="0002426C" w:rsidRDefault="0002426C">
      <w:pPr>
        <w:shd w:val="clear" w:color="000000" w:fill="auto"/>
      </w:pPr>
      <w:r w:rsidRPr="0002426C">
        <w:t>Som en del i miljömålsarbetet föreslår Miljöpartiet ett kunskapsutveckling</w:t>
      </w:r>
      <w:r w:rsidRPr="0002426C">
        <w:t>s</w:t>
      </w:r>
      <w:r w:rsidRPr="0002426C">
        <w:t>program för fysisk planering på 200 miljoner kronor per år. Boverket tillförs också medel för ett kompetenscenter för bullerfrågor och för att följa upp Betsiprogrammet. Vi vill återinföra fonden för fukt- och mögelskador och bidraget för tillgänglighetsanpassning av hissar. Vi ökar också anslaget för radonsaneringsåtgärder.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426C">
        <w:trPr>
          <w:cantSplit/>
        </w:trPr>
        <w:tc>
          <w:tcPr>
            <w:tcW w:w="3046" w:type="dxa"/>
          </w:tcPr>
          <w:p w:rsidR="0002426C" w:rsidRPr="0002426C" w:rsidRDefault="0002426C">
            <w:pPr>
              <w:pStyle w:val="UnderskriftDatum"/>
              <w:shd w:val="clear" w:color="000000" w:fill="auto"/>
              <w:spacing w:before="240"/>
            </w:pPr>
            <w:r w:rsidRPr="0002426C">
              <w:t>Stockholm den 5 oktober 2009</w:t>
            </w:r>
          </w:p>
        </w:tc>
        <w:tc>
          <w:tcPr>
            <w:tcW w:w="3047" w:type="dxa"/>
          </w:tcPr>
          <w:p w:rsidR="0002426C" w:rsidRPr="0002426C" w:rsidRDefault="0002426C">
            <w:pPr>
              <w:pStyle w:val="Underskrifter"/>
              <w:shd w:val="clear" w:color="000000" w:fill="auto"/>
              <w:spacing w:before="240"/>
            </w:pPr>
          </w:p>
        </w:tc>
      </w:tr>
      <w:tr w:rsidR="00000000" w:rsidRPr="0002426C">
        <w:trPr>
          <w:cantSplit/>
        </w:trPr>
        <w:tc>
          <w:tcPr>
            <w:tcW w:w="3046" w:type="dxa"/>
          </w:tcPr>
          <w:p w:rsidR="0002426C" w:rsidRPr="0002426C" w:rsidRDefault="0002426C">
            <w:pPr>
              <w:pStyle w:val="Underskrifter"/>
              <w:shd w:val="clear" w:color="000000" w:fill="auto"/>
            </w:pPr>
            <w:r w:rsidRPr="0002426C">
              <w:t>Jan Lindholm (mp)</w:t>
            </w:r>
          </w:p>
        </w:tc>
        <w:tc>
          <w:tcPr>
            <w:tcW w:w="3046" w:type="dxa"/>
          </w:tcPr>
          <w:p w:rsidR="0002426C" w:rsidRPr="0002426C" w:rsidRDefault="0002426C">
            <w:pPr>
              <w:pStyle w:val="Underskrifter"/>
              <w:shd w:val="clear" w:color="000000" w:fill="auto"/>
            </w:pPr>
          </w:p>
        </w:tc>
      </w:tr>
      <w:tr w:rsidR="00000000" w:rsidRPr="0002426C">
        <w:trPr>
          <w:cantSplit/>
        </w:trPr>
        <w:tc>
          <w:tcPr>
            <w:tcW w:w="3046" w:type="dxa"/>
          </w:tcPr>
          <w:p w:rsidR="0002426C" w:rsidRPr="0002426C" w:rsidRDefault="0002426C">
            <w:pPr>
              <w:pStyle w:val="Underskrifter"/>
              <w:shd w:val="clear" w:color="000000" w:fill="auto"/>
            </w:pPr>
            <w:r w:rsidRPr="0002426C">
              <w:t>Ulf Holm (mp)</w:t>
            </w:r>
          </w:p>
        </w:tc>
        <w:tc>
          <w:tcPr>
            <w:tcW w:w="3046" w:type="dxa"/>
          </w:tcPr>
          <w:p w:rsidR="0002426C" w:rsidRPr="0002426C" w:rsidRDefault="0002426C">
            <w:pPr>
              <w:pStyle w:val="Underskrifter"/>
              <w:shd w:val="clear" w:color="000000" w:fill="auto"/>
            </w:pPr>
            <w:r w:rsidRPr="0002426C">
              <w:t>Helena Leander (mp)</w:t>
            </w:r>
          </w:p>
        </w:tc>
      </w:tr>
    </w:tbl>
    <w:p w:rsidR="0002426C" w:rsidRPr="0002426C" w:rsidRDefault="0002426C">
      <w:pPr>
        <w:pStyle w:val="Normaltindrag"/>
        <w:shd w:val="clear" w:color="000000" w:fill="auto"/>
      </w:pPr>
    </w:p>
    <w:sectPr w:rsidR="00000000" w:rsidRPr="000242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26C" w:rsidRPr="0002426C" w:rsidRDefault="0002426C">
      <w:r w:rsidRPr="0002426C">
        <w:separator/>
      </w:r>
    </w:p>
  </w:endnote>
  <w:endnote w:type="continuationSeparator" w:id="0">
    <w:p w:rsidR="0002426C" w:rsidRPr="0002426C" w:rsidRDefault="0002426C">
      <w:r w:rsidRPr="00024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6C" w:rsidRPr="0002426C" w:rsidRDefault="0002426C">
    <w:pPr>
      <w:pStyle w:val="Sidfot"/>
    </w:pPr>
    <w:r w:rsidRPr="000242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6864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6C" w:rsidRDefault="0002426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426C" w:rsidRDefault="0002426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6C" w:rsidRPr="0002426C" w:rsidRDefault="0002426C">
    <w:pPr>
      <w:pStyle w:val="Sidfot"/>
    </w:pPr>
    <w:r w:rsidRPr="000242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2119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6C" w:rsidRDefault="0002426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426C" w:rsidRDefault="0002426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6C" w:rsidRPr="0002426C" w:rsidRDefault="0002426C">
    <w:pPr>
      <w:pStyle w:val="Sidfot"/>
    </w:pPr>
    <w:r w:rsidRPr="000242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9384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6C" w:rsidRDefault="000242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426C" w:rsidRDefault="000242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26C" w:rsidRPr="0002426C" w:rsidRDefault="0002426C">
      <w:r w:rsidRPr="0002426C">
        <w:separator/>
      </w:r>
    </w:p>
  </w:footnote>
  <w:footnote w:type="continuationSeparator" w:id="0">
    <w:p w:rsidR="0002426C" w:rsidRPr="0002426C" w:rsidRDefault="0002426C">
      <w:r w:rsidRPr="00024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6C" w:rsidRPr="0002426C" w:rsidRDefault="0002426C">
    <w:pPr>
      <w:pStyle w:val="Sidhuvud"/>
    </w:pPr>
    <w:r w:rsidRPr="000242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22814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6C" w:rsidRDefault="000242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426C" w:rsidRDefault="000242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6C" w:rsidRPr="0002426C" w:rsidRDefault="0002426C">
    <w:pPr>
      <w:pStyle w:val="Sidhuvud"/>
    </w:pPr>
    <w:r w:rsidRPr="000242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36774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6C" w:rsidRDefault="000242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426C" w:rsidRDefault="000242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6C" w:rsidRPr="0002426C" w:rsidRDefault="0002426C">
    <w:pPr>
      <w:pStyle w:val="FSHNormal"/>
      <w:tabs>
        <w:tab w:val="right" w:pos="5840"/>
      </w:tabs>
    </w:pPr>
    <w:r w:rsidRPr="0002426C">
      <w:br/>
    </w:r>
    <w:r w:rsidRPr="0002426C">
      <w:fldChar w:fldCharType="begin" w:fldLock="1"/>
    </w:r>
    <w:r w:rsidRPr="0002426C">
      <w:instrText xml:space="preserve"> DOCPROPERTY</w:instrText>
    </w:r>
    <w:r w:rsidRPr="0002426C">
      <w:rPr>
        <w:sz w:val="18"/>
      </w:rPr>
      <w:instrText xml:space="preserve"> "YearUser" *\charformat </w:instrText>
    </w:r>
    <w:r w:rsidRPr="0002426C">
      <w:fldChar w:fldCharType="separate"/>
    </w:r>
    <w:r w:rsidRPr="0002426C">
      <w:t>2009/10</w:t>
    </w:r>
    <w:r w:rsidRPr="0002426C">
      <w:fldChar w:fldCharType="end"/>
    </w:r>
    <w:r w:rsidRPr="0002426C">
      <w:t xml:space="preserve"> </w:t>
    </w:r>
    <w:r w:rsidRPr="0002426C">
      <w:tab/>
      <w:t xml:space="preserve">mnr: </w:t>
    </w:r>
    <w:r w:rsidRPr="0002426C">
      <w:fldChar w:fldCharType="begin" w:fldLock="1"/>
    </w:r>
    <w:r w:rsidRPr="0002426C">
      <w:instrText xml:space="preserve"> DOCPROPERTY</w:instrText>
    </w:r>
    <w:r w:rsidRPr="0002426C">
      <w:rPr>
        <w:sz w:val="18"/>
      </w:rPr>
      <w:instrText xml:space="preserve"> "Motionsnummer" *\charformat </w:instrText>
    </w:r>
    <w:r w:rsidRPr="0002426C">
      <w:fldChar w:fldCharType="separate"/>
    </w:r>
    <w:r w:rsidRPr="0002426C">
      <w:t>C453</w:t>
    </w:r>
    <w:r w:rsidRPr="0002426C">
      <w:fldChar w:fldCharType="end"/>
    </w:r>
    <w:r w:rsidRPr="0002426C">
      <w:br/>
    </w:r>
    <w:r w:rsidRPr="0002426C">
      <w:fldChar w:fldCharType="begin" w:fldLock="1"/>
    </w:r>
    <w:r w:rsidRPr="0002426C">
      <w:instrText xml:space="preserve"> DOCPROPERTY</w:instrText>
    </w:r>
    <w:r w:rsidRPr="0002426C">
      <w:rPr>
        <w:sz w:val="18"/>
      </w:rPr>
      <w:instrText xml:space="preserve"> "Samling" *\charformat </w:instrText>
    </w:r>
    <w:r w:rsidRPr="0002426C">
      <w:fldChar w:fldCharType="end"/>
    </w:r>
    <w:r w:rsidRPr="0002426C">
      <w:tab/>
      <w:t xml:space="preserve">pnr: </w:t>
    </w:r>
    <w:r w:rsidRPr="0002426C">
      <w:fldChar w:fldCharType="begin" w:fldLock="1"/>
    </w:r>
    <w:r w:rsidRPr="0002426C">
      <w:instrText xml:space="preserve"> DOCPROPERTY</w:instrText>
    </w:r>
    <w:r w:rsidRPr="0002426C">
      <w:rPr>
        <w:sz w:val="18"/>
      </w:rPr>
      <w:instrText xml:space="preserve"> "Partinummer" *\charformat </w:instrText>
    </w:r>
    <w:r w:rsidRPr="0002426C">
      <w:fldChar w:fldCharType="separate"/>
    </w:r>
    <w:r w:rsidRPr="0002426C">
      <w:t>mp703</w:t>
    </w:r>
    <w:r w:rsidRPr="0002426C">
      <w:fldChar w:fldCharType="end"/>
    </w:r>
  </w:p>
  <w:p w:rsidR="0002426C" w:rsidRPr="0002426C" w:rsidRDefault="0002426C">
    <w:pPr>
      <w:pStyle w:val="FSHRub1"/>
    </w:pPr>
    <w:r w:rsidRPr="0002426C">
      <w:t>Motion till riksdagen</w:t>
    </w:r>
    <w:r w:rsidRPr="0002426C">
      <w:br/>
    </w:r>
    <w:r w:rsidRPr="0002426C">
      <w:fldChar w:fldCharType="begin" w:fldLock="1"/>
    </w:r>
    <w:r w:rsidRPr="0002426C">
      <w:instrText xml:space="preserve"> DOCPROPERTY "YearUser" *\charformat </w:instrText>
    </w:r>
    <w:r w:rsidRPr="0002426C">
      <w:fldChar w:fldCharType="separate"/>
    </w:r>
    <w:r w:rsidRPr="0002426C">
      <w:t>2009/10</w:t>
    </w:r>
    <w:r w:rsidRPr="0002426C">
      <w:fldChar w:fldCharType="end"/>
    </w:r>
    <w:r w:rsidRPr="0002426C">
      <w:t>:</w:t>
    </w:r>
    <w:r w:rsidRPr="0002426C">
      <w:fldChar w:fldCharType="begin" w:fldLock="1"/>
    </w:r>
    <w:r w:rsidRPr="0002426C">
      <w:instrText xml:space="preserve"> DOCPROPERTY "Motionsnummer" *\charformat </w:instrText>
    </w:r>
    <w:r w:rsidRPr="0002426C">
      <w:fldChar w:fldCharType="separate"/>
    </w:r>
    <w:r w:rsidRPr="0002426C">
      <w:t>C453</w:t>
    </w:r>
    <w:r w:rsidRPr="0002426C">
      <w:fldChar w:fldCharType="end"/>
    </w:r>
  </w:p>
  <w:p w:rsidR="0002426C" w:rsidRPr="0002426C" w:rsidRDefault="0002426C">
    <w:pPr>
      <w:pStyle w:val="FSHNormalS5"/>
    </w:pPr>
    <w:r w:rsidRPr="0002426C">
      <w:fldChar w:fldCharType="begin" w:fldLock="1"/>
    </w:r>
    <w:r w:rsidRPr="0002426C">
      <w:instrText xml:space="preserve"> DOCPROPERTY "MotionarText" *\charformat </w:instrText>
    </w:r>
    <w:r w:rsidRPr="0002426C">
      <w:fldChar w:fldCharType="separate"/>
    </w:r>
    <w:r w:rsidRPr="0002426C">
      <w:t>av Jan Lindholm m.fl. (mp)</w:t>
    </w:r>
    <w:r w:rsidRPr="0002426C">
      <w:fldChar w:fldCharType="end"/>
    </w:r>
    <w:r w:rsidRPr="0002426C">
      <w:br/>
    </w:r>
    <w:r w:rsidRPr="0002426C">
      <w:fldChar w:fldCharType="begin" w:fldLock="1"/>
    </w:r>
    <w:r w:rsidRPr="0002426C">
      <w:instrText xml:space="preserve"> DOCPROPERTY "SvarFrasKort" *\charformat </w:instrText>
    </w:r>
    <w:r w:rsidRPr="0002426C">
      <w:fldChar w:fldCharType="end"/>
    </w:r>
  </w:p>
  <w:p w:rsidR="0002426C" w:rsidRPr="0002426C" w:rsidRDefault="0002426C">
    <w:pPr>
      <w:pStyle w:val="FSHTitel"/>
    </w:pPr>
    <w:r w:rsidRPr="0002426C">
      <w:fldChar w:fldCharType="begin" w:fldLock="1"/>
    </w:r>
    <w:r w:rsidRPr="0002426C">
      <w:instrText xml:space="preserve"> DOCPROPERTY</w:instrText>
    </w:r>
    <w:r w:rsidRPr="0002426C">
      <w:rPr>
        <w:sz w:val="18"/>
      </w:rPr>
      <w:instrText xml:space="preserve"> "RubrikSvar" *\charformat </w:instrText>
    </w:r>
    <w:r w:rsidRPr="0002426C">
      <w:fldChar w:fldCharType="separate"/>
    </w:r>
    <w:r w:rsidRPr="0002426C">
      <w:t>Utgiftsområde 18 Samhällsplanering, bostadsförsörjning, byggande samt konsumentpolitik</w:t>
    </w:r>
    <w:r w:rsidRPr="0002426C">
      <w:fldChar w:fldCharType="end"/>
    </w:r>
  </w:p>
  <w:p w:rsidR="0002426C" w:rsidRPr="0002426C" w:rsidRDefault="0002426C">
    <w:pPr>
      <w:pStyle w:val="Normal00"/>
    </w:pPr>
  </w:p>
  <w:p w:rsidR="0002426C" w:rsidRPr="0002426C" w:rsidRDefault="000242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C4552D2"/>
    <w:multiLevelType w:val="hybridMultilevel"/>
    <w:tmpl w:val="1D1AC52E"/>
    <w:lvl w:ilvl="0" w:tplc="A37C47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CBE136D"/>
    <w:multiLevelType w:val="hybridMultilevel"/>
    <w:tmpl w:val="A1ACD874"/>
    <w:lvl w:ilvl="0" w:tplc="6F324A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15D593E"/>
    <w:multiLevelType w:val="hybridMultilevel"/>
    <w:tmpl w:val="E0BE63EE"/>
    <w:lvl w:ilvl="0" w:tplc="D60E63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880104F"/>
    <w:multiLevelType w:val="multilevel"/>
    <w:tmpl w:val="7CAE94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4354015"/>
    <w:multiLevelType w:val="hybridMultilevel"/>
    <w:tmpl w:val="A716A9BE"/>
    <w:lvl w:ilvl="0" w:tplc="5F9E8D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5111933">
    <w:abstractNumId w:val="8"/>
  </w:num>
  <w:num w:numId="2" w16cid:durableId="1063528540">
    <w:abstractNumId w:val="9"/>
  </w:num>
  <w:num w:numId="3" w16cid:durableId="116535959">
    <w:abstractNumId w:val="8"/>
  </w:num>
  <w:num w:numId="4" w16cid:durableId="28650973">
    <w:abstractNumId w:val="9"/>
  </w:num>
  <w:num w:numId="5" w16cid:durableId="1167792780">
    <w:abstractNumId w:val="18"/>
  </w:num>
  <w:num w:numId="6" w16cid:durableId="802769809">
    <w:abstractNumId w:val="10"/>
  </w:num>
  <w:num w:numId="7" w16cid:durableId="1104614000">
    <w:abstractNumId w:val="15"/>
  </w:num>
  <w:num w:numId="8" w16cid:durableId="47926056">
    <w:abstractNumId w:val="16"/>
  </w:num>
  <w:num w:numId="9" w16cid:durableId="2121802858">
    <w:abstractNumId w:val="8"/>
  </w:num>
  <w:num w:numId="10" w16cid:durableId="645431268">
    <w:abstractNumId w:val="3"/>
  </w:num>
  <w:num w:numId="11" w16cid:durableId="502814965">
    <w:abstractNumId w:val="2"/>
  </w:num>
  <w:num w:numId="12" w16cid:durableId="1965889651">
    <w:abstractNumId w:val="1"/>
  </w:num>
  <w:num w:numId="13" w16cid:durableId="688802045">
    <w:abstractNumId w:val="0"/>
  </w:num>
  <w:num w:numId="14" w16cid:durableId="1318920099">
    <w:abstractNumId w:val="9"/>
  </w:num>
  <w:num w:numId="15" w16cid:durableId="1831408352">
    <w:abstractNumId w:val="7"/>
  </w:num>
  <w:num w:numId="16" w16cid:durableId="1424767579">
    <w:abstractNumId w:val="6"/>
  </w:num>
  <w:num w:numId="17" w16cid:durableId="1985771355">
    <w:abstractNumId w:val="5"/>
  </w:num>
  <w:num w:numId="18" w16cid:durableId="552039111">
    <w:abstractNumId w:val="4"/>
  </w:num>
  <w:num w:numId="19" w16cid:durableId="114375336">
    <w:abstractNumId w:val="13"/>
  </w:num>
  <w:num w:numId="20" w16cid:durableId="2020935005">
    <w:abstractNumId w:val="14"/>
  </w:num>
  <w:num w:numId="21" w16cid:durableId="1590652529">
    <w:abstractNumId w:val="11"/>
  </w:num>
  <w:num w:numId="22" w16cid:durableId="691683169">
    <w:abstractNumId w:val="12"/>
  </w:num>
  <w:num w:numId="23" w16cid:durableId="8899958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C87839E7-C05D-47B9-AB7F-246B82B1F61B},{DA08321F-F0BC-4060-A586-E39C9BA97177},{EC49A5C4-EF8B-4128-8058-67D1E519C3AA}"/>
  </w:docVars>
  <w:rsids>
    <w:rsidRoot w:val="00210055"/>
    <w:rsid w:val="0002426C"/>
    <w:rsid w:val="002100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68A01F1-5D7C-4F77-B16F-8B86AAB9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3Char">
    <w:name w:val="Rubrik 3 Char"/>
    <w:aliases w:val="Mellanrubrik Char"/>
    <w:basedOn w:val="Standardstycketeckensnitt"/>
    <w:link w:val="Rubrik3"/>
    <w:semiHidden/>
    <w:locked/>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188">
      <w:bodyDiv w:val="1"/>
      <w:marLeft w:val="0"/>
      <w:marRight w:val="0"/>
      <w:marTop w:val="0"/>
      <w:marBottom w:val="0"/>
      <w:divBdr>
        <w:top w:val="none" w:sz="0" w:space="0" w:color="auto"/>
        <w:left w:val="none" w:sz="0" w:space="0" w:color="auto"/>
        <w:bottom w:val="none" w:sz="0" w:space="0" w:color="auto"/>
        <w:right w:val="none" w:sz="0" w:space="0" w:color="auto"/>
      </w:divBdr>
    </w:div>
    <w:div w:id="220872970">
      <w:bodyDiv w:val="1"/>
      <w:marLeft w:val="0"/>
      <w:marRight w:val="0"/>
      <w:marTop w:val="0"/>
      <w:marBottom w:val="0"/>
      <w:divBdr>
        <w:top w:val="none" w:sz="0" w:space="0" w:color="auto"/>
        <w:left w:val="none" w:sz="0" w:space="0" w:color="auto"/>
        <w:bottom w:val="none" w:sz="0" w:space="0" w:color="auto"/>
        <w:right w:val="none" w:sz="0" w:space="0" w:color="auto"/>
      </w:divBdr>
    </w:div>
    <w:div w:id="1170214962">
      <w:bodyDiv w:val="1"/>
      <w:marLeft w:val="0"/>
      <w:marRight w:val="0"/>
      <w:marTop w:val="0"/>
      <w:marBottom w:val="0"/>
      <w:divBdr>
        <w:top w:val="none" w:sz="0" w:space="0" w:color="auto"/>
        <w:left w:val="none" w:sz="0" w:space="0" w:color="auto"/>
        <w:bottom w:val="none" w:sz="0" w:space="0" w:color="auto"/>
        <w:right w:val="none" w:sz="0" w:space="0" w:color="auto"/>
      </w:divBdr>
    </w:div>
    <w:div w:id="1184053106">
      <w:bodyDiv w:val="1"/>
      <w:marLeft w:val="0"/>
      <w:marRight w:val="0"/>
      <w:marTop w:val="0"/>
      <w:marBottom w:val="0"/>
      <w:divBdr>
        <w:top w:val="none" w:sz="0" w:space="0" w:color="auto"/>
        <w:left w:val="none" w:sz="0" w:space="0" w:color="auto"/>
        <w:bottom w:val="none" w:sz="0" w:space="0" w:color="auto"/>
        <w:right w:val="none" w:sz="0" w:space="0" w:color="auto"/>
      </w:divBdr>
    </w:div>
    <w:div w:id="1483039447">
      <w:bodyDiv w:val="1"/>
      <w:marLeft w:val="0"/>
      <w:marRight w:val="0"/>
      <w:marTop w:val="0"/>
      <w:marBottom w:val="0"/>
      <w:divBdr>
        <w:top w:val="none" w:sz="0" w:space="0" w:color="auto"/>
        <w:left w:val="none" w:sz="0" w:space="0" w:color="auto"/>
        <w:bottom w:val="none" w:sz="0" w:space="0" w:color="auto"/>
        <w:right w:val="none" w:sz="0" w:space="0" w:color="auto"/>
      </w:divBdr>
    </w:div>
    <w:div w:id="1624310502">
      <w:bodyDiv w:val="1"/>
      <w:marLeft w:val="0"/>
      <w:marRight w:val="0"/>
      <w:marTop w:val="0"/>
      <w:marBottom w:val="0"/>
      <w:divBdr>
        <w:top w:val="none" w:sz="0" w:space="0" w:color="auto"/>
        <w:left w:val="none" w:sz="0" w:space="0" w:color="auto"/>
        <w:bottom w:val="none" w:sz="0" w:space="0" w:color="auto"/>
        <w:right w:val="none" w:sz="0" w:space="0" w:color="auto"/>
      </w:divBdr>
    </w:div>
    <w:div w:id="191030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1281</Words>
  <Characters>7623</Characters>
  <Application>Microsoft Office Word</Application>
  <DocSecurity>4</DocSecurity>
  <Lines>217</Lines>
  <Paragraphs>117</Paragraphs>
  <ScaleCrop>false</ScaleCrop>
  <HeadingPairs>
    <vt:vector size="2" baseType="variant">
      <vt:variant>
        <vt:lpstr>Rubrik</vt:lpstr>
      </vt:variant>
      <vt:variant>
        <vt:i4>1</vt:i4>
      </vt:variant>
    </vt:vector>
  </HeadingPairs>
  <TitlesOfParts>
    <vt:vector size="1" baseType="lpstr">
      <vt:lpstr>mp703</vt:lpstr>
    </vt:vector>
  </TitlesOfParts>
  <Company>Riksdagen</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mp703</dc:title>
  <dc:subject>mp703</dc:subject>
  <dc:creator>Riksdagen</dc:creator>
  <cp:keywords>Riksdagen</cp:keywords>
  <dc:description>B</dc:description>
  <cp:lastModifiedBy>Lars Brink</cp:lastModifiedBy>
  <cp:revision>2</cp:revision>
  <cp:lastPrinted>2010-01-23T08:48:00Z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mot2000_506_2009-09-28</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18 Samhällsplanering, bostadsförsörjning,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byggande samt konsumentpolitik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(mp)\Holm, Ulf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Ulf Holm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20092010000001090112000007030075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20092010000001090112000007030075</vt:lpwstr>
  </property>
  <property fmtid="{D5CDD505-2E9C-101B-9397-08002B2CF9AE}" pid="50" name="nummer">
    <vt:lpwstr>453</vt:lpwstr>
  </property>
  <property fmtid="{D5CDD505-2E9C-101B-9397-08002B2CF9AE}" pid="51" name="utskottsbeteckning">
    <vt:lpwstr>C</vt:lpwstr>
  </property>
  <property fmtid="{D5CDD505-2E9C-101B-9397-08002B2CF9AE}" pid="52" name="GlobalUID">
    <vt:lpwstr>{F6850EC1-16EA-4B66-8552-52280E7CB895}</vt:lpwstr>
  </property>
  <property fmtid="{D5CDD505-2E9C-101B-9397-08002B2CF9AE}" pid="53" name="Överföringar">
    <vt:i4>0</vt:i4>
  </property>
  <property fmtid="{D5CDD505-2E9C-101B-9397-08002B2CF9AE}" pid="54" name="Checksum">
    <vt:lpwstr>*0012877243220*</vt:lpwstr>
  </property>
  <property fmtid="{D5CDD505-2E9C-101B-9397-08002B2CF9AE}" pid="55" name="skuggnummer">
    <vt:lpwstr>3134</vt:lpwstr>
  </property>
  <property fmtid="{D5CDD505-2E9C-101B-9397-08002B2CF9AE}" pid="56" name="urixVersion">
    <vt:lpwstr>4.1.0.6</vt:lpwstr>
  </property>
  <property fmtid="{D5CDD505-2E9C-101B-9397-08002B2CF9AE}" pid="57" name="urixOrigin">
    <vt:lpwstr>100128 09:01:07.607</vt:lpwstr>
  </property>
  <property fmtid="{D5CDD505-2E9C-101B-9397-08002B2CF9AE}" pid="58" name="urixGuid">
    <vt:lpwstr>{EFCDBA31-D806-497F-B7C9-39E4C53F6EA9}</vt:lpwstr>
  </property>
</Properties>
</file>